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UPJOHN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000-56114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43"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b w:val="1"/>
          <w:bCs w:val="1"/>
          <w:color w:val="auto"/>
        </w:rPr>
        <w:t>(IRS Employer or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ind w:left="1984"/>
        <w:spacing w:after="0"/>
        <w:rPr>
          <w:sz w:val="20"/>
          <w:szCs w:val="20"/>
          <w:color w:val="auto"/>
        </w:rPr>
      </w:pPr>
      <w:r>
        <w:rPr>
          <w:rFonts w:ascii="Arial" w:cs="Arial" w:eastAsia="Arial" w:hAnsi="Arial"/>
          <w:sz w:val="16"/>
          <w:szCs w:val="16"/>
          <w:b w:val="1"/>
          <w:bCs w:val="1"/>
          <w:color w:val="auto"/>
        </w:rPr>
        <w:t>235 East 42nd Street</w:t>
      </w:r>
    </w:p>
    <w:p>
      <w:pPr>
        <w:spacing w:after="0" w:line="50" w:lineRule="exact"/>
        <w:rPr>
          <w:sz w:val="24"/>
          <w:szCs w:val="24"/>
          <w:color w:val="auto"/>
        </w:rPr>
      </w:pPr>
    </w:p>
    <w:p>
      <w:pPr>
        <w:ind w:left="1964"/>
        <w:spacing w:after="0"/>
        <w:rPr>
          <w:sz w:val="20"/>
          <w:szCs w:val="20"/>
          <w:color w:val="auto"/>
        </w:rPr>
      </w:pPr>
      <w:r>
        <w:rPr>
          <w:rFonts w:ascii="Arial" w:cs="Arial" w:eastAsia="Arial" w:hAnsi="Arial"/>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10017</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733-2323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On June 22, 2020, Upjohn Inc., a Delaware corporation (“Upjohn” or “Newco”), completed the offering of $1,000,000,000 aggregate principal amount of its 1.125% Senior Notes due 2022 (the “2022 U.S. Dollar Notes”), $750,000,000 aggregate principal amount of its 1.650% Senior Notes due 2025 (the “2025 U.S. Dollar Notes”), $750,000,000 aggregate principal amount of its 2.300% Senior Notes due 2027 (the “2027 U.S. Dollar Notes”), $1,450,000,000 aggregate principal amount of its 2.700% Senior Notes due 2030 (the “2030 U.S. Dollar Notes”), $1,500,000,000 aggregate principal amount of its 3.850% Senior Notes due 2040 (the “2040 U.S. Dollar Notes”) and $2,000,000,000 aggregate principal amount of its 4.000% Senior Notes due 2050 (the “2050 U.S. Dollar Notes” and, together with the 2022 U.S. Dollar Notes, the 2025 U.S. Dollar Notes, the 2027 U.S. Dollar Notes, the 2030 U.S. Dollar Notes and the 2040 U.S. Dollar Notes, the “U.S. Dollar Notes”). In connection with the issuance of the U.S. Dollar Notes, Newco entered into an indenture, dated as of June 22, 2020 (the “U.S. Dollar Indenture”), between Newco, as issuer, and The Bank of New York Mellon, as trustee (the “U.S. Dollar Trustee”), and a Registration Rights Agreement, dated as of June 22, 2020 (the “Registration Rights Agreement”), by and between Newco and Goldman Sachs &amp; Co. LLC, BofA Securities, Inc., Citigroup Global Markets Inc., Morgan Stanley and Co. LLC and Mizuho Securities USA LLC, as representatives of the several initial purchasers of the U.S. Dollar Notes.</w:t>
      </w:r>
    </w:p>
    <w:p>
      <w:pPr>
        <w:spacing w:after="0" w:line="182"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The U.S. Dollar Notes were issued in a private offering exempt from the registration requirements of the Securities Act of 1933, as amended (the “Securities Act”), in the United States to persons reasonably believed to be qualified institutional buyers in reliance on Rule 144A under the Securities Act and to certain non-U.S. persons in transactions outside of the United States in reliance on Regulation S under the Securities Act.</w:t>
      </w:r>
    </w:p>
    <w:p>
      <w:pPr>
        <w:spacing w:after="0" w:line="14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addition, on June 23, 2020, Upjohn Finance B.V., a wholly owned financing subsidiary of Newco (“Finco”), completed the offering of €750,000,000 aggregate principal amount of its 0.816% Senior Notes due 2022 (the “2022 Euro Notes”), €750,000,000 aggregate principal amount of its 1.023% Senior Notes due 2024 (the “2024 Euro Notes”), €850,000,000 aggregate principal amount of its 1.362% Senior Notes due 2027 (the “2027 Euro Notes”) and €1,250,000,000 aggregate principal amount of its 1.908% Senior Notes due 2032 (the “2032 Euro Notes”, and, together with the 2022 Euro Notes, the 2024 Euro Notes and the 2027 Euro Notes, the “Euro Notes” and, together with the U.S. Dollar Notes, the “Notes”). In connection with the issuance of the Euro Notes, Finco entered into an indenture, dated as of June 23, 2020 (the “Euro Indenture” and, together with the U.S. Dollar Indenture, the “Indentures”), among Finco, as issuer, Newco, as guarantor, and Citibank, N.A., London Branch, as trustee, paying agent, transfer agent, and registrar (the “Euro Trustee”).</w:t>
      </w:r>
    </w:p>
    <w:p>
      <w:pPr>
        <w:spacing w:after="0" w:line="19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Euro Notes were issued in a private offering exempt from the registration requirements of the Securities Act to certain non-U.S. persons in transactions outside of the United States in reliance on Regulation S under the Securities Act.</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Notes were offered in connection with the previously announced proposed combination (the “Combination”) of Pfizer Inc.’s (“Pfizer”) global, primarily off-patent branded and generic established medicines business (the “Upjohn Business”) and Mylan N.V. (“Mylan”) pursuant to a Business Combination Agreement, dated as of July 29, 2019, among Pfizer, Newco, Mylan and certain of their affiliates, as amended on May 29, 2020 (and as may be further amended, restated or modified from time to time, the “Business Combination Agreement”). Prior to the Combination, pursuant to a Separation and Distribution Agreement, dated as of July 29, 2019, between Pfizer and Newco, as amended on February 18, 2020 and on May 29, 2020 (and as may be further amended, restated or modified from time to time, the “Separation and Distribution Agreement”), Pfizer will contribute the Upjohn Business to Newco, so that the Upjohn Business is separated from the remainder of Pfizer’s businesses (the “Separation”), and Pfizer will distribute to its stockholders all of the issued and outstanding shares of Newco’s common stock held by Pfizer (the “Distribution”). In connection with the Separation, and as partial consideration for Pfizer’s contribution of the Upjohn Business to Newco, Newco will make a cash payment of $12,000,000,000 to Pfizer (the “Cash Payment to Pfizer”). Newco intends to use the net proceeds from the offerings of the Notes, together with the net proceeds from other previously announced financing transactions, to fund in full the Cash Payment to Pfizer and related transaction fees and expenses. Newco intends to use any remaining balance of net proceeds from the offerings of the Notes for general corporate purposes. Pending application for the foregoing purposes, Newco intends to hold the net proceeds from the offerings of the Notes in cash and cash equivalents (which may include short-term investments).</w:t>
      </w:r>
    </w:p>
    <w:p>
      <w:pPr>
        <w:sectPr>
          <w:pgSz w:w="11900" w:h="16838" w:orient="portrait"/>
          <w:cols w:equalWidth="0" w:num="1">
            <w:col w:w="11000"/>
          </w:cols>
          <w:pgMar w:left="440" w:top="297" w:right="459" w:bottom="1440" w:gutter="0" w:footer="0" w:header="0"/>
        </w:sectPr>
      </w:pPr>
    </w:p>
    <w:bookmarkStart w:id="2" w:name="page3"/>
    <w:bookmarkEnd w:id="2"/>
    <w:p>
      <w:pPr>
        <w:ind w:left="4"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Upon completion of each offering of Notes, the commitments under Newco’s previously announced Bridge Loan Facility Commitment Letter dated as of July 29, 2019 were fully terminated.</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U.S. Dollar Indenture; Guarantees</w:t>
      </w:r>
    </w:p>
    <w:p>
      <w:pPr>
        <w:spacing w:after="0" w:line="117"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The U.S. Dollar Notes are senior unsecured obligations of Newco. The U.S. Dollar Notes are initially guaranteed on a senior unsecured basis by Pfizer pursuant to a guarantee agreement, dated as of June 22, 2020, in favor of the holders of the U.S. Dollar Notes and the U.S. Dollar Trustee. The guarantee by Pfizer will be automatically and unconditionally terminated and released without the consent of holders upon the consummation of the Distribution.</w:t>
      </w:r>
    </w:p>
    <w:p>
      <w:pPr>
        <w:spacing w:after="0" w:line="187"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Upon the consummation of the Combination, the Mylan entities (which will be subsidiaries of Newco following the Combination) that are issuers or guarantors of the outstanding senior unsecured notes issued by Mylan or Mylan Inc. (such notes, the “Mylan Notes” and, such issuers and guarantors, the “Mylan Guarantors”) will become guarantors of the U.S. Dollar Notes, substantially concurrently with Newco becoming a guarantor of the Mylan Notes. In addition, if, following the consummation of the Combination, a subsidiary of Newco becomes a guarantor or an obligor in respect of certain indebtedness, such subsidiary will guarantee the U.S. Dollar Notes on the terms and subject to the conditions set forth in the U.S. Dollar Indenture.</w:t>
      </w:r>
    </w:p>
    <w:p>
      <w:pPr>
        <w:spacing w:after="0" w:line="161"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The 2022 U.S. Dollar Notes bear interest at a rate of 1.125% per annum, accruing from June 22, 2020. The 2022 U.S. Dollar Notes will mature on June 22, 2022, subject to earlier repurchase or redemption in accordance with the terms of the U.S. Dollar Indenture. The 2025 U.S. Dollar Notes bear interest at a rate of 1.650% per annum, accruing from June 22, 2020. The 2025 U.S. Dollar Notes will mature on June 22, 2025, subject to earlier repurchase or redemption in accordance with the terms of the U.S. Dollar Indenture. The 2027 U.S. Dollar Notes bear interest at a rate of 2.300% per annum, accruing from June 22, 2020. The 2027 U.S. Dollar Notes will mature on June 22, 2027, subject to earlier repurchase or redemption in accordance with the terms of the U.S. Dollar Indenture. The 2030 U.S. Dollar Notes bear interest at a rate of 2.700% per annum, accruing from June 22, 2020. The 2030 U.S. Dollar Notes will mature on June 22, 2030, subject to earlier repurchase or redemption in accordance with the terms of the</w:t>
      </w:r>
    </w:p>
    <w:p>
      <w:pPr>
        <w:spacing w:after="0" w:line="2" w:lineRule="exact"/>
        <w:rPr>
          <w:sz w:val="20"/>
          <w:szCs w:val="20"/>
          <w:color w:val="auto"/>
        </w:rPr>
      </w:pPr>
    </w:p>
    <w:p>
      <w:pPr>
        <w:ind w:left="4" w:right="100"/>
        <w:spacing w:after="0" w:line="271" w:lineRule="auto"/>
        <w:rPr>
          <w:sz w:val="20"/>
          <w:szCs w:val="20"/>
          <w:color w:val="auto"/>
        </w:rPr>
      </w:pPr>
      <w:r>
        <w:rPr>
          <w:rFonts w:ascii="Arial" w:cs="Arial" w:eastAsia="Arial" w:hAnsi="Arial"/>
          <w:sz w:val="17"/>
          <w:szCs w:val="17"/>
          <w:color w:val="auto"/>
        </w:rPr>
        <w:t>U.S. Dollar Indenture. The 2040 U.S. Dollar Notes bear interest at a rate of 3.850% per annum, accruing from June 22, 2020. The 2040 U.S. Dollar Notes will mature on June 22, 2040, subject to earlier repurchase or redemption in accordance with the terms of the U.S. Dollar Indenture. The 2050 U.S. Dollar Notes bear interest at a rate of 4.000% per annum, accruing from June 22, 2020. The 2050 U.S. Dollar Notes will mature on June 22, 2050, subject to earlier repurchase or redemption in accordance with the terms of the U.S. Dollar Indenture. Interest on the U.S. Dollar Notes of each series will be payable semi-annually in arrears on June 22 and December 22, commencing on December 22, 2020.</w:t>
      </w:r>
    </w:p>
    <w:p>
      <w:pPr>
        <w:spacing w:after="0" w:line="178"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At any time and from time to time, Newco may redeem some or all of the 2022 U.S. Dollar Notes, upon not less than 10 nor more than 60 days’ prior written notice, at a price equal to the greater of (1) 100% of the aggregate principal amount of the 2022 U.S. Dollar Notes being redeemed, and</w:t>
      </w:r>
    </w:p>
    <w:p>
      <w:pPr>
        <w:ind w:left="4" w:hanging="4"/>
        <w:spacing w:after="0" w:line="267"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sum of the present values, as calculated by Newco, of the remaining scheduled payments of principal and interest on the 2022 U.S. Dollar Notes being redeemed, not including accrued and unpaid interest thereon, if any, to, but excluding, the redemption date, discounted to the redemption date on a semi-annual basis (assuming a 360-day year consisting of twelve 30-day months) at the Treasury Rate (as defined in the U.S. Dollar Indenture) plus 15 basis points, plus, in each case, accrued and unpaid interest thereon, if any, to, but excluding, the redemption date. At any time and from time to time prior to the date that is one month prior to their maturity date in the case of the 2025 U.S. Dollar Notes, the date that is two months prior to their maturity date in the case of the 2027 U.S. Dollar Notes, the date that is three months prior to their maturity date in the case of the 2030 U.S. Dollar Notes, the date that is six months prior to their maturity date in the case of the 2040 U.S. Dollar Notes and the date that is six months prior to their maturity date in the case of the 2050 U.S. Dollar Notes (each such date, an “Applicable U.S. Dollar Par Call Date”), Newco may redeem some or all of the U.S. Dollar Notes of the applicable series, upon not less than 10 nor more than 60 days’ prior written notice, at a price equal to the greater of (1) 100% of the aggregate principal amount of the U.S. Dollar Notes of such series being redeemed, and (2) the sum of the present values, as calculated by Newco, of the</w:t>
      </w:r>
    </w:p>
    <w:p>
      <w:pPr>
        <w:sectPr>
          <w:pgSz w:w="11900" w:h="16838" w:orient="portrait"/>
          <w:cols w:equalWidth="0" w:num="1">
            <w:col w:w="10984"/>
          </w:cols>
          <w:pgMar w:left="436" w:top="301" w:right="479" w:bottom="1440" w:gutter="0" w:footer="0" w:header="0"/>
        </w:sectPr>
      </w:pPr>
    </w:p>
    <w:bookmarkStart w:id="3" w:name="page4"/>
    <w:bookmarkEnd w:id="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remaining scheduled payments of principal and interest on the U.S. Dollar Notes of such series being redeemed that would be due if the U.S. Dollar Notes of such series matured on the Applicable U.S. Dollar Par Call Date, not including accrued and unpaid interest thereon, if any, to, but excluding, the redemption date, discounted to the redemption date on a semi-annual basis (assuming a 360-day year consisting of twelve 30-day months) at the Treasury Rate plus in the case of any 2025 U.S. Dollar Notes being redeemed, 25 basis points, in the case of any 2027 U.S. Dollar Notes being redeemed, 30 basis points, in the case of any 2030 U.S. Dollar Notes being redeemed, 30 basis points, in the case of any 2040 U.S. Dollar Notes being redeemed, 40 basis points, and in the case of any 2050 U.S. Dollar Notes being redeemed, 40 basis points, plus, in each case, accrued and unpaid interest thereon, if any, to, but excluding, the redemption date.</w:t>
      </w:r>
    </w:p>
    <w:p>
      <w:pPr>
        <w:spacing w:after="0" w:line="177"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If certain change of control events occur, Newco must offer to purchase each series of the U.S. Dollar Notes from holders at purchase prices equal to 101% of their respective principal amounts, plus accrued and unpaid interest thereon, if any, to, but excluding, the date of purchase.</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the Contribution, the Distribution and the Combination are not consummated on or before February 1, 2021, or if, prior to such date, Newco and Mylan notify the U.S. Dollar Trustee that (i) the Business Combination Agreement has terminated in accordance with its terms prior to the consummation of the Combination or (ii) the Combination will otherwise not be pursued, Newco must redeem each series of the U.S. Dollar Notes at redemption prices equal to 101% of their respective principal amounts, plus accrued and unpaid interest thereon, if any, to, but excluding, the special mandatory redemption date.</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U.S. Dollar Indenture contains covenants that, among other things, restrict Newco’s ability and the ability of certain of Newco’s subsidiaries to (1) enter into sale and leaseback transactions; (2) create liens; (3) from and after the consummation of the Combination with respect to such subsidiaries only, guarantee certain of Newco’s outstanding obligations without also guaranteeing the obligations of Newco under the U.S. Dollar Notes, fully and unconditionally and on a senior basis; and (4) with respect to Newco only, consolidate, merge or sell substantially all of Newco’s assets. The U.S. Dollar Indenture provides for customary events of default (subject in certain cases to customary grace and cure periods), which include nonpayment, breach of covenants, payment defaults or acceleration of other indebtedness, failure to pay certain judgments and certain events of bankruptcy and insolvency. These covenants and events of default are subject to a number of important qualifications, limitations and exceptions that are described in the U.S. Dollar Indenture. If an event of default with respect to the U.S. Dollar Notes of a series occurs under the U.S. Dollar Indenture, the principal amount of all of the U.S. Dollar Notes of such series then outstanding, plus accrued and unpaid interest, if any, to the date of acceleration, may become immediately due and payable.</w:t>
      </w:r>
    </w:p>
    <w:p>
      <w:pPr>
        <w:spacing w:after="0" w:line="18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Separation, the Distribution, the Combination, the Cash Payment to Pfizer and the other transactions contemplated by the Business Combination Agreement or the Separation and Distribution Agreement (collectively, the “RMT Transactions”) will be permitted under the U.S. Dollar Indenture and, except for a covenant limiting Newco’s use of the proceeds from the offering of the U.S. Dollar Notes prior to Pfizer contributing the Upjohn Business to Newco (the “Contribution”), the RMT Transactions will not be subject to any covenants contained in the U.S. Dollar Indenture. In addition, the covenants in the U.S. Dollar Indenture will not restrict the ability of the parties to the Business Combination Agreement, the Separation and Distribution Agreement and related ancillary agreements to materially amend or modify those agreements, or to materially change the terms of the RMT Transactions. Holders of U.S. Dollar Notes will have no rights under the special mandatory redemption provisions described above in the event of such amendments, modifications or changes, and will have no rights to consent to such amendments, modifications or changes.</w:t>
      </w:r>
    </w:p>
    <w:p>
      <w:pPr>
        <w:spacing w:after="0" w:line="16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complete terms of the U.S. Dollar Indenture, a copy of which is filed as Exhibit 4.1 hereto, and the U.S. Dollar Notes, the forms of which are contained in Exhibit 4.1, all of which are incorporated herein by reference.</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initial purchasers of the U.S. Dollar Notes have, from time to time, performed, are currently performing and may in the future perform, various financial advisory and commercial and investment banking services for Newco and to persons and entities with relationships with Newco, for which they received or will receive customary fees and expenses.</w:t>
      </w:r>
    </w:p>
    <w:p>
      <w:pPr>
        <w:sectPr>
          <w:pgSz w:w="11900" w:h="16838" w:orient="portrait"/>
          <w:cols w:equalWidth="0" w:num="1">
            <w:col w:w="11000"/>
          </w:cols>
          <w:pgMar w:left="440" w:top="301"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Euro Indenture; Guarantees</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Euro Notes are senior unsecured obligations of Finco. The Euro Notes are guaranteed on a senior unsecured basis by Newco pursuant to the Euro Indenture and are initially guaranteed on a senior unsecured basis by Pfizer pursuant to a guarantee agreement, dated as of June 23, 2020, in favor of the holders of the Euro Notes and the Euro Trustee. The guarantee by Pfizer will be automatically and unconditionally terminated and released without the consent of holders upon the consummation of the Distribution.</w:t>
      </w:r>
    </w:p>
    <w:p>
      <w:pPr>
        <w:spacing w:after="0" w:line="187"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Upon the consummation of the Combination, the Mylan Guarantors will become guarantors of the Euro Notes, substantially concurrently with Newco becoming a guarantor of the Mylan Notes. In addition, if, following the consummation of the Combination, a subsidiary of Newco becomes a guarantor or an obligor in respect of certain indebtedness, such subsidiary will guarantee the Euro Notes on the terms and subject to the conditions set forth in the Euro Indenture.</w:t>
      </w:r>
    </w:p>
    <w:p>
      <w:pPr>
        <w:spacing w:after="0" w:line="187" w:lineRule="exact"/>
        <w:rPr>
          <w:sz w:val="20"/>
          <w:szCs w:val="20"/>
          <w:color w:val="auto"/>
        </w:rPr>
      </w:pPr>
    </w:p>
    <w:p>
      <w:pPr>
        <w:ind w:right="340" w:firstLine="440"/>
        <w:spacing w:after="0" w:line="291" w:lineRule="auto"/>
        <w:rPr>
          <w:sz w:val="20"/>
          <w:szCs w:val="20"/>
          <w:color w:val="auto"/>
        </w:rPr>
      </w:pPr>
      <w:r>
        <w:rPr>
          <w:rFonts w:ascii="Arial" w:cs="Arial" w:eastAsia="Arial" w:hAnsi="Arial"/>
          <w:sz w:val="16"/>
          <w:szCs w:val="16"/>
          <w:color w:val="auto"/>
        </w:rPr>
        <w:t>The 2022 Euro Notes bear interest at a rate of 0.816% per annum, accruing from June 23, 2020. The 2022 Euro Notes will mature on June 23, 2022, subject to earlier repurchase or redemption in accordance with the terms of the Euro Indenture. The 2024 Euro Notes bear interest at a rate of</w:t>
      </w:r>
    </w:p>
    <w:p>
      <w:pPr>
        <w:spacing w:after="0" w:line="270" w:lineRule="auto"/>
        <w:rPr>
          <w:sz w:val="20"/>
          <w:szCs w:val="20"/>
          <w:color w:val="auto"/>
        </w:rPr>
      </w:pPr>
      <w:r>
        <w:rPr>
          <w:rFonts w:ascii="Arial" w:cs="Arial" w:eastAsia="Arial" w:hAnsi="Arial"/>
          <w:sz w:val="17"/>
          <w:szCs w:val="17"/>
          <w:color w:val="auto"/>
        </w:rPr>
        <w:t>1.023% per annum, accruing from June 23, 2020. The 2024 Euro Notes will mature on June 23, 2024, subject to earlier repurchase or redemption in accordance with the terms of the Euro Indenture. The 2027 Euro Notes bear interest at a rate of 1.362% per annum, accruing from June 23, 2020. The 2027 Euro Notes will mature on June 23, 2027, subject to earlier repurchase or redemption in accordance with the terms of the Euro Indenture. The 2032 Euro Notes bear interest at a rate of 1.908% per annum, accruing from June 23, 2020. The 2032 Euro Notes will mature on June 23, 2032, subject to earlier repurchase or redemption in accordance with the terms of the Euro Indenture. Interest on the Euro Notes of each series will be payable annually in arrears on June 23 of each year, commencing on June 23, 2021.</w:t>
      </w:r>
    </w:p>
    <w:p>
      <w:pPr>
        <w:spacing w:after="0" w:line="17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At any time and from time to time, Finco may redeem some or all of the 2022 Euro Notes, upon not less than 10 nor more than 60 days’ prior written notice, at a price equal to the greater of (1) 100% of the aggregate principal amount of the 2022 Euro Notes being redeemed, and (2) the sum of the present values, as calculated by Finco, of the remaining scheduled payments of principal and interest on the 2022 Euro Notes being redeemed, not including accrued and unpaid interest thereon, if any, to, but excluding, the redemption date, discounted to the redemption date on an annual basis (ACTUAL/ACTUAL (ICMA) as defined in the rulebook of the International Capital Market Association), at the Bund Rate (as defined in the Euro Indenture) plus 25 basis points, plus, in each case, accrued and unpaid interest thereon, if any, to, but excluding, the redemption date. At any time and from time to time prior to the date that is one month prior to their maturity date in the case of the 2024 Euro Notes, the date that is two months prior to their maturity date in the case of the 2027 Euro Notes, and the date that is three months prior to their maturity date in the case of the 2032 Euro Notes (each such date, an “Applicable Euro Par Call Date”), Finco may redeem some or all of the Euro Notes of the applicable series, upon not less than 10 nor more than 60 days’ prior written notice, at a price equal to the greater of (1) 100% of the aggregate principal amount of the Euro Notes of such series being redeemed, and (2) the sum of the present values, as calculated by Finco, of the remaining scheduled payments of principal and interest on the Euro Notes of such series being redeemed that would be due if the Euro Notes of such series matured on the Applicable Euro Par Call Date, not including accrued and unpaid interest thereon, if any, to, but excluding, the redemption date, discounted to the redemption date on an annual basis (ACTUAL/ACTUAL (ICMA) as defined in the rulebook of the International Capital Market Association), at the applicable Bund Rate plus in the case of any 2024 Euro Notes being redeemed, 25 basis points, in the case of any 2027 Euro Notes being redeemed, 30 basis points, and in the case of any 2032 Euro Notes being redeemed, 35 basis points, plus, in each case, accrued and unpaid interest thereon, if any, to, but excluding, the redemption date.</w:t>
      </w:r>
    </w:p>
    <w:p>
      <w:pPr>
        <w:spacing w:after="0" w:line="176"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If certain change of control events occur, Newco or Finco must offer to purchase each series of the Euro Notes from holders at purchase prices equal to 101% of their respective principal amounts, plus accrued and unpaid interest thereon, if any, to, but excluding, the date of purchase.</w:t>
      </w:r>
    </w:p>
    <w:p>
      <w:pPr>
        <w:spacing w:after="0" w:line="12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If the Contribution, the Distribution and the Combination are not consummated on or before February 1, 2021, or if, prior to such date, Newco and Mylan notify the Euro Trustee that (i) the Business Combination Agreement has terminated in accordance with its terms prior to the consummation of the Combination or (ii) the Combination will otherwise not be pursued, Finco must redeem each series of the Euro Notes at redemption prices equal to 101% of their respective principal amounts, plus accrued and unpaid interest thereon, if any, to, but excluding, the special mandatory redemption date.</w:t>
      </w:r>
    </w:p>
    <w:p>
      <w:pPr>
        <w:sectPr>
          <w:pgSz w:w="11900" w:h="16838" w:orient="portrait"/>
          <w:cols w:equalWidth="0" w:num="1">
            <w:col w:w="11000"/>
          </w:cols>
          <w:pgMar w:left="440" w:top="301" w:right="45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Euro Indenture contains covenants that, among other things, restrict Newco’s ability and the ability of certain of Newco’s subsidiaries to</w:t>
      </w:r>
    </w:p>
    <w:p>
      <w:pPr>
        <w:spacing w:after="0" w:line="35" w:lineRule="exact"/>
        <w:rPr>
          <w:sz w:val="20"/>
          <w:szCs w:val="20"/>
          <w:color w:val="auto"/>
        </w:rPr>
      </w:pPr>
    </w:p>
    <w:p>
      <w:pPr>
        <w:ind w:left="4" w:right="80" w:hanging="4"/>
        <w:spacing w:after="0" w:line="286"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enter into sale and leaseback transactions; (2) create liens; (3) from and after the consummation of the Combination with respect to such subsidiaries only, guarantee certain of Newco’s outstanding obligations without also guaranteeing the obligations of Finco under the Euro Notes, fully and unconditionally and on a senior basis; and (4) with respect to Newco and Finco only, consolidate, merge or sell substantially all of Newco’s assets. The Euro Indenture also contains a covenant prohibiting Finco from acquiring material assets, subject to certain exceptions. The Euro Indenture provides for customary events of default (subject in certain cases to customary grace and cure periods), which include nonpayment, breach of covenants, payment defaults or acceleration of other indebtedness, failure to pay certain judgments and certain events of bankruptcy and insolvency. These covenants and events of default are subject to a number of important qualifications, limitations and exceptions that are described in the Euro Indenture. If an event of default with respect to the Euro Notes of a series occurs under the Euro Indenture, the principal amount of all of the Euro Notes of such series then outstanding, plus accrued and unpaid interest, if any, to the date of acceleration, may become immediately due and payable.</w:t>
      </w:r>
    </w:p>
    <w:p>
      <w:pPr>
        <w:spacing w:after="0" w:line="172" w:lineRule="exact"/>
        <w:rPr>
          <w:sz w:val="20"/>
          <w:szCs w:val="20"/>
          <w:color w:val="auto"/>
        </w:rPr>
      </w:pPr>
    </w:p>
    <w:p>
      <w:pPr>
        <w:ind w:left="4" w:right="260" w:firstLine="440"/>
        <w:spacing w:after="0" w:line="293" w:lineRule="auto"/>
        <w:rPr>
          <w:sz w:val="20"/>
          <w:szCs w:val="20"/>
          <w:color w:val="auto"/>
        </w:rPr>
      </w:pPr>
      <w:r>
        <w:rPr>
          <w:rFonts w:ascii="Arial" w:cs="Arial" w:eastAsia="Arial" w:hAnsi="Arial"/>
          <w:sz w:val="16"/>
          <w:szCs w:val="16"/>
          <w:color w:val="auto"/>
        </w:rPr>
        <w:t>The RMT Transactions will be permitted under the Euro Indenture and, except for a covenant limiting Newco’s and Finco’s use of the proceeds from the offering of the Euro Notes prior to the Contribution, the RMT Transactions will not be subject to any covenants contained in the Euro Indenture. In addition, the covenants in the Euro Indenture will not restrict the ability of the parties to the Business Combination Agreement, the Separation and Distribution Agreement and related ancillary agreements to materially amend or modify those agreements, or to materially change the terms of the RMT Transactions. Holders of Euro Notes will have no rights under the special mandatory redemption provisions described above in the event of such amendments, modifications or changes, and will have no rights to consent to such amendments, modifications or changes.</w:t>
      </w:r>
    </w:p>
    <w:p>
      <w:pPr>
        <w:spacing w:after="0" w:line="164"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complete terms of the Euro Indenture, a copy of which is filed as Exhibit 4.9 hereto, and the Euro Notes, the forms of which are contained in Exhibit 4.9, all of which are incorporated herein by reference.</w:t>
      </w:r>
    </w:p>
    <w:p>
      <w:pPr>
        <w:spacing w:after="0" w:line="184"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The initial purchasers of the Euro Notes have, from time to time, performed, are currently performing and may in the future perform, various financial advisory and commercial and investment banking services for Newco or Finco and to persons and entities with relationships with Newco or Finco, for which they received or will receive customary fees and expenses.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In connection with the offering of the U.S. Dollar Notes, Newco entered into the Registration Rights Agreement pursuant to which Newco will use commercially reasonable efforts (1) to file a registration statement (the “Exchange Offer Registration Statement”) with respect to an offer to exchange each series of U.S. Dollar Notes (each, an “Exchange Offer”) for new notes with the same aggregate principal amount and terms substantially identical in all material respects to the applicable series of U.S. Dollar Notes (except for the provisions relating to the transfer restrictions, Pfizer guarantee, special mandatory redemption and payment of additional interest); (2) to cause the Exchange Offer Registration Statement to be declared effective by the Securities and Exchange Commission (the “SEC”) under the Securities Act; and (3) to consummate the Exchange Offer not later than 365 days after the consummation of the Combination (the “Exchange Date”).</w:t>
      </w:r>
    </w:p>
    <w:p>
      <w:pPr>
        <w:spacing w:after="0" w:line="177"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If Newco determines that the Exchange Offer would violate any applicable law or applicable interpretations of the SEC or upon receipt of a written request (a “Shelf Request”) from any initial purchaser representing that it holds U.S. Dollar Notes that are or were ineligible to be exchanged in the Exchange Offer, Newco will use commercially reasonable efforts to (1) file a shelf registration statement covering resales of the U.S. Dollar Notes;</w:t>
      </w:r>
    </w:p>
    <w:p>
      <w:pPr>
        <w:spacing w:after="0" w:line="2" w:lineRule="exact"/>
        <w:rPr>
          <w:sz w:val="20"/>
          <w:szCs w:val="20"/>
          <w:color w:val="auto"/>
        </w:rPr>
      </w:pPr>
    </w:p>
    <w:p>
      <w:pPr>
        <w:ind w:left="4" w:right="40" w:hanging="4"/>
        <w:spacing w:after="0" w:line="273" w:lineRule="auto"/>
        <w:tabs>
          <w:tab w:leader="none" w:pos="259" w:val="left"/>
        </w:tabs>
        <w:numPr>
          <w:ilvl w:val="0"/>
          <w:numId w:val="5"/>
        </w:numPr>
        <w:rPr>
          <w:rFonts w:ascii="Arial" w:cs="Arial" w:eastAsia="Arial" w:hAnsi="Arial"/>
          <w:sz w:val="17"/>
          <w:szCs w:val="17"/>
          <w:color w:val="auto"/>
        </w:rPr>
      </w:pPr>
      <w:r>
        <w:rPr>
          <w:rFonts w:ascii="Arial" w:cs="Arial" w:eastAsia="Arial" w:hAnsi="Arial"/>
          <w:sz w:val="17"/>
          <w:szCs w:val="17"/>
          <w:color w:val="auto"/>
        </w:rPr>
        <w:t>cause such shelf registration statement to become effective under the Securities Act; and (3) keep the shelf registration statement effective until the earliest of the date (i) when a registration statement with respect to such U.S. Dollar Notes has become effective under the Securities Act and such U.S. Dollar Notes have been exchanged or disposed of pursuant to such registration statement, (ii) when such U.S. Dollar Notes cease to be outstanding, (iii) except in the case of U.S. Dollar Notes that are held by an initial purchaser and that are ineligible to be exchanged in</w:t>
      </w:r>
    </w:p>
    <w:p>
      <w:pPr>
        <w:sectPr>
          <w:pgSz w:w="11900" w:h="16838" w:orient="portrait"/>
          <w:cols w:equalWidth="0" w:num="1">
            <w:col w:w="11024"/>
          </w:cols>
          <w:pgMar w:left="436" w:top="301" w:right="439" w:bottom="1440" w:gutter="0" w:footer="0" w:header="0"/>
        </w:sectPr>
      </w:pPr>
    </w:p>
    <w:bookmarkStart w:id="6" w:name="page7"/>
    <w:bookmarkEnd w:id="6"/>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Exchange Offer, when the Exchange Offer is consummated, (iv) when such U.S. Dollar Notes are freely tradeable, without restriction, under federal or state securities laws, (v) that is one year after the consummation of the Combination and (vi) when holders of the U.S. Dollar Notes, other than holders that are “affiliates” (as defined in Rule 144 promulgated under the Securities Act (“Rule 144”)) of Newco, are able to sell such U.S. Dollar Notes without restriction, and without reliance as to the availability of current public information, pursuant to Rule 144 (such date, the “Registration Rights Expiration Date”).</w:t>
      </w:r>
    </w:p>
    <w:p>
      <w:pPr>
        <w:spacing w:after="0" w:line="188" w:lineRule="exact"/>
        <w:rPr>
          <w:sz w:val="20"/>
          <w:szCs w:val="20"/>
          <w:color w:val="auto"/>
        </w:rPr>
      </w:pPr>
    </w:p>
    <w:p>
      <w:pPr>
        <w:jc w:val="both"/>
        <w:ind w:left="4" w:right="200" w:firstLine="440"/>
        <w:spacing w:after="0" w:line="287" w:lineRule="auto"/>
        <w:rPr>
          <w:sz w:val="20"/>
          <w:szCs w:val="20"/>
          <w:color w:val="auto"/>
        </w:rPr>
      </w:pPr>
      <w:r>
        <w:rPr>
          <w:rFonts w:ascii="Arial" w:cs="Arial" w:eastAsia="Arial" w:hAnsi="Arial"/>
          <w:sz w:val="16"/>
          <w:szCs w:val="16"/>
          <w:color w:val="auto"/>
        </w:rPr>
        <w:t>As to any series of U.S. Dollar Notes, if (1) the Exchange Offer, with respect to such series of U.S. Dollar Notes, is not completed on or prior to the Exchange Date, (2) the shelf registration statement with respect to such series of U.S. Dollar Notes, if required because Newco determines that the Exchange Offer would violate any applicable law or applicable interpretations of the SEC, has not become effective on or prior to the Exchange Date,</w:t>
      </w:r>
    </w:p>
    <w:p>
      <w:pPr>
        <w:spacing w:after="0" w:line="2" w:lineRule="exact"/>
        <w:rPr>
          <w:sz w:val="20"/>
          <w:szCs w:val="20"/>
          <w:color w:val="auto"/>
        </w:rPr>
      </w:pPr>
    </w:p>
    <w:p>
      <w:pPr>
        <w:ind w:left="4" w:right="60" w:hanging="4"/>
        <w:spacing w:after="0" w:line="251"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Newco receives a Shelf Request and the shelf registration statement required to be filed thereby has not become effective by the later of (a) the Exchange Date and (b) 90 days after delivery of such Shelf Request or (4) the shelf registration statement, if required by the Registration Rights Agreement, has become effective and thereafter ceases to be effective or the prospectus contained therein ceases to be usable, in each case whether or not permitted by the Registration Rights Agreement, at any time prior to the Registration Rights Expiration Date, and such failure to remain effective or usable exists for more than 180 days (whether or not consecutive) in any 12-month period, each such event referred to in clauses (1) through (4), a “Registration Default,” then, subject to certain exceptions, the interest rate on the U.S. Dollar Notes of such series will be increased by (i) 0.25% per annum for the first 90-day period beginning on the day immediately following such Registration Default and (ii) an additional 0.25% per annum with respect to each subsequent 90-day period, in each case until and including the date such Registration Default ends, up to a maximum increase of 0.50% per annum.</w:t>
      </w:r>
    </w:p>
    <w:p>
      <w:pPr>
        <w:spacing w:after="0" w:line="197"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complete terms of the Registration Rights Agreement, a copy of which is filed herewith as Exhibit 4.8 and is incorporated by reference herein.</w:t>
      </w:r>
    </w:p>
    <w:p>
      <w:pPr>
        <w:spacing w:after="0" w:line="27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information set forth in Item 1.01 of this Current Report on Form 8-K with respect to the Indentures is incorporated by reference into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financing transactions (including statements regarding the use of proceeds therefrom), the proposed combination of Newco and Mylan, which will immediately follow the proposed separation of the Upjohn Business from Pfizer (the “proposed combination”), the expected timetable for completing the proposed combination, the benefits and synergies of the proposed combination,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ongoing challenges and uncertainties posed by the COVID-19 pandemic for businesses and governments around the world; the parties’ ability to meet expectations regarding the timing, completion and accounting and tax treatments of the proposed combination; changes in relevant tax and other laws; the parties’ ability to consummate the proposed combination; the conditions to the completion of the proposed combination, including receipt of approval of Mylan’s shareholders, not being satisfied or waived on the anticipated timeframe or at all; the regulatory approvals required for the proposed combination not being obtained on the terms expected or on the anticipated schedule or at all; inherent uncertainties involved in the estimates and judgments used in the preparation of financial statements</w:t>
      </w:r>
    </w:p>
    <w:p>
      <w:pPr>
        <w:sectPr>
          <w:pgSz w:w="11900" w:h="16838" w:orient="portrait"/>
          <w:cols w:equalWidth="0" w:num="1">
            <w:col w:w="11004"/>
          </w:cols>
          <w:pgMar w:left="436" w:top="301" w:right="459" w:bottom="1440" w:gutter="0" w:footer="0" w:header="0"/>
        </w:sectPr>
      </w:pPr>
    </w:p>
    <w:bookmarkStart w:id="7" w:name="page8"/>
    <w:bookmarkEnd w:id="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and the providing of estimates of financial measures, in accordance with U.S. GAAP and related standards, or on an adjusted basis; the integration of Mylan and Newco being more difficult, time-consuming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proposed combination within the expected time frames or at all or to successfully integrate Mylan and Newco; customer loss and business disruption being greater than expected following the proposed combination; the retention of key employees being more difficult following the proposed combination;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 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Newco’s and Mylan’s Annual Reports on Form 10-K, Quarterly Reports on Form 10-Q and other filings with the Securities and Exchange Commission (“SEC”). These risks, as well as other risks associated with Mylan, the Upjohn Business, the combined company and the proposed combination are also more fully discussed in the Registration Statement on Form S-4, as amended, which includes a proxy statement/prospectus (as amended, the “Form S-4”), which was filed by Newco with the SEC on October 25, 2019 and declared effective by the SEC on February 13, 2020, the Registration Statement on Form 10, which includes an information statement (the “Form 10”), which was filed by Newco with the SEC on June 12, 2020 and has not yet been declared effective, a definitive proxy statement, which was filed by Mylan with the SEC on February 13, 2020 (the “Proxy Statement”), and the prospectus, which was filed by Newco with the SEC on February 13, 2020 (the “Prospectus”). You can access Pfizer’s, Mylan’s and Newco’s filings with the SEC through the SEC website at www.sec.gov, and Pfizer and Mylan strongly encourage you to do so. Except as required by applicable law, Pfizer, Mylan and Newco undertake no obligation to update any statements herein for revisions or changes after this communication is made.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in the proposed combination except by means of a prospectus meeting the requirements of Section 10 of the Securities Act of 1933, as amended. In connection with the proposed combination, Newco and Mylan have filed certain materials with the SEC, including, among other materials, the Form S-4, Form 10 and Prospectus filed by Newco and the Proxy Statement filed by Mylan. The Form S-4 was declared effective on February 13, 2020 and the Proxy Statement and the Prospectus were first mailed to shareholders of Mylan on or about February 14, 2020 to seek approval of the proposed combination. The Form 10 has not yet become effective. After the Form 10 is effective, a definitive information statement will be made available to Pfizer stockholders relating to the proposed combination. Newco and Mylan intend to file additional relevant materials with the SEC in connection with the proposed combination. INVESTORS AND SECURITY HOLDERS ARE URGED TO READ DOCUMENTS FILED WITH THE SEC CAREFULLY AND IN THEIR ENTIRETY BECAUSE THEY WILL CONTAIN IMPORTANT INFORMATION ABOUT MYLAN, NEWCO,</w:t>
      </w:r>
    </w:p>
    <w:p>
      <w:pPr>
        <w:sectPr>
          <w:pgSz w:w="11900" w:h="16838" w:orient="portrait"/>
          <w:cols w:equalWidth="0" w:num="1">
            <w:col w:w="11000"/>
          </w:cols>
          <w:pgMar w:left="440" w:top="301" w:right="459" w:bottom="1440" w:gutter="0" w:footer="0" w:header="0"/>
        </w:sectPr>
      </w:pPr>
    </w:p>
    <w:bookmarkStart w:id="8" w:name="page9"/>
    <w:bookmarkEnd w:id="8"/>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AND THE PROPOSED COMBINATION. The documents relating to the proposed combination (when they are available) can be obtained free of charge from the SEC’s website at www.sec.gov. These documents (when they are available) can also be obtained free of charge from Mylan, upon written request to Mylan or by contacting Mylan at (724) 514-1813 or investor.relations@mylan.com or from Pfizer on Pfizer’s internet website at https://investors.Pfizer.com/financials/sec-filings/default.aspx or by contacting Pfizer’s Investor Relations Department at (212) 733-2323, as applicable.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Newco and certain of their respective directors and executive officers may be deemed to be participants in the solicitation of proxies in connection with the proposed combination under the rules of the SEC. Information about the directors and executive officers of Newco following the completion of the proposed combination may be found in the Form 10,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the proxy statement filed with the SEC on April 7, 2020. Information about the directors and executive officers of Mylan may be found in its Annual Report on Form 10-K filed with the SEC on February 28, 2020, as amended on April 29, 2020, and its definitive proxy statement relating to its 2020 Annual General Meeting filed with the SEC on June 8, 2020. Additional information regarding the interests of these participants can also be found in the Form S-4, the Proxy Statement and the Prospectus. These documents can be obtained free of charge from the sources indicated above.</w:t>
      </w:r>
    </w:p>
    <w:p>
      <w:pPr>
        <w:sectPr>
          <w:pgSz w:w="11900" w:h="16838" w:orient="portrait"/>
          <w:cols w:equalWidth="0" w:num="1">
            <w:col w:w="11020"/>
          </w:cols>
          <w:pgMar w:left="440" w:top="301" w:right="439" w:bottom="1440" w:gutter="0" w:footer="0" w:header="0"/>
        </w:sectPr>
      </w:pPr>
    </w:p>
    <w:bookmarkStart w:id="9" w:name="page10"/>
    <w:bookmarkEnd w:id="9"/>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 w:right="220" w:firstLine="440"/>
        <w:spacing w:after="0" w:line="291" w:lineRule="auto"/>
        <w:rPr>
          <w:sz w:val="20"/>
          <w:szCs w:val="20"/>
          <w:color w:val="auto"/>
        </w:rPr>
      </w:pPr>
      <w:r>
        <w:rPr>
          <w:rFonts w:ascii="Arial" w:cs="Arial" w:eastAsia="Arial" w:hAnsi="Arial"/>
          <w:sz w:val="16"/>
          <w:szCs w:val="16"/>
          <w:color w:val="auto"/>
        </w:rPr>
        <w:t>To the extent that the Indentures and the Registration Rights Agreement included or incorporated by reference as exhibits to this Current Report on Form 8-K contain representations and warranties by Newco or Finco, those representations and warranties were made solely for the benefit of the other parties to the applicable Indenture or the Registration Rights Agreement and (i) were not intended to be treated as categorical statements of fact, but rather as a way of allocating the risk to Newco or Finco if those statements prove to be inaccurate; (ii) may have been qualified in the applicable Indenture or the Registration Rights Agreement by disclosures that were made to the other parties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applicable agreement.</w:t>
      </w:r>
    </w:p>
    <w:p>
      <w:pPr>
        <w:spacing w:after="0" w:line="166"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disclosures of material information regarding material contractual provisions are required to make the statements in this Current Report on Form 8-K not misleading.</w:t>
      </w:r>
    </w:p>
    <w:p>
      <w:pPr>
        <w:spacing w:after="0" w:line="163" w:lineRule="exact"/>
        <w:rPr>
          <w:sz w:val="20"/>
          <w:szCs w:val="20"/>
          <w:color w:val="auto"/>
        </w:rPr>
      </w:pPr>
    </w:p>
    <w:tbl>
      <w:tblPr>
        <w:tblLayout w:type="fixed"/>
        <w:tblInd w:w="24"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100" w:type="dxa"/>
            <w:vAlign w:val="bottom"/>
          </w:tcPr>
          <w:p>
            <w:pPr>
              <w:ind w:left="40"/>
              <w:spacing w:after="0"/>
              <w:rPr>
                <w:sz w:val="20"/>
                <w:szCs w:val="20"/>
                <w:color w:val="auto"/>
              </w:rPr>
            </w:pPr>
            <w:r>
              <w:rPr>
                <w:rFonts w:ascii="Arial" w:cs="Arial" w:eastAsia="Arial" w:hAnsi="Arial"/>
                <w:sz w:val="18"/>
                <w:szCs w:val="18"/>
                <w:color w:val="auto"/>
              </w:rPr>
              <w:t>4.1</w:t>
            </w:r>
          </w:p>
        </w:tc>
        <w:tc>
          <w:tcPr>
            <w:tcW w:w="9900" w:type="dxa"/>
            <w:vAlign w:val="bottom"/>
            <w:gridSpan w:val="5"/>
          </w:tcPr>
          <w:p>
            <w:pPr>
              <w:spacing w:after="0"/>
              <w:rPr>
                <w:rFonts w:ascii="Arial" w:cs="Arial" w:eastAsia="Arial" w:hAnsi="Arial"/>
                <w:sz w:val="18"/>
                <w:szCs w:val="18"/>
                <w:color w:val="0000EE"/>
              </w:rPr>
            </w:pPr>
            <w:hyperlink w:anchor="page12">
              <w:r>
                <w:rPr>
                  <w:rFonts w:ascii="Arial" w:cs="Arial" w:eastAsia="Arial" w:hAnsi="Arial"/>
                  <w:sz w:val="18"/>
                  <w:szCs w:val="18"/>
                  <w:u w:val="single" w:color="auto"/>
                  <w:color w:val="0000EE"/>
                </w:rPr>
                <w:t>Indenture, dated as of June 22, 2020, between Upjohn Inc., as issuer, and The Bank of New York Mellon, as trustee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4.2</w:t>
            </w:r>
          </w:p>
        </w:tc>
        <w:tc>
          <w:tcPr>
            <w:tcW w:w="9900" w:type="dxa"/>
            <w:vAlign w:val="bottom"/>
            <w:gridSpan w:val="5"/>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Form of 1.125% U.S. Dollar Note due 2022 (included in Exhibit 4.1).</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4.3</w:t>
            </w:r>
          </w:p>
        </w:tc>
        <w:tc>
          <w:tcPr>
            <w:tcW w:w="9900" w:type="dxa"/>
            <w:vAlign w:val="bottom"/>
            <w:gridSpan w:val="5"/>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Form of 1.650% U.S. Dollar Note due 2025 (included in Exhibit 4.1).</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4.4</w:t>
            </w:r>
          </w:p>
        </w:tc>
        <w:tc>
          <w:tcPr>
            <w:tcW w:w="9900" w:type="dxa"/>
            <w:vAlign w:val="bottom"/>
            <w:gridSpan w:val="5"/>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Form of 2.300% U.S. Dollar Note due 2027 (included in Exhibit 4.1).</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4.5</w:t>
            </w:r>
          </w:p>
        </w:tc>
        <w:tc>
          <w:tcPr>
            <w:tcW w:w="9900" w:type="dxa"/>
            <w:vAlign w:val="bottom"/>
            <w:gridSpan w:val="5"/>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Form of 2.700% U.S. Dollar Note due 2030 (included in Exhibit 4.1).</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4.6</w:t>
            </w:r>
          </w:p>
        </w:tc>
        <w:tc>
          <w:tcPr>
            <w:tcW w:w="9900" w:type="dxa"/>
            <w:vAlign w:val="bottom"/>
            <w:gridSpan w:val="5"/>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Form of 3.850% U.S. Dollar Note due 2040 (included in Exhibit 4.1).</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4.7</w:t>
            </w:r>
          </w:p>
        </w:tc>
        <w:tc>
          <w:tcPr>
            <w:tcW w:w="9900" w:type="dxa"/>
            <w:vAlign w:val="bottom"/>
            <w:gridSpan w:val="5"/>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Form of 4.000% U.S. Dollar Note due 2050 (included in Exhibit 4.1).</w:t>
              </w:r>
            </w:hyperlink>
          </w:p>
        </w:tc>
        <w:tc>
          <w:tcPr>
            <w:tcW w:w="0" w:type="dxa"/>
            <w:vAlign w:val="bottom"/>
          </w:tcPr>
          <w:p>
            <w:pPr>
              <w:spacing w:after="0"/>
              <w:rPr>
                <w:sz w:val="1"/>
                <w:szCs w:val="1"/>
                <w:color w:val="auto"/>
              </w:rPr>
            </w:pPr>
          </w:p>
        </w:tc>
      </w:tr>
      <w:tr>
        <w:trPr>
          <w:trHeight w:val="283"/>
        </w:trPr>
        <w:tc>
          <w:tcPr>
            <w:tcW w:w="1100" w:type="dxa"/>
            <w:vAlign w:val="bottom"/>
          </w:tcPr>
          <w:p>
            <w:pPr>
              <w:ind w:left="40"/>
              <w:spacing w:after="0"/>
              <w:rPr>
                <w:sz w:val="20"/>
                <w:szCs w:val="20"/>
                <w:color w:val="auto"/>
              </w:rPr>
            </w:pPr>
            <w:r>
              <w:rPr>
                <w:rFonts w:ascii="Arial" w:cs="Arial" w:eastAsia="Arial" w:hAnsi="Arial"/>
                <w:sz w:val="18"/>
                <w:szCs w:val="18"/>
                <w:color w:val="auto"/>
              </w:rPr>
              <w:t>4.8</w:t>
            </w:r>
          </w:p>
        </w:tc>
        <w:tc>
          <w:tcPr>
            <w:tcW w:w="9900" w:type="dxa"/>
            <w:vAlign w:val="bottom"/>
            <w:gridSpan w:val="5"/>
          </w:tcPr>
          <w:p>
            <w:pPr>
              <w:spacing w:after="0"/>
              <w:rPr>
                <w:rFonts w:ascii="Arial" w:cs="Arial" w:eastAsia="Arial" w:hAnsi="Arial"/>
                <w:sz w:val="18"/>
                <w:szCs w:val="18"/>
                <w:color w:val="0000EE"/>
                <w:w w:val="98"/>
              </w:rPr>
            </w:pPr>
            <w:hyperlink w:anchor="page176">
              <w:r>
                <w:rPr>
                  <w:rFonts w:ascii="Arial" w:cs="Arial" w:eastAsia="Arial" w:hAnsi="Arial"/>
                  <w:sz w:val="18"/>
                  <w:szCs w:val="18"/>
                  <w:color w:val="0000EE"/>
                  <w:w w:val="98"/>
                </w:rPr>
                <w:t>Registration Rights Agreement, dated as of June 22, 2020, by and between Upjohn Inc. and Goldman Sachs &amp; Co. LLC, BofA</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76">
              <w:r>
                <w:rPr>
                  <w:rFonts w:ascii="Arial" w:cs="Arial" w:eastAsia="Arial" w:hAnsi="Arial"/>
                  <w:sz w:val="18"/>
                  <w:szCs w:val="18"/>
                  <w:color w:val="0000EE"/>
                  <w:w w:val="91"/>
                </w:rPr>
                <w:t>Securities, Inc., Citigroup Global Markets Inc., Morgan Stanley and Co. LLC, and Mizuho Securities USA LLC, as representatives of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5"/>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several initial purchasers of the U.S. Dollar Notes.</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40"/>
              <w:spacing w:after="0"/>
              <w:rPr>
                <w:sz w:val="20"/>
                <w:szCs w:val="20"/>
                <w:color w:val="auto"/>
              </w:rPr>
            </w:pPr>
            <w:r>
              <w:rPr>
                <w:rFonts w:ascii="Arial" w:cs="Arial" w:eastAsia="Arial" w:hAnsi="Arial"/>
                <w:sz w:val="18"/>
                <w:szCs w:val="18"/>
                <w:color w:val="auto"/>
              </w:rPr>
              <w:t>4.9</w:t>
            </w:r>
          </w:p>
        </w:tc>
        <w:tc>
          <w:tcPr>
            <w:tcW w:w="9900" w:type="dxa"/>
            <w:vAlign w:val="bottom"/>
            <w:gridSpan w:val="5"/>
          </w:tcPr>
          <w:p>
            <w:pPr>
              <w:spacing w:after="0"/>
              <w:rPr>
                <w:rFonts w:ascii="Arial" w:cs="Arial" w:eastAsia="Arial" w:hAnsi="Arial"/>
                <w:sz w:val="18"/>
                <w:szCs w:val="18"/>
                <w:color w:val="0000EE"/>
                <w:w w:val="94"/>
              </w:rPr>
            </w:pPr>
            <w:hyperlink w:anchor="page203">
              <w:r>
                <w:rPr>
                  <w:rFonts w:ascii="Arial" w:cs="Arial" w:eastAsia="Arial" w:hAnsi="Arial"/>
                  <w:sz w:val="18"/>
                  <w:szCs w:val="18"/>
                  <w:color w:val="0000EE"/>
                  <w:w w:val="94"/>
                </w:rPr>
                <w:t>Indenture, dated as of June 23, 2020, among Upjohn Finance B.V., as issuer, Upjohn Inc., as guarantor, and Citibank, N.A., London</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03">
              <w:r>
                <w:rPr>
                  <w:rFonts w:ascii="Arial" w:cs="Arial" w:eastAsia="Arial" w:hAnsi="Arial"/>
                  <w:sz w:val="18"/>
                  <w:szCs w:val="18"/>
                  <w:color w:val="0000EE"/>
                  <w:w w:val="88"/>
                </w:rPr>
                <w:t>Branch, as trustee, transfer agent, paying agent and registrar.</w:t>
              </w:r>
            </w:hyperlink>
          </w:p>
        </w:tc>
        <w:tc>
          <w:tcPr>
            <w:tcW w:w="5100" w:type="dxa"/>
            <w:vAlign w:val="bottom"/>
            <w:tcBorders>
              <w:top w:val="single" w:sz="8" w:color="0000EE"/>
            </w:tcBorders>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00" w:type="dxa"/>
            <w:vAlign w:val="bottom"/>
          </w:tcPr>
          <w:p>
            <w:pPr>
              <w:ind w:left="40"/>
              <w:spacing w:after="0"/>
              <w:rPr>
                <w:sz w:val="20"/>
                <w:szCs w:val="20"/>
                <w:color w:val="auto"/>
              </w:rPr>
            </w:pPr>
            <w:r>
              <w:rPr>
                <w:rFonts w:ascii="Arial" w:cs="Arial" w:eastAsia="Arial" w:hAnsi="Arial"/>
                <w:sz w:val="18"/>
                <w:szCs w:val="18"/>
                <w:color w:val="auto"/>
              </w:rPr>
              <w:t>4.10</w:t>
            </w:r>
          </w:p>
        </w:tc>
        <w:tc>
          <w:tcPr>
            <w:tcW w:w="9900" w:type="dxa"/>
            <w:vAlign w:val="bottom"/>
            <w:gridSpan w:val="5"/>
          </w:tcPr>
          <w:p>
            <w:pPr>
              <w:spacing w:after="0"/>
              <w:rPr>
                <w:rFonts w:ascii="Arial" w:cs="Arial" w:eastAsia="Arial" w:hAnsi="Arial"/>
                <w:sz w:val="18"/>
                <w:szCs w:val="18"/>
                <w:color w:val="0000EE"/>
              </w:rPr>
            </w:pPr>
            <w:hyperlink w:anchor="page203">
              <w:r>
                <w:rPr>
                  <w:rFonts w:ascii="Arial" w:cs="Arial" w:eastAsia="Arial" w:hAnsi="Arial"/>
                  <w:sz w:val="18"/>
                  <w:szCs w:val="18"/>
                  <w:u w:val="single" w:color="auto"/>
                  <w:color w:val="0000EE"/>
                </w:rPr>
                <w:t>Form of 0.816% Euro Note due 2022 (included in Exhibit 4.9)</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4.11</w:t>
            </w:r>
          </w:p>
        </w:tc>
        <w:tc>
          <w:tcPr>
            <w:tcW w:w="9900" w:type="dxa"/>
            <w:vAlign w:val="bottom"/>
            <w:gridSpan w:val="5"/>
          </w:tcPr>
          <w:p>
            <w:pPr>
              <w:spacing w:after="0"/>
              <w:rPr>
                <w:rFonts w:ascii="Arial" w:cs="Arial" w:eastAsia="Arial" w:hAnsi="Arial"/>
                <w:sz w:val="18"/>
                <w:szCs w:val="18"/>
                <w:color w:val="0000EE"/>
              </w:rPr>
            </w:pPr>
            <w:hyperlink w:anchor="page203">
              <w:r>
                <w:rPr>
                  <w:rFonts w:ascii="Arial" w:cs="Arial" w:eastAsia="Arial" w:hAnsi="Arial"/>
                  <w:sz w:val="18"/>
                  <w:szCs w:val="18"/>
                  <w:u w:val="single" w:color="auto"/>
                  <w:color w:val="0000EE"/>
                </w:rPr>
                <w:t>Form of 1.023% Euro Note due 2024 (included in Exhibit 4.9)</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4.12</w:t>
            </w:r>
          </w:p>
        </w:tc>
        <w:tc>
          <w:tcPr>
            <w:tcW w:w="9900" w:type="dxa"/>
            <w:vAlign w:val="bottom"/>
            <w:gridSpan w:val="5"/>
          </w:tcPr>
          <w:p>
            <w:pPr>
              <w:spacing w:after="0"/>
              <w:rPr>
                <w:rFonts w:ascii="Arial" w:cs="Arial" w:eastAsia="Arial" w:hAnsi="Arial"/>
                <w:sz w:val="18"/>
                <w:szCs w:val="18"/>
                <w:color w:val="0000EE"/>
              </w:rPr>
            </w:pPr>
            <w:hyperlink w:anchor="page203">
              <w:r>
                <w:rPr>
                  <w:rFonts w:ascii="Arial" w:cs="Arial" w:eastAsia="Arial" w:hAnsi="Arial"/>
                  <w:sz w:val="18"/>
                  <w:szCs w:val="18"/>
                  <w:u w:val="single" w:color="auto"/>
                  <w:color w:val="0000EE"/>
                </w:rPr>
                <w:t>Form of 1.362% Euro Note due 2027 (included in Exhibit 4.9)</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4.13</w:t>
            </w:r>
          </w:p>
        </w:tc>
        <w:tc>
          <w:tcPr>
            <w:tcW w:w="9900" w:type="dxa"/>
            <w:vAlign w:val="bottom"/>
            <w:gridSpan w:val="5"/>
          </w:tcPr>
          <w:p>
            <w:pPr>
              <w:spacing w:after="0"/>
              <w:rPr>
                <w:rFonts w:ascii="Arial" w:cs="Arial" w:eastAsia="Arial" w:hAnsi="Arial"/>
                <w:sz w:val="18"/>
                <w:szCs w:val="18"/>
                <w:color w:val="0000EE"/>
              </w:rPr>
            </w:pPr>
            <w:hyperlink w:anchor="page203">
              <w:r>
                <w:rPr>
                  <w:rFonts w:ascii="Arial" w:cs="Arial" w:eastAsia="Arial" w:hAnsi="Arial"/>
                  <w:sz w:val="18"/>
                  <w:szCs w:val="18"/>
                  <w:u w:val="single" w:color="auto"/>
                  <w:color w:val="0000EE"/>
                </w:rPr>
                <w:t>Form of 1.908% Euro Note due 2032 (included in Exhibit 4.9)</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00" w:type="dxa"/>
            <w:vAlign w:val="bottom"/>
          </w:tcPr>
          <w:p>
            <w:pPr>
              <w:ind w:left="40"/>
              <w:spacing w:after="0"/>
              <w:rPr>
                <w:sz w:val="20"/>
                <w:szCs w:val="20"/>
                <w:color w:val="auto"/>
              </w:rPr>
            </w:pPr>
            <w:r>
              <w:rPr>
                <w:rFonts w:ascii="Arial" w:cs="Arial" w:eastAsia="Arial" w:hAnsi="Arial"/>
                <w:sz w:val="18"/>
                <w:szCs w:val="18"/>
                <w:color w:val="auto"/>
              </w:rPr>
              <w:t>104</w:t>
            </w:r>
          </w:p>
        </w:tc>
        <w:tc>
          <w:tcPr>
            <w:tcW w:w="9900" w:type="dxa"/>
            <w:vAlign w:val="bottom"/>
            <w:gridSpan w:val="5"/>
          </w:tcPr>
          <w:p>
            <w:pPr>
              <w:spacing w:after="0"/>
              <w:rPr>
                <w:sz w:val="20"/>
                <w:szCs w:val="20"/>
                <w:color w:val="auto"/>
              </w:rPr>
            </w:pPr>
            <w:r>
              <w:rPr>
                <w:rFonts w:ascii="Arial" w:cs="Arial" w:eastAsia="Arial" w:hAnsi="Arial"/>
                <w:sz w:val="18"/>
                <w:szCs w:val="18"/>
                <w:color w:val="auto"/>
              </w:rPr>
              <w:t>Cover Page Interactive Data File—The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10" w:name="page11"/>
    <w:bookmarkEnd w:id="10"/>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26, 2020</w:t>
      </w:r>
      <w:r>
        <w:rPr>
          <w:sz w:val="20"/>
          <w:szCs w:val="20"/>
          <w:color w:val="auto"/>
        </w:rPr>
        <w:tab/>
      </w:r>
      <w:r>
        <w:rPr>
          <w:rFonts w:ascii="Arial" w:cs="Arial" w:eastAsia="Arial" w:hAnsi="Arial"/>
          <w:sz w:val="17"/>
          <w:szCs w:val="17"/>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Goettler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0260"/>
          </w:cols>
          <w:pgMar w:left="440" w:top="297" w:right="119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$1,000,000,000 1.125% Senior Notes due 2022</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$750,000,000 1.650% Senior Notes due 2025</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$750,000,000 2.300% Senior Notes due 2027</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$1,450,000,000 2.700% Senior Notes due 2030</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$1,500,000,000 3.850% Senior Notes due 2040</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$2,000,000,000 4.000% Senior Notes due 2050</w:t>
      </w:r>
    </w:p>
    <w:p>
      <w:pPr>
        <w:spacing w:after="0" w:line="23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June 22, 2020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BANK OF NEW YORK MELLON</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ectPr>
          <w:pgSz w:w="11900" w:h="16838" w:orient="portrait"/>
          <w:cols w:equalWidth="0" w:num="1">
            <w:col w:w="10020"/>
          </w:cols>
          <w:pgMar w:left="1440" w:top="121"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8380" w:type="dxa"/>
            <w:vAlign w:val="bottom"/>
          </w:tcPr>
          <w:p>
            <w:pPr>
              <w:jc w:val="center"/>
              <w:ind w:right="2290"/>
              <w:spacing w:after="0"/>
              <w:rPr>
                <w:sz w:val="20"/>
                <w:szCs w:val="20"/>
                <w:color w:val="auto"/>
              </w:rPr>
            </w:pPr>
            <w:r>
              <w:rPr>
                <w:rFonts w:ascii="Arial" w:cs="Arial" w:eastAsia="Arial" w:hAnsi="Arial"/>
                <w:sz w:val="18"/>
                <w:szCs w:val="18"/>
                <w:color w:val="auto"/>
                <w:w w:val="93"/>
              </w:rPr>
              <w:t>UPJOHN INC.</w:t>
            </w:r>
          </w:p>
        </w:tc>
      </w:tr>
      <w:tr>
        <w:trPr>
          <w:trHeight w:val="216"/>
        </w:trPr>
        <w:tc>
          <w:tcPr>
            <w:tcW w:w="2500" w:type="dxa"/>
            <w:vAlign w:val="bottom"/>
          </w:tcPr>
          <w:p>
            <w:pPr>
              <w:spacing w:after="0"/>
              <w:rPr>
                <w:sz w:val="18"/>
                <w:szCs w:val="18"/>
                <w:color w:val="auto"/>
              </w:rPr>
            </w:pPr>
          </w:p>
        </w:tc>
        <w:tc>
          <w:tcPr>
            <w:tcW w:w="8380" w:type="dxa"/>
            <w:vAlign w:val="bottom"/>
          </w:tcPr>
          <w:p>
            <w:pPr>
              <w:jc w:val="center"/>
              <w:ind w:right="2290"/>
              <w:spacing w:after="0"/>
              <w:rPr>
                <w:sz w:val="20"/>
                <w:szCs w:val="20"/>
                <w:color w:val="auto"/>
              </w:rPr>
            </w:pPr>
            <w:r>
              <w:rPr>
                <w:rFonts w:ascii="Arial" w:cs="Arial" w:eastAsia="Arial" w:hAnsi="Arial"/>
                <w:sz w:val="18"/>
                <w:szCs w:val="18"/>
                <w:color w:val="auto"/>
                <w:w w:val="91"/>
              </w:rPr>
              <w:t>Reconciliation and tie between Trust Indenture Act</w:t>
            </w:r>
          </w:p>
        </w:tc>
      </w:tr>
      <w:tr>
        <w:trPr>
          <w:trHeight w:val="230"/>
        </w:trPr>
        <w:tc>
          <w:tcPr>
            <w:tcW w:w="2500" w:type="dxa"/>
            <w:vAlign w:val="bottom"/>
          </w:tcPr>
          <w:p>
            <w:pPr>
              <w:spacing w:after="0"/>
              <w:rPr>
                <w:sz w:val="20"/>
                <w:szCs w:val="20"/>
                <w:color w:val="auto"/>
              </w:rPr>
            </w:pPr>
          </w:p>
        </w:tc>
        <w:tc>
          <w:tcPr>
            <w:tcW w:w="8380" w:type="dxa"/>
            <w:vAlign w:val="bottom"/>
          </w:tcPr>
          <w:p>
            <w:pPr>
              <w:jc w:val="center"/>
              <w:ind w:right="2270"/>
              <w:spacing w:after="0"/>
              <w:rPr>
                <w:sz w:val="20"/>
                <w:szCs w:val="20"/>
                <w:color w:val="auto"/>
              </w:rPr>
            </w:pPr>
            <w:r>
              <w:rPr>
                <w:rFonts w:ascii="Arial" w:cs="Arial" w:eastAsia="Arial" w:hAnsi="Arial"/>
                <w:sz w:val="18"/>
                <w:szCs w:val="18"/>
                <w:color w:val="auto"/>
                <w:w w:val="88"/>
              </w:rPr>
              <w:t>of 1939, as amended, and Indenture, dated as of June 22, 2020</w:t>
            </w:r>
          </w:p>
        </w:tc>
      </w:tr>
      <w:tr>
        <w:trPr>
          <w:trHeight w:val="445"/>
        </w:trPr>
        <w:tc>
          <w:tcPr>
            <w:tcW w:w="2500" w:type="dxa"/>
            <w:vAlign w:val="bottom"/>
          </w:tcPr>
          <w:p>
            <w:pPr>
              <w:spacing w:after="0"/>
              <w:rPr>
                <w:sz w:val="20"/>
                <w:szCs w:val="20"/>
                <w:color w:val="auto"/>
              </w:rPr>
            </w:pPr>
            <w:r>
              <w:rPr>
                <w:rFonts w:ascii="Arial" w:cs="Arial" w:eastAsia="Arial" w:hAnsi="Arial"/>
                <w:sz w:val="18"/>
                <w:szCs w:val="18"/>
                <w:color w:val="auto"/>
              </w:rPr>
              <w:t>§ 310(a)(1)</w:t>
            </w:r>
          </w:p>
        </w:tc>
        <w:tc>
          <w:tcPr>
            <w:tcW w:w="8380" w:type="dxa"/>
            <w:vAlign w:val="bottom"/>
          </w:tcPr>
          <w:p>
            <w:pPr>
              <w:ind w:left="7080"/>
              <w:spacing w:after="0"/>
              <w:rPr>
                <w:sz w:val="20"/>
                <w:szCs w:val="20"/>
                <w:color w:val="auto"/>
              </w:rPr>
            </w:pPr>
            <w:r>
              <w:rPr>
                <w:rFonts w:ascii="Arial" w:cs="Arial" w:eastAsia="Arial" w:hAnsi="Arial"/>
                <w:sz w:val="18"/>
                <w:szCs w:val="18"/>
                <w:color w:val="auto"/>
              </w:rPr>
              <w:t>7.09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(a)(2)</w:t>
            </w:r>
          </w:p>
        </w:tc>
        <w:tc>
          <w:tcPr>
            <w:tcW w:w="8380" w:type="dxa"/>
            <w:vAlign w:val="bottom"/>
          </w:tcPr>
          <w:p>
            <w:pPr>
              <w:ind w:left="7080"/>
              <w:spacing w:after="0"/>
              <w:rPr>
                <w:sz w:val="20"/>
                <w:szCs w:val="20"/>
                <w:color w:val="auto"/>
              </w:rPr>
            </w:pPr>
            <w:r>
              <w:rPr>
                <w:rFonts w:ascii="Arial" w:cs="Arial" w:eastAsia="Arial" w:hAnsi="Arial"/>
                <w:sz w:val="18"/>
                <w:szCs w:val="18"/>
                <w:color w:val="auto"/>
              </w:rPr>
              <w:t>7.09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(a)(3)</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(a)(4)</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(a)(5)</w:t>
            </w:r>
          </w:p>
        </w:tc>
        <w:tc>
          <w:tcPr>
            <w:tcW w:w="8380" w:type="dxa"/>
            <w:vAlign w:val="bottom"/>
          </w:tcPr>
          <w:p>
            <w:pPr>
              <w:ind w:left="7080"/>
              <w:spacing w:after="0"/>
              <w:rPr>
                <w:sz w:val="20"/>
                <w:szCs w:val="20"/>
                <w:color w:val="auto"/>
              </w:rPr>
            </w:pPr>
            <w:r>
              <w:rPr>
                <w:rFonts w:ascii="Arial" w:cs="Arial" w:eastAsia="Arial" w:hAnsi="Arial"/>
                <w:sz w:val="18"/>
                <w:szCs w:val="18"/>
                <w:color w:val="auto"/>
              </w:rPr>
              <w:t>7.09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7.03, 7.09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311(a)</w:t>
            </w:r>
          </w:p>
        </w:tc>
        <w:tc>
          <w:tcPr>
            <w:tcW w:w="8380" w:type="dxa"/>
            <w:vAlign w:val="bottom"/>
          </w:tcPr>
          <w:p>
            <w:pPr>
              <w:ind w:left="7080"/>
              <w:spacing w:after="0"/>
              <w:rPr>
                <w:sz w:val="20"/>
                <w:szCs w:val="20"/>
                <w:color w:val="auto"/>
              </w:rPr>
            </w:pPr>
            <w:r>
              <w:rPr>
                <w:rFonts w:ascii="Arial" w:cs="Arial" w:eastAsia="Arial" w:hAnsi="Arial"/>
                <w:sz w:val="18"/>
                <w:szCs w:val="18"/>
                <w:color w:val="auto"/>
              </w:rPr>
              <w:t>7.11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7.11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312(a)</w:t>
            </w:r>
          </w:p>
        </w:tc>
        <w:tc>
          <w:tcPr>
            <w:tcW w:w="8380" w:type="dxa"/>
            <w:vAlign w:val="bottom"/>
          </w:tcPr>
          <w:p>
            <w:pPr>
              <w:ind w:left="7080"/>
              <w:spacing w:after="0"/>
              <w:rPr>
                <w:sz w:val="20"/>
                <w:szCs w:val="20"/>
                <w:color w:val="auto"/>
              </w:rPr>
            </w:pPr>
            <w:r>
              <w:rPr>
                <w:rFonts w:ascii="Arial" w:cs="Arial" w:eastAsia="Arial" w:hAnsi="Arial"/>
                <w:sz w:val="18"/>
                <w:szCs w:val="18"/>
                <w:color w:val="auto"/>
              </w:rPr>
              <w:t>2.06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11.04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11.04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313(a)</w:t>
            </w:r>
          </w:p>
        </w:tc>
        <w:tc>
          <w:tcPr>
            <w:tcW w:w="8380" w:type="dxa"/>
            <w:vAlign w:val="bottom"/>
          </w:tcPr>
          <w:p>
            <w:pPr>
              <w:ind w:left="7080"/>
              <w:spacing w:after="0"/>
              <w:rPr>
                <w:sz w:val="20"/>
                <w:szCs w:val="20"/>
                <w:color w:val="auto"/>
              </w:rPr>
            </w:pPr>
            <w:r>
              <w:rPr>
                <w:rFonts w:ascii="Arial" w:cs="Arial" w:eastAsia="Arial" w:hAnsi="Arial"/>
                <w:sz w:val="18"/>
                <w:szCs w:val="18"/>
                <w:color w:val="auto"/>
              </w:rPr>
              <w:t>7.10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(b)(1)</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(b)(2)</w:t>
            </w:r>
          </w:p>
        </w:tc>
        <w:tc>
          <w:tcPr>
            <w:tcW w:w="8380" w:type="dxa"/>
            <w:vAlign w:val="bottom"/>
          </w:tcPr>
          <w:p>
            <w:pPr>
              <w:ind w:left="7080"/>
              <w:spacing w:after="0"/>
              <w:rPr>
                <w:sz w:val="20"/>
                <w:szCs w:val="20"/>
                <w:color w:val="auto"/>
              </w:rPr>
            </w:pPr>
            <w:r>
              <w:rPr>
                <w:rFonts w:ascii="Arial" w:cs="Arial" w:eastAsia="Arial" w:hAnsi="Arial"/>
                <w:sz w:val="18"/>
                <w:szCs w:val="18"/>
                <w:color w:val="auto"/>
              </w:rPr>
              <w:t>7.10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7.10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w:t>
            </w:r>
          </w:p>
        </w:tc>
        <w:tc>
          <w:tcPr>
            <w:tcW w:w="8380" w:type="dxa"/>
            <w:vAlign w:val="bottom"/>
          </w:tcPr>
          <w:p>
            <w:pPr>
              <w:ind w:left="7080"/>
              <w:spacing w:after="0"/>
              <w:rPr>
                <w:sz w:val="20"/>
                <w:szCs w:val="20"/>
                <w:color w:val="auto"/>
              </w:rPr>
            </w:pPr>
            <w:r>
              <w:rPr>
                <w:rFonts w:ascii="Arial" w:cs="Arial" w:eastAsia="Arial" w:hAnsi="Arial"/>
                <w:sz w:val="18"/>
                <w:szCs w:val="18"/>
                <w:color w:val="auto"/>
              </w:rPr>
              <w:t>7.10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314(a)</w:t>
            </w:r>
          </w:p>
        </w:tc>
        <w:tc>
          <w:tcPr>
            <w:tcW w:w="8380" w:type="dxa"/>
            <w:vAlign w:val="bottom"/>
          </w:tcPr>
          <w:p>
            <w:pPr>
              <w:ind w:left="7080"/>
              <w:spacing w:after="0"/>
              <w:rPr>
                <w:sz w:val="20"/>
                <w:szCs w:val="20"/>
                <w:color w:val="auto"/>
              </w:rPr>
            </w:pPr>
            <w:r>
              <w:rPr>
                <w:rFonts w:ascii="Arial" w:cs="Arial" w:eastAsia="Arial" w:hAnsi="Arial"/>
                <w:sz w:val="18"/>
                <w:szCs w:val="18"/>
                <w:color w:val="auto"/>
                <w:w w:val="88"/>
              </w:rPr>
              <w:t>4.03, 11.01, 11.03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(c)(1)</w:t>
            </w:r>
          </w:p>
        </w:tc>
        <w:tc>
          <w:tcPr>
            <w:tcW w:w="8380" w:type="dxa"/>
            <w:vAlign w:val="bottom"/>
          </w:tcPr>
          <w:p>
            <w:pPr>
              <w:ind w:left="7080"/>
              <w:spacing w:after="0"/>
              <w:rPr>
                <w:sz w:val="20"/>
                <w:szCs w:val="20"/>
                <w:color w:val="auto"/>
              </w:rPr>
            </w:pPr>
            <w:r>
              <w:rPr>
                <w:rFonts w:ascii="Arial" w:cs="Arial" w:eastAsia="Arial" w:hAnsi="Arial"/>
                <w:sz w:val="18"/>
                <w:szCs w:val="18"/>
                <w:color w:val="auto"/>
              </w:rPr>
              <w:t>11.02</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(c)(2)</w:t>
            </w:r>
          </w:p>
        </w:tc>
        <w:tc>
          <w:tcPr>
            <w:tcW w:w="8380" w:type="dxa"/>
            <w:vAlign w:val="bottom"/>
          </w:tcPr>
          <w:p>
            <w:pPr>
              <w:ind w:left="7080"/>
              <w:spacing w:after="0"/>
              <w:rPr>
                <w:sz w:val="20"/>
                <w:szCs w:val="20"/>
                <w:color w:val="auto"/>
              </w:rPr>
            </w:pPr>
            <w:r>
              <w:rPr>
                <w:rFonts w:ascii="Arial" w:cs="Arial" w:eastAsia="Arial" w:hAnsi="Arial"/>
                <w:sz w:val="18"/>
                <w:szCs w:val="18"/>
                <w:color w:val="auto"/>
              </w:rPr>
              <w:t>11.02</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(c)(3)</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w:t>
            </w:r>
          </w:p>
        </w:tc>
        <w:tc>
          <w:tcPr>
            <w:tcW w:w="8380" w:type="dxa"/>
            <w:vAlign w:val="bottom"/>
          </w:tcPr>
          <w:p>
            <w:pPr>
              <w:ind w:left="7080"/>
              <w:spacing w:after="0"/>
              <w:rPr>
                <w:sz w:val="20"/>
                <w:szCs w:val="20"/>
                <w:color w:val="auto"/>
              </w:rPr>
            </w:pPr>
            <w:r>
              <w:rPr>
                <w:rFonts w:ascii="Arial" w:cs="Arial" w:eastAsia="Arial" w:hAnsi="Arial"/>
                <w:sz w:val="18"/>
                <w:szCs w:val="18"/>
                <w:color w:val="auto"/>
              </w:rPr>
              <w:t>11.03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315(a)</w:t>
            </w:r>
          </w:p>
        </w:tc>
        <w:tc>
          <w:tcPr>
            <w:tcW w:w="8380" w:type="dxa"/>
            <w:vAlign w:val="bottom"/>
          </w:tcPr>
          <w:p>
            <w:pPr>
              <w:ind w:left="7080"/>
              <w:spacing w:after="0"/>
              <w:rPr>
                <w:sz w:val="20"/>
                <w:szCs w:val="20"/>
                <w:color w:val="auto"/>
              </w:rPr>
            </w:pPr>
            <w:r>
              <w:rPr>
                <w:rFonts w:ascii="Arial" w:cs="Arial" w:eastAsia="Arial" w:hAnsi="Arial"/>
                <w:sz w:val="18"/>
                <w:szCs w:val="18"/>
                <w:color w:val="auto"/>
              </w:rPr>
              <w:t>7.01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7.05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7.01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w:t>
            </w:r>
          </w:p>
        </w:tc>
        <w:tc>
          <w:tcPr>
            <w:tcW w:w="8380" w:type="dxa"/>
            <w:vAlign w:val="bottom"/>
          </w:tcPr>
          <w:p>
            <w:pPr>
              <w:ind w:left="7080"/>
              <w:spacing w:after="0"/>
              <w:rPr>
                <w:sz w:val="20"/>
                <w:szCs w:val="20"/>
                <w:color w:val="auto"/>
              </w:rPr>
            </w:pPr>
            <w:r>
              <w:rPr>
                <w:rFonts w:ascii="Arial" w:cs="Arial" w:eastAsia="Arial" w:hAnsi="Arial"/>
                <w:sz w:val="18"/>
                <w:szCs w:val="18"/>
                <w:color w:val="auto"/>
              </w:rPr>
              <w:t>7.01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w:t>
            </w:r>
          </w:p>
        </w:tc>
        <w:tc>
          <w:tcPr>
            <w:tcW w:w="8380" w:type="dxa"/>
            <w:vAlign w:val="bottom"/>
          </w:tcPr>
          <w:p>
            <w:pPr>
              <w:ind w:left="7080"/>
              <w:spacing w:after="0"/>
              <w:rPr>
                <w:sz w:val="20"/>
                <w:szCs w:val="20"/>
                <w:color w:val="auto"/>
              </w:rPr>
            </w:pPr>
            <w:r>
              <w:rPr>
                <w:rFonts w:ascii="Arial" w:cs="Arial" w:eastAsia="Arial" w:hAnsi="Arial"/>
                <w:sz w:val="18"/>
                <w:szCs w:val="18"/>
                <w:color w:val="auto"/>
              </w:rPr>
              <w:t>6.11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316 (a) (last sentence)</w:t>
            </w:r>
          </w:p>
        </w:tc>
        <w:tc>
          <w:tcPr>
            <w:tcW w:w="8380" w:type="dxa"/>
            <w:vAlign w:val="bottom"/>
          </w:tcPr>
          <w:p>
            <w:pPr>
              <w:ind w:left="7080"/>
              <w:spacing w:after="0"/>
              <w:rPr>
                <w:sz w:val="20"/>
                <w:szCs w:val="20"/>
                <w:color w:val="auto"/>
              </w:rPr>
            </w:pPr>
            <w:r>
              <w:rPr>
                <w:rFonts w:ascii="Arial" w:cs="Arial" w:eastAsia="Arial" w:hAnsi="Arial"/>
                <w:sz w:val="18"/>
                <w:szCs w:val="18"/>
                <w:color w:val="auto"/>
              </w:rPr>
              <w:t>2.10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(a)(1)(A)</w:t>
            </w:r>
          </w:p>
        </w:tc>
        <w:tc>
          <w:tcPr>
            <w:tcW w:w="8380" w:type="dxa"/>
            <w:vAlign w:val="bottom"/>
          </w:tcPr>
          <w:p>
            <w:pPr>
              <w:ind w:left="7080"/>
              <w:spacing w:after="0"/>
              <w:rPr>
                <w:sz w:val="20"/>
                <w:szCs w:val="20"/>
                <w:color w:val="auto"/>
              </w:rPr>
            </w:pPr>
            <w:r>
              <w:rPr>
                <w:rFonts w:ascii="Arial" w:cs="Arial" w:eastAsia="Arial" w:hAnsi="Arial"/>
                <w:sz w:val="18"/>
                <w:szCs w:val="18"/>
                <w:color w:val="auto"/>
              </w:rPr>
              <w:t>6.05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(a)(1)(B)</w:t>
            </w:r>
          </w:p>
        </w:tc>
        <w:tc>
          <w:tcPr>
            <w:tcW w:w="8380" w:type="dxa"/>
            <w:vAlign w:val="bottom"/>
          </w:tcPr>
          <w:p>
            <w:pPr>
              <w:ind w:left="7080"/>
              <w:spacing w:after="0"/>
              <w:rPr>
                <w:sz w:val="20"/>
                <w:szCs w:val="20"/>
                <w:color w:val="auto"/>
              </w:rPr>
            </w:pPr>
            <w:r>
              <w:rPr>
                <w:rFonts w:ascii="Arial" w:cs="Arial" w:eastAsia="Arial" w:hAnsi="Arial"/>
                <w:sz w:val="18"/>
                <w:szCs w:val="18"/>
                <w:color w:val="auto"/>
              </w:rPr>
              <w:t>6.04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(a)(2)</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6.07</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8.03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317(a)(1)</w:t>
            </w:r>
          </w:p>
        </w:tc>
        <w:tc>
          <w:tcPr>
            <w:tcW w:w="8380" w:type="dxa"/>
            <w:vAlign w:val="bottom"/>
          </w:tcPr>
          <w:p>
            <w:pPr>
              <w:ind w:left="7080"/>
              <w:spacing w:after="0"/>
              <w:rPr>
                <w:sz w:val="20"/>
                <w:szCs w:val="20"/>
                <w:color w:val="auto"/>
              </w:rPr>
            </w:pPr>
            <w:r>
              <w:rPr>
                <w:rFonts w:ascii="Arial" w:cs="Arial" w:eastAsia="Arial" w:hAnsi="Arial"/>
                <w:sz w:val="18"/>
                <w:szCs w:val="18"/>
                <w:color w:val="auto"/>
              </w:rPr>
              <w:t>6.08</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(a)(2)</w:t>
            </w:r>
          </w:p>
        </w:tc>
        <w:tc>
          <w:tcPr>
            <w:tcW w:w="8380" w:type="dxa"/>
            <w:vAlign w:val="bottom"/>
          </w:tcPr>
          <w:p>
            <w:pPr>
              <w:ind w:left="7080"/>
              <w:spacing w:after="0"/>
              <w:rPr>
                <w:sz w:val="20"/>
                <w:szCs w:val="20"/>
                <w:color w:val="auto"/>
              </w:rPr>
            </w:pPr>
            <w:r>
              <w:rPr>
                <w:rFonts w:ascii="Arial" w:cs="Arial" w:eastAsia="Arial" w:hAnsi="Arial"/>
                <w:sz w:val="18"/>
                <w:szCs w:val="18"/>
                <w:color w:val="auto"/>
              </w:rPr>
              <w:t>6.09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2.05</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 318(a)</w:t>
            </w:r>
          </w:p>
        </w:tc>
        <w:tc>
          <w:tcPr>
            <w:tcW w:w="8380" w:type="dxa"/>
            <w:vAlign w:val="bottom"/>
          </w:tcPr>
          <w:p>
            <w:pPr>
              <w:ind w:left="7080"/>
              <w:spacing w:after="0"/>
              <w:rPr>
                <w:sz w:val="20"/>
                <w:szCs w:val="20"/>
                <w:color w:val="auto"/>
              </w:rPr>
            </w:pPr>
            <w:r>
              <w:rPr>
                <w:rFonts w:ascii="Arial" w:cs="Arial" w:eastAsia="Arial" w:hAnsi="Arial"/>
                <w:sz w:val="18"/>
                <w:szCs w:val="18"/>
                <w:color w:val="auto"/>
              </w:rPr>
              <w:t>11.15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will not, for any purpose, be deemed to be a part of the Indenture.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80"/>
          </w:cols>
          <w:pgMar w:left="440" w:top="274" w:right="5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810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0"/>
                <w:szCs w:val="20"/>
                <w:color w:val="auto"/>
              </w:rPr>
            </w:pPr>
          </w:p>
        </w:tc>
      </w:tr>
      <w:tr>
        <w:trPr>
          <w:trHeight w:val="514"/>
        </w:trPr>
        <w:tc>
          <w:tcPr>
            <w:tcW w:w="9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980" w:type="dxa"/>
            <w:vAlign w:val="bottom"/>
          </w:tcPr>
          <w:p>
            <w:pPr>
              <w:spacing w:after="0"/>
              <w:rPr>
                <w:sz w:val="24"/>
                <w:szCs w:val="24"/>
                <w:color w:val="auto"/>
              </w:rPr>
            </w:pPr>
          </w:p>
        </w:tc>
        <w:tc>
          <w:tcPr>
            <w:tcW w:w="8100" w:type="dxa"/>
            <w:vAlign w:val="bottom"/>
          </w:tcPr>
          <w:p>
            <w:pPr>
              <w:jc w:val="center"/>
              <w:ind w:left="390"/>
              <w:spacing w:after="0"/>
              <w:rPr>
                <w:sz w:val="20"/>
                <w:szCs w:val="20"/>
                <w:color w:val="auto"/>
              </w:rPr>
            </w:pPr>
            <w:r>
              <w:rPr>
                <w:rFonts w:ascii="Arial" w:cs="Arial" w:eastAsia="Arial" w:hAnsi="Arial"/>
                <w:sz w:val="18"/>
                <w:szCs w:val="18"/>
                <w:color w:val="auto"/>
                <w:w w:val="99"/>
              </w:rPr>
              <w:t>ARTICLE I</w:t>
            </w:r>
          </w:p>
        </w:tc>
        <w:tc>
          <w:tcPr>
            <w:tcW w:w="188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100" w:type="dxa"/>
            <w:vAlign w:val="bottom"/>
          </w:tcPr>
          <w:p>
            <w:pPr>
              <w:jc w:val="center"/>
              <w:ind w:left="390"/>
              <w:spacing w:after="0"/>
              <w:rPr>
                <w:sz w:val="20"/>
                <w:szCs w:val="20"/>
                <w:color w:val="auto"/>
              </w:rPr>
            </w:pPr>
            <w:r>
              <w:rPr>
                <w:rFonts w:ascii="Arial" w:cs="Arial" w:eastAsia="Arial" w:hAnsi="Arial"/>
                <w:sz w:val="18"/>
                <w:szCs w:val="18"/>
                <w:color w:val="auto"/>
                <w:w w:val="96"/>
              </w:rPr>
              <w:t>DEFINITIONS AND INCORPORATION BY REFERENCE</w:t>
            </w:r>
          </w:p>
        </w:tc>
        <w:tc>
          <w:tcPr>
            <w:tcW w:w="1880" w:type="dxa"/>
            <w:vAlign w:val="bottom"/>
          </w:tcPr>
          <w:p>
            <w:pPr>
              <w:spacing w:after="0"/>
              <w:rPr>
                <w:sz w:val="20"/>
                <w:szCs w:val="20"/>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81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810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1.03  Rules of Construction</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1.04  Incorporation by Reference of Trust Indenture Act</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980" w:type="dxa"/>
            <w:vAlign w:val="bottom"/>
          </w:tcPr>
          <w:p>
            <w:pPr>
              <w:spacing w:after="0"/>
              <w:rPr>
                <w:sz w:val="24"/>
                <w:szCs w:val="24"/>
                <w:color w:val="auto"/>
              </w:rPr>
            </w:pPr>
          </w:p>
        </w:tc>
        <w:tc>
          <w:tcPr>
            <w:tcW w:w="8100" w:type="dxa"/>
            <w:vAlign w:val="bottom"/>
          </w:tcPr>
          <w:p>
            <w:pPr>
              <w:jc w:val="center"/>
              <w:ind w:left="410"/>
              <w:spacing w:after="0"/>
              <w:rPr>
                <w:sz w:val="20"/>
                <w:szCs w:val="20"/>
                <w:color w:val="auto"/>
              </w:rPr>
            </w:pPr>
            <w:r>
              <w:rPr>
                <w:rFonts w:ascii="Arial" w:cs="Arial" w:eastAsia="Arial" w:hAnsi="Arial"/>
                <w:sz w:val="18"/>
                <w:szCs w:val="18"/>
                <w:color w:val="auto"/>
              </w:rPr>
              <w:t>ARTICLE II</w:t>
            </w:r>
          </w:p>
        </w:tc>
        <w:tc>
          <w:tcPr>
            <w:tcW w:w="188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100" w:type="dxa"/>
            <w:vAlign w:val="bottom"/>
          </w:tcPr>
          <w:p>
            <w:pPr>
              <w:jc w:val="center"/>
              <w:ind w:left="390"/>
              <w:spacing w:after="0"/>
              <w:rPr>
                <w:sz w:val="20"/>
                <w:szCs w:val="20"/>
                <w:color w:val="auto"/>
              </w:rPr>
            </w:pPr>
            <w:r>
              <w:rPr>
                <w:rFonts w:ascii="Arial" w:cs="Arial" w:eastAsia="Arial" w:hAnsi="Arial"/>
                <w:sz w:val="18"/>
                <w:szCs w:val="18"/>
                <w:color w:val="auto"/>
                <w:w w:val="95"/>
              </w:rPr>
              <w:t>THE NOTES</w:t>
            </w:r>
          </w:p>
        </w:tc>
        <w:tc>
          <w:tcPr>
            <w:tcW w:w="1880" w:type="dxa"/>
            <w:vAlign w:val="bottom"/>
          </w:tcPr>
          <w:p>
            <w:pPr>
              <w:spacing w:after="0"/>
              <w:rPr>
                <w:sz w:val="20"/>
                <w:szCs w:val="20"/>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2.01  Amount of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2.02  Form and Dating</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2.03  Execution and Authentication</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2.04  Registrar and Paying Agent</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2.05  Paying Agent To Hold Money in Trust</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2.06</w:t>
            </w:r>
          </w:p>
        </w:tc>
        <w:tc>
          <w:tcPr>
            <w:tcW w:w="810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2.07  Transfer and Exchange</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810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2.09</w:t>
            </w:r>
          </w:p>
        </w:tc>
        <w:tc>
          <w:tcPr>
            <w:tcW w:w="810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2.10</w:t>
            </w:r>
          </w:p>
        </w:tc>
        <w:tc>
          <w:tcPr>
            <w:tcW w:w="8100" w:type="dxa"/>
            <w:vAlign w:val="bottom"/>
          </w:tcPr>
          <w:p>
            <w:pPr>
              <w:ind w:left="100"/>
              <w:spacing w:after="0"/>
              <w:rPr>
                <w:sz w:val="20"/>
                <w:szCs w:val="20"/>
                <w:color w:val="auto"/>
              </w:rPr>
            </w:pPr>
            <w:r>
              <w:rPr>
                <w:rFonts w:ascii="Arial" w:cs="Arial" w:eastAsia="Arial" w:hAnsi="Arial"/>
                <w:sz w:val="18"/>
                <w:szCs w:val="18"/>
                <w:color w:val="auto"/>
              </w:rPr>
              <w:t>Treasury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2.11</w:t>
            </w:r>
          </w:p>
        </w:tc>
        <w:tc>
          <w:tcPr>
            <w:tcW w:w="810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2.12</w:t>
            </w:r>
          </w:p>
        </w:tc>
        <w:tc>
          <w:tcPr>
            <w:tcW w:w="810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2.13</w:t>
            </w:r>
          </w:p>
        </w:tc>
        <w:tc>
          <w:tcPr>
            <w:tcW w:w="810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2.14</w:t>
            </w:r>
          </w:p>
        </w:tc>
        <w:tc>
          <w:tcPr>
            <w:tcW w:w="8100" w:type="dxa"/>
            <w:vAlign w:val="bottom"/>
          </w:tcPr>
          <w:p>
            <w:pPr>
              <w:ind w:left="100"/>
              <w:spacing w:after="0"/>
              <w:rPr>
                <w:sz w:val="20"/>
                <w:szCs w:val="20"/>
                <w:color w:val="auto"/>
              </w:rPr>
            </w:pPr>
            <w:r>
              <w:rPr>
                <w:rFonts w:ascii="Arial" w:cs="Arial" w:eastAsia="Arial" w:hAnsi="Arial"/>
                <w:sz w:val="18"/>
                <w:szCs w:val="18"/>
                <w:color w:val="auto"/>
              </w:rPr>
              <w:t>Identifying Number</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2.15  Deposit of Moneys</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2.16  Book-Entry Provisions for Global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2.17  Special Transfer Provisions</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2.18  Computation of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980" w:type="dxa"/>
            <w:vAlign w:val="bottom"/>
          </w:tcPr>
          <w:p>
            <w:pPr>
              <w:spacing w:after="0"/>
              <w:rPr>
                <w:sz w:val="24"/>
                <w:szCs w:val="24"/>
                <w:color w:val="auto"/>
              </w:rPr>
            </w:pPr>
          </w:p>
        </w:tc>
        <w:tc>
          <w:tcPr>
            <w:tcW w:w="8100" w:type="dxa"/>
            <w:vAlign w:val="bottom"/>
          </w:tcPr>
          <w:p>
            <w:pPr>
              <w:ind w:left="4480"/>
              <w:spacing w:after="0"/>
              <w:rPr>
                <w:sz w:val="20"/>
                <w:szCs w:val="20"/>
                <w:color w:val="auto"/>
              </w:rPr>
            </w:pPr>
            <w:r>
              <w:rPr>
                <w:rFonts w:ascii="Arial" w:cs="Arial" w:eastAsia="Arial" w:hAnsi="Arial"/>
                <w:sz w:val="18"/>
                <w:szCs w:val="18"/>
                <w:color w:val="auto"/>
              </w:rPr>
              <w:t>ii</w:t>
            </w:r>
          </w:p>
        </w:tc>
        <w:tc>
          <w:tcPr>
            <w:tcW w:w="1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4" w:name="page15"/>
    <w:bookmarkEnd w:id="14"/>
    <w:p>
      <w:pPr>
        <w:jc w:val="center"/>
        <w:ind w:righ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III</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REDEMPTION AND PREPAYMENT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3.01  Election To Redeem; Notices to Trustee</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3.02  Selection by Trustee of Notes To Be Redeemed</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3.03  Notice of Redemption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3.04  Effect of Notice of Redemption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3.05  Deposit of Redemption Price</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3.06  Notes Redeemed in Part</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3.07</w:t>
            </w:r>
          </w:p>
        </w:tc>
        <w:tc>
          <w:tcPr>
            <w:tcW w:w="734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3.08  Special Mandatory Redemption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980" w:type="dxa"/>
            <w:vAlign w:val="bottom"/>
          </w:tcPr>
          <w:p>
            <w:pPr>
              <w:spacing w:after="0"/>
              <w:rPr>
                <w:sz w:val="24"/>
                <w:szCs w:val="24"/>
                <w:color w:val="auto"/>
              </w:rPr>
            </w:pPr>
          </w:p>
        </w:tc>
        <w:tc>
          <w:tcPr>
            <w:tcW w:w="7340" w:type="dxa"/>
            <w:vAlign w:val="bottom"/>
          </w:tcPr>
          <w:p>
            <w:pPr>
              <w:ind w:left="3820"/>
              <w:spacing w:after="0"/>
              <w:rPr>
                <w:sz w:val="20"/>
                <w:szCs w:val="20"/>
                <w:color w:val="auto"/>
              </w:rPr>
            </w:pPr>
            <w:r>
              <w:rPr>
                <w:rFonts w:ascii="Arial" w:cs="Arial" w:eastAsia="Arial" w:hAnsi="Arial"/>
                <w:sz w:val="18"/>
                <w:szCs w:val="18"/>
                <w:color w:val="auto"/>
              </w:rPr>
              <w:t>ARTICLE IV</w:t>
            </w:r>
          </w:p>
        </w:tc>
        <w:tc>
          <w:tcPr>
            <w:tcW w:w="264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340" w:type="dxa"/>
            <w:vAlign w:val="bottom"/>
          </w:tcPr>
          <w:p>
            <w:pPr>
              <w:ind w:left="3780"/>
              <w:spacing w:after="0"/>
              <w:rPr>
                <w:sz w:val="20"/>
                <w:szCs w:val="20"/>
                <w:color w:val="auto"/>
              </w:rPr>
            </w:pPr>
            <w:r>
              <w:rPr>
                <w:rFonts w:ascii="Arial" w:cs="Arial" w:eastAsia="Arial" w:hAnsi="Arial"/>
                <w:sz w:val="18"/>
                <w:szCs w:val="18"/>
                <w:color w:val="auto"/>
              </w:rPr>
              <w:t>COVENANTS</w:t>
            </w:r>
          </w:p>
        </w:tc>
        <w:tc>
          <w:tcPr>
            <w:tcW w:w="2640" w:type="dxa"/>
            <w:vAlign w:val="bottom"/>
          </w:tcPr>
          <w:p>
            <w:pPr>
              <w:spacing w:after="0"/>
              <w:rPr>
                <w:sz w:val="20"/>
                <w:szCs w:val="20"/>
                <w:color w:val="auto"/>
              </w:rPr>
            </w:pP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4.01  Payment of Principal, Premium and Interest</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4.03  Reports to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734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4.05  Money for Notes Payments To Be Held in Trust</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4.06  Payment of Taxes and Other Claims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4.07  Limitation on Liens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4.08  Purchase of Notes Upon a Change of Control Repurchase Event</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4.09  Restrictions on Sale Leaseback Transactions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7340" w:type="dxa"/>
            <w:vAlign w:val="bottom"/>
          </w:tcPr>
          <w:p>
            <w:pPr>
              <w:ind w:left="100"/>
              <w:spacing w:after="0"/>
              <w:rPr>
                <w:sz w:val="20"/>
                <w:szCs w:val="20"/>
                <w:color w:val="auto"/>
              </w:rPr>
            </w:pPr>
            <w:r>
              <w:rPr>
                <w:rFonts w:ascii="Arial" w:cs="Arial" w:eastAsia="Arial" w:hAnsi="Arial"/>
                <w:sz w:val="18"/>
                <w:szCs w:val="18"/>
                <w:color w:val="auto"/>
              </w:rPr>
              <w:t>Mylan Guarantees</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7340" w:type="dxa"/>
            <w:vAlign w:val="bottom"/>
          </w:tcPr>
          <w:p>
            <w:pPr>
              <w:ind w:left="100"/>
              <w:spacing w:after="0"/>
              <w:rPr>
                <w:sz w:val="20"/>
                <w:szCs w:val="20"/>
                <w:color w:val="auto"/>
              </w:rPr>
            </w:pPr>
            <w:r>
              <w:rPr>
                <w:rFonts w:ascii="Arial" w:cs="Arial" w:eastAsia="Arial" w:hAnsi="Arial"/>
                <w:sz w:val="18"/>
                <w:szCs w:val="18"/>
                <w:color w:val="auto"/>
              </w:rPr>
              <w:t>Additional Guarantees</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4.12</w:t>
            </w:r>
          </w:p>
        </w:tc>
        <w:tc>
          <w:tcPr>
            <w:tcW w:w="734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4.13  Stay, Extension and Usury Laws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4.14  Use of Proceeds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4.15  No Limitations on RMT Transactions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65"/>
        </w:trPr>
        <w:tc>
          <w:tcPr>
            <w:tcW w:w="980" w:type="dxa"/>
            <w:vAlign w:val="bottom"/>
          </w:tcPr>
          <w:p>
            <w:pPr>
              <w:spacing w:after="0"/>
              <w:rPr>
                <w:sz w:val="24"/>
                <w:szCs w:val="24"/>
                <w:color w:val="auto"/>
              </w:rPr>
            </w:pPr>
          </w:p>
        </w:tc>
        <w:tc>
          <w:tcPr>
            <w:tcW w:w="7340" w:type="dxa"/>
            <w:vAlign w:val="bottom"/>
          </w:tcPr>
          <w:p>
            <w:pPr>
              <w:ind w:left="4440"/>
              <w:spacing w:after="0"/>
              <w:rPr>
                <w:sz w:val="20"/>
                <w:szCs w:val="20"/>
                <w:color w:val="auto"/>
              </w:rPr>
            </w:pPr>
            <w:r>
              <w:rPr>
                <w:rFonts w:ascii="Arial" w:cs="Arial" w:eastAsia="Arial" w:hAnsi="Arial"/>
                <w:sz w:val="18"/>
                <w:szCs w:val="18"/>
                <w:color w:val="auto"/>
              </w:rPr>
              <w:t>iii</w:t>
            </w:r>
          </w:p>
        </w:tc>
        <w:tc>
          <w:tcPr>
            <w:tcW w:w="264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w w:val="98"/>
              </w:rPr>
              <w:t>ARTICLE V</w:t>
            </w:r>
          </w:p>
        </w:tc>
        <w:tc>
          <w:tcPr>
            <w:tcW w:w="23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w w:val="88"/>
              </w:rPr>
              <w:t>SUCCESSORS</w:t>
            </w:r>
          </w:p>
        </w:tc>
        <w:tc>
          <w:tcPr>
            <w:tcW w:w="2360" w:type="dxa"/>
            <w:vAlign w:val="bottom"/>
          </w:tcPr>
          <w:p>
            <w:pPr>
              <w:spacing w:after="0"/>
              <w:rPr>
                <w:sz w:val="20"/>
                <w:szCs w:val="20"/>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5.01  Consolidation, Merger and Sale of Assets</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980" w:type="dxa"/>
            <w:vAlign w:val="bottom"/>
          </w:tcPr>
          <w:p>
            <w:pPr>
              <w:spacing w:after="0"/>
              <w:rPr>
                <w:sz w:val="24"/>
                <w:szCs w:val="24"/>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rPr>
              <w:t>ARTICLE VI</w:t>
            </w:r>
          </w:p>
        </w:tc>
        <w:tc>
          <w:tcPr>
            <w:tcW w:w="23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w w:val="96"/>
              </w:rPr>
              <w:t>DEFAULTS AND REMEDIES</w:t>
            </w:r>
          </w:p>
        </w:tc>
        <w:tc>
          <w:tcPr>
            <w:tcW w:w="2360" w:type="dxa"/>
            <w:vAlign w:val="bottom"/>
          </w:tcPr>
          <w:p>
            <w:pPr>
              <w:spacing w:after="0"/>
              <w:rPr>
                <w:sz w:val="20"/>
                <w:szCs w:val="20"/>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6.02  Acceleration of Maturity; Rescission</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6.03</w:t>
            </w:r>
          </w:p>
        </w:tc>
        <w:tc>
          <w:tcPr>
            <w:tcW w:w="762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6.04  Waiver of Past Defaults and 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6.10</w:t>
            </w:r>
          </w:p>
        </w:tc>
        <w:tc>
          <w:tcPr>
            <w:tcW w:w="762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6.12  Delay or Omission Not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980" w:type="dxa"/>
            <w:vAlign w:val="bottom"/>
          </w:tcPr>
          <w:p>
            <w:pPr>
              <w:spacing w:after="0"/>
              <w:rPr>
                <w:sz w:val="24"/>
                <w:szCs w:val="24"/>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rPr>
              <w:t>ARTICLE VII</w:t>
            </w:r>
          </w:p>
        </w:tc>
        <w:tc>
          <w:tcPr>
            <w:tcW w:w="23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w w:val="95"/>
              </w:rPr>
              <w:t>TRUSTEE</w:t>
            </w:r>
          </w:p>
        </w:tc>
        <w:tc>
          <w:tcPr>
            <w:tcW w:w="2360" w:type="dxa"/>
            <w:vAlign w:val="bottom"/>
          </w:tcPr>
          <w:p>
            <w:pPr>
              <w:spacing w:after="0"/>
              <w:rPr>
                <w:sz w:val="20"/>
                <w:szCs w:val="20"/>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7.01  Duties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7.03  Individual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7.04</w:t>
            </w:r>
          </w:p>
        </w:tc>
        <w:tc>
          <w:tcPr>
            <w:tcW w:w="762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7.05  Notice of Defaults</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7.06  Compensation and Indemnity</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7.07  Replacement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7.08  Successor Trustee by Consolidation, Merger, etc.</w:t>
            </w:r>
          </w:p>
        </w:tc>
        <w:tc>
          <w:tcPr>
            <w:tcW w:w="2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7.09</w:t>
            </w:r>
          </w:p>
        </w:tc>
        <w:tc>
          <w:tcPr>
            <w:tcW w:w="762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65"/>
        </w:trPr>
        <w:tc>
          <w:tcPr>
            <w:tcW w:w="980" w:type="dxa"/>
            <w:vAlign w:val="bottom"/>
          </w:tcPr>
          <w:p>
            <w:pPr>
              <w:spacing w:after="0"/>
              <w:rPr>
                <w:sz w:val="24"/>
                <w:szCs w:val="24"/>
                <w:color w:val="auto"/>
              </w:rPr>
            </w:pPr>
          </w:p>
        </w:tc>
        <w:tc>
          <w:tcPr>
            <w:tcW w:w="7620" w:type="dxa"/>
            <w:vAlign w:val="bottom"/>
          </w:tcPr>
          <w:p>
            <w:pPr>
              <w:ind w:left="4460"/>
              <w:spacing w:after="0"/>
              <w:rPr>
                <w:sz w:val="20"/>
                <w:szCs w:val="20"/>
                <w:color w:val="auto"/>
              </w:rPr>
            </w:pPr>
            <w:r>
              <w:rPr>
                <w:rFonts w:ascii="Arial" w:cs="Arial" w:eastAsia="Arial" w:hAnsi="Arial"/>
                <w:sz w:val="18"/>
                <w:szCs w:val="18"/>
                <w:color w:val="auto"/>
              </w:rPr>
              <w:t>iv</w:t>
            </w:r>
          </w:p>
        </w:tc>
        <w:tc>
          <w:tcPr>
            <w:tcW w:w="236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7.10</w:t>
            </w:r>
          </w:p>
        </w:tc>
        <w:tc>
          <w:tcPr>
            <w:tcW w:w="8720" w:type="dxa"/>
            <w:vAlign w:val="bottom"/>
          </w:tcPr>
          <w:p>
            <w:pPr>
              <w:ind w:left="100"/>
              <w:spacing w:after="0"/>
              <w:rPr>
                <w:sz w:val="20"/>
                <w:szCs w:val="20"/>
                <w:color w:val="auto"/>
              </w:rPr>
            </w:pPr>
            <w:r>
              <w:rPr>
                <w:rFonts w:ascii="Arial" w:cs="Arial" w:eastAsia="Arial" w:hAnsi="Arial"/>
                <w:sz w:val="18"/>
                <w:szCs w:val="18"/>
                <w:color w:val="auto"/>
              </w:rPr>
              <w:t>Reports by Trustee to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7.11</w:t>
            </w:r>
          </w:p>
        </w:tc>
        <w:tc>
          <w:tcPr>
            <w:tcW w:w="8720" w:type="dxa"/>
            <w:vAlign w:val="bottom"/>
          </w:tcPr>
          <w:p>
            <w:pPr>
              <w:ind w:left="100"/>
              <w:spacing w:after="0"/>
              <w:rPr>
                <w:sz w:val="20"/>
                <w:szCs w:val="20"/>
                <w:color w:val="auto"/>
              </w:rPr>
            </w:pPr>
            <w:r>
              <w:rPr>
                <w:rFonts w:ascii="Arial" w:cs="Arial" w:eastAsia="Arial" w:hAnsi="Arial"/>
                <w:sz w:val="18"/>
                <w:szCs w:val="18"/>
                <w:color w:val="auto"/>
              </w:rPr>
              <w:t>Preferential Collection of Claims Against Company</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080" w:type="dxa"/>
            <w:vAlign w:val="bottom"/>
          </w:tcPr>
          <w:p>
            <w:pPr>
              <w:spacing w:after="0"/>
              <w:rPr>
                <w:sz w:val="24"/>
                <w:szCs w:val="24"/>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rPr>
              <w:t>ARTICLE VIII</w:t>
            </w:r>
          </w:p>
        </w:tc>
        <w:tc>
          <w:tcPr>
            <w:tcW w:w="11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w w:val="98"/>
              </w:rPr>
              <w:t>AMENDMENT, SUPPLEMENT AND WAIVER</w:t>
            </w:r>
          </w:p>
        </w:tc>
        <w:tc>
          <w:tcPr>
            <w:tcW w:w="116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8.01</w:t>
            </w:r>
          </w:p>
        </w:tc>
        <w:tc>
          <w:tcPr>
            <w:tcW w:w="8720" w:type="dxa"/>
            <w:vAlign w:val="bottom"/>
          </w:tcPr>
          <w:p>
            <w:pPr>
              <w:ind w:left="100"/>
              <w:spacing w:after="0"/>
              <w:rPr>
                <w:sz w:val="20"/>
                <w:szCs w:val="20"/>
                <w:color w:val="auto"/>
              </w:rPr>
            </w:pPr>
            <w:r>
              <w:rPr>
                <w:rFonts w:ascii="Arial" w:cs="Arial" w:eastAsia="Arial" w:hAnsi="Arial"/>
                <w:sz w:val="18"/>
                <w:szCs w:val="18"/>
                <w:color w:val="auto"/>
              </w:rPr>
              <w:t>Without Consent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8.02</w:t>
            </w:r>
          </w:p>
        </w:tc>
        <w:tc>
          <w:tcPr>
            <w:tcW w:w="8720" w:type="dxa"/>
            <w:vAlign w:val="bottom"/>
          </w:tcPr>
          <w:p>
            <w:pPr>
              <w:ind w:left="100"/>
              <w:spacing w:after="0"/>
              <w:rPr>
                <w:sz w:val="20"/>
                <w:szCs w:val="20"/>
                <w:color w:val="auto"/>
              </w:rPr>
            </w:pPr>
            <w:r>
              <w:rPr>
                <w:rFonts w:ascii="Arial" w:cs="Arial" w:eastAsia="Arial" w:hAnsi="Arial"/>
                <w:sz w:val="18"/>
                <w:szCs w:val="18"/>
                <w:color w:val="auto"/>
              </w:rPr>
              <w:t>With Consent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8.03</w:t>
            </w:r>
          </w:p>
        </w:tc>
        <w:tc>
          <w:tcPr>
            <w:tcW w:w="872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8.04</w:t>
            </w:r>
          </w:p>
        </w:tc>
        <w:tc>
          <w:tcPr>
            <w:tcW w:w="8720" w:type="dxa"/>
            <w:vAlign w:val="bottom"/>
          </w:tcPr>
          <w:p>
            <w:pPr>
              <w:ind w:left="100"/>
              <w:spacing w:after="0"/>
              <w:rPr>
                <w:sz w:val="20"/>
                <w:szCs w:val="20"/>
                <w:color w:val="auto"/>
              </w:rPr>
            </w:pPr>
            <w:r>
              <w:rPr>
                <w:rFonts w:ascii="Arial" w:cs="Arial" w:eastAsia="Arial" w:hAnsi="Arial"/>
                <w:sz w:val="18"/>
                <w:szCs w:val="18"/>
                <w:color w:val="auto"/>
              </w:rPr>
              <w:t>Notation on or Exchange of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8.05</w:t>
            </w:r>
          </w:p>
        </w:tc>
        <w:tc>
          <w:tcPr>
            <w:tcW w:w="8720" w:type="dxa"/>
            <w:vAlign w:val="bottom"/>
          </w:tcPr>
          <w:p>
            <w:pPr>
              <w:ind w:left="100"/>
              <w:spacing w:after="0"/>
              <w:rPr>
                <w:sz w:val="20"/>
                <w:szCs w:val="20"/>
                <w:color w:val="auto"/>
              </w:rPr>
            </w:pPr>
            <w:r>
              <w:rPr>
                <w:rFonts w:ascii="Arial" w:cs="Arial" w:eastAsia="Arial" w:hAnsi="Arial"/>
                <w:sz w:val="18"/>
                <w:szCs w:val="18"/>
                <w:color w:val="auto"/>
              </w:rPr>
              <w:t>Trustee To Sign Amendments, etc.</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080" w:type="dxa"/>
            <w:vAlign w:val="bottom"/>
          </w:tcPr>
          <w:p>
            <w:pPr>
              <w:spacing w:after="0"/>
              <w:rPr>
                <w:sz w:val="24"/>
                <w:szCs w:val="24"/>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rPr>
              <w:t>ARTICLE IX</w:t>
            </w:r>
          </w:p>
        </w:tc>
        <w:tc>
          <w:tcPr>
            <w:tcW w:w="11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w w:val="96"/>
              </w:rPr>
              <w:t>SATISFACTION AND DISCHARGE OF INDENTURE; DEFEASANCE</w:t>
            </w:r>
          </w:p>
        </w:tc>
        <w:tc>
          <w:tcPr>
            <w:tcW w:w="116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9.01</w:t>
            </w:r>
          </w:p>
        </w:tc>
        <w:tc>
          <w:tcPr>
            <w:tcW w:w="8720" w:type="dxa"/>
            <w:vAlign w:val="bottom"/>
          </w:tcPr>
          <w:p>
            <w:pPr>
              <w:ind w:left="100"/>
              <w:spacing w:after="0"/>
              <w:rPr>
                <w:sz w:val="20"/>
                <w:szCs w:val="20"/>
                <w:color w:val="auto"/>
              </w:rPr>
            </w:pPr>
            <w:r>
              <w:rPr>
                <w:rFonts w:ascii="Arial" w:cs="Arial" w:eastAsia="Arial" w:hAnsi="Arial"/>
                <w:sz w:val="18"/>
                <w:szCs w:val="18"/>
                <w:color w:val="auto"/>
              </w:rPr>
              <w:t>Satisfaction and Discharge of Liability on Notes;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9.02</w:t>
            </w:r>
          </w:p>
        </w:tc>
        <w:tc>
          <w:tcPr>
            <w:tcW w:w="8720" w:type="dxa"/>
            <w:vAlign w:val="bottom"/>
          </w:tcPr>
          <w:p>
            <w:pPr>
              <w:ind w:left="100"/>
              <w:spacing w:after="0"/>
              <w:rPr>
                <w:sz w:val="20"/>
                <w:szCs w:val="20"/>
                <w:color w:val="auto"/>
              </w:rPr>
            </w:pPr>
            <w:r>
              <w:rPr>
                <w:rFonts w:ascii="Arial" w:cs="Arial" w:eastAsia="Arial" w:hAnsi="Arial"/>
                <w:sz w:val="18"/>
                <w:szCs w:val="18"/>
                <w:color w:val="auto"/>
              </w:rPr>
              <w:t>Conditions to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8720" w:type="dxa"/>
            <w:vAlign w:val="bottom"/>
          </w:tcPr>
          <w:p>
            <w:pPr>
              <w:ind w:left="1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872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8720" w:type="dxa"/>
            <w:vAlign w:val="bottom"/>
          </w:tcPr>
          <w:p>
            <w:pPr>
              <w:ind w:left="100"/>
              <w:spacing w:after="0"/>
              <w:rPr>
                <w:sz w:val="20"/>
                <w:szCs w:val="20"/>
                <w:color w:val="auto"/>
              </w:rPr>
            </w:pPr>
            <w:r>
              <w:rPr>
                <w:rFonts w:ascii="Arial" w:cs="Arial" w:eastAsia="Arial" w:hAnsi="Arial"/>
                <w:sz w:val="18"/>
                <w:szCs w:val="18"/>
                <w:color w:val="auto"/>
              </w:rPr>
              <w:t>Moneys Held by Paying Agent</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9.06</w:t>
            </w:r>
          </w:p>
        </w:tc>
        <w:tc>
          <w:tcPr>
            <w:tcW w:w="8720" w:type="dxa"/>
            <w:vAlign w:val="bottom"/>
          </w:tcPr>
          <w:p>
            <w:pPr>
              <w:ind w:left="100"/>
              <w:spacing w:after="0"/>
              <w:rPr>
                <w:sz w:val="20"/>
                <w:szCs w:val="20"/>
                <w:color w:val="auto"/>
              </w:rPr>
            </w:pPr>
            <w:r>
              <w:rPr>
                <w:rFonts w:ascii="Arial" w:cs="Arial" w:eastAsia="Arial" w:hAnsi="Arial"/>
                <w:sz w:val="18"/>
                <w:szCs w:val="18"/>
                <w:color w:val="auto"/>
              </w:rPr>
              <w:t>Moneys Held by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080" w:type="dxa"/>
            <w:vAlign w:val="bottom"/>
          </w:tcPr>
          <w:p>
            <w:pPr>
              <w:spacing w:after="0"/>
              <w:rPr>
                <w:sz w:val="24"/>
                <w:szCs w:val="24"/>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w w:val="98"/>
              </w:rPr>
              <w:t>ARTICLE X</w:t>
            </w:r>
          </w:p>
        </w:tc>
        <w:tc>
          <w:tcPr>
            <w:tcW w:w="11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w w:val="96"/>
              </w:rPr>
              <w:t>GUARANTEES</w:t>
            </w:r>
          </w:p>
        </w:tc>
        <w:tc>
          <w:tcPr>
            <w:tcW w:w="116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10.01</w:t>
            </w:r>
          </w:p>
        </w:tc>
        <w:tc>
          <w:tcPr>
            <w:tcW w:w="8720" w:type="dxa"/>
            <w:vAlign w:val="bottom"/>
          </w:tcPr>
          <w:p>
            <w:pPr>
              <w:ind w:left="100"/>
              <w:spacing w:after="0"/>
              <w:rPr>
                <w:sz w:val="20"/>
                <w:szCs w:val="20"/>
                <w:color w:val="auto"/>
              </w:rPr>
            </w:pPr>
            <w:r>
              <w:rPr>
                <w:rFonts w:ascii="Arial" w:cs="Arial" w:eastAsia="Arial" w:hAnsi="Arial"/>
                <w:sz w:val="18"/>
                <w:szCs w:val="18"/>
                <w:color w:val="auto"/>
              </w:rPr>
              <w:t>Guarantee</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10.02</w:t>
            </w:r>
          </w:p>
        </w:tc>
        <w:tc>
          <w:tcPr>
            <w:tcW w:w="87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10.03</w:t>
            </w:r>
          </w:p>
        </w:tc>
        <w:tc>
          <w:tcPr>
            <w:tcW w:w="8720" w:type="dxa"/>
            <w:vAlign w:val="bottom"/>
          </w:tcPr>
          <w:p>
            <w:pPr>
              <w:ind w:left="100"/>
              <w:spacing w:after="0"/>
              <w:rPr>
                <w:sz w:val="20"/>
                <w:szCs w:val="20"/>
                <w:color w:val="auto"/>
              </w:rPr>
            </w:pPr>
            <w:r>
              <w:rPr>
                <w:rFonts w:ascii="Arial" w:cs="Arial" w:eastAsia="Arial" w:hAnsi="Arial"/>
                <w:sz w:val="18"/>
                <w:szCs w:val="18"/>
                <w:color w:val="auto"/>
              </w:rPr>
              <w:t>Limitation of Liability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10.04</w:t>
            </w:r>
          </w:p>
        </w:tc>
        <w:tc>
          <w:tcPr>
            <w:tcW w:w="8720" w:type="dxa"/>
            <w:vAlign w:val="bottom"/>
          </w:tcPr>
          <w:p>
            <w:pPr>
              <w:ind w:left="100"/>
              <w:spacing w:after="0"/>
              <w:rPr>
                <w:sz w:val="20"/>
                <w:szCs w:val="20"/>
                <w:color w:val="auto"/>
              </w:rPr>
            </w:pPr>
            <w:r>
              <w:rPr>
                <w:rFonts w:ascii="Arial" w:cs="Arial" w:eastAsia="Arial" w:hAnsi="Arial"/>
                <w:sz w:val="18"/>
                <w:szCs w:val="18"/>
                <w:color w:val="auto"/>
              </w:rPr>
              <w:t>Contribution</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10.05</w:t>
            </w:r>
          </w:p>
        </w:tc>
        <w:tc>
          <w:tcPr>
            <w:tcW w:w="8720" w:type="dxa"/>
            <w:vAlign w:val="bottom"/>
          </w:tcPr>
          <w:p>
            <w:pPr>
              <w:ind w:left="100"/>
              <w:spacing w:after="0"/>
              <w:rPr>
                <w:sz w:val="20"/>
                <w:szCs w:val="20"/>
                <w:color w:val="auto"/>
              </w:rPr>
            </w:pPr>
            <w:r>
              <w:rPr>
                <w:rFonts w:ascii="Arial" w:cs="Arial" w:eastAsia="Arial" w:hAnsi="Arial"/>
                <w:sz w:val="18"/>
                <w:szCs w:val="18"/>
                <w:color w:val="auto"/>
              </w:rPr>
              <w:t>Subrogation</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10.06</w:t>
            </w:r>
          </w:p>
        </w:tc>
        <w:tc>
          <w:tcPr>
            <w:tcW w:w="872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10.07</w:t>
            </w:r>
          </w:p>
        </w:tc>
        <w:tc>
          <w:tcPr>
            <w:tcW w:w="8720" w:type="dxa"/>
            <w:vAlign w:val="bottom"/>
          </w:tcPr>
          <w:p>
            <w:pPr>
              <w:ind w:left="100"/>
              <w:spacing w:after="0"/>
              <w:rPr>
                <w:sz w:val="20"/>
                <w:szCs w:val="20"/>
                <w:color w:val="auto"/>
              </w:rPr>
            </w:pPr>
            <w:r>
              <w:rPr>
                <w:rFonts w:ascii="Arial" w:cs="Arial" w:eastAsia="Arial" w:hAnsi="Arial"/>
                <w:sz w:val="18"/>
                <w:szCs w:val="18"/>
                <w:color w:val="auto"/>
              </w:rPr>
              <w:t>Release of a Guarantor</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10.08</w:t>
            </w:r>
          </w:p>
        </w:tc>
        <w:tc>
          <w:tcPr>
            <w:tcW w:w="8720" w:type="dxa"/>
            <w:vAlign w:val="bottom"/>
          </w:tcPr>
          <w:p>
            <w:pPr>
              <w:ind w:left="100"/>
              <w:spacing w:after="0"/>
              <w:rPr>
                <w:sz w:val="20"/>
                <w:szCs w:val="20"/>
                <w:color w:val="auto"/>
              </w:rPr>
            </w:pPr>
            <w:r>
              <w:rPr>
                <w:rFonts w:ascii="Arial" w:cs="Arial" w:eastAsia="Arial" w:hAnsi="Arial"/>
                <w:sz w:val="18"/>
                <w:szCs w:val="18"/>
                <w:color w:val="auto"/>
              </w:rPr>
              <w:t>Benefits Acknowledged</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65"/>
        </w:trPr>
        <w:tc>
          <w:tcPr>
            <w:tcW w:w="1080" w:type="dxa"/>
            <w:vAlign w:val="bottom"/>
          </w:tcPr>
          <w:p>
            <w:pPr>
              <w:spacing w:after="0"/>
              <w:rPr>
                <w:sz w:val="24"/>
                <w:szCs w:val="24"/>
                <w:color w:val="auto"/>
              </w:rPr>
            </w:pPr>
          </w:p>
        </w:tc>
        <w:tc>
          <w:tcPr>
            <w:tcW w:w="8720" w:type="dxa"/>
            <w:vAlign w:val="bottom"/>
          </w:tcPr>
          <w:p>
            <w:pPr>
              <w:ind w:left="4380"/>
              <w:spacing w:after="0"/>
              <w:rPr>
                <w:sz w:val="20"/>
                <w:szCs w:val="20"/>
                <w:color w:val="auto"/>
              </w:rPr>
            </w:pPr>
            <w:r>
              <w:rPr>
                <w:rFonts w:ascii="Arial" w:cs="Arial" w:eastAsia="Arial" w:hAnsi="Arial"/>
                <w:sz w:val="18"/>
                <w:szCs w:val="18"/>
                <w:color w:val="auto"/>
              </w:rPr>
              <w:t>v</w:t>
            </w:r>
          </w:p>
        </w:tc>
        <w:tc>
          <w:tcPr>
            <w:tcW w:w="116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17" w:name="page18"/>
    <w:bookmarkEnd w:id="17"/>
    <w:p>
      <w:pPr>
        <w:jc w:val="center"/>
        <w:ind w:righ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MISCELLANEOUS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11.01</w:t>
            </w:r>
          </w:p>
        </w:tc>
        <w:tc>
          <w:tcPr>
            <w:tcW w:w="7560" w:type="dxa"/>
            <w:vAlign w:val="bottom"/>
          </w:tcPr>
          <w:p>
            <w:pPr>
              <w:ind w:left="10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11.02  Certificate and Opinion as to Conditions Precedent</w:t>
            </w:r>
          </w:p>
        </w:tc>
        <w:tc>
          <w:tcPr>
            <w:tcW w:w="2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11.03  Statements Required in Certificate and Opinion</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11.04  Communications by Holders with Other 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11.05  Rules by Trustee and Agents</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11.06  No Personal Liability of Directors, Officers, Employees and Stockholders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11.07  Governing Law; Waiver of Jury Trial;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11.08  No Adverse Interpretation of Other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11.09</w:t>
            </w:r>
          </w:p>
        </w:tc>
        <w:tc>
          <w:tcPr>
            <w:tcW w:w="756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11.10</w:t>
            </w:r>
          </w:p>
        </w:tc>
        <w:tc>
          <w:tcPr>
            <w:tcW w:w="7560" w:type="dxa"/>
            <w:vAlign w:val="bottom"/>
          </w:tcPr>
          <w:p>
            <w:pPr>
              <w:ind w:left="100"/>
              <w:spacing w:after="0"/>
              <w:rPr>
                <w:sz w:val="20"/>
                <w:szCs w:val="20"/>
                <w:color w:val="auto"/>
              </w:rPr>
            </w:pPr>
            <w:r>
              <w:rPr>
                <w:rFonts w:ascii="Arial" w:cs="Arial" w:eastAsia="Arial" w:hAnsi="Arial"/>
                <w:sz w:val="18"/>
                <w:szCs w:val="18"/>
                <w:color w:val="auto"/>
              </w:rPr>
              <w:t>Separability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11.11</w:t>
            </w:r>
          </w:p>
        </w:tc>
        <w:tc>
          <w:tcPr>
            <w:tcW w:w="7560" w:type="dxa"/>
            <w:vAlign w:val="bottom"/>
          </w:tcPr>
          <w:p>
            <w:pPr>
              <w:ind w:left="100"/>
              <w:spacing w:after="0"/>
              <w:rPr>
                <w:sz w:val="20"/>
                <w:szCs w:val="20"/>
                <w:color w:val="auto"/>
              </w:rPr>
            </w:pPr>
            <w:r>
              <w:rPr>
                <w:rFonts w:ascii="Arial" w:cs="Arial" w:eastAsia="Arial" w:hAnsi="Arial"/>
                <w:sz w:val="18"/>
                <w:szCs w:val="18"/>
                <w:color w:val="auto"/>
              </w:rPr>
              <w:t>Counterpart Originals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11.12  Table of Contents, Headings, etc.</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11.13  Benefits of Indenture</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11.14</w:t>
            </w:r>
          </w:p>
        </w:tc>
        <w:tc>
          <w:tcPr>
            <w:tcW w:w="75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11.15  Conflict with Trust Indenture Act</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11.16</w:t>
            </w:r>
          </w:p>
        </w:tc>
        <w:tc>
          <w:tcPr>
            <w:tcW w:w="7560" w:type="dxa"/>
            <w:vAlign w:val="bottom"/>
          </w:tcPr>
          <w:p>
            <w:pPr>
              <w:ind w:left="100"/>
              <w:spacing w:after="0"/>
              <w:rPr>
                <w:sz w:val="20"/>
                <w:szCs w:val="20"/>
                <w:color w:val="auto"/>
              </w:rPr>
            </w:pPr>
            <w:r>
              <w:rPr>
                <w:rFonts w:ascii="Arial" w:cs="Arial" w:eastAsia="Arial" w:hAnsi="Arial"/>
                <w:sz w:val="18"/>
                <w:szCs w:val="18"/>
                <w:color w:val="auto"/>
              </w:rPr>
              <w:t>Electronic Delivery</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65"/>
        </w:trPr>
        <w:tc>
          <w:tcPr>
            <w:tcW w:w="1080" w:type="dxa"/>
            <w:vAlign w:val="bottom"/>
          </w:tcPr>
          <w:p>
            <w:pPr>
              <w:spacing w:after="0"/>
              <w:rPr>
                <w:sz w:val="24"/>
                <w:szCs w:val="24"/>
                <w:color w:val="auto"/>
              </w:rPr>
            </w:pPr>
          </w:p>
        </w:tc>
        <w:tc>
          <w:tcPr>
            <w:tcW w:w="7560" w:type="dxa"/>
            <w:vAlign w:val="bottom"/>
          </w:tcPr>
          <w:p>
            <w:pPr>
              <w:ind w:left="4360"/>
              <w:spacing w:after="0"/>
              <w:rPr>
                <w:sz w:val="20"/>
                <w:szCs w:val="20"/>
                <w:color w:val="auto"/>
              </w:rPr>
            </w:pPr>
            <w:r>
              <w:rPr>
                <w:rFonts w:ascii="Arial" w:cs="Arial" w:eastAsia="Arial" w:hAnsi="Arial"/>
                <w:sz w:val="18"/>
                <w:szCs w:val="18"/>
                <w:color w:val="auto"/>
              </w:rPr>
              <w:t>vi</w:t>
            </w:r>
          </w:p>
        </w:tc>
        <w:tc>
          <w:tcPr>
            <w:tcW w:w="232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18" w:name="page19"/>
    <w:bookmarkEnd w:id="18"/>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EXHIBITS</w:t>
      </w:r>
    </w:p>
    <w:p>
      <w:pPr>
        <w:sectPr>
          <w:pgSz w:w="11900" w:h="16838" w:orient="portrait"/>
          <w:cols w:equalWidth="0" w:num="1">
            <w:col w:w="10740"/>
          </w:cols>
          <w:pgMar w:left="440" w:top="270" w:right="719" w:bottom="1440" w:gutter="0" w:footer="0" w:header="0"/>
        </w:sectPr>
      </w:pPr>
    </w:p>
    <w:p>
      <w:pPr>
        <w:spacing w:after="0" w:line="121" w:lineRule="exact"/>
        <w:rPr>
          <w:sz w:val="20"/>
          <w:szCs w:val="20"/>
          <w:color w:val="auto"/>
        </w:rPr>
      </w:pPr>
    </w:p>
    <w:p>
      <w:pPr>
        <w:spacing w:after="0" w:line="421" w:lineRule="auto"/>
        <w:rPr>
          <w:sz w:val="20"/>
          <w:szCs w:val="20"/>
          <w:color w:val="auto"/>
        </w:rPr>
      </w:pPr>
      <w:r>
        <w:rPr>
          <w:rFonts w:ascii="Arial" w:cs="Arial" w:eastAsia="Arial" w:hAnsi="Arial"/>
          <w:sz w:val="17"/>
          <w:szCs w:val="17"/>
          <w:color w:val="auto"/>
        </w:rPr>
        <w:t>Exhibit A-1 Exhibit A-2 Exhibit A-3 Exhibit A-4 Exhibit A-5 Exhibit A-6 Exhibit B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FORM OF 1.125% SENIOR NOTES DUE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1.650% SENIOR NOTES DUE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2.300% SENIOR NOTES DUE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2.700% SENIOR NOTES DUE 2030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3.850% SENIOR NOTES DUE 2040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4.000% SENIOR NOTES DUE 2050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FORMS OF LEGEND AND ASSIGNMENT FOR 144A NOTES AND OTHER SECURITIES THAT ARE RESTRICTED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FORM OF LEGEND AND ASSIGNMENT FOR REGULATION S NOTE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LEGEND FOR GLOBAL NOTE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FORM OF CERTIFICATE TO BE DELIVERED IN CONNECTION WITH TRANSFERS PURSUANT TO REGULATION 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FROM ACQUIRING INSTITUTIONAL ACCREDITED INVESTOR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NOTATION OF GUARANTEE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MYLAN GUARANTORS SUPPLEMENTAL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ADDITIONAL GUARANTORS SUPPLEMENTAL INDENTURE</w:t>
      </w:r>
    </w:p>
    <w:p>
      <w:pPr>
        <w:spacing w:after="0" w:line="365" w:lineRule="exact"/>
        <w:rPr>
          <w:sz w:val="20"/>
          <w:szCs w:val="20"/>
          <w:color w:val="auto"/>
        </w:rPr>
      </w:pPr>
    </w:p>
    <w:p>
      <w:pPr>
        <w:sectPr>
          <w:pgSz w:w="11900" w:h="16838" w:orient="portrait"/>
          <w:cols w:equalWidth="0" w:num="2">
            <w:col w:w="860" w:space="680"/>
            <w:col w:w="9200"/>
          </w:cols>
          <w:pgMar w:left="440" w:top="270" w:right="719" w:bottom="1440" w:gutter="0" w:footer="0" w:header="0"/>
          <w:type w:val="continuous"/>
        </w:sectPr>
      </w:pP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740"/>
          </w:cols>
          <w:pgMar w:left="440" w:top="270" w:right="719" w:bottom="1440" w:gutter="0" w:footer="0" w:header="0"/>
          <w:type w:val="continuous"/>
        </w:sectPr>
      </w:pPr>
    </w:p>
    <w:bookmarkStart w:id="19" w:name="page20"/>
    <w:bookmarkEnd w:id="19"/>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June 22, 2020, between Upjohn Inc., a Delaware corporation, as issuer, and The Bank of New York Mellon, a New York banking corporation, as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1.01 Definitions.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2022 Notes</w:t>
      </w:r>
      <w:r>
        <w:rPr>
          <w:rFonts w:ascii="Arial" w:cs="Arial" w:eastAsia="Arial" w:hAnsi="Arial"/>
          <w:sz w:val="18"/>
          <w:szCs w:val="18"/>
          <w:color w:val="auto"/>
        </w:rPr>
        <w:t>” means the Initial 2022 Notes, the Exchange Notes issued in exchange for the Initial 2022 Notes and the Additional 2022 Notes, if any, issued by the Company pursuant to this Indenture.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2025 Notes</w:t>
      </w:r>
      <w:r>
        <w:rPr>
          <w:rFonts w:ascii="Arial" w:cs="Arial" w:eastAsia="Arial" w:hAnsi="Arial"/>
          <w:sz w:val="18"/>
          <w:szCs w:val="18"/>
          <w:color w:val="auto"/>
        </w:rPr>
        <w:t>” means the Initial 2025 Notes, the Exchange Notes issued in exchange for the Initial 2025 Notes and the Additional 2025 Notes, if any, issued by the Company pursuant to this Indenture.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2027 Notes</w:t>
      </w:r>
      <w:r>
        <w:rPr>
          <w:rFonts w:ascii="Arial" w:cs="Arial" w:eastAsia="Arial" w:hAnsi="Arial"/>
          <w:sz w:val="18"/>
          <w:szCs w:val="18"/>
          <w:color w:val="auto"/>
        </w:rPr>
        <w:t>” means the Initial 2027 Notes, the Exchange Notes issued in exchange for the Initial 2027 Notes and the Additional 2027 Notes, if any, issued by the Company pursuant to this Indenture.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2030 Notes</w:t>
      </w:r>
      <w:r>
        <w:rPr>
          <w:rFonts w:ascii="Arial" w:cs="Arial" w:eastAsia="Arial" w:hAnsi="Arial"/>
          <w:sz w:val="18"/>
          <w:szCs w:val="18"/>
          <w:color w:val="auto"/>
        </w:rPr>
        <w:t>” means the Initial 2030 Notes, the Exchange Notes issued in exchange for the Initial 2030 Notes and the Additional 2030 Notes, if any, issued by the Company pursuant to this Indenture.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2040 Notes</w:t>
      </w:r>
      <w:r>
        <w:rPr>
          <w:rFonts w:ascii="Arial" w:cs="Arial" w:eastAsia="Arial" w:hAnsi="Arial"/>
          <w:sz w:val="18"/>
          <w:szCs w:val="18"/>
          <w:color w:val="auto"/>
        </w:rPr>
        <w:t>” means the Initial 2040 Notes, the Exchange Notes issued in exchange for the Initial 2040 Notes and the Additional 2040 Notes, if any, issued by the Company pursuant to this Indenture.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2050 Notes</w:t>
      </w:r>
      <w:r>
        <w:rPr>
          <w:rFonts w:ascii="Arial" w:cs="Arial" w:eastAsia="Arial" w:hAnsi="Arial"/>
          <w:sz w:val="18"/>
          <w:szCs w:val="18"/>
          <w:color w:val="auto"/>
        </w:rPr>
        <w:t>” means the Initial 2050 Notes, the Exchange Notes issued in exchange for the Initial 2050 Notes and the Additional 2050 Notes, if any, issued by the Company pursuant to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Guarantors Supplemental Indenture</w:t>
      </w:r>
      <w:r>
        <w:rPr>
          <w:rFonts w:ascii="Arial" w:cs="Arial" w:eastAsia="Arial" w:hAnsi="Arial"/>
          <w:sz w:val="17"/>
          <w:szCs w:val="17"/>
          <w:color w:val="auto"/>
        </w:rPr>
        <w:t xml:space="preserve">” means a supplemental indenture substantially in the form attached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hereto.</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Interest</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or Paying Agent.</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amend, modify, supplement, restate or amend and restate, including successively; and “</w:t>
      </w:r>
      <w:r>
        <w:rPr>
          <w:rFonts w:ascii="Arial" w:cs="Arial" w:eastAsia="Arial" w:hAnsi="Arial"/>
          <w:sz w:val="18"/>
          <w:szCs w:val="18"/>
          <w:i w:val="1"/>
          <w:iCs w:val="1"/>
          <w:color w:val="auto"/>
        </w:rPr>
        <w:t>amending</w:t>
      </w:r>
      <w:r>
        <w:rPr>
          <w:rFonts w:ascii="Arial" w:cs="Arial" w:eastAsia="Arial" w:hAnsi="Arial"/>
          <w:sz w:val="18"/>
          <w:szCs w:val="18"/>
          <w:color w:val="auto"/>
        </w:rPr>
        <w:t>” and “</w:t>
      </w:r>
      <w:r>
        <w:rPr>
          <w:rFonts w:ascii="Arial" w:cs="Arial" w:eastAsia="Arial" w:hAnsi="Arial"/>
          <w:sz w:val="18"/>
          <w:szCs w:val="18"/>
          <w:i w:val="1"/>
          <w:iCs w:val="1"/>
          <w:color w:val="auto"/>
        </w:rPr>
        <w:t>amended</w:t>
      </w:r>
      <w:r>
        <w:rPr>
          <w:rFonts w:ascii="Arial" w:cs="Arial" w:eastAsia="Arial" w:hAnsi="Arial"/>
          <w:sz w:val="18"/>
          <w:szCs w:val="18"/>
          <w:color w:val="auto"/>
        </w:rPr>
        <w:t>”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Par Call Date” means,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 with respect to the 2025 Notes, the date that is 1 month prior to the maturity date for the 2025 Notes,</w:t>
      </w:r>
    </w:p>
    <w:p>
      <w:pPr>
        <w:sectPr>
          <w:pgSz w:w="11900" w:h="16838" w:orient="portrait"/>
          <w:cols w:equalWidth="0" w:num="1">
            <w:col w:w="10980"/>
          </w:cols>
          <w:pgMar w:left="440" w:top="274" w:right="479" w:bottom="1440" w:gutter="0" w:footer="0" w:header="0"/>
        </w:sectPr>
      </w:pPr>
    </w:p>
    <w:bookmarkStart w:id="20" w:name="page21"/>
    <w:bookmarkEnd w:id="20"/>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2027 Notes, the date that is 2 months prior to the maturity date for the 2027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2030 Notes, the date that is 3 months prior to the maturity date for the 2030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2040 Notes, the date that is 6 months prior to the maturity date for the 2040 Notes,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2050 Notes, the date that is 6 months prior to the maturity date for the 2050 Notes.</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Sale Leaseback Transaction results in a Capital Lease Obligation, the amount of Indebtedness represented thereby will be determined in accordance with the definition of “Capital Lease Obligations.”</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Receivables Indebtedness</w:t>
      </w:r>
      <w:r>
        <w:rPr>
          <w:rFonts w:ascii="Arial" w:cs="Arial" w:eastAsia="Arial" w:hAnsi="Arial"/>
          <w:sz w:val="18"/>
          <w:szCs w:val="18"/>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law, the Netherlands Bankruptcy Act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Faillissementswet</w:t>
      </w:r>
      <w:r>
        <w:rPr>
          <w:rFonts w:ascii="Arial" w:cs="Arial" w:eastAsia="Arial" w:hAnsi="Arial"/>
          <w:sz w:val="17"/>
          <w:szCs w:val="17"/>
          <w:color w:val="auto"/>
        </w:rPr>
        <w:t>) or law of any other jurisdiction relating to bankruptcy, insolvency, winding-up, liquidation, reorganization or relief of debtors.</w:t>
      </w:r>
    </w:p>
    <w:p>
      <w:pPr>
        <w:spacing w:after="0" w:line="22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Below Investment Grade Rating Event</w:t>
      </w:r>
      <w:r>
        <w:rPr>
          <w:rFonts w:ascii="Arial" w:cs="Arial" w:eastAsia="Arial" w:hAnsi="Arial"/>
          <w:sz w:val="16"/>
          <w:szCs w:val="16"/>
          <w:color w:val="auto"/>
        </w:rPr>
        <w:t xml:space="preserve">” means, with respect to the Notes of a series, the rating on such series of Notes is lowered in respect of a Change of Control and such series of Notes is rated below an Investment Grade Rating by each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Company shall request the Rating Agencies to make such confirmation in connection with any Change of Control and shall promptly certify to the Trustee as to whether or not such confirmation has been received or denied.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means the Business Combination Agreement, dated as of July 29, 2019, among Pfizer, the Company, Mylan N.V. and certain of their affiliates, as amended on May 29, 2020, and as further amended, restated or modified from time to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1" w:name="page22"/>
    <w:bookmarkEnd w:id="21"/>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place of payment for a series of Notes are authorized or obligated by law or executive order to close.</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Lease Obligations</w:t>
      </w:r>
      <w:r>
        <w:rPr>
          <w:rFonts w:ascii="Arial" w:cs="Arial" w:eastAsia="Arial" w:hAnsi="Arial"/>
          <w:sz w:val="17"/>
          <w:szCs w:val="17"/>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spacing w:after="0" w:line="17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Payment to Pfizer</w:t>
      </w:r>
      <w:r>
        <w:rPr>
          <w:rFonts w:ascii="Arial" w:cs="Arial" w:eastAsia="Arial" w:hAnsi="Arial"/>
          <w:sz w:val="18"/>
          <w:szCs w:val="18"/>
          <w:color w:val="auto"/>
        </w:rPr>
        <w:t>” means the cash payment by the Company of $12 billion to Pfizer as partial consideration for Pfizer’s contribution of the Upjohn Business to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 following the consummation of the Combination:</w:t>
      </w:r>
    </w:p>
    <w:p>
      <w:pPr>
        <w:spacing w:after="0" w:line="117" w:lineRule="exact"/>
        <w:rPr>
          <w:sz w:val="20"/>
          <w:szCs w:val="20"/>
          <w:color w:val="auto"/>
        </w:rPr>
      </w:pPr>
    </w:p>
    <w:p>
      <w:pPr>
        <w:ind w:left="440" w:right="200" w:firstLine="419"/>
        <w:spacing w:after="0" w:line="301" w:lineRule="auto"/>
        <w:tabs>
          <w:tab w:leader="none" w:pos="1118"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 (other than a Wholly Owned Subsidiary);</w:t>
      </w:r>
    </w:p>
    <w:p>
      <w:pPr>
        <w:spacing w:after="0" w:line="49" w:lineRule="exact"/>
        <w:rPr>
          <w:rFonts w:ascii="Arial" w:cs="Arial" w:eastAsia="Arial" w:hAnsi="Arial"/>
          <w:sz w:val="16"/>
          <w:szCs w:val="16"/>
          <w:color w:val="auto"/>
        </w:rPr>
      </w:pPr>
    </w:p>
    <w:p>
      <w:pPr>
        <w:jc w:val="both"/>
        <w:ind w:left="440" w:firstLine="419"/>
        <w:spacing w:after="0" w:line="259"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any Person or sells, assigns, conveys, transfers, leases or otherwise disposes of all or substantially all of its assets to any Person (other than a Wholly Owned Subsidiary ), or any Person consolidates with or merges with or into the Company, in any such event pursuant to a transaction in which the outstanding Voting Stock of the Company is converted into or exchanged for cash, securities or other property, other than any such transaction where:</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outstanding Voting Stock of the Company is changed into or exchanged for Voting Stock of the surviving corporation, and</w:t>
      </w:r>
    </w:p>
    <w:p>
      <w:pPr>
        <w:spacing w:after="0" w:line="140" w:lineRule="exact"/>
        <w:rPr>
          <w:rFonts w:ascii="Arial" w:cs="Arial" w:eastAsia="Arial" w:hAnsi="Arial"/>
          <w:sz w:val="16"/>
          <w:szCs w:val="16"/>
          <w:color w:val="auto"/>
        </w:rPr>
      </w:pPr>
    </w:p>
    <w:p>
      <w:pPr>
        <w:ind w:left="980" w:firstLine="408"/>
        <w:spacing w:after="0" w:line="263" w:lineRule="auto"/>
        <w:tabs>
          <w:tab w:leader="none" w:pos="163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holders of the Voting Stock of the Company immediately prior to such transaction own, directly or indirectly, not less than a majority of the Voting Stock of the Company, or the surviving corporation immediately after such transaction and in substantially the same proportion as before the transaction, or</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liquidated or dissolved or adopts a plan of liquidation or dissolution other than in a transaction which complies with the provisions described in Section 5.01;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none of the RMT Transactions shall constitute a Change of Control.</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2" w:name="page23"/>
    <w:bookmarkEnd w:id="22"/>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with respect to a series of Notes, the occurrence of a Change of Control together with a Below Investment Grade Rating Event with respect to such series of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Combination</w:t>
      </w:r>
      <w:r>
        <w:rPr>
          <w:rFonts w:ascii="Arial" w:cs="Arial" w:eastAsia="Arial" w:hAnsi="Arial"/>
          <w:sz w:val="18"/>
          <w:szCs w:val="18"/>
          <w:color w:val="auto"/>
        </w:rPr>
        <w:t>” means the combination of the Upjohn Business and Mylan N.V. pursuant to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Combination Termination Event</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Price Protection Agreement</w:t>
      </w:r>
      <w:r>
        <w:rPr>
          <w:rFonts w:ascii="Arial" w:cs="Arial" w:eastAsia="Arial" w:hAnsi="Arial"/>
          <w:sz w:val="18"/>
          <w:szCs w:val="18"/>
          <w:color w:val="auto"/>
        </w:rPr>
        <w:t>” means any forward contract, commodity swap, commodity option or other similar financial agreement or arrangement relating to, or the value of which is dependent upon, fluctuations in commodity prices.</w:t>
      </w:r>
    </w:p>
    <w:p>
      <w:pPr>
        <w:spacing w:after="0" w:line="170"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means Upjohn Inc., a Delaware corporation, until a successor replaces it in accordance with the applicable provisions of this Indenture and thereafter means the successor serving hereunder and any and all successors thereto hereunder.</w:t>
      </w:r>
    </w:p>
    <w:p>
      <w:pPr>
        <w:spacing w:after="0" w:line="14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request or order signed in the name of the Company by its chairman of the board, its chief executive officer or chief financial officer, its president or a vice president, its treasurer, an assistant treasurer, its controller, an assistant controller, its secretary or an assistant secretary, and delivered to the Trustee.</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Company’s Indenture Obligations</w:t>
      </w:r>
      <w:r>
        <w:rPr>
          <w:rFonts w:ascii="Arial" w:cs="Arial" w:eastAsia="Arial" w:hAnsi="Arial"/>
          <w:sz w:val="17"/>
          <w:szCs w:val="17"/>
          <w:color w:val="auto"/>
        </w:rPr>
        <w:t>” means, with respect to a series of the Notes, the Obligations with respect to the Notes of such series of the Company and any other obligor under this Indenture or under the Notes of such series to pay principal of, premium, if any, and interest when due and payable, and all other amounts due or to become due, under or in connection with this Indenture and the Notes of such series, and the performance of all other Obligations with respect to the Notes of such series, to the Trustee and to the Holders of the Notes of such series under this Indenture and the Notes of such series, in each case according to the respective terms thereof.</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Notes being redeemed (assuming that such Notes matured on the Applicable Par Call Date, if any, applicable thereto) that would be utilized, at the time of selection and in accordance with customary financial practice, in pricing new issues of corporate debt securities of a comparable maturity to the remaining term of such Notes (assuming that such Notes matured on the Applicable Par Call Date, if any, applicable thereto).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w:t>
      </w:r>
    </w:p>
    <w:p>
      <w:pPr>
        <w:spacing w:after="0" w:line="117" w:lineRule="exact"/>
        <w:rPr>
          <w:sz w:val="20"/>
          <w:szCs w:val="20"/>
          <w:color w:val="auto"/>
        </w:rPr>
      </w:pPr>
    </w:p>
    <w:p>
      <w:pPr>
        <w:jc w:val="both"/>
        <w:ind w:left="440" w:right="40" w:firstLine="419"/>
        <w:spacing w:after="0" w:line="342" w:lineRule="auto"/>
        <w:tabs>
          <w:tab w:leader="none" w:pos="11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average of the Reference Treasury Dealer Quotations provided to the Independent Investment Banker from four Reference Treasury Dealers selected by the Company for the Redemption Date, after excluding the highest and lowest such Reference Treasury Dealer Quotations, or</w:t>
      </w:r>
    </w:p>
    <w:p>
      <w:pPr>
        <w:spacing w:after="0" w:line="15" w:lineRule="exact"/>
        <w:rPr>
          <w:rFonts w:ascii="Arial" w:cs="Arial" w:eastAsia="Arial" w:hAnsi="Arial"/>
          <w:sz w:val="16"/>
          <w:szCs w:val="16"/>
          <w:color w:val="auto"/>
        </w:rPr>
      </w:pPr>
    </w:p>
    <w:p>
      <w:pPr>
        <w:ind w:left="440" w:right="480" w:firstLine="419"/>
        <w:spacing w:after="0" w:line="277" w:lineRule="auto"/>
        <w:tabs>
          <w:tab w:leader="none" w:pos="1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Independent Investment Banker obtains fewer than four Reference Treasury Dealer Quotations, the average of all Reference Treasury Dealer Quotations for the Redemption Date so obtained.</w:t>
      </w:r>
    </w:p>
    <w:p>
      <w:pPr>
        <w:spacing w:after="0" w:line="170"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with respect to the Company, the total amount of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the Company and its Subsidiaries.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3" w:name="page24"/>
    <w:bookmarkEnd w:id="2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Contribution</w:t>
      </w:r>
      <w:r>
        <w:rPr>
          <w:rFonts w:ascii="Arial" w:cs="Arial" w:eastAsia="Arial" w:hAnsi="Arial"/>
          <w:sz w:val="17"/>
          <w:szCs w:val="17"/>
          <w:color w:val="auto"/>
        </w:rPr>
        <w:t>” means the contribution of the Upjohn Business to the Company pursuant to the Separation and Distribution Agreement.</w:t>
      </w:r>
    </w:p>
    <w:p>
      <w:pPr>
        <w:spacing w:after="0" w:line="23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office of the Trustee at which at any particular time its corporate trust business in New York, New York shall be principally administered, which office as of the date of this Indenture is located at 240 Greenwich Street, Floor 7E, New York, New York 10286, except that with respect to presentation of Notes for payment or for registration of transfer or exchange, such term shall mean the office or agency of the Trustee at which at any particular time its corporate agency business shall be conducted, which office at the date of this Indenture is located at The Bank of New York Mellon, 111 Sanders Creek, East Syracuse, New York 13057, Attn: Corporate Trust Operations, or, in the case of any of such offices or agency, such other address as the Trustee may designate from time to time by notice to the Holders and the Company.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w:t>
      </w:r>
      <w:r>
        <w:rPr>
          <w:rFonts w:ascii="Arial" w:cs="Arial" w:eastAsia="Arial" w:hAnsi="Arial"/>
          <w:sz w:val="16"/>
          <w:szCs w:val="16"/>
          <w:color w:val="auto"/>
        </w:rPr>
        <w:t>” includes corporations, associations, companies (including any limited liability company), business trusts and limited partnerships.</w:t>
      </w:r>
    </w:p>
    <w:p>
      <w:pPr>
        <w:spacing w:after="0" w:line="24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xml:space="preserve">” means any receiver, interim receiver, receiver and manager, trustee, assignee, liquidator, custodian, </w:t>
      </w:r>
      <w:r>
        <w:rPr>
          <w:rFonts w:ascii="Arial" w:cs="Arial" w:eastAsia="Arial" w:hAnsi="Arial"/>
          <w:sz w:val="18"/>
          <w:szCs w:val="18"/>
          <w:i w:val="1"/>
          <w:iCs w:val="1"/>
          <w:color w:val="auto"/>
        </w:rPr>
        <w:t>curator</w:t>
      </w:r>
      <w:r>
        <w:rPr>
          <w:rFonts w:ascii="Arial" w:cs="Arial" w:eastAsia="Arial" w:hAnsi="Arial"/>
          <w:sz w:val="18"/>
          <w:szCs w:val="18"/>
          <w:color w:val="auto"/>
        </w:rPr>
        <w:t xml:space="preserve"> or similar official under any Bankruptcy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issued in the form of one or more Global Notes, The Depository Trust Company or another Person designated as Depositary by the Company, which Person must be a clearing agency registered under the Exchange Act.</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means the distribution by Pfizer to its stockholders of its shares of the Company’s common stock, by way of either, at Pfizer’s option, a spin-off or a split-off, pursuant to the Separation and Distribution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by the Commission thereunder.</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with respect to the Initial Notes, notes issued in exchange for the Initial Notes pursuant to the terms of the Registration Rights Agreement or, with respect to any Additional Notes, notes issued in exchange for such Additional Notes pursuant to the terms of a registration rights agreement among the Company and the initial purchasers of such Additional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4" w:name="page25"/>
    <w:bookmarkEnd w:id="24"/>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Finco</w:t>
      </w:r>
      <w:r>
        <w:rPr>
          <w:rFonts w:ascii="Arial" w:cs="Arial" w:eastAsia="Arial" w:hAnsi="Arial"/>
          <w:sz w:val="18"/>
          <w:szCs w:val="18"/>
          <w:color w:val="auto"/>
        </w:rPr>
        <w:t>” means 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Finco Indebtedness</w:t>
      </w:r>
      <w:r>
        <w:rPr>
          <w:rFonts w:ascii="Arial" w:cs="Arial" w:eastAsia="Arial" w:hAnsi="Arial"/>
          <w:sz w:val="18"/>
          <w:szCs w:val="18"/>
          <w:color w:val="auto"/>
        </w:rPr>
        <w:t>” means Indebtedness of Finco owed to a Person, other than the Company or any Subsidiary of the Company, that has an aggregate principal amount or committed amount in excess of $500.0 million.</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8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any obligation, contingent or otherwise, of any Person directly or indirectly guaranteeing any Indebtedness of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 and any obligation, direct or indirect, contingent or otherwise, of such Person:</w:t>
      </w:r>
    </w:p>
    <w:p>
      <w:pPr>
        <w:spacing w:after="0" w:line="103" w:lineRule="exact"/>
        <w:rPr>
          <w:sz w:val="20"/>
          <w:szCs w:val="20"/>
          <w:color w:val="auto"/>
        </w:rPr>
      </w:pPr>
    </w:p>
    <w:p>
      <w:pPr>
        <w:ind w:left="440" w:right="100" w:firstLine="419"/>
        <w:spacing w:after="0" w:line="263" w:lineRule="auto"/>
        <w:tabs>
          <w:tab w:leader="none" w:pos="11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entered into for the purpose of assuring in any other manner the obligee against loss in respect thereof (in whole or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term “Guarantee” shall not include:</w:t>
      </w:r>
    </w:p>
    <w:p>
      <w:pPr>
        <w:spacing w:after="0" w:line="117" w:lineRule="exact"/>
        <w:rPr>
          <w:sz w:val="20"/>
          <w:szCs w:val="20"/>
          <w:color w:val="auto"/>
        </w:rPr>
      </w:pPr>
    </w:p>
    <w:p>
      <w:pPr>
        <w:ind w:left="1120" w:hanging="261"/>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contractual commitment by one Person to invest in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Guarantee</w:t>
      </w:r>
      <w:r>
        <w:rPr>
          <w:rFonts w:ascii="Arial" w:cs="Arial" w:eastAsia="Arial" w:hAnsi="Arial"/>
          <w:sz w:val="17"/>
          <w:szCs w:val="17"/>
          <w:color w:val="auto"/>
        </w:rPr>
        <w:t>” used as a verb has a corresponding meaning. The term “</w:t>
      </w:r>
      <w:r>
        <w:rPr>
          <w:rFonts w:ascii="Arial" w:cs="Arial" w:eastAsia="Arial" w:hAnsi="Arial"/>
          <w:sz w:val="17"/>
          <w:szCs w:val="17"/>
          <w:i w:val="1"/>
          <w:iCs w:val="1"/>
          <w:color w:val="auto"/>
        </w:rPr>
        <w:t>Guarantor</w:t>
      </w:r>
      <w:r>
        <w:rPr>
          <w:rFonts w:ascii="Arial" w:cs="Arial" w:eastAsia="Arial" w:hAnsi="Arial"/>
          <w:sz w:val="17"/>
          <w:szCs w:val="17"/>
          <w:color w:val="auto"/>
        </w:rPr>
        <w:t>” means Pfizer, the Mylan Guarantors and any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Subsidiary of the Company that Guarantees the Company’s Indenture Obligations from time to time, in each case during such periods that such entity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Guarantees the Company’s Indenture Obligations in accordance with the terms of this Indenture and the Guarantee Agreement, as applicable.</w:t>
      </w:r>
    </w:p>
    <w:p>
      <w:pPr>
        <w:spacing w:after="0" w:line="22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Agreement</w:t>
      </w:r>
      <w:r>
        <w:rPr>
          <w:rFonts w:ascii="Arial" w:cs="Arial" w:eastAsia="Arial" w:hAnsi="Arial"/>
          <w:sz w:val="18"/>
          <w:szCs w:val="18"/>
          <w:color w:val="auto"/>
        </w:rPr>
        <w:t>” means the guarantee agreement of Pfizer in favor of the Trustee and the Holders of each series of the Notes, dated as of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5" w:name="page26"/>
    <w:bookmarkEnd w:id="25"/>
    <w:p>
      <w:pPr>
        <w:ind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pursuant to any Interest Rate Agreement, Currency Agreement, Commodity Price Protection Agreement or any other similar agreement or arrangement.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Note is registered on the Note register.</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means issue, assume, Guarantee, incur or otherwise become liable for. The term “</w:t>
      </w:r>
      <w:r>
        <w:rPr>
          <w:rFonts w:ascii="Arial" w:cs="Arial" w:eastAsia="Arial" w:hAnsi="Arial"/>
          <w:sz w:val="18"/>
          <w:szCs w:val="18"/>
          <w:i w:val="1"/>
          <w:iCs w:val="1"/>
          <w:color w:val="auto"/>
        </w:rPr>
        <w:t>Incurrence</w:t>
      </w:r>
      <w:r>
        <w:rPr>
          <w:rFonts w:ascii="Arial" w:cs="Arial" w:eastAsia="Arial" w:hAnsi="Arial"/>
          <w:sz w:val="18"/>
          <w:szCs w:val="18"/>
          <w:color w:val="auto"/>
        </w:rPr>
        <w:t>” when used as a noun has a correlative meaning.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on any date of determination (without duplication):</w:t>
      </w:r>
    </w:p>
    <w:p>
      <w:pPr>
        <w:spacing w:after="0" w:line="117" w:lineRule="exact"/>
        <w:rPr>
          <w:sz w:val="20"/>
          <w:szCs w:val="20"/>
          <w:color w:val="auto"/>
        </w:rPr>
      </w:pPr>
    </w:p>
    <w:p>
      <w:pPr>
        <w:jc w:val="both"/>
        <w:ind w:left="440" w:right="22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Capital Lease Obligations of such Person and all Attributable Debt in respect of Sale Leaseback Transactions entered into by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jc w:val="both"/>
        <w:ind w:left="440" w:right="48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75" w:lineRule="exact"/>
        <w:rPr>
          <w:rFonts w:ascii="Arial" w:cs="Arial" w:eastAsia="Arial" w:hAnsi="Arial"/>
          <w:sz w:val="18"/>
          <w:szCs w:val="18"/>
          <w:color w:val="auto"/>
        </w:rPr>
      </w:pPr>
    </w:p>
    <w:p>
      <w:pPr>
        <w:ind w:left="440" w:right="80" w:firstLine="419"/>
        <w:spacing w:after="0" w:line="279" w:lineRule="auto"/>
        <w:tabs>
          <w:tab w:leader="none" w:pos="11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Hedging Obligations of such Person;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Attributable Receivables Indebtedness;</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75" w:lineRule="exact"/>
        <w:rPr>
          <w:rFonts w:ascii="Arial" w:cs="Arial" w:eastAsia="Arial" w:hAnsi="Arial"/>
          <w:sz w:val="18"/>
          <w:szCs w:val="18"/>
          <w:color w:val="auto"/>
        </w:rPr>
      </w:pPr>
    </w:p>
    <w:p>
      <w:pPr>
        <w:jc w:val="both"/>
        <w:ind w:left="440" w:right="14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Notwithstanding the foregoing, in connection with the purchase by the Company or any Subsidiary of the Company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of closing, the amount of any such payment is not determinable and, to the extent such payment thereafter becomes fixed and determined, the amount is paid within 60 days thereafter.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6" w:name="page27"/>
    <w:bookmarkEnd w:id="26"/>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amount of Indebtedness of any Person at any date shall be the outstanding balance at such date of all obligations as described above;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Indebtedness sold at a discount, the amount of such Indebtedness at any time will be the accreted value thereof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in accordance with its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the Company.</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2022 Notes</w:t>
      </w:r>
      <w:r>
        <w:rPr>
          <w:rFonts w:ascii="Arial" w:cs="Arial" w:eastAsia="Arial" w:hAnsi="Arial"/>
          <w:sz w:val="18"/>
          <w:szCs w:val="18"/>
          <w:color w:val="auto"/>
        </w:rPr>
        <w:t>” means the $1,000,000,000 aggregate principal amount of the 1.125% Senior Notes due 2022 of the Company issued under this Indenture on the Issue Date.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2025 Notes</w:t>
      </w:r>
      <w:r>
        <w:rPr>
          <w:rFonts w:ascii="Arial" w:cs="Arial" w:eastAsia="Arial" w:hAnsi="Arial"/>
          <w:sz w:val="18"/>
          <w:szCs w:val="18"/>
          <w:color w:val="auto"/>
        </w:rPr>
        <w:t>” means the $750,000,000 aggregate principal amount of the 1.650% Senior Notes due 2025 of the Company issued under this Indenture on the Issue Date.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2027 Notes</w:t>
      </w:r>
      <w:r>
        <w:rPr>
          <w:rFonts w:ascii="Arial" w:cs="Arial" w:eastAsia="Arial" w:hAnsi="Arial"/>
          <w:sz w:val="18"/>
          <w:szCs w:val="18"/>
          <w:color w:val="auto"/>
        </w:rPr>
        <w:t>” means the $750,000,000 aggregate principal amount of the 2.300% Senior Notes due 2027 of the Company issued under this Indenture on the Issue Date.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2030 Notes</w:t>
      </w:r>
      <w:r>
        <w:rPr>
          <w:rFonts w:ascii="Arial" w:cs="Arial" w:eastAsia="Arial" w:hAnsi="Arial"/>
          <w:sz w:val="18"/>
          <w:szCs w:val="18"/>
          <w:color w:val="auto"/>
        </w:rPr>
        <w:t>” means the $1,450,000,000 aggregate principal amount of the 2.700% Senior Notes due 2030 of the Company issued under this Indenture on the Issue Date.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2040 Notes</w:t>
      </w:r>
      <w:r>
        <w:rPr>
          <w:rFonts w:ascii="Arial" w:cs="Arial" w:eastAsia="Arial" w:hAnsi="Arial"/>
          <w:sz w:val="18"/>
          <w:szCs w:val="18"/>
          <w:color w:val="auto"/>
        </w:rPr>
        <w:t>” means the $1,500,000,000 aggregate principal amount of the 3.850% Senior Notes due 2040 of the Company issued under this Indenture on the Issue Date.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2050 Notes</w:t>
      </w:r>
      <w:r>
        <w:rPr>
          <w:rFonts w:ascii="Arial" w:cs="Arial" w:eastAsia="Arial" w:hAnsi="Arial"/>
          <w:sz w:val="18"/>
          <w:szCs w:val="18"/>
          <w:color w:val="auto"/>
        </w:rPr>
        <w:t>” means the $2,000,000,000 aggregate principal amount of the 4.000% Senior Notes due 2050 of the Company issued under this Indenture on the Issue Date.</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collectively, the Initial 2022 Notes, the Initial 2025 Notes, the Initial 2027 Notes, the Initial 2030 Notes, the Initial 2040 Notes and the Initial 2050 Notes.</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and is not also a QIB.</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and Additional Interest.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June 22 or December 22 of each year, as applicable.</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 Agreement</w:t>
      </w:r>
      <w:r>
        <w:rPr>
          <w:rFonts w:ascii="Arial" w:cs="Arial" w:eastAsia="Arial" w:hAnsi="Arial"/>
          <w:sz w:val="18"/>
          <w:szCs w:val="18"/>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w:t>
      </w:r>
      <w:r>
        <w:rPr>
          <w:rFonts w:ascii="Arial" w:cs="Arial" w:eastAsia="Arial" w:hAnsi="Arial"/>
          <w:sz w:val="18"/>
          <w:szCs w:val="18"/>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88"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(i) with respect to Moody’s, a rating equal to or higher than Baa3 (or the equivalent), and (ii) with respect to S&amp;P,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Initial Notes are initially issued.</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when used with respect to any Note, means the date on which the principal amount of such Note becomes due and payable as therein or herein provided.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Guarantors</w:t>
      </w:r>
      <w:r>
        <w:rPr>
          <w:rFonts w:ascii="Arial" w:cs="Arial" w:eastAsia="Arial" w:hAnsi="Arial"/>
          <w:sz w:val="18"/>
          <w:szCs w:val="18"/>
          <w:color w:val="auto"/>
        </w:rPr>
        <w:t>” means each Subsidiary of the Company, including Mylan Inc., that, following the assumption of the obligations of Mylan N.V., as issuer or guarantor of the Mylan Notes, as applicable, by one or more Subsidiaries of the Company, as successor to Mylan N.V. for purposes of such Mylan Notes, is an issuer or guarantor of any Mylan Notes.</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Guarantors Supplemental Indenture</w:t>
      </w:r>
      <w:r>
        <w:rPr>
          <w:rFonts w:ascii="Arial" w:cs="Arial" w:eastAsia="Arial" w:hAnsi="Arial"/>
          <w:sz w:val="18"/>
          <w:szCs w:val="18"/>
          <w:color w:val="auto"/>
        </w:rPr>
        <w:t xml:space="preserve">” means one or more supplemental indentures, substantially in the form attached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pursuant to which the Mylan Guarantors will become Guarantors of the Company’s Indenture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Inc.</w:t>
      </w:r>
      <w:r>
        <w:rPr>
          <w:rFonts w:ascii="Arial" w:cs="Arial" w:eastAsia="Arial" w:hAnsi="Arial"/>
          <w:sz w:val="18"/>
          <w:szCs w:val="18"/>
          <w:color w:val="auto"/>
        </w:rPr>
        <w:t>” means Mylan Inc., a Pennsylvania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Indentures</w:t>
      </w:r>
      <w:r>
        <w:rPr>
          <w:rFonts w:ascii="Arial" w:cs="Arial" w:eastAsia="Arial" w:hAnsi="Arial"/>
          <w:sz w:val="18"/>
          <w:szCs w:val="18"/>
          <w:color w:val="auto"/>
        </w:rPr>
        <w:t>” means the following:</w:t>
      </w:r>
    </w:p>
    <w:p>
      <w:pPr>
        <w:spacing w:after="0" w:line="117" w:lineRule="exact"/>
        <w:rPr>
          <w:sz w:val="20"/>
          <w:szCs w:val="20"/>
          <w:color w:val="auto"/>
        </w:rPr>
      </w:pPr>
    </w:p>
    <w:p>
      <w:pPr>
        <w:ind w:left="440" w:right="48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Indenture dated as of December 21, 2012, among Mylan Inc., as issuer, the subsidiaries party thereto, and The Bank of New York Mellon, as trustee;</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128" w:lineRule="exact"/>
        <w:rPr>
          <w:rFonts w:ascii="Arial" w:cs="Arial" w:eastAsia="Arial" w:hAnsi="Arial"/>
          <w:sz w:val="17"/>
          <w:szCs w:val="17"/>
          <w:color w:val="auto"/>
        </w:rPr>
      </w:pPr>
    </w:p>
    <w:p>
      <w:pPr>
        <w:ind w:left="44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28" w:name="page29"/>
    <w:bookmarkEnd w:id="28"/>
    <w:p>
      <w:pPr>
        <w:ind w:left="1120" w:hanging="261"/>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December 9, 2015, among Mylan N.V., as issuer, Mylan Inc., as guarantor, and The Bank of New York Mellon, as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Indenture dated as of June 9, 2016, among Mylan N.V., as issuer, Mylan Inc., as guarantor, and The Bank of New York Mellon, as</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trustee;</w:t>
      </w:r>
    </w:p>
    <w:p>
      <w:pPr>
        <w:spacing w:after="0" w:line="102" w:lineRule="exact"/>
        <w:rPr>
          <w:rFonts w:ascii="Arial" w:cs="Arial" w:eastAsia="Arial" w:hAnsi="Arial"/>
          <w:sz w:val="17"/>
          <w:szCs w:val="17"/>
          <w:color w:val="auto"/>
        </w:rPr>
      </w:pPr>
    </w:p>
    <w:p>
      <w:pPr>
        <w:ind w:left="1200" w:hanging="341"/>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Indenture dated as of November 22, 2016, among Mylan N.V., as issuer, Mylan Inc., as guarantor, and Citibank, N.A., London Branch,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as trustee;</w:t>
      </w:r>
    </w:p>
    <w:p>
      <w:pPr>
        <w:spacing w:after="0" w:line="102" w:lineRule="exact"/>
        <w:rPr>
          <w:rFonts w:ascii="Arial" w:cs="Arial" w:eastAsia="Arial" w:hAnsi="Arial"/>
          <w:sz w:val="16"/>
          <w:szCs w:val="16"/>
          <w:color w:val="auto"/>
        </w:rPr>
      </w:pPr>
    </w:p>
    <w:p>
      <w:pPr>
        <w:ind w:left="440" w:right="480" w:firstLine="419"/>
        <w:spacing w:after="0" w:line="277" w:lineRule="auto"/>
        <w:tabs>
          <w:tab w:leader="none" w:pos="12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Indenture dated as of April 9, 2018, by and between Mylan Inc., as issuer, Mylan N.V., as guarantor, and The Bank of New York Mellon, as trustee; and</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Indenture dated as of May 23, 2018, by and between Mylan Inc., as issuer, Mylan N.V., as guarantor, and Citibank, N.A., London Branch, as trustee.</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Notes</w:t>
      </w:r>
      <w:r>
        <w:rPr>
          <w:rFonts w:ascii="Arial" w:cs="Arial" w:eastAsia="Arial" w:hAnsi="Arial"/>
          <w:sz w:val="18"/>
          <w:szCs w:val="18"/>
          <w:color w:val="auto"/>
        </w:rPr>
        <w:t>” means any senior notes issued by Mylan N.V. and Mylan Inc., as applicable, under the Mylan Indentures and that remain outstanding upon the consummation of the Combination.</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N.V.</w:t>
      </w:r>
      <w:r>
        <w:rPr>
          <w:rFonts w:ascii="Arial" w:cs="Arial" w:eastAsia="Arial" w:hAnsi="Arial"/>
          <w:sz w:val="18"/>
          <w:szCs w:val="18"/>
          <w:color w:val="auto"/>
        </w:rPr>
        <w:t>” means Mylan N.V.,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incorporated and existing under the laws of the Netherlands.</w:t>
      </w:r>
    </w:p>
    <w:p>
      <w:pPr>
        <w:spacing w:after="0" w:line="170"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Newco Revolving Credit Agreement</w:t>
      </w:r>
      <w:r>
        <w:rPr>
          <w:rFonts w:ascii="Arial" w:cs="Arial" w:eastAsia="Arial" w:hAnsi="Arial"/>
          <w:sz w:val="16"/>
          <w:szCs w:val="16"/>
          <w:color w:val="auto"/>
        </w:rPr>
        <w:t>” means the Revolving Credit Agreement, dated as of June 16, 2020, among the Company, the guarantors from time to time party thereto, the lenders and issuing banks from time to time party thereto and Bank of America, N.A., as administrative agent, in whole or in part, in one or more instances, as such agreement may be amended, renewed, extended, substituted, refinanced, restructured, replaced (whether or not upon termination, and whether with the original lenders or otherwise), supplemented or otherwise modified from time to time (including, in each case, by means of one or more credit agreements, note purchase agreements or sales of debt securities to institutional investors whether with the original agents and lenders or otherwise and including, without limitation, any successive renewals, extensions, substitutions, refinancings, restructurings, replacements, supplementations or other modifications of the foregoing).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Notation of Guarantee</w:t>
      </w:r>
      <w:r>
        <w:rPr>
          <w:rFonts w:ascii="Arial" w:cs="Arial" w:eastAsia="Arial" w:hAnsi="Arial"/>
          <w:sz w:val="18"/>
          <w:szCs w:val="18"/>
          <w:color w:val="auto"/>
        </w:rPr>
        <w:t xml:space="preserve">” means a notation of guarantee substantially in the form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collectively, the 2022 Notes, the 2025 Notes, the 2027 Notes, the 2030 Notes, the 2040 Notes and the 2050 Notes.</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of the Company, dated June 17, 2020, related to the offering of the Notes and related Guarantees.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the president, the chief financial officer or any vice president, the treasurer or the secretary of the specified Person.</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the chairman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29" w:name="page30"/>
    <w:bookmarkEnd w:id="29"/>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delivered to the Trustee. The counsel may be an employee of or counsel to the Company, any Subsidiary of the Company or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Broker-Dealer</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40" w:firstLine="419"/>
        <w:spacing w:after="0" w:line="275" w:lineRule="auto"/>
        <w:tabs>
          <w:tab w:leader="none" w:pos="1118" w:val="left"/>
        </w:tabs>
        <w:numPr>
          <w:ilvl w:val="0"/>
          <w:numId w:val="16"/>
        </w:numPr>
        <w:rPr>
          <w:rFonts w:ascii="Arial" w:cs="Arial" w:eastAsia="Arial" w:hAnsi="Arial"/>
          <w:sz w:val="17"/>
          <w:szCs w:val="17"/>
          <w:color w:val="auto"/>
        </w:rPr>
      </w:pPr>
      <w:r>
        <w:rPr>
          <w:rFonts w:ascii="Arial" w:cs="Arial" w:eastAsia="Arial" w:hAnsi="Arial"/>
          <w:sz w:val="17"/>
          <w:szCs w:val="17"/>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w:t>
      </w:r>
    </w:p>
    <w:p>
      <w:pPr>
        <w:spacing w:after="0" w:line="68" w:lineRule="exact"/>
        <w:rPr>
          <w:rFonts w:ascii="Arial" w:cs="Arial" w:eastAsia="Arial" w:hAnsi="Arial"/>
          <w:sz w:val="17"/>
          <w:szCs w:val="17"/>
          <w:color w:val="auto"/>
        </w:rPr>
      </w:pPr>
    </w:p>
    <w:p>
      <w:pPr>
        <w:ind w:left="440" w:right="120" w:firstLine="419"/>
        <w:spacing w:after="0" w:line="291" w:lineRule="auto"/>
        <w:tabs>
          <w:tab w:leader="none" w:pos="1118"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deposit account is not a dedicated cash collateral account and is not subject to restrictions against access by the Company in excess of those set forth by regulations promulgated by the Federal Reserve Board and (B) such deposit account is not intended by the Company or any Subsidiary of the Company to provide collateral to the depositary institution;</w:t>
      </w:r>
    </w:p>
    <w:p>
      <w:pPr>
        <w:spacing w:after="0" w:line="58" w:lineRule="exact"/>
        <w:rPr>
          <w:rFonts w:ascii="Arial" w:cs="Arial" w:eastAsia="Arial" w:hAnsi="Arial"/>
          <w:sz w:val="16"/>
          <w:szCs w:val="16"/>
          <w:color w:val="auto"/>
        </w:rPr>
      </w:pPr>
    </w:p>
    <w:p>
      <w:pPr>
        <w:ind w:left="440" w:right="60" w:firstLine="419"/>
        <w:spacing w:after="0" w:line="27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claims, in each case not yet subject to penalties for non-payment or which are being contested in good faith by appropriate proceedings;</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in favor of issuers of performance and surety bonds or bid bonds or letters of credit issued pursuant to the request of and for the account of such Person in the ordinary course of its business;</w:t>
      </w:r>
    </w:p>
    <w:p>
      <w:pPr>
        <w:spacing w:after="0" w:line="62" w:lineRule="exact"/>
        <w:rPr>
          <w:rFonts w:ascii="Arial" w:cs="Arial" w:eastAsia="Arial" w:hAnsi="Arial"/>
          <w:sz w:val="18"/>
          <w:szCs w:val="18"/>
          <w:color w:val="auto"/>
        </w:rPr>
      </w:pPr>
    </w:p>
    <w:p>
      <w:pPr>
        <w:ind w:left="440" w:right="420" w:firstLine="419"/>
        <w:spacing w:after="0" w:line="25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w:t>
      </w:r>
    </w:p>
    <w:p>
      <w:pPr>
        <w:spacing w:after="0" w:line="79"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securing Indebtedness Incurred after the Issue Date in respect of Purchase Money Indebtedness and refinancing Indebtedness in respect thereof;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ind w:left="440" w:right="360" w:firstLine="419"/>
        <w:spacing w:after="0" w:line="263"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Liens on property or shares of Capital Stock of another Person at the time such other Person becomes a Subsidiary of such Person;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Liens may not extend to any other property owned by such Person or any of its Subsidiaries (other than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affixed or appurtenant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0" w:name="page31"/>
    <w:bookmarkEnd w:id="30"/>
    <w:p>
      <w:pPr>
        <w:ind w:firstLine="419"/>
        <w:spacing w:after="0" w:line="286" w:lineRule="auto"/>
        <w:tabs>
          <w:tab w:leader="none" w:pos="678"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on property at the time such Person or any of its Subsidiaries acquires the property, including any acquisition by means of a merger or consolidation with or into such Person or a Subsidiary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Liens may not extend to any other property owned by such Person or any of its Subsidiaries (other than assets and property affixed or appurtenant thereto);</w:t>
      </w:r>
    </w:p>
    <w:p>
      <w:pPr>
        <w:spacing w:after="0" w:line="57" w:lineRule="exact"/>
        <w:rPr>
          <w:rFonts w:ascii="Arial" w:cs="Arial" w:eastAsia="Arial" w:hAnsi="Arial"/>
          <w:sz w:val="17"/>
          <w:szCs w:val="17"/>
          <w:color w:val="auto"/>
        </w:rPr>
      </w:pPr>
    </w:p>
    <w:p>
      <w:pPr>
        <w:ind w:right="10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Subsidiary of such Person owing to such Person or a wholly-owned subsidiary of such Person;</w:t>
      </w:r>
    </w:p>
    <w:p>
      <w:pPr>
        <w:spacing w:after="0" w:line="62" w:lineRule="exact"/>
        <w:rPr>
          <w:rFonts w:ascii="Arial" w:cs="Arial" w:eastAsia="Arial" w:hAnsi="Arial"/>
          <w:sz w:val="18"/>
          <w:szCs w:val="18"/>
          <w:color w:val="auto"/>
        </w:rPr>
      </w:pPr>
    </w:p>
    <w:p>
      <w:pPr>
        <w:ind w:right="100" w:firstLine="419"/>
        <w:spacing w:after="0" w:line="263" w:lineRule="auto"/>
        <w:tabs>
          <w:tab w:leader="none" w:pos="7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Hedging Obligations so long as such Hedging Obligations are not entered into for speculative purposes, it being understood that any Hedging Obligations entered into in connection with the issuance of the Company’s or any of its Subsidiaries’ outstanding or future Indebtedness shall not be considered speculative;</w:t>
      </w:r>
    </w:p>
    <w:p>
      <w:pPr>
        <w:spacing w:after="0" w:line="75" w:lineRule="exact"/>
        <w:rPr>
          <w:rFonts w:ascii="Arial" w:cs="Arial" w:eastAsia="Arial" w:hAnsi="Arial"/>
          <w:sz w:val="18"/>
          <w:szCs w:val="18"/>
          <w:color w:val="auto"/>
        </w:rPr>
      </w:pPr>
    </w:p>
    <w:p>
      <w:pPr>
        <w:ind w:right="52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on accounts receivable and related assets of the types specified in the definition of “Qualified Receivables Transaction” incurred in connection with a Qualified Receivables Transaction;</w:t>
      </w:r>
    </w:p>
    <w:p>
      <w:pPr>
        <w:spacing w:after="0" w:line="62" w:lineRule="exact"/>
        <w:rPr>
          <w:rFonts w:ascii="Arial" w:cs="Arial" w:eastAsia="Arial" w:hAnsi="Arial"/>
          <w:sz w:val="18"/>
          <w:szCs w:val="18"/>
          <w:color w:val="auto"/>
        </w:rPr>
      </w:pPr>
    </w:p>
    <w:p>
      <w:pPr>
        <w:ind w:right="28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Liens in favor of the Company or any Guarantor and (b) Liens on the property of any Subsidiary of the Company in favor of any other Subsidiary of the Company;</w:t>
      </w:r>
    </w:p>
    <w:p>
      <w:pPr>
        <w:spacing w:after="0" w:line="62" w:lineRule="exact"/>
        <w:rPr>
          <w:rFonts w:ascii="Arial" w:cs="Arial" w:eastAsia="Arial" w:hAnsi="Arial"/>
          <w:sz w:val="18"/>
          <w:szCs w:val="18"/>
          <w:color w:val="auto"/>
        </w:rPr>
      </w:pPr>
    </w:p>
    <w:p>
      <w:pPr>
        <w:ind w:right="80" w:firstLine="419"/>
        <w:spacing w:after="0" w:line="308" w:lineRule="auto"/>
        <w:tabs>
          <w:tab w:leader="none" w:pos="7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leases, subleases, licenses or sublicenses granted to third parties entered into in the ordinary course of business which do not materially interfere with the conduct of the business of the Company and its Subsidiaries and which do not secure any Indebtedness;</w:t>
      </w:r>
    </w:p>
    <w:p>
      <w:pPr>
        <w:spacing w:after="0" w:line="38" w:lineRule="exact"/>
        <w:rPr>
          <w:rFonts w:ascii="Arial" w:cs="Arial" w:eastAsia="Arial" w:hAnsi="Arial"/>
          <w:sz w:val="17"/>
          <w:szCs w:val="17"/>
          <w:color w:val="auto"/>
        </w:rPr>
      </w:pPr>
    </w:p>
    <w:p>
      <w:pPr>
        <w:ind w:right="60" w:firstLine="419"/>
        <w:spacing w:after="0" w:line="259"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judgments, decrees, orders or awards for the payment of money not constituting an Event of Default in respect of which the Company or any of its Subsidiaries shall in good faith be prosecuting an appeal or proceedings for review, which appeal or proceedings shall not have been finally terminated, or in respect of which the period within which such appeal or proceedings may be initiated shall not have expired;</w:t>
      </w:r>
    </w:p>
    <w:p>
      <w:pPr>
        <w:spacing w:after="0" w:line="78" w:lineRule="exact"/>
        <w:rPr>
          <w:rFonts w:ascii="Arial" w:cs="Arial" w:eastAsia="Arial" w:hAnsi="Arial"/>
          <w:sz w:val="18"/>
          <w:szCs w:val="18"/>
          <w:color w:val="auto"/>
        </w:rPr>
      </w:pPr>
    </w:p>
    <w:p>
      <w:pPr>
        <w:ind w:left="760" w:hanging="341"/>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 respect to the Notes of any series, Liens created for the benefit of (or to secure) the Notes of such series (or the Guarantees);</w:t>
      </w:r>
    </w:p>
    <w:p>
      <w:pPr>
        <w:spacing w:after="0" w:line="128" w:lineRule="exact"/>
        <w:rPr>
          <w:rFonts w:ascii="Arial" w:cs="Arial" w:eastAsia="Arial" w:hAnsi="Arial"/>
          <w:sz w:val="17"/>
          <w:szCs w:val="17"/>
          <w:color w:val="auto"/>
        </w:rPr>
      </w:pPr>
    </w:p>
    <w:p>
      <w:pPr>
        <w:ind w:right="320" w:firstLine="419"/>
        <w:spacing w:after="0" w:line="263"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right="2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Company or any Subsidiary of the Company in the ordinary course of business;</w:t>
      </w:r>
    </w:p>
    <w:p>
      <w:pPr>
        <w:spacing w:after="0" w:line="62" w:lineRule="exact"/>
        <w:rPr>
          <w:rFonts w:ascii="Arial" w:cs="Arial" w:eastAsia="Arial" w:hAnsi="Arial"/>
          <w:sz w:val="18"/>
          <w:szCs w:val="18"/>
          <w:color w:val="auto"/>
        </w:rPr>
      </w:pPr>
    </w:p>
    <w:p>
      <w:pPr>
        <w:ind w:right="6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right="120" w:firstLine="419"/>
        <w:spacing w:after="0" w:line="263"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New York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75" w:lineRule="exact"/>
        <w:rPr>
          <w:rFonts w:ascii="Arial" w:cs="Arial" w:eastAsia="Arial" w:hAnsi="Arial"/>
          <w:sz w:val="18"/>
          <w:szCs w:val="18"/>
          <w:color w:val="auto"/>
        </w:rPr>
      </w:pPr>
    </w:p>
    <w:p>
      <w:pPr>
        <w:ind w:left="760" w:hanging="341"/>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to secure liability to insurance carriers;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31" w:name="page32"/>
    <w:bookmarkEnd w:id="31"/>
    <w:p>
      <w:pPr>
        <w:ind w:left="760" w:hanging="34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grants of software and other technology licenses in the ordinary course of business;</w:t>
      </w:r>
    </w:p>
    <w:p>
      <w:pPr>
        <w:spacing w:after="0" w:line="117" w:lineRule="exact"/>
        <w:rPr>
          <w:rFonts w:ascii="Arial" w:cs="Arial" w:eastAsia="Arial" w:hAnsi="Arial"/>
          <w:sz w:val="18"/>
          <w:szCs w:val="18"/>
          <w:color w:val="auto"/>
        </w:rPr>
      </w:pPr>
    </w:p>
    <w:p>
      <w:pPr>
        <w:ind w:right="8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equipment of the Company or any Subsidiary of the Company granted in the ordinary course of business to the Company’s or such Subsidiary’s supplier at which such equipment is located;</w:t>
      </w:r>
    </w:p>
    <w:p>
      <w:pPr>
        <w:spacing w:after="0" w:line="62" w:lineRule="exact"/>
        <w:rPr>
          <w:rFonts w:ascii="Arial" w:cs="Arial" w:eastAsia="Arial" w:hAnsi="Arial"/>
          <w:sz w:val="18"/>
          <w:szCs w:val="18"/>
          <w:color w:val="auto"/>
        </w:rPr>
      </w:pPr>
    </w:p>
    <w:p>
      <w:pPr>
        <w:ind w:right="20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Company and its Subsidiaries in the ordinary course of business;</w:t>
      </w:r>
    </w:p>
    <w:p>
      <w:pPr>
        <w:spacing w:after="0" w:line="62" w:lineRule="exact"/>
        <w:rPr>
          <w:rFonts w:ascii="Arial" w:cs="Arial" w:eastAsia="Arial" w:hAnsi="Arial"/>
          <w:sz w:val="18"/>
          <w:szCs w:val="18"/>
          <w:color w:val="auto"/>
        </w:rPr>
      </w:pPr>
    </w:p>
    <w:p>
      <w:pPr>
        <w:ind w:right="50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incurred to secure cash management services or to implement cash pooling or sweep arrangements to permit satisfaction of overdraft or similar obligations in the ordinary course of business;</w:t>
      </w:r>
    </w:p>
    <w:p>
      <w:pPr>
        <w:spacing w:after="0" w:line="62" w:lineRule="exact"/>
        <w:rPr>
          <w:rFonts w:ascii="Arial" w:cs="Arial" w:eastAsia="Arial" w:hAnsi="Arial"/>
          <w:sz w:val="18"/>
          <w:szCs w:val="18"/>
          <w:color w:val="auto"/>
        </w:rPr>
      </w:pPr>
    </w:p>
    <w:p>
      <w:pPr>
        <w:ind w:right="140" w:firstLine="419"/>
        <w:spacing w:after="0" w:line="263"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w:t>
      </w:r>
    </w:p>
    <w:p>
      <w:pPr>
        <w:spacing w:after="0" w:line="75" w:lineRule="exact"/>
        <w:rPr>
          <w:rFonts w:ascii="Arial" w:cs="Arial" w:eastAsia="Arial" w:hAnsi="Arial"/>
          <w:sz w:val="18"/>
          <w:szCs w:val="18"/>
          <w:color w:val="auto"/>
        </w:rPr>
      </w:pPr>
    </w:p>
    <w:p>
      <w:pPr>
        <w:ind w:right="50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securities that are the subject of repurchase agreements;</w:t>
      </w:r>
    </w:p>
    <w:p>
      <w:pPr>
        <w:spacing w:after="0" w:line="117" w:lineRule="exact"/>
        <w:rPr>
          <w:rFonts w:ascii="Arial" w:cs="Arial" w:eastAsia="Arial" w:hAnsi="Arial"/>
          <w:sz w:val="18"/>
          <w:szCs w:val="18"/>
          <w:color w:val="auto"/>
        </w:rPr>
      </w:pPr>
    </w:p>
    <w:p>
      <w:pPr>
        <w:ind w:right="14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limited to the applicable unearned insurance premiums;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arising solely from precautionary Uniform Commercial Code financing statements or similar filings;</w:t>
      </w:r>
    </w:p>
    <w:p>
      <w:pPr>
        <w:spacing w:after="0" w:line="117" w:lineRule="exact"/>
        <w:rPr>
          <w:rFonts w:ascii="Arial" w:cs="Arial" w:eastAsia="Arial" w:hAnsi="Arial"/>
          <w:sz w:val="18"/>
          <w:szCs w:val="18"/>
          <w:color w:val="auto"/>
        </w:rPr>
      </w:pPr>
    </w:p>
    <w:p>
      <w:pPr>
        <w:jc w:val="both"/>
        <w:ind w:right="120" w:firstLine="419"/>
        <w:spacing w:after="0" w:line="263"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ground leases in respect of real property on which facilities owned or leased by the Company or any of its Subsidiaries are located and other Liens affecting the interest of any landlord (and any underlying landlord) of any real property leased by the Company or any Subsidiary of the Company;</w:t>
      </w:r>
    </w:p>
    <w:p>
      <w:pPr>
        <w:spacing w:after="0" w:line="75" w:lineRule="exact"/>
        <w:rPr>
          <w:rFonts w:ascii="Arial" w:cs="Arial" w:eastAsia="Arial" w:hAnsi="Arial"/>
          <w:sz w:val="18"/>
          <w:szCs w:val="18"/>
          <w:color w:val="auto"/>
        </w:rPr>
      </w:pPr>
    </w:p>
    <w:p>
      <w:pPr>
        <w:ind w:right="16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Liens to secure any Refinancing (or successive Refinancings) as a whole, or in part, of any Indebtedness secured by any Lien referred to in the foregoing clauses (7), (8), (9), (10), (11), (12) or (14);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540" w:right="180" w:firstLine="408"/>
        <w:spacing w:after="0" w:line="263" w:lineRule="auto"/>
        <w:tabs>
          <w:tab w:leader="none" w:pos="1236" w:val="left"/>
        </w:tabs>
        <w:numPr>
          <w:ilvl w:val="2"/>
          <w:numId w:val="18"/>
        </w:numPr>
        <w:rPr>
          <w:rFonts w:ascii="Arial" w:cs="Arial" w:eastAsia="Arial" w:hAnsi="Arial"/>
          <w:sz w:val="18"/>
          <w:szCs w:val="18"/>
          <w:color w:val="auto"/>
        </w:rPr>
      </w:pPr>
      <w:r>
        <w:rPr>
          <w:rFonts w:ascii="Arial" w:cs="Arial" w:eastAsia="Arial" w:hAnsi="Arial"/>
          <w:sz w:val="18"/>
          <w:szCs w:val="18"/>
          <w:color w:val="auto"/>
        </w:rPr>
        <w:t>such new Lien shall be limited to all or part of the same property (plus improvements on such property) and assets that secured or, under the written agreements pursuant to which the original Lien arose, could secure the original Lien (</w:t>
      </w:r>
      <w:r>
        <w:rPr>
          <w:rFonts w:ascii="Arial" w:cs="Arial" w:eastAsia="Arial" w:hAnsi="Arial"/>
          <w:sz w:val="18"/>
          <w:szCs w:val="18"/>
          <w:i w:val="1"/>
          <w:iCs w:val="1"/>
          <w:color w:val="auto"/>
        </w:rPr>
        <w:t>plus</w:t>
      </w:r>
      <w:r>
        <w:rPr>
          <w:rFonts w:ascii="Arial" w:cs="Arial" w:eastAsia="Arial" w:hAnsi="Arial"/>
          <w:sz w:val="18"/>
          <w:szCs w:val="18"/>
          <w:color w:val="auto"/>
        </w:rPr>
        <w:t xml:space="preserve"> improvements and accessions to, such property or proceeds or distributions thereof); and</w:t>
      </w:r>
    </w:p>
    <w:p>
      <w:pPr>
        <w:spacing w:after="0" w:line="75" w:lineRule="exact"/>
        <w:rPr>
          <w:rFonts w:ascii="Arial" w:cs="Arial" w:eastAsia="Arial" w:hAnsi="Arial"/>
          <w:sz w:val="18"/>
          <w:szCs w:val="18"/>
          <w:color w:val="auto"/>
        </w:rPr>
      </w:pPr>
    </w:p>
    <w:p>
      <w:pPr>
        <w:ind w:left="540" w:firstLine="408"/>
        <w:spacing w:after="0" w:line="291" w:lineRule="auto"/>
        <w:tabs>
          <w:tab w:leader="none" w:pos="1226" w:val="left"/>
        </w:tabs>
        <w:numPr>
          <w:ilvl w:val="2"/>
          <w:numId w:val="18"/>
        </w:numPr>
        <w:rPr>
          <w:rFonts w:ascii="Arial" w:cs="Arial" w:eastAsia="Arial" w:hAnsi="Arial"/>
          <w:sz w:val="16"/>
          <w:szCs w:val="16"/>
          <w:color w:val="auto"/>
        </w:rPr>
      </w:pPr>
      <w:r>
        <w:rPr>
          <w:rFonts w:ascii="Arial" w:cs="Arial" w:eastAsia="Arial" w:hAnsi="Arial"/>
          <w:sz w:val="16"/>
          <w:szCs w:val="16"/>
          <w:color w:val="auto"/>
        </w:rPr>
        <w:t>the Indebtedness secured by such Lien at such time is not increased to any amount greater than the sum of (i) the outstanding principal amount or, if greater, committed amount of the Indebtedness described under the foregoing clauses (7), (8), (9), (10), (11), (12) or</w:t>
      </w:r>
    </w:p>
    <w:p>
      <w:pPr>
        <w:ind w:left="540" w:firstLine="7"/>
        <w:spacing w:after="0" w:line="260" w:lineRule="auto"/>
        <w:tabs>
          <w:tab w:leader="none" w:pos="8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the time the original Lien became a Permitted Lien and (ii) an amount necessary to pay any fees and expenses, including premiums, related to such refinancing, refunding, extension, renewal or replacement;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32" w:name="page33"/>
    <w:bookmarkEnd w:id="32"/>
    <w:p>
      <w:pPr>
        <w:ind w:left="440" w:right="420" w:firstLine="419"/>
        <w:spacing w:after="0" w:line="277"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incurred in the ordinary course of business by any Subsidiary of the Company, so long as such Subsidiary is maintained as a special purpose self- insurance Subsidiary of the Company;</w:t>
      </w:r>
    </w:p>
    <w:p>
      <w:pPr>
        <w:spacing w:after="0" w:line="62" w:lineRule="exact"/>
        <w:rPr>
          <w:rFonts w:ascii="Arial" w:cs="Arial" w:eastAsia="Arial" w:hAnsi="Arial"/>
          <w:sz w:val="18"/>
          <w:szCs w:val="18"/>
          <w:color w:val="auto"/>
        </w:rPr>
      </w:pPr>
    </w:p>
    <w:p>
      <w:pPr>
        <w:ind w:left="440" w:right="320" w:firstLine="419"/>
        <w:spacing w:after="0" w:line="259"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on equity interests of any Person formed for the purposes of engaging in activities in the renewable energy sector (including refined coal) that qualify for federal tax benefits allocable to the Company and its Subsidiaries in which the Company or any Subsidiary of the Company has made an investment and Liens on the rights of the Company and its Subsidiaries under any agreement relating to any such investment;</w:t>
      </w:r>
    </w:p>
    <w:p>
      <w:pPr>
        <w:spacing w:after="0" w:line="78" w:lineRule="exact"/>
        <w:rPr>
          <w:rFonts w:ascii="Arial" w:cs="Arial" w:eastAsia="Arial" w:hAnsi="Arial"/>
          <w:sz w:val="18"/>
          <w:szCs w:val="18"/>
          <w:color w:val="auto"/>
        </w:rPr>
      </w:pPr>
    </w:p>
    <w:p>
      <w:pPr>
        <w:ind w:left="440" w:right="240" w:firstLine="419"/>
        <w:spacing w:after="0" w:line="263"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arising under Article 24, 25 or 26 of the general terms and conditions (</w:t>
      </w:r>
      <w:r>
        <w:rPr>
          <w:rFonts w:ascii="Arial" w:cs="Arial" w:eastAsia="Arial" w:hAnsi="Arial"/>
          <w:sz w:val="18"/>
          <w:szCs w:val="18"/>
          <w:i w:val="1"/>
          <w:iCs w:val="1"/>
          <w:color w:val="auto"/>
        </w:rPr>
        <w:t>Algemene Bank 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 or any similar term applied by a financial institution in the Netherlands pursuant to its general terms and conditions;</w:t>
      </w:r>
    </w:p>
    <w:p>
      <w:pPr>
        <w:spacing w:after="0" w:line="75" w:lineRule="exact"/>
        <w:rPr>
          <w:rFonts w:ascii="Arial" w:cs="Arial" w:eastAsia="Arial" w:hAnsi="Arial"/>
          <w:sz w:val="18"/>
          <w:szCs w:val="18"/>
          <w:color w:val="auto"/>
        </w:rPr>
      </w:pPr>
    </w:p>
    <w:p>
      <w:pPr>
        <w:ind w:left="440" w:right="40" w:firstLine="419"/>
        <w:spacing w:after="0" w:line="277"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the Company or any Subsidiary of the Company in the ordinary course of its banking arrangements for the purpose of netting debt and credit balances;</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including any netting or set-off, arising by operation of law as a result of the existence of a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any Subsidiary of the Company is or has been a member;</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on cash and cash equivalents deposited as cash collateral on letters of credit as contemplated by the Newco Revolving Credit Agreement;</w:t>
      </w:r>
    </w:p>
    <w:p>
      <w:pPr>
        <w:spacing w:after="0" w:line="62" w:lineRule="exact"/>
        <w:rPr>
          <w:rFonts w:ascii="Arial" w:cs="Arial" w:eastAsia="Arial" w:hAnsi="Arial"/>
          <w:sz w:val="18"/>
          <w:szCs w:val="18"/>
          <w:color w:val="auto"/>
        </w:rPr>
      </w:pPr>
    </w:p>
    <w:p>
      <w:pPr>
        <w:ind w:left="440" w:right="220" w:firstLine="419"/>
        <w:spacing w:after="0" w:line="308" w:lineRule="auto"/>
        <w:tabs>
          <w:tab w:leader="none" w:pos="1208"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Liens on “earnest money” or similar deposits or other cash advances in connection with acquisitions or consisting of an agreement to dispose of any property in a disposition, including customary rights and restrictions contained in such agreements; and</w:t>
      </w:r>
    </w:p>
    <w:p>
      <w:pPr>
        <w:spacing w:after="0" w:line="38" w:lineRule="exact"/>
        <w:rPr>
          <w:rFonts w:ascii="Arial" w:cs="Arial" w:eastAsia="Arial" w:hAnsi="Arial"/>
          <w:sz w:val="17"/>
          <w:szCs w:val="17"/>
          <w:color w:val="auto"/>
        </w:rPr>
      </w:pPr>
    </w:p>
    <w:p>
      <w:pPr>
        <w:ind w:left="440" w:firstLine="419"/>
        <w:spacing w:after="0" w:line="342" w:lineRule="auto"/>
        <w:tabs>
          <w:tab w:leader="none" w:pos="1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Liens securing Indebtedness in an aggregate principal amount for the Company and its Subsidiaries not exceeding at the time such Lien is created or assumed the greater of $1,300 million or 15% of Consolidated Net Tangible Assets, at any one time outstanding.</w:t>
      </w:r>
    </w:p>
    <w:p>
      <w:pPr>
        <w:spacing w:after="0" w:line="124"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Company may, in its sole discretion, classify or reclassify such item of Permitted Liens (or any portion thereof) in any manner that complies with this definition and the Company may divide and classify a Lien in more than one of the types of Permitted Liens in one of the above clauses.</w:t>
      </w:r>
    </w:p>
    <w:p>
      <w:pPr>
        <w:spacing w:after="0" w:line="176"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w:t>
      </w:r>
      <w:r>
        <w:rPr>
          <w:rFonts w:ascii="Arial" w:cs="Arial" w:eastAsia="Arial" w:hAnsi="Arial"/>
          <w:sz w:val="18"/>
          <w:szCs w:val="18"/>
          <w:color w:val="auto"/>
        </w:rPr>
        <w:t>” means Pfizer Inc., a Delaware corporation.</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 Guarantee</w:t>
      </w:r>
      <w:r>
        <w:rPr>
          <w:rFonts w:ascii="Arial" w:cs="Arial" w:eastAsia="Arial" w:hAnsi="Arial"/>
          <w:sz w:val="18"/>
          <w:szCs w:val="18"/>
          <w:color w:val="auto"/>
        </w:rPr>
        <w:t>” means the Guarantee of the Company’s Indenture Obligations by Pfizer, fully and unconditionally and on a senior unsecured basis, pursuant to and on the terms and conditions set forth in the Guarantee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3" w:name="page34"/>
    <w:bookmarkEnd w:id="33"/>
    <w:p>
      <w:pPr>
        <w:ind w:right="2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Physical Notes</w:t>
      </w:r>
      <w:r>
        <w:rPr>
          <w:rFonts w:ascii="Arial" w:cs="Arial" w:eastAsia="Arial" w:hAnsi="Arial"/>
          <w:sz w:val="16"/>
          <w:szCs w:val="16"/>
          <w:color w:val="auto"/>
        </w:rPr>
        <w:t xml:space="preserve">” means certificated 2022 Notes, 2025 Notes, 2027 Notes, 2030 Notes, 2040 Notes and 2050 Notes (other than Global Notes) in registered form in substantially the form set forth in </w:t>
      </w:r>
      <w:r>
        <w:rPr>
          <w:rFonts w:ascii="Arial" w:cs="Arial" w:eastAsia="Arial" w:hAnsi="Arial"/>
          <w:sz w:val="16"/>
          <w:szCs w:val="16"/>
          <w:u w:val="single" w:color="auto"/>
          <w:color w:val="auto"/>
        </w:rPr>
        <w:t>Exhibit A-1, Exhibit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A-4</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A-6</w:t>
      </w:r>
      <w:r>
        <w:rPr>
          <w:rFonts w:ascii="Arial" w:cs="Arial" w:eastAsia="Arial" w:hAnsi="Arial"/>
          <w:sz w:val="16"/>
          <w:szCs w:val="16"/>
          <w:color w:val="auto"/>
        </w:rPr>
        <w:t>, respectively.</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when used with respect to the Notes, means the place or places where the principal of (and premium, if any) and interest on the Notes are payable as specified as contemplated by Section 4.02.</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xml:space="preserve">” means the legend initially set forth on the Rule 144A Notes and other Notes that are Restricted Notes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Purchase Money Indebtedness</w:t>
      </w:r>
      <w:r>
        <w:rPr>
          <w:rFonts w:ascii="Arial" w:cs="Arial" w:eastAsia="Arial" w:hAnsi="Arial"/>
          <w:sz w:val="17"/>
          <w:szCs w:val="17"/>
          <w:color w:val="auto"/>
        </w:rPr>
        <w:t xml:space="preserve">” means Indebtedness Incurred to finance the acquisition, development, construction or lease by the Company or a Subsidiary of the Company of Property, including additions and improvements thereto, where the maturity of such Indebtedness does not exceed the anticipated useful life of the Property being financed;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Indebtedness is Incurred within 270 days after the completion of the acquisition, development, construction or lease of such Property by the Company or such Subsidiary.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Institutional Buyer</w:t>
      </w:r>
      <w:r>
        <w:rPr>
          <w:rFonts w:ascii="Arial" w:cs="Arial" w:eastAsia="Arial" w:hAnsi="Arial"/>
          <w:sz w:val="18"/>
          <w:szCs w:val="18"/>
          <w:color w:val="auto"/>
        </w:rPr>
        <w:t>” or “</w:t>
      </w:r>
      <w:r>
        <w:rPr>
          <w:rFonts w:ascii="Arial" w:cs="Arial" w:eastAsia="Arial" w:hAnsi="Arial"/>
          <w:sz w:val="18"/>
          <w:szCs w:val="18"/>
          <w:i w:val="1"/>
          <w:iCs w:val="1"/>
          <w:color w:val="auto"/>
        </w:rPr>
        <w:t>QIB</w:t>
      </w:r>
      <w:r>
        <w:rPr>
          <w:rFonts w:ascii="Arial" w:cs="Arial" w:eastAsia="Arial" w:hAnsi="Arial"/>
          <w:sz w:val="18"/>
          <w:szCs w:val="18"/>
          <w:color w:val="auto"/>
        </w:rPr>
        <w:t>” shall have the meaning specified in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Receivables Transaction</w:t>
      </w:r>
      <w:r>
        <w:rPr>
          <w:rFonts w:ascii="Arial" w:cs="Arial" w:eastAsia="Arial" w:hAnsi="Arial"/>
          <w:sz w:val="17"/>
          <w:szCs w:val="17"/>
          <w:color w:val="auto"/>
        </w:rPr>
        <w:t>” means any transaction or series of transactions that may be entered into by the Company or any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 pursuant to which the Company or any of its Subsidiaries may sell, convey or otherwise transfer to:</w:t>
      </w:r>
    </w:p>
    <w:p>
      <w:pPr>
        <w:spacing w:after="0" w:line="103" w:lineRule="exact"/>
        <w:rPr>
          <w:sz w:val="20"/>
          <w:szCs w:val="20"/>
          <w:color w:val="auto"/>
        </w:rPr>
      </w:pPr>
    </w:p>
    <w:p>
      <w:pPr>
        <w:ind w:left="1120" w:hanging="261"/>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Receivables Entity (in the case of a transfer by the Company or any of its Subsidiaries)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Person (in the case of a transfer by a Receivables Entity),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financing terms, covenants, termination events and other provisions thereof shall be market terms (as determined in good faith by the chief financial officer of the Company).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S&amp;P;</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Moody’s;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4" w:name="page35"/>
    <w:bookmarkEnd w:id="34"/>
    <w:p>
      <w:pPr>
        <w:ind w:left="440" w:right="500" w:firstLine="419"/>
        <w:spacing w:after="0" w:line="263" w:lineRule="auto"/>
        <w:tabs>
          <w:tab w:leader="none" w:pos="1118"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S&amp;P or Moody’s or both shall not make a rating of the Notes publicly available, a “nationally recognized statistical rating organization” within the meaning of Section 3(a)(62) of the Exchange Act, selected by the Company, which shall be substituted for S&amp;P or Moody’s or both, as the case may be.</w:t>
      </w:r>
    </w:p>
    <w:p>
      <w:pPr>
        <w:spacing w:after="0" w:line="18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Entity</w:t>
      </w:r>
      <w:r>
        <w:rPr>
          <w:rFonts w:ascii="Arial" w:cs="Arial" w:eastAsia="Arial" w:hAnsi="Arial"/>
          <w:sz w:val="18"/>
          <w:szCs w:val="18"/>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w:t>
      </w:r>
    </w:p>
    <w:p>
      <w:pPr>
        <w:spacing w:after="0" w:line="76" w:lineRule="exact"/>
        <w:rPr>
          <w:sz w:val="20"/>
          <w:szCs w:val="20"/>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such entity:</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6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Guaranteed by the Company or any Subsidiary of the Company (excluding Guarantees of obligations (other than the principal of, and interest on, Indebtedness) pursuant to Standard Securitization Undertakings),</w:t>
      </w:r>
    </w:p>
    <w:p>
      <w:pPr>
        <w:spacing w:after="0" w:line="62" w:lineRule="exact"/>
        <w:rPr>
          <w:rFonts w:ascii="Arial" w:cs="Arial" w:eastAsia="Arial" w:hAnsi="Arial"/>
          <w:sz w:val="18"/>
          <w:szCs w:val="18"/>
          <w:color w:val="auto"/>
        </w:rPr>
      </w:pPr>
    </w:p>
    <w:p>
      <w:pPr>
        <w:ind w:left="980" w:right="720" w:firstLine="408"/>
        <w:spacing w:after="0" w:line="277" w:lineRule="auto"/>
        <w:tabs>
          <w:tab w:leader="none" w:pos="16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recourse to or obligates the Company or any Subsidiary of the Company in any way (other than pursuant to Standard Securitization Undertakings), or</w:t>
      </w:r>
    </w:p>
    <w:p>
      <w:pPr>
        <w:spacing w:after="0" w:line="62" w:lineRule="exact"/>
        <w:rPr>
          <w:rFonts w:ascii="Arial" w:cs="Arial" w:eastAsia="Arial" w:hAnsi="Arial"/>
          <w:sz w:val="18"/>
          <w:szCs w:val="18"/>
          <w:color w:val="auto"/>
        </w:rPr>
      </w:pPr>
    </w:p>
    <w:p>
      <w:pPr>
        <w:ind w:left="980" w:right="700" w:firstLine="408"/>
        <w:spacing w:after="0" w:line="277" w:lineRule="auto"/>
        <w:tabs>
          <w:tab w:leader="none" w:pos="16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subjects any property or asset of the Company or any Subsidiary of the Company, directly or indirectly, contingently or otherwise, to the satisfaction thereof (other than pursuant to Standard Securitization Undertakings);</w:t>
      </w:r>
    </w:p>
    <w:p>
      <w:pPr>
        <w:spacing w:after="0" w:line="62" w:lineRule="exact"/>
        <w:rPr>
          <w:rFonts w:ascii="Arial" w:cs="Arial" w:eastAsia="Arial" w:hAnsi="Arial"/>
          <w:sz w:val="18"/>
          <w:szCs w:val="18"/>
          <w:color w:val="auto"/>
        </w:rPr>
      </w:pPr>
    </w:p>
    <w:p>
      <w:pPr>
        <w:ind w:left="440" w:right="20" w:firstLine="419"/>
        <w:spacing w:after="0" w:line="311" w:lineRule="auto"/>
        <w:tabs>
          <w:tab w:leader="none" w:pos="11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40" w:lineRule="exact"/>
        <w:rPr>
          <w:rFonts w:ascii="Arial" w:cs="Arial" w:eastAsia="Arial" w:hAnsi="Arial"/>
          <w:sz w:val="16"/>
          <w:szCs w:val="16"/>
          <w:color w:val="auto"/>
        </w:rPr>
      </w:pPr>
    </w:p>
    <w:p>
      <w:pPr>
        <w:ind w:left="440" w:right="200" w:firstLine="419"/>
        <w:spacing w:after="0" w:line="277"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Any such designation shall be evidenced to the Trustee by filing with the Trustee an Officer’s Certificate giving effect to such designation and certifying that such designation complied with the foregoing conditions.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 when used with respect to any Note to be redeemed pursuant to Article III of this Indenture, means the date fixed for such redemption pursuant to the terms of such Article III.</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this Indenture.</w:t>
      </w:r>
    </w:p>
    <w:p>
      <w:pPr>
        <w:spacing w:after="0" w:line="248"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(1) each of Goldman Sachs &amp; Co. LLC, BofA Securities, Inc., Citigroup Global Markets Inc., Morgan Stanley and Co. LLC and Mizuho Securities USA LLC (or their affiliates and their respective successors) to the extent such entity is a primary United States government securities dealer as of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of these Reference Treasury Dealers resigns or shall cease to be a primary United States government securities dealer, then the Company shall substitute another primary United States government securities dealer and (2) any other primary United States government securities dealer selected by the Company.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5" w:name="page36"/>
    <w:bookmarkEnd w:id="35"/>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a Reference Treasury Dealer and any Redemption Date, the average, as determined by such Reference Treasury Dealer, of the bid and asked prices for the Comparable Treasury Issue, expressed in each case as a percentage of its principal amount, quoted in writing to the Company by such Reference Treasury Dealer at approximately 3:30 p.m., New York City time, on the third Business Day preceding such Redemption Date.</w:t>
      </w:r>
    </w:p>
    <w:p>
      <w:pPr>
        <w:spacing w:after="0" w:line="18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Refinance</w:t>
      </w:r>
      <w:r>
        <w:rPr>
          <w:rFonts w:ascii="Arial" w:cs="Arial" w:eastAsia="Arial" w:hAnsi="Arial"/>
          <w:sz w:val="16"/>
          <w:szCs w:val="16"/>
          <w:color w:val="auto"/>
        </w:rPr>
        <w:t>” means, in respect of any Indebtedness, to refinance, extend, renew, refund, repay, prepay, purchase, redeem, defease or retire, or to issue other Indebtedness in exchange or replacement for, such Indebtedness. “</w:t>
      </w:r>
      <w:r>
        <w:rPr>
          <w:rFonts w:ascii="Arial" w:cs="Arial" w:eastAsia="Arial" w:hAnsi="Arial"/>
          <w:sz w:val="16"/>
          <w:szCs w:val="16"/>
          <w:i w:val="1"/>
          <w:iCs w:val="1"/>
          <w:color w:val="auto"/>
        </w:rPr>
        <w:t>Refinanced</w:t>
      </w:r>
      <w:r>
        <w:rPr>
          <w:rFonts w:ascii="Arial" w:cs="Arial" w:eastAsia="Arial" w:hAnsi="Arial"/>
          <w:sz w:val="16"/>
          <w:szCs w:val="16"/>
          <w:color w:val="auto"/>
        </w:rPr>
        <w:t>” and “</w:t>
      </w:r>
      <w:r>
        <w:rPr>
          <w:rFonts w:ascii="Arial" w:cs="Arial" w:eastAsia="Arial" w:hAnsi="Arial"/>
          <w:sz w:val="16"/>
          <w:szCs w:val="16"/>
          <w:i w:val="1"/>
          <w:iCs w:val="1"/>
          <w:color w:val="auto"/>
        </w:rPr>
        <w:t>Refinancing</w:t>
      </w:r>
      <w:r>
        <w:rPr>
          <w:rFonts w:ascii="Arial" w:cs="Arial" w:eastAsia="Arial" w:hAnsi="Arial"/>
          <w:sz w:val="16"/>
          <w:szCs w:val="16"/>
          <w:color w:val="auto"/>
        </w:rPr>
        <w:t>” have correlative meanings.</w:t>
      </w:r>
    </w:p>
    <w:p>
      <w:pPr>
        <w:spacing w:after="0" w:line="12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Initial Notes, dated as of the Issue Date, among the Company and the initial purchasers named therein and, with respect to any Additional Notes, one or more registration rights agreements between the Company and the other parties thereto, relating to rights given by the Company to the purchasers of Additional Notes to register such Additional Notes under the Securities Act.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D</w:t>
      </w:r>
      <w:r>
        <w:rPr>
          <w:rFonts w:ascii="Arial" w:cs="Arial" w:eastAsia="Arial" w:hAnsi="Arial"/>
          <w:sz w:val="18"/>
          <w:szCs w:val="18"/>
          <w:color w:val="auto"/>
        </w:rPr>
        <w:t>” means Regulation D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when used with respect to the Trustee, any officer of the Trustee within the Corporate Trust Division Corporate Finance Unit (or any successor unit) of the Trustee located at the Corporate Trust Office who has direct responsibility for the administration of this Indenture and, for the purposes of Section 7.01(c)(2) and the second sentence of Section 7.05 shall also mean any other officer of the Trustee to whom any corporate trust matter is referred because of such officer’s knowledge of and familiarity with the particular subject.</w:t>
      </w:r>
    </w:p>
    <w:p>
      <w:pPr>
        <w:spacing w:after="0" w:line="157"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Note</w:t>
      </w:r>
      <w:r>
        <w:rPr>
          <w:rFonts w:ascii="Arial" w:cs="Arial" w:eastAsia="Arial" w:hAnsi="Arial"/>
          <w:sz w:val="16"/>
          <w:szCs w:val="16"/>
          <w:color w:val="auto"/>
        </w:rPr>
        <w:t xml:space="preserve">” has the same meaning as “Restricted Security” set forth in Rule 144(a)(3) promulgated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be entitled to request and conclusively rely upon an Opinion of Counsel with respect to whether any Note is a Restricted Note.</w:t>
      </w:r>
    </w:p>
    <w:p>
      <w:pPr>
        <w:spacing w:after="0" w:line="12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RMT Transactions</w:t>
      </w:r>
      <w:r>
        <w:rPr>
          <w:rFonts w:ascii="Arial" w:cs="Arial" w:eastAsia="Arial" w:hAnsi="Arial"/>
          <w:sz w:val="18"/>
          <w:szCs w:val="18"/>
          <w:color w:val="auto"/>
        </w:rPr>
        <w:t>” means, collectively, the Separation, the Distribution, the Combination, the Cash Payment to Pfizer and the other transactions contemplated by the Business Combination Agreement or the Separation and Distribution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Companies, Inc., or any successor to the rating agency business thereof.</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Leaseback Transaction</w:t>
      </w:r>
      <w:r>
        <w:rPr>
          <w:rFonts w:ascii="Arial" w:cs="Arial" w:eastAsia="Arial" w:hAnsi="Arial"/>
          <w:sz w:val="16"/>
          <w:szCs w:val="16"/>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6" w:name="page37"/>
    <w:bookmarkEnd w:id="36"/>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or any successor statute, and the rules and regulations promulgated by the Commission thereunder.</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means the separation of the Upjohn Business from the remainder of Pfizer’s businesses, including the contribution by Pfizer of the Upjohn Business to the Company, pursuant to the Separation and Distribution Agreement.</w:t>
      </w:r>
    </w:p>
    <w:p>
      <w:pPr>
        <w:spacing w:after="0" w:line="170"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Separation and Distribution Agreement</w:t>
      </w:r>
      <w:r>
        <w:rPr>
          <w:rFonts w:ascii="Arial" w:cs="Arial" w:eastAsia="Arial" w:hAnsi="Arial"/>
          <w:sz w:val="17"/>
          <w:szCs w:val="17"/>
          <w:color w:val="auto"/>
        </w:rPr>
        <w:t>” means the Separation and Distribution Agreement, dated as of July 29, 2019, between Pfizer and the Company, as amended on February 18, 2020 and on May 29, 2020, and as further amended, restated or modified from time to time.</w:t>
      </w:r>
    </w:p>
    <w:p>
      <w:pPr>
        <w:spacing w:after="0" w:line="14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refers to the 2022 Notes, the 2025 Notes, the 2027 Notes, the 2030 Notes, the 2040 Notes or the 2050 Notes, each as a separate series of Notes under this Indenture.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the Company that would be a “significant subsidiary” of the Company within the meaning of Rule 1-02 under Regulation S-X promulgated by the Commission, as such Regulation is in effect on the Issue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 Date</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 Price</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and indemnities entered into by the Company or any Subsidiary of the Company that, taken as a whole, are customary in an accounts receivable transaction.</w:t>
      </w:r>
    </w:p>
    <w:p>
      <w:pPr>
        <w:spacing w:after="0" w:line="170"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firstLine="419"/>
        <w:spacing w:after="0" w:line="257" w:lineRule="auto"/>
        <w:tabs>
          <w:tab w:leader="none" w:pos="11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Supplemental Indenture</w:t>
      </w:r>
      <w:r>
        <w:rPr>
          <w:rFonts w:ascii="Arial" w:cs="Arial" w:eastAsia="Arial" w:hAnsi="Arial"/>
          <w:sz w:val="16"/>
          <w:szCs w:val="16"/>
          <w:color w:val="auto"/>
        </w:rPr>
        <w:t>” means an Additional Guarantors Supplemental Indenture or a Mylan Guarantors Supplemental Indenture, as applicable.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as amended (15 U.S. Code §§ 77aaa-77bbbb).</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7" w:name="page38"/>
    <w:bookmarkEnd w:id="37"/>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Triggering Indebtedness</w:t>
      </w:r>
      <w:r>
        <w:rPr>
          <w:rFonts w:ascii="Arial" w:cs="Arial" w:eastAsia="Arial" w:hAnsi="Arial"/>
          <w:sz w:val="18"/>
          <w:szCs w:val="18"/>
          <w:color w:val="auto"/>
        </w:rPr>
        <w:t>” means Indebtedness of the Company owed to a Person, other than the Company or any Subsidiary of the Company, that has an aggregate principal amount or committed amount in excess of $500.0 million.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Bank of New York Mellon, a New York banking corporation,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Upjohn Business</w:t>
      </w:r>
      <w:r>
        <w:rPr>
          <w:rFonts w:ascii="Arial" w:cs="Arial" w:eastAsia="Arial" w:hAnsi="Arial"/>
          <w:sz w:val="18"/>
          <w:szCs w:val="18"/>
          <w:color w:val="auto"/>
        </w:rPr>
        <w:t>” means Pfizer’s global, primarily off-patent branded and generic established medicines business.</w:t>
      </w:r>
    </w:p>
    <w:p>
      <w:pPr>
        <w:spacing w:after="0" w:line="225"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that are (i) direct obligations of the United States for the payment of which its full faith and credit is pledged or (ii) 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means a Subsidiary of the Company of which the Company owns all of the Capital Stock, directly or indirectly, other than directors’ qualifying shares.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1.02 Other Definitions.</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49"/>
        </w:trPr>
        <w:tc>
          <w:tcPr>
            <w:tcW w:w="356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Term</w:t>
            </w: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 Regulation S Global Notes”</w:t>
            </w:r>
          </w:p>
        </w:tc>
        <w:tc>
          <w:tcPr>
            <w:tcW w:w="3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“2025 Regulation S Global Notes”</w:t>
            </w:r>
          </w:p>
        </w:tc>
        <w:tc>
          <w:tcPr>
            <w:tcW w:w="3920" w:type="dxa"/>
            <w:vAlign w:val="bottom"/>
            <w:gridSpan w:val="4"/>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“2027 Regulation S Global Notes”</w:t>
            </w:r>
          </w:p>
        </w:tc>
        <w:tc>
          <w:tcPr>
            <w:tcW w:w="3920" w:type="dxa"/>
            <w:vAlign w:val="bottom"/>
            <w:gridSpan w:val="4"/>
            <w:shd w:val="clear" w:color="auto" w:fill="CCEEFF"/>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“2030 Regulation S Global Notes”</w:t>
            </w:r>
          </w:p>
        </w:tc>
        <w:tc>
          <w:tcPr>
            <w:tcW w:w="3920" w:type="dxa"/>
            <w:vAlign w:val="bottom"/>
            <w:gridSpan w:val="4"/>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“2040 Regulation S Global Notes”</w:t>
            </w:r>
          </w:p>
        </w:tc>
        <w:tc>
          <w:tcPr>
            <w:tcW w:w="3920" w:type="dxa"/>
            <w:vAlign w:val="bottom"/>
            <w:gridSpan w:val="4"/>
            <w:shd w:val="clear" w:color="auto" w:fill="CCEEFF"/>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“2050 Regulation S Global Notes”</w:t>
            </w:r>
          </w:p>
        </w:tc>
        <w:tc>
          <w:tcPr>
            <w:tcW w:w="3920" w:type="dxa"/>
            <w:vAlign w:val="bottom"/>
            <w:gridSpan w:val="4"/>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“2022 Regulation S Notes”</w:t>
            </w:r>
          </w:p>
        </w:tc>
        <w:tc>
          <w:tcPr>
            <w:tcW w:w="3920" w:type="dxa"/>
            <w:vAlign w:val="bottom"/>
            <w:gridSpan w:val="4"/>
            <w:shd w:val="clear" w:color="auto" w:fill="CCEEFF"/>
          </w:tcPr>
          <w:p>
            <w:pPr>
              <w:ind w:left="3560"/>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“2025 Regulation S Notes”</w:t>
            </w:r>
          </w:p>
        </w:tc>
        <w:tc>
          <w:tcPr>
            <w:tcW w:w="3920" w:type="dxa"/>
            <w:vAlign w:val="bottom"/>
            <w:gridSpan w:val="4"/>
          </w:tcPr>
          <w:p>
            <w:pPr>
              <w:ind w:left="3560"/>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“2027 Regulation S Notes”</w:t>
            </w:r>
          </w:p>
        </w:tc>
        <w:tc>
          <w:tcPr>
            <w:tcW w:w="3920" w:type="dxa"/>
            <w:vAlign w:val="bottom"/>
            <w:gridSpan w:val="4"/>
            <w:shd w:val="clear" w:color="auto" w:fill="CCEEFF"/>
          </w:tcPr>
          <w:p>
            <w:pPr>
              <w:ind w:left="3560"/>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3020" w:type="dxa"/>
            <w:vAlign w:val="bottom"/>
          </w:tcPr>
          <w:p>
            <w:pPr>
              <w:jc w:val="right"/>
              <w:ind w:right="265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4" w:right="499" w:bottom="1440" w:gutter="0" w:footer="0" w:header="0"/>
        </w:sectPr>
      </w:pPr>
    </w:p>
    <w:bookmarkStart w:id="38" w:name="page39"/>
    <w:bookmarkEnd w:id="38"/>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15240</wp:posOffset>
            </wp:positionV>
            <wp:extent cx="474916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“2030 Regulation S Notes”</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“2040 Regulation 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“2050 Regulation S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“2022 Rule 144A 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“2025 Rule 144A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“2027 Rule 144A 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“2030 Rule 144A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“2040 Rule 144A 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“2050 Rule 144A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“2022 Rule 144A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“2025 Rule 144A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“2027 Rule 144A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“2030 Rule 144A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“2040 Rule 144A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“2050 Rule 144A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“Additional 2022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2025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“Additional 2027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2030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“Additional 2040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2050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“Agent Members”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“Change of Control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“Change of Control Purchase Date”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“Change of Control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“Covenant Defeasance”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“Initial Lien”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“Legal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“Paying Agent”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“Regulation S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“Regulation 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“Rule 144A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“Rule 144A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“Successor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1.03 Rules of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 a term has the meaning assigned to it herein, whether defined expressly or by reference;</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3"/>
          <w:szCs w:val="13"/>
          <w:b w:val="1"/>
          <w:bCs w:val="1"/>
          <w:color w:val="auto"/>
        </w:rPr>
        <w:t>Defined</w:t>
      </w:r>
    </w:p>
    <w:p>
      <w:pPr>
        <w:spacing w:after="0" w:line="3"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in</w:t>
      </w:r>
    </w:p>
    <w:p>
      <w:pPr>
        <w:jc w:val="center"/>
        <w:ind w:right="1740"/>
        <w:spacing w:after="0"/>
        <w:rPr>
          <w:sz w:val="20"/>
          <w:szCs w:val="20"/>
          <w:color w:val="auto"/>
        </w:rPr>
      </w:pPr>
      <w:r>
        <w:rPr>
          <w:rFonts w:ascii="Arial" w:cs="Arial" w:eastAsia="Arial" w:hAnsi="Arial"/>
          <w:sz w:val="13"/>
          <w:szCs w:val="13"/>
          <w:b w:val="1"/>
          <w:bCs w:val="1"/>
          <w:u w:val="single" w:color="auto"/>
          <w:color w:val="auto"/>
        </w:rPr>
        <w:t>Section</w:t>
      </w:r>
    </w:p>
    <w:p>
      <w:pPr>
        <w:spacing w:after="0" w:line="21"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8"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4.08</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4.08</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4.08</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9.01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4.07</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9.01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2.04</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2.04</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5.01</w:t>
      </w:r>
    </w:p>
    <w:p>
      <w:pPr>
        <w:spacing w:after="0" w:line="1398" w:lineRule="exact"/>
        <w:rPr>
          <w:sz w:val="20"/>
          <w:szCs w:val="20"/>
          <w:color w:val="auto"/>
        </w:rPr>
      </w:pPr>
    </w:p>
    <w:p>
      <w:pPr>
        <w:sectPr>
          <w:pgSz w:w="11900" w:h="16838" w:orient="portrait"/>
          <w:cols w:equalWidth="0" w:num="2">
            <w:col w:w="7540" w:space="720"/>
            <w:col w:w="2220"/>
          </w:cols>
          <w:pgMar w:left="880" w:top="265" w:right="539" w:bottom="1440" w:gutter="0" w:footer="0" w:header="0"/>
        </w:sectPr>
      </w:pPr>
    </w:p>
    <w:p>
      <w:pPr>
        <w:ind w:firstLine="419"/>
        <w:spacing w:after="0" w:line="308" w:lineRule="auto"/>
        <w:tabs>
          <w:tab w:leader="none" w:pos="6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80"/>
          </w:cols>
          <w:pgMar w:left="880" w:top="265" w:right="539" w:bottom="1440" w:gutter="0" w:footer="0" w:header="0"/>
          <w:type w:val="continuous"/>
        </w:sectPr>
      </w:pPr>
    </w:p>
    <w:bookmarkStart w:id="39" w:name="page40"/>
    <w:bookmarkEnd w:id="39"/>
    <w:p>
      <w:pPr>
        <w:ind w:left="1120" w:hanging="261"/>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words in the singular include the plural, and in the plural include the singular;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both genders;</w:t>
      </w:r>
    </w:p>
    <w:p>
      <w:pPr>
        <w:spacing w:after="0" w:line="117" w:lineRule="exact"/>
        <w:rPr>
          <w:rFonts w:ascii="Arial" w:cs="Arial" w:eastAsia="Arial" w:hAnsi="Arial"/>
          <w:sz w:val="18"/>
          <w:szCs w:val="18"/>
          <w:color w:val="auto"/>
        </w:rPr>
      </w:pPr>
    </w:p>
    <w:p>
      <w:pPr>
        <w:ind w:left="440" w:right="320" w:firstLine="419"/>
        <w:spacing w:after="0" w:line="277" w:lineRule="auto"/>
        <w:tabs>
          <w:tab w:leader="none" w:pos="11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“herein,” “hereof,” “hereunder” and other words of similar import refer to this Indenture as a whole and not to any particular Article, Section or other subsection;</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“U.S. Dollars” and “United States Dollars” each refer to United States dollars, or such other money of the United States that at the time of payment is legal tender for payment of public and private debts;</w:t>
      </w:r>
    </w:p>
    <w:p>
      <w:pPr>
        <w:spacing w:after="0" w:line="62" w:lineRule="exact"/>
        <w:rPr>
          <w:rFonts w:ascii="Arial" w:cs="Arial" w:eastAsia="Arial" w:hAnsi="Arial"/>
          <w:sz w:val="18"/>
          <w:szCs w:val="18"/>
          <w:color w:val="auto"/>
        </w:rPr>
      </w:pPr>
    </w:p>
    <w:p>
      <w:pPr>
        <w:jc w:val="both"/>
        <w:ind w:left="440" w:right="240" w:firstLine="419"/>
        <w:spacing w:after="0" w:line="263" w:lineRule="auto"/>
        <w:tabs>
          <w:tab w:leader="none" w:pos="11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whenever in this Indenture there is mentioned, in any context, principal, interest or any other amount payable under or with respect to any Note, such mention shall be deemed to include mention of the payment of Additional Interest to the extent that, in such context, Additional Interest is, was or would be payable in respect thereof;</w:t>
      </w:r>
    </w:p>
    <w:p>
      <w:pPr>
        <w:spacing w:after="0" w:line="75" w:lineRule="exact"/>
        <w:rPr>
          <w:rFonts w:ascii="Arial" w:cs="Arial" w:eastAsia="Arial" w:hAnsi="Arial"/>
          <w:sz w:val="18"/>
          <w:szCs w:val="18"/>
          <w:color w:val="auto"/>
        </w:rPr>
      </w:pPr>
    </w:p>
    <w:p>
      <w:pPr>
        <w:ind w:left="440" w:right="320" w:firstLine="419"/>
        <w:spacing w:after="0" w:line="277" w:lineRule="auto"/>
        <w:tabs>
          <w:tab w:leader="none" w:pos="1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Commission from time to time; and</w:t>
      </w:r>
    </w:p>
    <w:p>
      <w:pPr>
        <w:spacing w:after="0" w:line="62" w:lineRule="exact"/>
        <w:rPr>
          <w:rFonts w:ascii="Arial" w:cs="Arial" w:eastAsia="Arial" w:hAnsi="Arial"/>
          <w:sz w:val="18"/>
          <w:szCs w:val="18"/>
          <w:color w:val="auto"/>
        </w:rPr>
      </w:pPr>
    </w:p>
    <w:p>
      <w:pPr>
        <w:ind w:left="440" w:right="660" w:firstLine="419"/>
        <w:spacing w:after="0" w:line="277" w:lineRule="auto"/>
        <w:tabs>
          <w:tab w:leader="none" w:pos="12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references to Sections, Articles or Exhibits are references to Sections, Articles or Exhibits of or to this Indenture unless context otherwise requires.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1.04 Incorporation by Reference of Trust Indenture Act.</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 securities” means the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 securityholder” means a Holder.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“obligor on this indenture securities” means the Company or any other obligor on the Notes.</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All other terms used in this Indenture (other than those defined herein) that are defined by the TIA, defined in the TIA by reference to another statute or defined by Commission rule have the meanings therein assigned to them.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0" w:name="page41"/>
    <w:bookmarkEnd w:id="40"/>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2.01 Amount of Notes.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Trustee shall initially authenticate the Initial Notes for original issue on the Issue Date upon a written order of the Company. The Trustee shall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authenticate additional 2022 Notes (“</w:t>
      </w:r>
      <w:r>
        <w:rPr>
          <w:rFonts w:ascii="Arial" w:cs="Arial" w:eastAsia="Arial" w:hAnsi="Arial"/>
          <w:sz w:val="17"/>
          <w:szCs w:val="17"/>
          <w:i w:val="1"/>
          <w:iCs w:val="1"/>
          <w:color w:val="auto"/>
        </w:rPr>
        <w:t>Additional 2022 Notes</w:t>
      </w:r>
      <w:r>
        <w:rPr>
          <w:rFonts w:ascii="Arial" w:cs="Arial" w:eastAsia="Arial" w:hAnsi="Arial"/>
          <w:sz w:val="17"/>
          <w:szCs w:val="17"/>
          <w:color w:val="auto"/>
        </w:rPr>
        <w:t>”), additional 2025 Notes (“</w:t>
      </w:r>
      <w:r>
        <w:rPr>
          <w:rFonts w:ascii="Arial" w:cs="Arial" w:eastAsia="Arial" w:hAnsi="Arial"/>
          <w:sz w:val="17"/>
          <w:szCs w:val="17"/>
          <w:i w:val="1"/>
          <w:iCs w:val="1"/>
          <w:color w:val="auto"/>
        </w:rPr>
        <w:t>Additional 2025 Notes</w:t>
      </w:r>
      <w:r>
        <w:rPr>
          <w:rFonts w:ascii="Arial" w:cs="Arial" w:eastAsia="Arial" w:hAnsi="Arial"/>
          <w:sz w:val="17"/>
          <w:szCs w:val="17"/>
          <w:color w:val="auto"/>
        </w:rPr>
        <w:t>”), additional 2027 Notes (“</w:t>
      </w:r>
      <w:r>
        <w:rPr>
          <w:rFonts w:ascii="Arial" w:cs="Arial" w:eastAsia="Arial" w:hAnsi="Arial"/>
          <w:sz w:val="17"/>
          <w:szCs w:val="17"/>
          <w:i w:val="1"/>
          <w:iCs w:val="1"/>
          <w:color w:val="auto"/>
        </w:rPr>
        <w:t>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2027 Notes</w:t>
      </w:r>
      <w:r>
        <w:rPr>
          <w:rFonts w:ascii="Arial" w:cs="Arial" w:eastAsia="Arial" w:hAnsi="Arial"/>
          <w:sz w:val="18"/>
          <w:szCs w:val="18"/>
          <w:color w:val="auto"/>
        </w:rPr>
        <w:t>”), additional 2030 Notes (“</w:t>
      </w:r>
      <w:r>
        <w:rPr>
          <w:rFonts w:ascii="Arial" w:cs="Arial" w:eastAsia="Arial" w:hAnsi="Arial"/>
          <w:sz w:val="18"/>
          <w:szCs w:val="18"/>
          <w:i w:val="1"/>
          <w:iCs w:val="1"/>
          <w:color w:val="auto"/>
        </w:rPr>
        <w:t>Additional 2030 Notes</w:t>
      </w:r>
      <w:r>
        <w:rPr>
          <w:rFonts w:ascii="Arial" w:cs="Arial" w:eastAsia="Arial" w:hAnsi="Arial"/>
          <w:sz w:val="18"/>
          <w:szCs w:val="18"/>
          <w:color w:val="auto"/>
        </w:rPr>
        <w:t>”), additional 2040 Notes (“</w:t>
      </w:r>
      <w:r>
        <w:rPr>
          <w:rFonts w:ascii="Arial" w:cs="Arial" w:eastAsia="Arial" w:hAnsi="Arial"/>
          <w:sz w:val="18"/>
          <w:szCs w:val="18"/>
          <w:i w:val="1"/>
          <w:iCs w:val="1"/>
          <w:color w:val="auto"/>
        </w:rPr>
        <w:t>Additional 2040 Notes</w:t>
      </w:r>
      <w:r>
        <w:rPr>
          <w:rFonts w:ascii="Arial" w:cs="Arial" w:eastAsia="Arial" w:hAnsi="Arial"/>
          <w:sz w:val="18"/>
          <w:szCs w:val="18"/>
          <w:color w:val="auto"/>
        </w:rPr>
        <w:t>”) and additional 2050 Notes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2050 Notes</w:t>
      </w:r>
      <w:r>
        <w:rPr>
          <w:rFonts w:ascii="Arial" w:cs="Arial" w:eastAsia="Arial" w:hAnsi="Arial"/>
          <w:sz w:val="17"/>
          <w:szCs w:val="17"/>
          <w:color w:val="auto"/>
        </w:rPr>
        <w:t>” and, together with the Additional 2022 Notes, the Additional 2025 Notes, the Additional 2027 Notes, the Additional 2030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Notes and the Additional 2040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thereafter in unlimited aggregate principal amount (so long as permitted by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Indenture) for original issue upon a written order of the Company in the form of a Company Order in aggregate principal amount as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order (other than as provided in Section 2.08). Each such written order shall specify the amount of Additional Notes to be authenticated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on which the Additional Notes are to be authenticated.</w:t>
      </w:r>
    </w:p>
    <w:p>
      <w:pPr>
        <w:spacing w:after="0" w:line="21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Notwithstanding anything else in this Indenture to the contrary, at the Company’s option, Additional Notes may be issued with the same CUSIP, ISIN or other identifying number as the Initial Notes and without the Private Placement Legend,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has furnished an Opinion of Counsel to the Trustee confirming such issuance would not conflict with federal and state securities laws and the rules and regulations of the Commission. The Additional Notes of any series will have substantially the same terms as the Initial Notes of such series in all respects and will be treated as a single class for all purposes under this Indenture, including, without limitation, waivers, amendments, redemptions and offers to purchase;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Additional Notes that are issued upon or following the consummation of the Combination shall not have the benefit of the Pfizer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Guarantee and shall not be subject to Section 3.08;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Additional Notes that have the same CUSIP, ISIN or other identifying number as the outstanding Notes of a series must be fungible with the outstanding Notes of that series for U.S. federal income tax purposes.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2.02 Form and Dating.</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2022 Notes and the Trustee’s certificate of authentication with respect thereto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2025 Notes and the Trustee’s certificate of authentication with respect thereto shall be substantially in the form set forth in </w:t>
      </w:r>
      <w:r>
        <w:rPr>
          <w:rFonts w:ascii="Arial" w:cs="Arial" w:eastAsia="Arial" w:hAnsi="Arial"/>
          <w:sz w:val="18"/>
          <w:szCs w:val="18"/>
          <w:u w:val="single" w:color="auto"/>
          <w:color w:val="auto"/>
        </w:rPr>
        <w:t>Exhibit A-2</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2027 Notes and the Trustee’s certificate of authentication with respect thereto shall be substantially in the form set forth in </w:t>
      </w:r>
      <w:r>
        <w:rPr>
          <w:rFonts w:ascii="Arial" w:cs="Arial" w:eastAsia="Arial" w:hAnsi="Arial"/>
          <w:sz w:val="18"/>
          <w:szCs w:val="18"/>
          <w:u w:val="single" w:color="auto"/>
          <w:color w:val="auto"/>
        </w:rPr>
        <w:t>Exhibit A-3</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2030 Notes and the Trustee’s certificate of authentication with respect thereto shall be substantially in the form set forth in </w:t>
      </w:r>
      <w:r>
        <w:rPr>
          <w:rFonts w:ascii="Arial" w:cs="Arial" w:eastAsia="Arial" w:hAnsi="Arial"/>
          <w:sz w:val="18"/>
          <w:szCs w:val="18"/>
          <w:u w:val="single" w:color="auto"/>
          <w:color w:val="auto"/>
        </w:rPr>
        <w:t>Exhibit A-4</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2040 Notes and the Trustee’s certificate of authentication with respect thereto shall be substantially in the form set forth in </w:t>
      </w:r>
      <w:r>
        <w:rPr>
          <w:rFonts w:ascii="Arial" w:cs="Arial" w:eastAsia="Arial" w:hAnsi="Arial"/>
          <w:sz w:val="18"/>
          <w:szCs w:val="18"/>
          <w:u w:val="single" w:color="auto"/>
          <w:color w:val="auto"/>
        </w:rPr>
        <w:t>Exhibit A-5</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2050 Notes and the Trustee’s certificate of authentication with respect thereto shall be substantially in the form set forth in </w:t>
      </w:r>
      <w:r>
        <w:rPr>
          <w:rFonts w:ascii="Arial" w:cs="Arial" w:eastAsia="Arial" w:hAnsi="Arial"/>
          <w:sz w:val="18"/>
          <w:szCs w:val="18"/>
          <w:u w:val="single" w:color="auto"/>
          <w:color w:val="auto"/>
        </w:rPr>
        <w:t>Exhibit A-6</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The Notes may have notations, legends or endorsements required by law, rule or usage to which the Company is subject. Without limiting the generality of the foregoing, the 2022 Notes offered and sold to Qualified Institutional Buyers in reliance on Rule 144A (“</w:t>
      </w:r>
      <w:r>
        <w:rPr>
          <w:rFonts w:ascii="Arial" w:cs="Arial" w:eastAsia="Arial" w:hAnsi="Arial"/>
          <w:sz w:val="16"/>
          <w:szCs w:val="16"/>
          <w:i w:val="1"/>
          <w:iCs w:val="1"/>
          <w:color w:val="auto"/>
        </w:rPr>
        <w:t>2022 Rule 144A Notes</w:t>
      </w:r>
      <w:r>
        <w:rPr>
          <w:rFonts w:ascii="Arial" w:cs="Arial" w:eastAsia="Arial" w:hAnsi="Arial"/>
          <w:sz w:val="16"/>
          <w:szCs w:val="16"/>
          <w:color w:val="auto"/>
        </w:rPr>
        <w:t>”), the 2025 Notes offered and sold to Qualified Institutional Buyers in reliance on Rule 144A (“</w:t>
      </w:r>
      <w:r>
        <w:rPr>
          <w:rFonts w:ascii="Arial" w:cs="Arial" w:eastAsia="Arial" w:hAnsi="Arial"/>
          <w:sz w:val="16"/>
          <w:szCs w:val="16"/>
          <w:i w:val="1"/>
          <w:iCs w:val="1"/>
          <w:color w:val="auto"/>
        </w:rPr>
        <w:t>2025 Rule 144A Notes</w:t>
      </w:r>
      <w:r>
        <w:rPr>
          <w:rFonts w:ascii="Arial" w:cs="Arial" w:eastAsia="Arial" w:hAnsi="Arial"/>
          <w:sz w:val="16"/>
          <w:szCs w:val="16"/>
          <w:color w:val="auto"/>
        </w:rPr>
        <w:t>”), the 2027 Notes offered and sold to Qualified Institutional Buyers in reliance on Rule 144A (“</w:t>
      </w:r>
      <w:r>
        <w:rPr>
          <w:rFonts w:ascii="Arial" w:cs="Arial" w:eastAsia="Arial" w:hAnsi="Arial"/>
          <w:sz w:val="16"/>
          <w:szCs w:val="16"/>
          <w:i w:val="1"/>
          <w:iCs w:val="1"/>
          <w:color w:val="auto"/>
        </w:rPr>
        <w:t>2027 Rule 144A Notes</w:t>
      </w:r>
      <w:r>
        <w:rPr>
          <w:rFonts w:ascii="Arial" w:cs="Arial" w:eastAsia="Arial" w:hAnsi="Arial"/>
          <w:sz w:val="16"/>
          <w:szCs w:val="16"/>
          <w:color w:val="auto"/>
        </w:rPr>
        <w:t>”), the 2030 Notes offered and sold to Qualified Institutional Buyers in reliance on Rule 144A (“</w:t>
      </w:r>
      <w:r>
        <w:rPr>
          <w:rFonts w:ascii="Arial" w:cs="Arial" w:eastAsia="Arial" w:hAnsi="Arial"/>
          <w:sz w:val="16"/>
          <w:szCs w:val="16"/>
          <w:i w:val="1"/>
          <w:iCs w:val="1"/>
          <w:color w:val="auto"/>
        </w:rPr>
        <w:t>2030 Rule 144A Notes</w:t>
      </w:r>
      <w:r>
        <w:rPr>
          <w:rFonts w:ascii="Arial" w:cs="Arial" w:eastAsia="Arial" w:hAnsi="Arial"/>
          <w:sz w:val="16"/>
          <w:szCs w:val="16"/>
          <w:color w:val="auto"/>
        </w:rPr>
        <w:t>”), the 2040 Notes offered and sold to Qualified Institutional Buyers in reliance on Rule 144A (“</w:t>
      </w:r>
      <w:r>
        <w:rPr>
          <w:rFonts w:ascii="Arial" w:cs="Arial" w:eastAsia="Arial" w:hAnsi="Arial"/>
          <w:sz w:val="16"/>
          <w:szCs w:val="16"/>
          <w:i w:val="1"/>
          <w:iCs w:val="1"/>
          <w:color w:val="auto"/>
        </w:rPr>
        <w:t>2040</w:t>
      </w:r>
      <w:r>
        <w:rPr>
          <w:rFonts w:ascii="Arial" w:cs="Arial" w:eastAsia="Arial" w:hAnsi="Arial"/>
          <w:sz w:val="16"/>
          <w:szCs w:val="16"/>
          <w:color w:val="auto"/>
        </w:rPr>
        <w:t xml:space="preserve"> </w:t>
      </w:r>
      <w:r>
        <w:rPr>
          <w:rFonts w:ascii="Arial" w:cs="Arial" w:eastAsia="Arial" w:hAnsi="Arial"/>
          <w:sz w:val="16"/>
          <w:szCs w:val="16"/>
          <w:i w:val="1"/>
          <w:iCs w:val="1"/>
          <w:color w:val="auto"/>
        </w:rPr>
        <w:t>Rule 144A Notes</w:t>
      </w:r>
      <w:r>
        <w:rPr>
          <w:rFonts w:ascii="Arial" w:cs="Arial" w:eastAsia="Arial" w:hAnsi="Arial"/>
          <w:sz w:val="16"/>
          <w:szCs w:val="16"/>
          <w:color w:val="auto"/>
        </w:rPr>
        <w:t>”) and the 2050 Notes offered and sold to Qualified Institutional Buyers in reliance on Rule 144A (“</w:t>
      </w:r>
      <w:r>
        <w:rPr>
          <w:rFonts w:ascii="Arial" w:cs="Arial" w:eastAsia="Arial" w:hAnsi="Arial"/>
          <w:sz w:val="16"/>
          <w:szCs w:val="16"/>
          <w:i w:val="1"/>
          <w:iCs w:val="1"/>
          <w:color w:val="auto"/>
        </w:rPr>
        <w:t>2050 Rule 144A Notes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with the 2022 Rule 144A Notes, the 2025 Rule 144A Notes, the 2027 Rule 144A Notes, the 2030 Rule 144A Notes and the 2040 Rule 144A Notes, the “</w:t>
      </w:r>
      <w:r>
        <w:rPr>
          <w:rFonts w:ascii="Arial" w:cs="Arial" w:eastAsia="Arial" w:hAnsi="Arial"/>
          <w:sz w:val="16"/>
          <w:szCs w:val="16"/>
          <w:i w:val="1"/>
          <w:iCs w:val="1"/>
          <w:color w:val="auto"/>
        </w:rPr>
        <w:t>Rule 144A Notes</w:t>
      </w:r>
      <w:r>
        <w:rPr>
          <w:rFonts w:ascii="Arial" w:cs="Arial" w:eastAsia="Arial" w:hAnsi="Arial"/>
          <w:sz w:val="16"/>
          <w:szCs w:val="16"/>
          <w:color w:val="auto"/>
        </w:rPr>
        <w:t xml:space="preserve">”) shall bear the Private Placement Legend and include the form of assignment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1" w:name="page42"/>
    <w:bookmarkEnd w:id="41"/>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2022 Notes offered and sold in offshore transactions in reliance on Regulation S (“</w:t>
      </w:r>
      <w:r>
        <w:rPr>
          <w:rFonts w:ascii="Arial" w:cs="Arial" w:eastAsia="Arial" w:hAnsi="Arial"/>
          <w:sz w:val="17"/>
          <w:szCs w:val="17"/>
          <w:i w:val="1"/>
          <w:iCs w:val="1"/>
          <w:color w:val="auto"/>
        </w:rPr>
        <w:t>2022 Regulation S Notes</w:t>
      </w:r>
      <w:r>
        <w:rPr>
          <w:rFonts w:ascii="Arial" w:cs="Arial" w:eastAsia="Arial" w:hAnsi="Arial"/>
          <w:sz w:val="17"/>
          <w:szCs w:val="17"/>
          <w:color w:val="auto"/>
        </w:rPr>
        <w:t>”), the 2025 Notes offered and sold in offshore transactions in reliance on Regulation S (“</w:t>
      </w:r>
      <w:r>
        <w:rPr>
          <w:rFonts w:ascii="Arial" w:cs="Arial" w:eastAsia="Arial" w:hAnsi="Arial"/>
          <w:sz w:val="17"/>
          <w:szCs w:val="17"/>
          <w:i w:val="1"/>
          <w:iCs w:val="1"/>
          <w:color w:val="auto"/>
        </w:rPr>
        <w:t>2025 Regulation S Notes</w:t>
      </w:r>
      <w:r>
        <w:rPr>
          <w:rFonts w:ascii="Arial" w:cs="Arial" w:eastAsia="Arial" w:hAnsi="Arial"/>
          <w:sz w:val="17"/>
          <w:szCs w:val="17"/>
          <w:color w:val="auto"/>
        </w:rPr>
        <w:t>”), the 2027 Notes offered and sold in offshore transactions in reliance on Regulation S (“</w:t>
      </w:r>
      <w:r>
        <w:rPr>
          <w:rFonts w:ascii="Arial" w:cs="Arial" w:eastAsia="Arial" w:hAnsi="Arial"/>
          <w:sz w:val="17"/>
          <w:szCs w:val="17"/>
          <w:i w:val="1"/>
          <w:iCs w:val="1"/>
          <w:color w:val="auto"/>
        </w:rPr>
        <w:t>2027 Regulation S Notes</w:t>
      </w:r>
      <w:r>
        <w:rPr>
          <w:rFonts w:ascii="Arial" w:cs="Arial" w:eastAsia="Arial" w:hAnsi="Arial"/>
          <w:sz w:val="17"/>
          <w:szCs w:val="17"/>
          <w:color w:val="auto"/>
        </w:rPr>
        <w:t>”), the 2030 Notes offered and sold in offshore transactions in reliance on Regulation S (“</w:t>
      </w:r>
      <w:r>
        <w:rPr>
          <w:rFonts w:ascii="Arial" w:cs="Arial" w:eastAsia="Arial" w:hAnsi="Arial"/>
          <w:sz w:val="17"/>
          <w:szCs w:val="17"/>
          <w:i w:val="1"/>
          <w:iCs w:val="1"/>
          <w:color w:val="auto"/>
        </w:rPr>
        <w:t>2030 Regulation S</w:t>
      </w:r>
      <w:r>
        <w:rPr>
          <w:rFonts w:ascii="Arial" w:cs="Arial" w:eastAsia="Arial" w:hAnsi="Arial"/>
          <w:sz w:val="17"/>
          <w:szCs w:val="17"/>
          <w:color w:val="auto"/>
        </w:rPr>
        <w:t xml:space="preserve"> </w:t>
      </w:r>
      <w:r>
        <w:rPr>
          <w:rFonts w:ascii="Arial" w:cs="Arial" w:eastAsia="Arial" w:hAnsi="Arial"/>
          <w:sz w:val="17"/>
          <w:szCs w:val="17"/>
          <w:i w:val="1"/>
          <w:iCs w:val="1"/>
          <w:color w:val="auto"/>
        </w:rPr>
        <w:t>Notes</w:t>
      </w:r>
      <w:r>
        <w:rPr>
          <w:rFonts w:ascii="Arial" w:cs="Arial" w:eastAsia="Arial" w:hAnsi="Arial"/>
          <w:sz w:val="17"/>
          <w:szCs w:val="17"/>
          <w:color w:val="auto"/>
        </w:rPr>
        <w:t>”), the 2040 Notes offered and sold in offshore transactions in reliance on Regulation S (“</w:t>
      </w:r>
      <w:r>
        <w:rPr>
          <w:rFonts w:ascii="Arial" w:cs="Arial" w:eastAsia="Arial" w:hAnsi="Arial"/>
          <w:sz w:val="17"/>
          <w:szCs w:val="17"/>
          <w:i w:val="1"/>
          <w:iCs w:val="1"/>
          <w:color w:val="auto"/>
        </w:rPr>
        <w:t>2040 Regulation S Notes</w:t>
      </w:r>
      <w:r>
        <w:rPr>
          <w:rFonts w:ascii="Arial" w:cs="Arial" w:eastAsia="Arial" w:hAnsi="Arial"/>
          <w:sz w:val="17"/>
          <w:szCs w:val="17"/>
          <w:color w:val="auto"/>
        </w:rPr>
        <w:t>”) and the 2050 Notes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and sold in offshore transactions in reliance on Regulation S (“</w:t>
      </w:r>
      <w:r>
        <w:rPr>
          <w:rFonts w:ascii="Arial" w:cs="Arial" w:eastAsia="Arial" w:hAnsi="Arial"/>
          <w:sz w:val="17"/>
          <w:szCs w:val="17"/>
          <w:i w:val="1"/>
          <w:iCs w:val="1"/>
          <w:color w:val="auto"/>
        </w:rPr>
        <w:t>2050 Regulation S Notes</w:t>
      </w:r>
      <w:r>
        <w:rPr>
          <w:rFonts w:ascii="Arial" w:cs="Arial" w:eastAsia="Arial" w:hAnsi="Arial"/>
          <w:sz w:val="17"/>
          <w:szCs w:val="17"/>
          <w:color w:val="auto"/>
        </w:rPr>
        <w:t>” and, together with the 2022 Regulation S Notes, the 2025 Regulation S Notes, the 2027 Regulation S Notes, the 2030 Regulation S Notes and the 2040 Regulation S Notes, the “</w:t>
      </w:r>
      <w:r>
        <w:rPr>
          <w:rFonts w:ascii="Arial" w:cs="Arial" w:eastAsia="Arial" w:hAnsi="Arial"/>
          <w:sz w:val="17"/>
          <w:szCs w:val="17"/>
          <w:i w:val="1"/>
          <w:iCs w:val="1"/>
          <w:color w:val="auto"/>
        </w:rPr>
        <w:t>Regulation S Notes</w:t>
      </w:r>
      <w:r>
        <w:rPr>
          <w:rFonts w:ascii="Arial" w:cs="Arial" w:eastAsia="Arial" w:hAnsi="Arial"/>
          <w:sz w:val="17"/>
          <w:szCs w:val="17"/>
          <w:color w:val="auto"/>
        </w:rPr>
        <w:t xml:space="preserve">”) shall bear the legend and include the form of assignment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expressly made, a part of this Indenture and, to the extent applicable, the Company, the Guarantors and the Trustee, by their execution and delivery of this Indenture, expressly agree to such terms and provisions and agree to be bound thereby. However, to the extent any provision of any Note conflicts with the express provisions of this Indenture, the provisions of this Indenture shall control and be binding.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may be presented for registration of transfer and exchange at the offices of the Registrar.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2.03 Execution and Authentication.</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Notes shall be executed on behalf of the Company by its Chairman of the Board, Chief Executive Officer, Chief Financial Officer, President or any Vice President. The signature of any of these officers on the Notes may be manual or facsimile.</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The Company shall deliver a Note or Notes to the Trustee to be authenticated along with a Company Order directing the authentication thereof. No Note shall be entitled to any benefit under this Indenture or be valid or obligatory for any purpose unless there appears on such Note a certificate of authentication substantially in the form provided for herein executed by the Trustee by manual or electronic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Company, and the Company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66"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Notes shall be issuable only in fully registered form without coupons in denominations of $2,000 and any integral multiple of $1,000 in excess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2.04 Registrar and Paying Agent.</w:t>
      </w:r>
    </w:p>
    <w:p>
      <w:pPr>
        <w:spacing w:after="0" w:line="117"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The Company shall maintain an office or agency where Notes may be presented for registration of transfer or for exchange (the “</w:t>
      </w:r>
      <w:r>
        <w:rPr>
          <w:rFonts w:ascii="Arial" w:cs="Arial" w:eastAsia="Arial" w:hAnsi="Arial"/>
          <w:sz w:val="16"/>
          <w:szCs w:val="16"/>
          <w:i w:val="1"/>
          <w:iCs w:val="1"/>
          <w:color w:val="auto"/>
        </w:rPr>
        <w:t>Registrar</w:t>
      </w:r>
      <w:r>
        <w:rPr>
          <w:rFonts w:ascii="Arial" w:cs="Arial" w:eastAsia="Arial" w:hAnsi="Arial"/>
          <w:sz w:val="16"/>
          <w:szCs w:val="16"/>
          <w:color w:val="auto"/>
        </w:rPr>
        <w:t>”), an office or agency where Notes may be presented for payment (the “</w:t>
      </w:r>
      <w:r>
        <w:rPr>
          <w:rFonts w:ascii="Arial" w:cs="Arial" w:eastAsia="Arial" w:hAnsi="Arial"/>
          <w:sz w:val="16"/>
          <w:szCs w:val="16"/>
          <w:i w:val="1"/>
          <w:iCs w:val="1"/>
          <w:color w:val="auto"/>
        </w:rPr>
        <w:t>Paying Agent</w:t>
      </w:r>
      <w:r>
        <w:rPr>
          <w:rFonts w:ascii="Arial" w:cs="Arial" w:eastAsia="Arial" w:hAnsi="Arial"/>
          <w:sz w:val="16"/>
          <w:szCs w:val="16"/>
          <w:color w:val="auto"/>
        </w:rPr>
        <w:t>”) and an office or agency where notices and demands to or upon the Company, if any, in respect of the Notes and this Indenture may be served. The Registrar shall keep a register of the Notes and of their transfer and exchange. The Company may have one or more additional Paying Agents. The term “Paying Agent” includes any additional Paying Agent.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2" w:name="page43"/>
    <w:bookmarkEnd w:id="42"/>
    <w:p>
      <w:pPr>
        <w:ind w:right="1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shall enter into an appropriate agency agreement, which shall incorporate the provisions of the TIA, with any Agent that is not a party to this Indenture. The agreement shall implement the provisions of this Indenture that relate to such Agent. The Company shall notify the Trustee of the name and address of any such Agent. If the Company fails to maintain a Registrar or Paying Agent, or fails to give the foregoing notice, the Trustee shall act as such and shall be entitled to appropriate compensation in accordance with Section 7.06.</w:t>
      </w:r>
    </w:p>
    <w:p>
      <w:pPr>
        <w:spacing w:after="0" w:line="17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Company initially appoints the Trustee as Registrar, Paying Agent and Agent for service of notices and demands in connection with the Notes and this Indenture, and the Corporate Trust Office of the Trustee as the office or agency of the Company for such purposes, and the Company may change the Paying Agent without prior notice to the Holders. The Company or any of its Subsidiaries may act as Paying Agent.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2.05 Paying Agent To Hold Money in Trust.</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Each Paying Agent shall hold in trust for the benefit of the Holders or the Trustee all money held by the Paying Agent for the payment of principal of, premium, if any, or interest on the Notes (whether such money has been paid to it by the Company or any other obligor on the Notes), and the Company and the Paying Agent shall notify the Trustee of any default by the Company (or any other obligor on the Notes) in making any such payment. Money held in trust by the Paying Agent need not be segregated except as required by law and in no event shall the Paying Agent be liable for any interest on any money received by it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or an Affiliate thereof acts as Paying Agent, it shall segregate the money held by it as Paying Agent and hold such money in a separate trust fund. The Company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 disbursed. Upon making such payment, the Paying Agent shall have no further liability for the money delivered to the Trustee.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2.06 Holder Lists.</w:t>
      </w:r>
    </w:p>
    <w:p>
      <w:pPr>
        <w:spacing w:after="0" w:line="117" w:lineRule="exact"/>
        <w:rPr>
          <w:sz w:val="20"/>
          <w:szCs w:val="20"/>
          <w:color w:val="auto"/>
        </w:rPr>
      </w:pPr>
    </w:p>
    <w:p>
      <w:pPr>
        <w:ind w:right="300" w:firstLine="440"/>
        <w:spacing w:after="0" w:line="301" w:lineRule="auto"/>
        <w:rPr>
          <w:sz w:val="20"/>
          <w:szCs w:val="20"/>
          <w:color w:val="auto"/>
        </w:rPr>
      </w:pPr>
      <w:r>
        <w:rPr>
          <w:rFonts w:ascii="Arial" w:cs="Arial" w:eastAsia="Arial" w:hAnsi="Arial"/>
          <w:sz w:val="16"/>
          <w:szCs w:val="16"/>
          <w:color w:val="auto"/>
        </w:rPr>
        <w:t xml:space="preserve">The Trustee shall preserve in as current a form as is reasonably practicable the most recent list available to it of the names and addresses of the Holders of each series of Notes.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long as the Trustee is the Registrar, no such list need be furnished.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2.07 Transfer and Exchange.</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Subject to Sections 2.16 and 2.17, when Notes are presented to the Registrar with a request from the Holder of such Notes to register a transfer or to exchange them for an equal principal amount of Notes of other authorized denominations of the same series, the Registrar shall register the transfer as requested. Every Note presented or surrendered for registration of transfer or exchange shall be duly endorsed or be accompanied by a written instrument of transfer in form satisfactory to the Company and the Registrar, duly executed by the Holder thereof or its attorney duly authorized in writing. To permit registrations of transfers and exchanges, the Company shall issue and execute, and the Trustee shall authenticate, new Notes evidencing such transfer or exchange at the Registrar’s request. No service charge shall be made to the Holder for any registration of transfer or exchange. The Company may require from the Holder payment of a sum sufficient to cover any transfer taxes or other governmental charge that may be imposed in relation to a transfer or exchange, but this provision shall not apply to any exchange pursuant to Section 2.11, 3.06 or 8.04 (in which events the Company shall be responsible for the payment of such taxes). The Registrar shall not be required to exchange or register a transfer of any Note of any series for a period of 15 days immediately preceding the redemption of Notes of such series, except the unredeemed portion of any Note being redeemed in part.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3" w:name="page44"/>
    <w:bookmarkEnd w:id="43"/>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system.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2.08 Replacement Notes.</w:t>
      </w:r>
    </w:p>
    <w:p>
      <w:pPr>
        <w:spacing w:after="0" w:line="117"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If a mutilated Note of any series is surrendered to the Registrar or the Trustee, or if the Holder of a Note of any series claims that the Note has been lost, destroyed or wrongfully taken, the Company shall issue and the Trustee shall authenticate a replacement Note of such series if the Holder of such Note furnishes to the Company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Company, an indemnity bond shall be posted, sufficient in the judgment of all to protect the Company, the Trustee or any Paying Agent from any loss that any of them may suffer if such Note is replaced. The Company may charge such Holder for the Company’s reasonable out-of-pocket expenses in replacing such Note and the Trustee may charge the Company for the Trustee’s expenses (including, without limitation, attorneys’ fees and disbursements) in replacing such Note. Every replacement Note shall constitute a contractual obligation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2.09 Outstanding Notes.</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The Notes outstanding at any time are all Notes that have been authenticated by the Trustee except for (a) those canceled by it, (b) those delivered to it for cancellation, (c) to the extent set forth in Sections 9.01 and 9.02, on or after the date on which the conditions set forth in Section 9.01 or 9.02 have been satisfied, those Notes theretofore authenticated and delivered by the Trustee hereunder and (d) those described in this Section 2.09 as not outstanding. Subject to Section 2.10, a Note does not cease to be outstanding because the Company or one of its Affiliates holds the Note.</w:t>
      </w:r>
    </w:p>
    <w:p>
      <w:pPr>
        <w:spacing w:after="0" w:line="15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If a Note is replaced pursuant to Section 2.08, it ceases to be outstanding unless the Trustee receives proof satisfactory to it that the replaced Note is held by a bona fide purchaser in whose hands such Note is a legal, valid and binding obligation of the Company.</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If the Paying Agent holds, in its capacity as such, on any Maturity Date, money sufficient to pay all accrued interest and principal with respect to the Notes payable on that date and is not prohibited from paying such money to the Holders thereof pursuant to the terms of this Indenture, then on and after that date such Notes cease to be outstanding and interest on them ceases to accrue.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2.10 Treasury Notes.</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determining whether the Holders of the required principal amount of Notes of a series have concurred in any declaration of acceleration or notice of default or direction, waiver or consent or any amendment, modification or other change to this Indenture, Notes owned by the Company or any other Affiliate of the Company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Company, any other obligor on the Notes or any of their respective Affiliates.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2.11 Temporary Notes.</w:t>
      </w:r>
    </w:p>
    <w:p>
      <w:pPr>
        <w:spacing w:after="0" w:line="117"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Until definitive Notes are prepared and ready for delivery, the Company may prepare and the Trustee shall authenticate temporary Notes. Temporary Notes shall be substantially in the form of definitive Notes but may have variations that the Company considers appropriate for temporary Notes. Without unreasonable delay, the Company shall prepare and the Trustee shall authenticate definitive Notes in exchange for temporary Notes. Until such exchange, temporary Notes shall be entitled to the same rights, benefits and privileges as definitive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2.12 Cancellation.</w:t>
      </w:r>
    </w:p>
    <w:p>
      <w:pPr>
        <w:spacing w:after="0" w:line="11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The Company at any time may deliver Notes to the Trustee for cancellation along with a Company Order directing the cancellation thereof. The Registrar and the Paying Agent shall forward to the Trustee any Notes surrendered to them for registration of transfer, exchange or payment. The Trustee shall cancel all Notes surrendered for registration of transfer, exchange, payment, replacement or cancellation and shall deliver such canceled Notes to the Company. The Company may not reissue or resell, or issue new Notes to replace Notes that the Company has redeemed or paid, or that have been delivered to the Trustee for cancellation (other than in accordance with this Indenture).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2.13 Defaulted Interest.</w:t>
      </w:r>
    </w:p>
    <w:p>
      <w:pPr>
        <w:spacing w:after="0" w:line="11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If the Company defaults on a payment of interest on the Notes, it shall pay the defaulted interest, </w:t>
      </w:r>
      <w:r>
        <w:rPr>
          <w:rFonts w:ascii="Arial" w:cs="Arial" w:eastAsia="Arial" w:hAnsi="Arial"/>
          <w:sz w:val="18"/>
          <w:szCs w:val="18"/>
          <w:i w:val="1"/>
          <w:iCs w:val="1"/>
          <w:color w:val="auto"/>
        </w:rPr>
        <w:t>plus</w:t>
      </w:r>
      <w:r>
        <w:rPr>
          <w:rFonts w:ascii="Arial" w:cs="Arial" w:eastAsia="Arial" w:hAnsi="Arial"/>
          <w:sz w:val="18"/>
          <w:szCs w:val="18"/>
          <w:color w:val="auto"/>
        </w:rPr>
        <w:t xml:space="preserve"> (to the extent permitted by law) any interest payable on the defaulted interest, in accordance with the terms hereof, to the Persons who are Holders on a subsequent special record date, which date shall be at least five Business Days prior to the payment date. The Company shall fix such special record date and payment date in a manner satisfactory to the Trustee. At least 10 days before such special record date, the Company shall deliver in accordance with the procedures of the Depositary to each Holder a notice that states the special record date, the payment date and the amount of defaulted interest, and interest payable on defaulted interest, if any, to be paid. The Company may make payment of any defaulted interest in any other lawful manner not inconsistent with the requirements (if applicable) of any securities exchange on which the Notes may be listed and, upon such notice as may be required by such exchange, if, after written notice given by the Company to the Trustee of the proposed payment pursuant to this sentence, such manner of payment shall be deemed practicable by the Trustee.</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2.14 Identifying Number.</w:t>
      </w:r>
    </w:p>
    <w:p>
      <w:pPr>
        <w:spacing w:after="0" w:line="117" w:lineRule="exact"/>
        <w:rPr>
          <w:sz w:val="20"/>
          <w:szCs w:val="20"/>
          <w:color w:val="auto"/>
        </w:rPr>
      </w:pPr>
    </w:p>
    <w:p>
      <w:pPr>
        <w:jc w:val="both"/>
        <w:ind w:right="20" w:firstLine="440"/>
        <w:spacing w:after="0" w:line="296" w:lineRule="auto"/>
        <w:rPr>
          <w:sz w:val="20"/>
          <w:szCs w:val="20"/>
          <w:color w:val="auto"/>
        </w:rPr>
      </w:pPr>
      <w:r>
        <w:rPr>
          <w:rFonts w:ascii="Arial" w:cs="Arial" w:eastAsia="Arial" w:hAnsi="Arial"/>
          <w:sz w:val="16"/>
          <w:szCs w:val="16"/>
          <w:color w:val="auto"/>
        </w:rPr>
        <w:t xml:space="preserve">The Company in issuing the Notes may use a “CUSIP,” “ISIN” or other similar number, and if so, such CUSIP, ISIN or other similar number shall be included in notices of redemption or exchange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state that no representation is made as to the correctness or accuracy of the CUSIP, ISIN or other similar number printed in the notice or on the Notes, and that reliance may be placed only on the other identification numbers printed on the Notes. The Company shall promptly notify the Trustee of any such CUSIP, ISIN or other similar number used by the Company in connection with the issuance of the Notes and of any change in the CUSIP, ISIN or other similar number.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2.15 Deposit of Moneys.</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Prior to 11:00 a.m., New York City time, on each Interest Payment Date and Maturity Date, the Company shall have deposited with the Paying Agent in immediately available funds money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Note shall be payable to the Depositary of such Global Note or its nominee, as the case may be, as the sole registered owner and the sole Holder of the Notes represented thereby. The principal and interest on Physical Notes shall be payable, either in person or by mail, at the office of the Paying Agent.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2.16 Book-Entry Provisions for Global Notes.</w:t>
      </w:r>
    </w:p>
    <w:p>
      <w:pPr>
        <w:spacing w:after="0" w:line="117" w:lineRule="exact"/>
        <w:rPr>
          <w:sz w:val="20"/>
          <w:szCs w:val="20"/>
          <w:color w:val="auto"/>
        </w:rPr>
      </w:pPr>
    </w:p>
    <w:p>
      <w:pPr>
        <w:ind w:firstLine="436"/>
        <w:spacing w:after="0" w:line="284"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2022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2022 Rule 144A Global Notes</w:t>
      </w:r>
      <w:r>
        <w:rPr>
          <w:rFonts w:ascii="Arial" w:cs="Arial" w:eastAsia="Arial" w:hAnsi="Arial"/>
          <w:sz w:val="16"/>
          <w:szCs w:val="16"/>
          <w:color w:val="auto"/>
        </w:rPr>
        <w:t>”). The 2025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2025 Rule 144A Global Notes</w:t>
      </w:r>
      <w:r>
        <w:rPr>
          <w:rFonts w:ascii="Arial" w:cs="Arial" w:eastAsia="Arial" w:hAnsi="Arial"/>
          <w:sz w:val="16"/>
          <w:szCs w:val="16"/>
          <w:color w:val="auto"/>
        </w:rPr>
        <w:t>”). The 2027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2027 Rule 144A Global</w:t>
      </w:r>
      <w:r>
        <w:rPr>
          <w:rFonts w:ascii="Arial" w:cs="Arial" w:eastAsia="Arial" w:hAnsi="Arial"/>
          <w:sz w:val="16"/>
          <w:szCs w:val="16"/>
          <w:color w:val="auto"/>
        </w:rPr>
        <w:t xml:space="preserve"> </w:t>
      </w:r>
      <w:r>
        <w:rPr>
          <w:rFonts w:ascii="Arial" w:cs="Arial" w:eastAsia="Arial" w:hAnsi="Arial"/>
          <w:sz w:val="16"/>
          <w:szCs w:val="16"/>
          <w:i w:val="1"/>
          <w:iCs w:val="1"/>
          <w:color w:val="auto"/>
        </w:rPr>
        <w:t>Notes</w:t>
      </w:r>
      <w:r>
        <w:rPr>
          <w:rFonts w:ascii="Arial" w:cs="Arial" w:eastAsia="Arial" w:hAnsi="Arial"/>
          <w:sz w:val="16"/>
          <w:szCs w:val="16"/>
          <w:color w:val="auto"/>
        </w:rPr>
        <w:t>”). The 2030 Rule 144A Notes initially shall be represented by one or more Notes of the same series in registered, global form without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coupons (collectively, the “</w:t>
      </w:r>
      <w:r>
        <w:rPr>
          <w:rFonts w:ascii="Arial" w:cs="Arial" w:eastAsia="Arial" w:hAnsi="Arial"/>
          <w:sz w:val="16"/>
          <w:szCs w:val="16"/>
          <w:i w:val="1"/>
          <w:iCs w:val="1"/>
          <w:color w:val="auto"/>
        </w:rPr>
        <w:t>2030 Rule 144A Global Notes</w:t>
      </w:r>
      <w:r>
        <w:rPr>
          <w:rFonts w:ascii="Arial" w:cs="Arial" w:eastAsia="Arial" w:hAnsi="Arial"/>
          <w:sz w:val="16"/>
          <w:szCs w:val="16"/>
          <w:color w:val="auto"/>
        </w:rPr>
        <w:t>”). The 2040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2040 Rule 144A Global Notes</w:t>
      </w:r>
      <w:r>
        <w:rPr>
          <w:rFonts w:ascii="Arial" w:cs="Arial" w:eastAsia="Arial" w:hAnsi="Arial"/>
          <w:sz w:val="16"/>
          <w:szCs w:val="16"/>
          <w:color w:val="auto"/>
        </w:rPr>
        <w:t>”). The 2050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2050 Rule 144A Global</w:t>
      </w:r>
      <w:r>
        <w:rPr>
          <w:rFonts w:ascii="Arial" w:cs="Arial" w:eastAsia="Arial" w:hAnsi="Arial"/>
          <w:sz w:val="16"/>
          <w:szCs w:val="16"/>
          <w:color w:val="auto"/>
        </w:rPr>
        <w:t xml:space="preserve"> </w:t>
      </w:r>
      <w:r>
        <w:rPr>
          <w:rFonts w:ascii="Arial" w:cs="Arial" w:eastAsia="Arial" w:hAnsi="Arial"/>
          <w:sz w:val="16"/>
          <w:szCs w:val="16"/>
          <w:i w:val="1"/>
          <w:iCs w:val="1"/>
          <w:color w:val="auto"/>
        </w:rPr>
        <w:t>Notes</w:t>
      </w:r>
      <w:r>
        <w:rPr>
          <w:rFonts w:ascii="Arial" w:cs="Arial" w:eastAsia="Arial" w:hAnsi="Arial"/>
          <w:sz w:val="16"/>
          <w:szCs w:val="16"/>
          <w:color w:val="auto"/>
        </w:rPr>
        <w:t>” and, together with the 2022 Rule 144A Global Notes, the 2025 Rule 144A Global Notes, the 2027 Rule 144A Global Notes, the 2030 Rule 144A</w:t>
      </w:r>
      <w:r>
        <w:rPr>
          <w:rFonts w:ascii="Arial" w:cs="Arial" w:eastAsia="Arial" w:hAnsi="Arial"/>
          <w:sz w:val="16"/>
          <w:szCs w:val="16"/>
          <w:i w:val="1"/>
          <w:iCs w:val="1"/>
          <w:color w:val="auto"/>
        </w:rPr>
        <w:t xml:space="preserve"> </w:t>
      </w:r>
      <w:r>
        <w:rPr>
          <w:rFonts w:ascii="Arial" w:cs="Arial" w:eastAsia="Arial" w:hAnsi="Arial"/>
          <w:sz w:val="16"/>
          <w:szCs w:val="16"/>
          <w:color w:val="auto"/>
        </w:rPr>
        <w:t>Global Notes and the 2040 Rule 144A Global Notes, the “</w:t>
      </w:r>
      <w:r>
        <w:rPr>
          <w:rFonts w:ascii="Arial" w:cs="Arial" w:eastAsia="Arial" w:hAnsi="Arial"/>
          <w:sz w:val="16"/>
          <w:szCs w:val="16"/>
          <w:i w:val="1"/>
          <w:iCs w:val="1"/>
          <w:color w:val="auto"/>
        </w:rPr>
        <w:t>Rule 144A Global Notes</w:t>
      </w:r>
      <w:r>
        <w:rPr>
          <w:rFonts w:ascii="Arial" w:cs="Arial" w:eastAsia="Arial" w:hAnsi="Arial"/>
          <w:sz w:val="16"/>
          <w:szCs w:val="16"/>
          <w:color w:val="auto"/>
        </w:rPr>
        <w:t>”). The 2022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2022 Regulation S Global Notes</w:t>
      </w:r>
      <w:r>
        <w:rPr>
          <w:rFonts w:ascii="Arial" w:cs="Arial" w:eastAsia="Arial" w:hAnsi="Arial"/>
          <w:sz w:val="16"/>
          <w:szCs w:val="16"/>
          <w:color w:val="auto"/>
        </w:rPr>
        <w:t>”). The 2025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2025 Regulation S Global Notes</w:t>
      </w:r>
      <w:r>
        <w:rPr>
          <w:rFonts w:ascii="Arial" w:cs="Arial" w:eastAsia="Arial" w:hAnsi="Arial"/>
          <w:sz w:val="16"/>
          <w:szCs w:val="16"/>
          <w:color w:val="auto"/>
        </w:rPr>
        <w:t>”). The 2027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2027 Regulation S Global Notes</w:t>
      </w:r>
      <w:r>
        <w:rPr>
          <w:rFonts w:ascii="Arial" w:cs="Arial" w:eastAsia="Arial" w:hAnsi="Arial"/>
          <w:sz w:val="16"/>
          <w:szCs w:val="16"/>
          <w:color w:val="auto"/>
        </w:rPr>
        <w:t>”). The 2030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2030 Regulation S</w:t>
      </w:r>
      <w:r>
        <w:rPr>
          <w:rFonts w:ascii="Arial" w:cs="Arial" w:eastAsia="Arial" w:hAnsi="Arial"/>
          <w:sz w:val="16"/>
          <w:szCs w:val="16"/>
          <w:color w:val="auto"/>
        </w:rPr>
        <w:t xml:space="preserve"> </w:t>
      </w:r>
      <w:r>
        <w:rPr>
          <w:rFonts w:ascii="Arial" w:cs="Arial" w:eastAsia="Arial" w:hAnsi="Arial"/>
          <w:sz w:val="16"/>
          <w:szCs w:val="16"/>
          <w:i w:val="1"/>
          <w:iCs w:val="1"/>
          <w:color w:val="auto"/>
        </w:rPr>
        <w:t>Global Notes</w:t>
      </w:r>
      <w:r>
        <w:rPr>
          <w:rFonts w:ascii="Arial" w:cs="Arial" w:eastAsia="Arial" w:hAnsi="Arial"/>
          <w:sz w:val="16"/>
          <w:szCs w:val="16"/>
          <w:color w:val="auto"/>
        </w:rPr>
        <w:t>”). The 2040 Regulation S Notes initially shall be represented by one or more Notes of the same series in registered, global form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coupons (collectively, the “</w:t>
      </w:r>
      <w:r>
        <w:rPr>
          <w:rFonts w:ascii="Arial" w:cs="Arial" w:eastAsia="Arial" w:hAnsi="Arial"/>
          <w:sz w:val="16"/>
          <w:szCs w:val="16"/>
          <w:i w:val="1"/>
          <w:iCs w:val="1"/>
          <w:color w:val="auto"/>
        </w:rPr>
        <w:t>2040 Regulation S Global Notes</w:t>
      </w:r>
      <w:r>
        <w:rPr>
          <w:rFonts w:ascii="Arial" w:cs="Arial" w:eastAsia="Arial" w:hAnsi="Arial"/>
          <w:sz w:val="16"/>
          <w:szCs w:val="16"/>
          <w:color w:val="auto"/>
        </w:rPr>
        <w:t>”). The 2050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2050 Regulation S Global Notes</w:t>
      </w:r>
      <w:r>
        <w:rPr>
          <w:rFonts w:ascii="Arial" w:cs="Arial" w:eastAsia="Arial" w:hAnsi="Arial"/>
          <w:sz w:val="16"/>
          <w:szCs w:val="16"/>
          <w:color w:val="auto"/>
        </w:rPr>
        <w:t>” and, together with the 2022 Regulation S Global Notes, the 2025 Regulation S Global Notes, the 2027 Regulation S Global Notes, the 2030 Regulation S Global Notes and the 2040 Regulation S Global Notes, the “</w:t>
      </w:r>
      <w:r>
        <w:rPr>
          <w:rFonts w:ascii="Arial" w:cs="Arial" w:eastAsia="Arial" w:hAnsi="Arial"/>
          <w:sz w:val="16"/>
          <w:szCs w:val="16"/>
          <w:i w:val="1"/>
          <w:iCs w:val="1"/>
          <w:color w:val="auto"/>
        </w:rPr>
        <w:t>Regulation S Global Notes</w:t>
      </w:r>
      <w:r>
        <w:rPr>
          <w:rFonts w:ascii="Arial" w:cs="Arial" w:eastAsia="Arial" w:hAnsi="Arial"/>
          <w:sz w:val="16"/>
          <w:szCs w:val="16"/>
          <w:color w:val="auto"/>
        </w:rPr>
        <w:t>”). The Rule 144A Global Notes and the Regulation S Global Notes and any other global notes representing the Notes (collectively, the “</w:t>
      </w:r>
      <w:r>
        <w:rPr>
          <w:rFonts w:ascii="Arial" w:cs="Arial" w:eastAsia="Arial" w:hAnsi="Arial"/>
          <w:sz w:val="16"/>
          <w:szCs w:val="16"/>
          <w:i w:val="1"/>
          <w:iCs w:val="1"/>
          <w:color w:val="auto"/>
        </w:rPr>
        <w:t>Global Notes</w:t>
      </w:r>
      <w:r>
        <w:rPr>
          <w:rFonts w:ascii="Arial" w:cs="Arial" w:eastAsia="Arial" w:hAnsi="Arial"/>
          <w:sz w:val="16"/>
          <w:szCs w:val="16"/>
          <w:color w:val="auto"/>
        </w:rPr>
        <w:t xml:space="preserve">”) shall bear legends as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Global Notes initially shall (i) be registered in the name of the Depositary or the nominee of such Depositary, in each case for credit to an account of an Agent Member, (ii) be delivered to The Bank of New York Mellon as custodian for such Depositary and (iii) bear legends as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respect to a Rule 144A Global Note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 respect to a Regulation S Global Note.</w:t>
      </w:r>
    </w:p>
    <w:p>
      <w:pPr>
        <w:spacing w:after="0" w:line="393" w:lineRule="exact"/>
        <w:rPr>
          <w:sz w:val="20"/>
          <w:szCs w:val="20"/>
          <w:color w:val="auto"/>
        </w:rPr>
      </w:pPr>
    </w:p>
    <w:p>
      <w:pPr>
        <w:jc w:val="both"/>
        <w:ind w:right="100" w:firstLine="440"/>
        <w:spacing w:after="0" w:line="287" w:lineRule="auto"/>
        <w:rPr>
          <w:sz w:val="20"/>
          <w:szCs w:val="20"/>
          <w:color w:val="auto"/>
        </w:rPr>
      </w:pPr>
      <w:r>
        <w:rPr>
          <w:rFonts w:ascii="Arial" w:cs="Arial" w:eastAsia="Arial" w:hAnsi="Arial"/>
          <w:sz w:val="16"/>
          <w:szCs w:val="16"/>
          <w:color w:val="auto"/>
        </w:rPr>
        <w:t>Members of, or direct or indirect participants in, the Depositary (“</w:t>
      </w:r>
      <w:r>
        <w:rPr>
          <w:rFonts w:ascii="Arial" w:cs="Arial" w:eastAsia="Arial" w:hAnsi="Arial"/>
          <w:sz w:val="16"/>
          <w:szCs w:val="16"/>
          <w:i w:val="1"/>
          <w:iCs w:val="1"/>
          <w:color w:val="auto"/>
        </w:rPr>
        <w:t>Agent Members</w:t>
      </w:r>
      <w:r>
        <w:rPr>
          <w:rFonts w:ascii="Arial" w:cs="Arial" w:eastAsia="Arial" w:hAnsi="Arial"/>
          <w:sz w:val="16"/>
          <w:szCs w:val="16"/>
          <w:color w:val="auto"/>
        </w:rPr>
        <w:t>”) shall have no rights under this Indenture with respect to any Global Note held on their behalf by the Depositary, or the Trustee as its custodian, or under the Global Notes, and the Depositary may be treated by the Company, the Trustee and any agent of the Company or the Trustee as the absolute owner of the Global Note for all purposes whatsoever.</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Notwithstanding the foregoing, nothing herein shall prevent the Company, the Trustee or any agent of the Company or the Trustee from giving effect to any written certification, proxy or other authorization (which may be in electronic form) furnished by the Depositary or impair, as between the Depositary and its Agent Members, the operation of customary practices governing the exercise of the rights of a Holder of any Note.</w:t>
      </w:r>
    </w:p>
    <w:p>
      <w:pPr>
        <w:spacing w:after="0" w:line="173"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None of the Company, any Guarantor, the Trustee, the Registrar, any Paying Agent or any agent of any of them shall have any responsibility or liability for any aspect of the records relating to or payments made on account of beneficial ownership interests in the Notes, for maintaining, supervising or reviewing any records relating to such beneficial owner interests, or for any acts or omissions of a Depositary or for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46" w:name="page47"/>
    <w:bookmarkEnd w:id="46"/>
    <w:p>
      <w:pPr>
        <w:jc w:val="both"/>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transactions between a Depositary and any beneficial owner or between or among beneficial owners. No owner of a beneficial interest in the Notes shall have any rights under this Indenture, and the Depositary or its nominee, if any, shall be deemed and treated by the Company, any Guarantor, the Trustee, the Registrar, any Paying Agent or any agent of any of them as the absolute owner and holder of such Notes for all purposes whatsoever.</w:t>
      </w:r>
    </w:p>
    <w:p>
      <w:pPr>
        <w:spacing w:after="0" w:line="2" w:lineRule="exact"/>
        <w:rPr>
          <w:sz w:val="20"/>
          <w:szCs w:val="20"/>
          <w:color w:val="auto"/>
        </w:rPr>
      </w:pPr>
    </w:p>
    <w:p>
      <w:pPr>
        <w:jc w:val="both"/>
        <w:ind w:left="4" w:right="80"/>
        <w:spacing w:after="0" w:line="253" w:lineRule="auto"/>
        <w:rPr>
          <w:sz w:val="20"/>
          <w:szCs w:val="20"/>
          <w:color w:val="auto"/>
        </w:rPr>
      </w:pPr>
      <w:r>
        <w:rPr>
          <w:rFonts w:ascii="Arial" w:cs="Arial" w:eastAsia="Arial" w:hAnsi="Arial"/>
          <w:sz w:val="18"/>
          <w:szCs w:val="18"/>
          <w:color w:val="auto"/>
        </w:rPr>
        <w:t>Notwithstanding the foregoing, nothing herein shall prevent the Company, any Guarantor, the Trustee, the Registrar, any Paying Agent or any agent of any of them from giving effect to any written certification, proxy or other authorization furnished by a Depositary, or any of its members and any other Person on whose behalf such member may act, the operation of customary practices of such Persons governing the exercise of the rights of a beneficial owner of any Notes.</w:t>
      </w:r>
    </w:p>
    <w:p>
      <w:pPr>
        <w:spacing w:after="0" w:line="85" w:lineRule="exact"/>
        <w:rPr>
          <w:sz w:val="20"/>
          <w:szCs w:val="20"/>
          <w:color w:val="auto"/>
        </w:rPr>
      </w:pPr>
    </w:p>
    <w:p>
      <w:pPr>
        <w:ind w:left="4" w:right="20" w:firstLine="436"/>
        <w:spacing w:after="0" w:line="288" w:lineRule="auto"/>
        <w:tabs>
          <w:tab w:leader="none" w:pos="699" w:val="left"/>
        </w:tabs>
        <w:numPr>
          <w:ilvl w:val="1"/>
          <w:numId w:val="29"/>
        </w:numPr>
        <w:rPr>
          <w:rFonts w:ascii="Arial" w:cs="Arial" w:eastAsia="Arial" w:hAnsi="Arial"/>
          <w:sz w:val="16"/>
          <w:szCs w:val="16"/>
          <w:color w:val="auto"/>
        </w:rPr>
      </w:pPr>
      <w:r>
        <w:rPr>
          <w:rFonts w:ascii="Arial" w:cs="Arial" w:eastAsia="Arial" w:hAnsi="Arial"/>
          <w:sz w:val="16"/>
          <w:szCs w:val="16"/>
          <w:color w:val="auto"/>
        </w:rPr>
        <w:t>Transfers and exchanges pursuant to this Section 2.16 and Section 2.17 may only be made between Notes of the same series. Transfers of Global Notes shall be limited to transfers in whole, but not in part, to the Depositary, its successors or their respective nominees. Interests of beneficial owners in the Global Notes may be transferred or exchanged for Physical Notes in accordance with the rules and procedures of the Depositary and the provisions of Section 2.17. In addition, a Global Note shall be exchangeable for Physical Notes if (i) the Depositary (x) notifies the Company that it is unwilling or unable to continue as depositary for such Global Note or (y) has ceased to be registered as a clearing agency under the Exchange Act, and, with respect to (x) or (y), the Company thereupon fails to appoint a successor depositary within 90 days of such notice or cessation, (ii) the Company, at its option, notifies the Trustee in writing that it elects to effect the issuance of Physical Notes or (iii) upon the request of the Depositary at any time that there shall have occurred and be continuing an Event of Default with respect to the Notes. In all cases, Physical Notes delivered in exchange for any Global Note or beneficial interests therein shall be registered in the names, and issued in any approved denominations, requested by or on behalf of the Depositary (in accordance with its customary procedures).</w:t>
      </w:r>
    </w:p>
    <w:p>
      <w:pPr>
        <w:spacing w:after="0" w:line="60" w:lineRule="exact"/>
        <w:rPr>
          <w:rFonts w:ascii="Arial" w:cs="Arial" w:eastAsia="Arial" w:hAnsi="Arial"/>
          <w:sz w:val="16"/>
          <w:szCs w:val="16"/>
          <w:color w:val="auto"/>
        </w:rPr>
      </w:pPr>
    </w:p>
    <w:p>
      <w:pPr>
        <w:ind w:left="4" w:right="20" w:firstLine="436"/>
        <w:spacing w:after="0" w:line="257" w:lineRule="auto"/>
        <w:tabs>
          <w:tab w:leader="none" w:pos="6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connection with any transfer or exchange of a portion of the beneficial interest in any Global Note to beneficial owners pursuant to paragraph (b) of this Section 2.16, the Registrar shall (if one or more Physical Notes are to be issued) reflect on its books and records the date and a decrease in the principal amount of the Global Note in an amount equal to the principal amount of the beneficial interest in the Global Note to be transferred, and the Company shall execute, and the Trustee shall upon receipt of a written order from the Company authenticate and make available for delivery, one or more Physical Notes of like tenor and amount.</w:t>
      </w:r>
    </w:p>
    <w:p>
      <w:pPr>
        <w:spacing w:after="0" w:line="79" w:lineRule="exact"/>
        <w:rPr>
          <w:rFonts w:ascii="Arial" w:cs="Arial" w:eastAsia="Arial" w:hAnsi="Arial"/>
          <w:sz w:val="18"/>
          <w:szCs w:val="18"/>
          <w:color w:val="auto"/>
        </w:rPr>
      </w:pPr>
    </w:p>
    <w:p>
      <w:pPr>
        <w:ind w:left="4" w:right="120" w:firstLine="436"/>
        <w:spacing w:after="0" w:line="259" w:lineRule="auto"/>
        <w:tabs>
          <w:tab w:leader="none" w:pos="6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connection with the transfer of Global Notes as an entirety to beneficial owners pursuant to paragraph (b) of this Section 2.16, the Global Notes shall be deemed to be surrendered to the Trustee for cancellation, and the Company shall execute, and the Trustee shall authenticate and deliver, to each beneficial owner identified by the Depositary in writing in exchange for its beneficial interest in the Global Notes, an equal aggregate principal amount of Physical Notes of authorized denominations.</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Physical Note constituting a Restricted Note delivered in exchange for an interest in a Global Note pursuant to Section 2.17(b), or clause</w:t>
      </w:r>
    </w:p>
    <w:p>
      <w:pPr>
        <w:spacing w:after="0" w:line="46" w:lineRule="exact"/>
        <w:rPr>
          <w:rFonts w:ascii="Arial" w:cs="Arial" w:eastAsia="Arial" w:hAnsi="Arial"/>
          <w:sz w:val="16"/>
          <w:szCs w:val="16"/>
          <w:color w:val="auto"/>
        </w:rPr>
      </w:pPr>
    </w:p>
    <w:p>
      <w:pPr>
        <w:ind w:left="4" w:right="140" w:hanging="4"/>
        <w:spacing w:after="0" w:line="255"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or (d) of this Section 2.16 shall, except as otherwise provided by Sections 2.17(a) and Section 2.17(c), bear the Private Placement Legend or, in the case of the Regulation S Global Note, the legend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in each case, unless the Company determines otherwise in compliance with applicable law.</w:t>
      </w:r>
    </w:p>
    <w:p>
      <w:pPr>
        <w:spacing w:after="0" w:line="81" w:lineRule="exact"/>
        <w:rPr>
          <w:rFonts w:ascii="Arial" w:cs="Arial" w:eastAsia="Arial" w:hAnsi="Arial"/>
          <w:sz w:val="18"/>
          <w:szCs w:val="18"/>
          <w:color w:val="auto"/>
        </w:rPr>
      </w:pPr>
    </w:p>
    <w:p>
      <w:pPr>
        <w:jc w:val="both"/>
        <w:ind w:left="4" w:right="20" w:firstLine="436"/>
        <w:spacing w:after="0" w:line="259" w:lineRule="auto"/>
        <w:tabs>
          <w:tab w:leader="none" w:pos="66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beneficial interest in one of the Global Notes that is transferred to a Person who takes delivery in the form of an interest in another Global Note shall, upon transfer, cease to be an interest in such Global Note and become an interest in such other Global Note and, accordingly, shall thereafter be subject to all transfer restrictions and other procedures applicable to beneficial interests in such other Global Note for as long as it remains such an interest.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4" w:right="499" w:bottom="1440" w:gutter="0" w:footer="0" w:header="0"/>
        </w:sectPr>
      </w:pPr>
    </w:p>
    <w:bookmarkStart w:id="47" w:name="page48"/>
    <w:bookmarkEnd w:id="47"/>
    <w:p>
      <w:pPr>
        <w:ind w:right="180" w:firstLine="436"/>
        <w:spacing w:after="0" w:line="277"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2.17 Special Transfer Provisions.</w:t>
      </w:r>
    </w:p>
    <w:p>
      <w:pPr>
        <w:spacing w:after="0" w:line="117" w:lineRule="exact"/>
        <w:rPr>
          <w:sz w:val="20"/>
          <w:szCs w:val="20"/>
          <w:color w:val="auto"/>
        </w:rPr>
      </w:pPr>
    </w:p>
    <w:p>
      <w:pPr>
        <w:ind w:right="500" w:firstLine="436"/>
        <w:spacing w:after="0" w:line="277"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Transfers to QIBs</w:t>
      </w:r>
      <w:r>
        <w:rPr>
          <w:rFonts w:ascii="Arial" w:cs="Arial" w:eastAsia="Arial" w:hAnsi="Arial"/>
          <w:sz w:val="18"/>
          <w:szCs w:val="18"/>
          <w:color w:val="auto"/>
        </w:rPr>
        <w:t>. The following provisions shall apply with respect to the registration or any proposed registration of transfer of a Note</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constituting a Restricted Note to a QIB (excluding transfers to Non-U.S. Persons):</w:t>
      </w:r>
    </w:p>
    <w:p>
      <w:pPr>
        <w:spacing w:after="0" w:line="62" w:lineRule="exact"/>
        <w:rPr>
          <w:rFonts w:ascii="Arial" w:cs="Arial" w:eastAsia="Arial" w:hAnsi="Arial"/>
          <w:sz w:val="18"/>
          <w:szCs w:val="18"/>
          <w:color w:val="auto"/>
        </w:rPr>
      </w:pPr>
    </w:p>
    <w:p>
      <w:pPr>
        <w:ind w:left="440" w:firstLine="419"/>
        <w:spacing w:after="0" w:line="293" w:lineRule="auto"/>
        <w:tabs>
          <w:tab w:leader="none" w:pos="11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Registrar shall register the transfer if such transfer is being made by a proposed transferor who has checked the box provided for on such Holder’s Note stating, or to a transferee who has advised the Company and the Registrar in writing, that it is purchasing the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 and</w:t>
      </w:r>
    </w:p>
    <w:p>
      <w:pPr>
        <w:spacing w:after="0" w:line="56" w:lineRule="exact"/>
        <w:rPr>
          <w:rFonts w:ascii="Arial" w:cs="Arial" w:eastAsia="Arial" w:hAnsi="Arial"/>
          <w:sz w:val="16"/>
          <w:szCs w:val="16"/>
          <w:color w:val="auto"/>
        </w:rPr>
      </w:pPr>
    </w:p>
    <w:p>
      <w:pPr>
        <w:ind w:left="440" w:right="180" w:firstLine="419"/>
        <w:spacing w:after="0" w:line="301" w:lineRule="auto"/>
        <w:tabs>
          <w:tab w:leader="none" w:pos="11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proposed transferee is an Agent Member, and the Notes to be transferred consist of Physical Notes which after transfer are to be evidenced by an interest in the Global Note, upon receipt by the Registrar of instructions given in accordance with the Depositary’s and the Registrar’s procedures, the Registrar shall reflect on its books and records the date and an increase in the principal amount of the Global Note in an amount equal to the principal amount of the Physical Notes to be transferred, and the Trustee shall cancel the Physical Notes so transferred.</w:t>
      </w:r>
    </w:p>
    <w:p>
      <w:pPr>
        <w:spacing w:after="0" w:line="49" w:lineRule="exact"/>
        <w:rPr>
          <w:rFonts w:ascii="Arial" w:cs="Arial" w:eastAsia="Arial" w:hAnsi="Arial"/>
          <w:sz w:val="16"/>
          <w:szCs w:val="16"/>
          <w:color w:val="auto"/>
        </w:rPr>
      </w:pPr>
    </w:p>
    <w:p>
      <w:pPr>
        <w:jc w:val="both"/>
        <w:ind w:right="520" w:firstLine="436"/>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Transfers to Non-QIB Institutional Accredited Investors and Non-U.S. Persons</w:t>
      </w:r>
      <w:r>
        <w:rPr>
          <w:rFonts w:ascii="Arial" w:cs="Arial" w:eastAsia="Arial" w:hAnsi="Arial"/>
          <w:sz w:val="18"/>
          <w:szCs w:val="18"/>
          <w:color w:val="auto"/>
        </w:rPr>
        <w:t>. The following provisions shall apply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any proposed transfer of a Note constituting a Restricted Note to any Institutional Accredited Investor which is not a QIB or to any Non-U.S. Person:</w:t>
      </w:r>
    </w:p>
    <w:p>
      <w:pPr>
        <w:spacing w:after="0" w:line="75" w:lineRule="exact"/>
        <w:rPr>
          <w:rFonts w:ascii="Arial" w:cs="Arial" w:eastAsia="Arial" w:hAnsi="Arial"/>
          <w:sz w:val="18"/>
          <w:szCs w:val="18"/>
          <w:color w:val="auto"/>
        </w:rPr>
      </w:pPr>
    </w:p>
    <w:p>
      <w:pPr>
        <w:ind w:left="440" w:right="40" w:firstLine="419"/>
        <w:spacing w:after="0" w:line="286" w:lineRule="auto"/>
        <w:tabs>
          <w:tab w:leader="none" w:pos="11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Registrar shall register the transfer of any Note constituting a Restricted Note whether or not such Note bears the Private Placement Legend, if (x) the requested transfer is after the later of (i) the first anniversary of the Issue Date or (ii) such later date, if any, as may be required by the exemption from registration provided by Rule 144 under the Securities Act for non-Affiliates of an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neither the Company nor any Affiliate of the Company has held any beneficial interest in such Note, or portion thereof, at any time on or prior the later of</w:t>
      </w:r>
    </w:p>
    <w:p>
      <w:pPr>
        <w:spacing w:after="0" w:line="1" w:lineRule="exact"/>
        <w:rPr>
          <w:rFonts w:ascii="Arial" w:cs="Arial" w:eastAsia="Arial" w:hAnsi="Arial"/>
          <w:sz w:val="16"/>
          <w:szCs w:val="16"/>
          <w:color w:val="auto"/>
        </w:rPr>
      </w:pPr>
    </w:p>
    <w:p>
      <w:pPr>
        <w:ind w:left="440" w:hanging="4"/>
        <w:spacing w:after="0" w:line="252"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first anniversary of the Issue Date or (ii) such later date, if any, as may be required by the exemption from registration provided by Rule 144 under the Securities Act for non-Affiliates of an issuer), as evidenced by an Officer’s Certificate from the Company to such effect or (y)(1) in the case of a transfer to an Institutional Accredited Investor which is not a QIB (excluding Non-U.S. Persons), the proposed transferee has delivered to the Registrar a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and any legal opinions and certifications required thereby or (2) in the case of a transfer to a Non-U.S. Person, the proposed transferor has delivered to the Registrar a certificate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and</w:t>
      </w:r>
    </w:p>
    <w:p>
      <w:pPr>
        <w:spacing w:after="0" w:line="85" w:lineRule="exact"/>
        <w:rPr>
          <w:rFonts w:ascii="Arial" w:cs="Arial" w:eastAsia="Arial" w:hAnsi="Arial"/>
          <w:sz w:val="18"/>
          <w:szCs w:val="18"/>
          <w:color w:val="auto"/>
        </w:rPr>
      </w:pPr>
    </w:p>
    <w:p>
      <w:pPr>
        <w:ind w:left="440" w:right="20" w:firstLine="419"/>
        <w:spacing w:after="0" w:line="255" w:lineRule="auto"/>
        <w:tabs>
          <w:tab w:leader="none" w:pos="11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proposed transferor is an Agent Member holding a beneficial interest in the Global Note, upon receipt by the Registrar of (x) the certificate, if any, required by clause (b)(1) of this Section 2.17 and (y) written instructions given in accordance with the Depositary’s and the Registrar’s procedures; whereupon (a) the Registrar shall reflect on its books and records the date and (if the transfer does not involve a transfer of outstanding Physical Notes) a decrease in the principal amount of such Global Note in an amount equal to the principal amount of the beneficial interest in the Global Note to be transferred and (b) the Company shall execute and the Trustee shall authenticate and deliver, one or more Physical Notes of like tenor and amount;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8" w:name="page49"/>
    <w:bookmarkEnd w:id="48"/>
    <w:p>
      <w:pPr>
        <w:ind w:left="440" w:right="120" w:firstLine="419"/>
        <w:spacing w:after="0" w:line="275" w:lineRule="auto"/>
        <w:tabs>
          <w:tab w:leader="none" w:pos="1118" w:val="left"/>
        </w:tabs>
        <w:numPr>
          <w:ilvl w:val="1"/>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transfer to a Non-U.S. Person, if the proposed transferee is an Agent Member, and the Notes to be transferred consist of Physical Notes, which after transfer are to be evidenced by an interest in a Regulation S Global Note, upon receipt by the Registrar of written instructions given in accordance with the Depositary’s and the Registrar’s procedures, the Registrar shall reflect on its books and records the date and an increase in the principal amount of such Regulation S Global Note in an amount equal to the principal amount of Physical Notes to be transferred, and the Trustee shall cancel the Physical Notes so transferred.</w:t>
      </w:r>
    </w:p>
    <w:p>
      <w:pPr>
        <w:spacing w:after="0" w:line="68" w:lineRule="exact"/>
        <w:rPr>
          <w:rFonts w:ascii="Arial" w:cs="Arial" w:eastAsia="Arial" w:hAnsi="Arial"/>
          <w:sz w:val="17"/>
          <w:szCs w:val="17"/>
          <w:color w:val="auto"/>
        </w:rPr>
      </w:pPr>
    </w:p>
    <w:p>
      <w:pPr>
        <w:ind w:right="40" w:firstLine="436"/>
        <w:spacing w:after="0" w:line="288"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Private Placement Legend</w:t>
      </w:r>
      <w:r>
        <w:rPr>
          <w:rFonts w:ascii="Arial" w:cs="Arial" w:eastAsia="Arial" w:hAnsi="Arial"/>
          <w:sz w:val="16"/>
          <w:szCs w:val="16"/>
          <w:color w:val="auto"/>
        </w:rPr>
        <w:t>. Upon the registration of transfer, exchange or replacement of Notes not bearing the Private Placement Legend,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Registrar shall deliver Notes that do not bear the Private Placement Legend. Upon the registration of transfer, exchange or replacement of Notes bearing the Private Placement Legend, the Registrar shall deliver only Notes that bear the Private Placement Legend unless (i) such Note has been issued pursuant to Section 2.17(f), (ii) there is delivered to the Registrar an Opinion of Counsel reasonably satisfactory to the Company and the Trustee to the effect that neither such legend nor the related restrictions on transfer are required in order to maintain compliance with the provisions of the Securities Act, (iii) such Note has been sold pursuant to an effective registration statement under the Securities Act and the Registrar has received an Officer’s Certificate from the Company to such effect or (iv) the requested transfer is after the later of (i) the first anniversary of the Issue Date or (ii) such later date, if any, as may be required by the exemption from registration provided by Rule 144 under the Securities Act for non-Affiliates of an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the Company nor an Affiliate of the Company has held any beneficial interest in such Note or portion thereof at any time since the Issue Date) and the Registrar has received an Officer’s Certificate from the Company to such effect.</w:t>
      </w:r>
    </w:p>
    <w:p>
      <w:pPr>
        <w:spacing w:after="0" w:line="60" w:lineRule="exact"/>
        <w:rPr>
          <w:rFonts w:ascii="Arial" w:cs="Arial" w:eastAsia="Arial" w:hAnsi="Arial"/>
          <w:sz w:val="16"/>
          <w:szCs w:val="16"/>
          <w:color w:val="auto"/>
        </w:rPr>
      </w:pPr>
    </w:p>
    <w:p>
      <w:pPr>
        <w:ind w:right="240" w:firstLine="436"/>
        <w:spacing w:after="0" w:line="263"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By its acceptance of any Note bearing the Private Placement Legend, each Holder of such Note acknowledges the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such Note set forth in this Indenture and in the Private Placement Legend and agrees that it will transfer such Note only as provided in this Indenture.</w:t>
      </w:r>
    </w:p>
    <w:p>
      <w:pPr>
        <w:spacing w:after="0" w:line="75" w:lineRule="exact"/>
        <w:rPr>
          <w:rFonts w:ascii="Arial" w:cs="Arial" w:eastAsia="Arial" w:hAnsi="Arial"/>
          <w:sz w:val="18"/>
          <w:szCs w:val="18"/>
          <w:color w:val="auto"/>
        </w:rPr>
      </w:pPr>
    </w:p>
    <w:p>
      <w:pPr>
        <w:ind w:right="480" w:firstLine="436"/>
        <w:spacing w:after="0" w:line="277"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Certain Transfers in Connection with and After the Exchange Offer under the Registration Rights Agreement. </w:t>
      </w:r>
      <w:r>
        <w:rPr>
          <w:rFonts w:ascii="Arial" w:cs="Arial" w:eastAsia="Arial" w:hAnsi="Arial"/>
          <w:sz w:val="18"/>
          <w:szCs w:val="18"/>
          <w:color w:val="auto"/>
        </w:rPr>
        <w:t>Notwithstanding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this Indenture: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Exchange Notes issued may be exchanged by the Holder thereof for an Initial Note;</w:t>
      </w:r>
    </w:p>
    <w:p>
      <w:pPr>
        <w:spacing w:after="0" w:line="117"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accrued and unpaid interest on the Initial Notes being exchanged in the Exchange Offer shall be due and payable on the next Interest Payment Date for the Exchange Notes following the Exchange Offer and shall be paid to the Holder on the relevant record date of the Exchange Notes issued in respect of the Initial Notes being exchanged; and</w:t>
      </w:r>
    </w:p>
    <w:p>
      <w:pPr>
        <w:spacing w:after="0" w:line="75" w:lineRule="exact"/>
        <w:rPr>
          <w:rFonts w:ascii="Arial" w:cs="Arial" w:eastAsia="Arial" w:hAnsi="Arial"/>
          <w:sz w:val="18"/>
          <w:szCs w:val="18"/>
          <w:color w:val="auto"/>
        </w:rPr>
      </w:pPr>
    </w:p>
    <w:p>
      <w:pPr>
        <w:ind w:left="440" w:right="20" w:firstLine="419"/>
        <w:spacing w:after="0" w:line="263" w:lineRule="auto"/>
        <w:tabs>
          <w:tab w:leader="none" w:pos="1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interest on the Initial Notes being exchanged in the Exchange Offer shall cease to accrue on (and including) the date of completion of the Exchange Offer and interest on the Exchange Notes to be issued in the Exchange Offer shall accrue from (but excluding) the date of the completion of the Exchange Offer.</w:t>
      </w:r>
    </w:p>
    <w:p>
      <w:pPr>
        <w:spacing w:after="0" w:line="75" w:lineRule="exact"/>
        <w:rPr>
          <w:rFonts w:ascii="Arial" w:cs="Arial" w:eastAsia="Arial" w:hAnsi="Arial"/>
          <w:sz w:val="18"/>
          <w:szCs w:val="18"/>
          <w:color w:val="auto"/>
        </w:rPr>
      </w:pPr>
    </w:p>
    <w:p>
      <w:pPr>
        <w:ind w:right="140" w:firstLine="436"/>
        <w:spacing w:after="0" w:line="277" w:lineRule="auto"/>
        <w:tabs>
          <w:tab w:leader="none" w:pos="66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Exchange Offer</w:t>
      </w:r>
      <w:r>
        <w:rPr>
          <w:rFonts w:ascii="Arial" w:cs="Arial" w:eastAsia="Arial" w:hAnsi="Arial"/>
          <w:sz w:val="18"/>
          <w:szCs w:val="18"/>
          <w:color w:val="auto"/>
        </w:rPr>
        <w:t>. Upon the occurrence of the Exchange Offer with respect to the Notes of a series, the Company will issue and, upon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order of the Company the Trustee will authenticate: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one or more Global Notes of such series not bearing the Private Placement Legend in an aggregate principal amount equal to the</w:t>
      </w:r>
    </w:p>
    <w:p>
      <w:pPr>
        <w:spacing w:after="0" w:line="34" w:lineRule="exact"/>
        <w:rPr>
          <w:rFonts w:ascii="Arial" w:cs="Arial" w:eastAsia="Arial" w:hAnsi="Arial"/>
          <w:sz w:val="17"/>
          <w:szCs w:val="17"/>
          <w:color w:val="auto"/>
        </w:rPr>
      </w:pPr>
    </w:p>
    <w:p>
      <w:pPr>
        <w:ind w:left="440"/>
        <w:spacing w:after="0" w:line="302" w:lineRule="auto"/>
        <w:rPr>
          <w:rFonts w:ascii="Arial" w:cs="Arial" w:eastAsia="Arial" w:hAnsi="Arial"/>
          <w:sz w:val="17"/>
          <w:szCs w:val="17"/>
          <w:color w:val="auto"/>
        </w:rPr>
      </w:pPr>
      <w:r>
        <w:rPr>
          <w:rFonts w:ascii="Arial" w:cs="Arial" w:eastAsia="Arial" w:hAnsi="Arial"/>
          <w:sz w:val="16"/>
          <w:szCs w:val="16"/>
          <w:color w:val="auto"/>
        </w:rPr>
        <w:t>principal amount of the beneficial interests in the Global Notes of such series bearing the Private Placement Legend that are accepted for exchange in the Exchange Offer by Persons that (A) are not Participating Broker-Dealers, (B) are not participating in a distribution of the Exchange Notes and (C) are not affiliates (as defined in Rule 144) of the Company, as evidenced by an Officer’s Certificate from the Company to such effect; or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9" w:name="page50"/>
    <w:bookmarkEnd w:id="49"/>
    <w:p>
      <w:pPr>
        <w:ind w:left="440" w:right="20" w:firstLine="419"/>
        <w:spacing w:after="0" w:line="279" w:lineRule="auto"/>
        <w:tabs>
          <w:tab w:leader="none" w:pos="1118"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one or more Physical Notes of such series not bearing the Private Placement Legend in an aggregate principal amount equal to the principal amount of the Physical Notes of such series bearing the Private Placement Legend that are accepted for exchange in the Exchange Offer by Persons that (A) are not Participating Broker-Dealers, (B) are not participating in a distribution of the Exchange Notes and (C) are not affiliates (as defined in Rule 144) of the Company, as evidenced by an Officer’s Certificate from the Company to such effect.</w:t>
      </w:r>
    </w:p>
    <w:p>
      <w:pPr>
        <w:spacing w:after="0" w:line="171"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Concurrently with the issuance of such Notes, the Trustee will cause the aggregate principal amount of the applicable Global Notes bearing the Private Placement Legend to be reduced accordingly, and the Company will execute and the Trustee will authenticate and deliver to the Persons designated by the Holders of Physical Notes so accepted Physical Notes not bearing the Private Placement Legend in the appropriate principal amount.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2.18 Computation of Interest.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the Notes shall be computed in accordance with the terms of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3.01 Election To Redeem; Notices to Trustee.</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If the Company elects to redeem any Notes pursuant to Section 3.07, at least 10 days prior to the Redemption Date (unless a shorter notice shall be agreed to in writing by the Trustee) but not more than 60 days before the Redemption Date, the Company shall notify the Trustee in writing of the series of Notes to be redeemed, the Redemption Date and the principal amount of such Notes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3.01 may, at the Company’s discretion, be subject to the satisfaction or waiver of one or more conditions precedent.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3.02 Selection by Trustee of Notes To Be Redeemed.</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If the Company elects to redeem less than all of the Notes of any series at any time, in the case of Notes issued in definitive form, the Trustee will select Notes of such series by lot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w:t>
      </w:r>
    </w:p>
    <w:p>
      <w:pPr>
        <w:spacing w:after="0" w:line="18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Trustee shall promptly notify the Company of the Notes selected for redemption and, in the case of any partial redemption, the principal amount thereof to be redeemed.</w:t>
      </w:r>
    </w:p>
    <w:p>
      <w:pPr>
        <w:spacing w:after="0" w:line="170"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The Company will redeem Notes of $2,000 or less in whole and not in part. For all purposes of this Indenture, unless the context otherwise requires, provisions of this Indenture that apply to Notes called for redemption also apply to portions of Notes called for redemption.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3.03 Notice of Redemption.</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Subject to Section 3.08, the Company will cause notices of redemption to be sent to the Trustee not less than 10 nor more than 60 days prior to the Redemption Date, and the Trustee will then promptly forward (at the Company’s sole expense) such notice by first-class mail (or otherwise delivered in accordance with the procedures of the Depositary) to each Holder of Notes of the series to be redeemed at its registered address. The Company may provide in the notice that payment of the Redemption Price and performance of the Company’s obligations with respect to the redemption or purchase may be performed by another Person. Any notice may, at the Company’s discretion, be subject to the satisfaction or waiver of one or more conditions precedent.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notice shall identify the Notes to be redeemed (including the series and the CUSIP, ISIN or other identifying numbers thereof) and shall state:</w:t>
      </w:r>
    </w:p>
    <w:p>
      <w:pPr>
        <w:spacing w:after="0" w:line="140" w:lineRule="exact"/>
        <w:rPr>
          <w:sz w:val="20"/>
          <w:szCs w:val="20"/>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117" w:lineRule="exact"/>
        <w:rPr>
          <w:rFonts w:ascii="Arial" w:cs="Arial" w:eastAsia="Arial" w:hAnsi="Arial"/>
          <w:sz w:val="18"/>
          <w:szCs w:val="18"/>
          <w:color w:val="auto"/>
        </w:rPr>
      </w:pPr>
    </w:p>
    <w:p>
      <w:pPr>
        <w:ind w:left="440" w:right="220" w:firstLine="419"/>
        <w:spacing w:after="0" w:line="263"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fewer than all outstanding Notes of a series are to be redeemed, the portion of the principal amount of such Note to be redeemed and that, after the Redemption Date and upon surrender of such Note, a new Note or Notes of the applicable series in principal amount equal to the unredeemed portion will be issued;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Redemption Price, interest on Notes called for redemption ceases to accrue on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such notice is conditioned upon the occurrence of one or more conditions precedent, the nature of such conditions precedent;</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principal amount of Notes of such series that are being redeemed;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 and</w:t>
      </w:r>
    </w:p>
    <w:p>
      <w:pPr>
        <w:spacing w:after="0" w:line="140" w:lineRule="exact"/>
        <w:rPr>
          <w:rFonts w:ascii="Arial" w:cs="Arial" w:eastAsia="Arial" w:hAnsi="Arial"/>
          <w:sz w:val="16"/>
          <w:szCs w:val="16"/>
          <w:color w:val="auto"/>
        </w:rPr>
      </w:pPr>
    </w:p>
    <w:p>
      <w:pPr>
        <w:ind w:left="440" w:right="280" w:firstLine="419"/>
        <w:spacing w:after="0" w:line="277" w:lineRule="auto"/>
        <w:tabs>
          <w:tab w:leader="none" w:pos="12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other identifying number, if any, listed in such notice or printed on the Notes.</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the Redemption Price is not ascertainable on the date in which the notice of redemption is delivered, the Company shall send to the Trustee, at least one Business Day prior to the Redemption Date, the Redemption Price.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3.04 Effect of Notice of Redemption.</w:t>
      </w:r>
    </w:p>
    <w:p>
      <w:pPr>
        <w:spacing w:after="0" w:line="11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Once the notice of redemption described in Section 3.03 is delivered, except as provided in the last sentence of the first paragraph of Section 3.03, Notes called for redemption become irrevocably due and payable on the Redemption Date and at the Redemption Price, including any premium, plus accrued and unpaid interest thereon, if any, to, but excluding, the Redemption Date. Upon surrender to the Paying Agent, such Notes shall be paid at the Redemption Price, including any premium, plus accrued and unpaid interest thereon, if any, to, but excluding,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the Redemption Date is on or after a regular record date and on or before the related Interest Payment Date, the accrued and unpaid interest thereon, if any, shall be paid to the Holder in whose name the Note is registered at the close of business 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51" w:name="page52"/>
    <w:bookmarkEnd w:id="51"/>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regular record date, and no additional interest will be payable to holders whose Notes are subject to redemption by the Company; and (b) if a Redemption Date is not a Business Day, payment shall be made on the next succeeding Business Day and no interest shall accrue for the period from such Redemption Date to such succeeding Business Day. Such notice, if delivered in the manner provided in Section 3.03, shall be conclusively presumed to have been given whether or not the Holder receives such notice.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3.05 Deposit of Redemption Price.</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On or prior to 11:00 A.M., New York City time, on each Redemption Date, the Company shall deposit with the Paying Agent in immediately available funds money sufficient to pay the Redemption Price of, including premium, if any, and accrued and unpaid interest, if any, on all Notes to be redeemed on that date other than Notes or portions thereof called for redemption on that date which have been delivered by the Company to the Trustee for cancellation.</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On and after any Redemption Date, if money sufficient to pay the Redemption Price of, including premium, if any, and accrued and unpaid interest, if any, on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Section 3.04, accrued and unpaid interest on such Notes to, but excluding,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3.06 Notes Redeemed in Part.</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thereof that is to be redeemed. The Company will issue a new Note of the applicable series in a principal amount equal to the unredeemed portion of the original Note in the name of the Holder upon cancellation of the original Note. Notes called for redemption become due on the date fixed for redemption. Unless the Company defaults in payment of the Redemption Price, interest will cease to accrue on the Notes or portions thereof called for such redemption on the Redemption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3.07 Optional Redemption.</w:t>
      </w:r>
    </w:p>
    <w:p>
      <w:pPr>
        <w:spacing w:after="0" w:line="117" w:lineRule="exact"/>
        <w:rPr>
          <w:sz w:val="20"/>
          <w:szCs w:val="20"/>
          <w:color w:val="auto"/>
        </w:rPr>
      </w:pPr>
    </w:p>
    <w:p>
      <w:pPr>
        <w:ind w:left="680" w:hanging="244"/>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2022 Notes</w:t>
      </w:r>
      <w:r>
        <w:rPr>
          <w:rFonts w:ascii="Arial" w:cs="Arial" w:eastAsia="Arial" w:hAnsi="Arial"/>
          <w:sz w:val="16"/>
          <w:szCs w:val="16"/>
          <w:color w:val="auto"/>
        </w:rPr>
        <w:t>. At any time and from time to time, the Company may redeem some or all of the 2022 Notes, upon not less than 10 nor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60 days’ prior written notice, at a price equal to the greater of:</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100% of the aggregate principal amount of the 2022 Notes being redeemed, and</w:t>
      </w:r>
    </w:p>
    <w:p>
      <w:pPr>
        <w:spacing w:after="0" w:line="117" w:lineRule="exact"/>
        <w:rPr>
          <w:rFonts w:ascii="Arial" w:cs="Arial" w:eastAsia="Arial" w:hAnsi="Arial"/>
          <w:sz w:val="18"/>
          <w:szCs w:val="18"/>
          <w:color w:val="auto"/>
        </w:rPr>
      </w:pPr>
    </w:p>
    <w:p>
      <w:pPr>
        <w:ind w:left="440" w:right="140" w:firstLine="419"/>
        <w:spacing w:after="0" w:line="259" w:lineRule="auto"/>
        <w:tabs>
          <w:tab w:leader="none" w:pos="11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2022 Notes being redeemed that would be due if the 2022 Notes matured on the Maturity Date, not including accrued and unpaid interest thereon, if any, to, but excluding, the Redemption Date, discounted to the Redemption Date on a semi-annual basis (assuming a 360-day year consisting of twelve 30-day months) at the Treasury Rate plus 15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52" w:name="page53"/>
    <w:bookmarkEnd w:id="52"/>
    <w:p>
      <w:pPr>
        <w:jc w:val="both"/>
        <w:ind w:right="60" w:firstLine="436"/>
        <w:spacing w:after="0" w:line="286" w:lineRule="auto"/>
        <w:tabs>
          <w:tab w:leader="none" w:pos="695"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2025 Notes, 2027 Notes, 2030 Notes, 2040 Notes and 2050 Notes</w:t>
      </w:r>
      <w:r>
        <w:rPr>
          <w:rFonts w:ascii="Arial" w:cs="Arial" w:eastAsia="Arial" w:hAnsi="Arial"/>
          <w:sz w:val="17"/>
          <w:szCs w:val="17"/>
          <w:color w:val="auto"/>
        </w:rPr>
        <w:t>. At any time and from time to time prior to the Applicable Par Call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of the applicable series, the Company may redeem some or all of the 2025 Notes, the 2027 Notes, the 2030 Notes, the 2040 Notes or the 2050 Notes, upon not less than 10 nor more than 60 days’ prior written notice, at a price equal to the greater of:</w:t>
      </w:r>
    </w:p>
    <w:p>
      <w:pPr>
        <w:spacing w:after="0" w:line="57" w:lineRule="exact"/>
        <w:rPr>
          <w:rFonts w:ascii="Arial" w:cs="Arial" w:eastAsia="Arial" w:hAnsi="Arial"/>
          <w:sz w:val="17"/>
          <w:szCs w:val="17"/>
          <w:color w:val="auto"/>
        </w:rPr>
      </w:pPr>
    </w:p>
    <w:p>
      <w:pPr>
        <w:ind w:left="1240" w:hanging="253"/>
        <w:spacing w:after="0"/>
        <w:tabs>
          <w:tab w:leader="none" w:pos="12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of such series being redeemed, and</w:t>
      </w:r>
    </w:p>
    <w:p>
      <w:pPr>
        <w:spacing w:after="0" w:line="117" w:lineRule="exact"/>
        <w:rPr>
          <w:rFonts w:ascii="Arial" w:cs="Arial" w:eastAsia="Arial" w:hAnsi="Arial"/>
          <w:sz w:val="18"/>
          <w:szCs w:val="18"/>
          <w:color w:val="auto"/>
        </w:rPr>
      </w:pPr>
    </w:p>
    <w:p>
      <w:pPr>
        <w:ind w:left="980" w:right="120" w:firstLine="7"/>
        <w:spacing w:after="0" w:line="279" w:lineRule="auto"/>
        <w:tabs>
          <w:tab w:leader="none" w:pos="1235"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Company, of the remaining scheduled payments of principal and interest on the Notes of such series being redeemed that would be due if the Notes of such series matured on the Applicable Par Call Date, not including accrued and unpaid interest thereon, if any, to, but excluding, the Redemption Date, discounted to the Redemption Date on a semi-annual basis (assuming a 360-day year consisting of twelve 30-day months) at the Treasury Rate plus,</w:t>
      </w:r>
    </w:p>
    <w:p>
      <w:pPr>
        <w:spacing w:after="0" w:line="63" w:lineRule="exact"/>
        <w:rPr>
          <w:rFonts w:ascii="Arial" w:cs="Arial" w:eastAsia="Arial" w:hAnsi="Arial"/>
          <w:sz w:val="17"/>
          <w:szCs w:val="17"/>
          <w:color w:val="auto"/>
        </w:rPr>
      </w:pPr>
    </w:p>
    <w:p>
      <w:pPr>
        <w:ind w:left="1720" w:hanging="292"/>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2025 Notes being redeemed, 25 basis points,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2027 Notes being redeemed, 30 basis points,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2030 Notes being redeemed, 30 basis points,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2040 Notes being redeemed, 40 basis points, and</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2050 Notes being redeemed, 40 basis 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or after the Applicable Par Call Date, the 2025 Notes, the 2027 Notes, the 2030 Notes, the 2040 Notes or the 2050 Notes will be redeemable in whole at any time or in part, from time to time, at the option of the Company, upon not less than 10 nor more than 60 days’ prior written notice, at a price equal to 100% of the principal amount of the Notes of such series to be redeemed plus accrued and unpaid interest thereon to, but excluding, the Redemption Date.</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Any redemption pursuant to this Section 3.07 shall be made pursuant to the provisions of Sections 3.01 through 3.06.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3.08 Special Mandatory Redemption</w:t>
      </w:r>
    </w:p>
    <w:p>
      <w:pPr>
        <w:spacing w:after="0" w:line="117" w:lineRule="exact"/>
        <w:rPr>
          <w:sz w:val="20"/>
          <w:szCs w:val="20"/>
          <w:color w:val="auto"/>
        </w:rPr>
      </w:pPr>
    </w:p>
    <w:p>
      <w:pPr>
        <w:ind w:firstLine="436"/>
        <w:spacing w:after="0" w:line="254"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Contribution, the Distribution and the Combination are not consummated on or before February 1, 2021, or if, prior to such date, a Combination Termination Event occurs, the Company shall be required to redeem each series of the Notes (the “</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 on the Special Mandatory Redemption Date at the redemption price (the “</w:t>
      </w:r>
      <w:r>
        <w:rPr>
          <w:rFonts w:ascii="Arial" w:cs="Arial" w:eastAsia="Arial" w:hAnsi="Arial"/>
          <w:sz w:val="18"/>
          <w:szCs w:val="18"/>
          <w:i w:val="1"/>
          <w:iCs w:val="1"/>
          <w:color w:val="auto"/>
        </w:rPr>
        <w:t>Special Mandatory Redemption Price</w:t>
      </w:r>
      <w:r>
        <w:rPr>
          <w:rFonts w:ascii="Arial" w:cs="Arial" w:eastAsia="Arial" w:hAnsi="Arial"/>
          <w:sz w:val="18"/>
          <w:szCs w:val="18"/>
          <w:color w:val="auto"/>
        </w:rPr>
        <w:t>”) equal to 101% of their respective principal amounts, plus accrued and unpaid interest thereon, if any, to, but excluding, the Special Mandatory Redemption Date. If the Special Mandatory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 The term “</w:t>
      </w:r>
      <w:r>
        <w:rPr>
          <w:rFonts w:ascii="Arial" w:cs="Arial" w:eastAsia="Arial" w:hAnsi="Arial"/>
          <w:sz w:val="18"/>
          <w:szCs w:val="18"/>
          <w:i w:val="1"/>
          <w:iCs w:val="1"/>
          <w:color w:val="auto"/>
        </w:rPr>
        <w:t>Special Mandatory Redemption Date</w:t>
      </w:r>
      <w:r>
        <w:rPr>
          <w:rFonts w:ascii="Arial" w:cs="Arial" w:eastAsia="Arial" w:hAnsi="Arial"/>
          <w:sz w:val="18"/>
          <w:szCs w:val="18"/>
          <w:color w:val="auto"/>
        </w:rPr>
        <w:t>” means the date specified by the Company in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53" w:name="page54"/>
    <w:bookmarkEnd w:id="5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to Holders described in Section 3.08(b) that is not less than 5 days nor more than 20 Business Days following the date of the notice to Holders described in Section 3.08(b). The term “</w:t>
      </w:r>
      <w:r>
        <w:rPr>
          <w:rFonts w:ascii="Arial" w:cs="Arial" w:eastAsia="Arial" w:hAnsi="Arial"/>
          <w:sz w:val="18"/>
          <w:szCs w:val="18"/>
          <w:i w:val="1"/>
          <w:iCs w:val="1"/>
          <w:color w:val="auto"/>
        </w:rPr>
        <w:t>Combination Termination Event</w:t>
      </w:r>
      <w:r>
        <w:rPr>
          <w:rFonts w:ascii="Arial" w:cs="Arial" w:eastAsia="Arial" w:hAnsi="Arial"/>
          <w:sz w:val="18"/>
          <w:szCs w:val="18"/>
          <w:color w:val="auto"/>
        </w:rPr>
        <w:t>” means notification by the Company and Mylan N.V. to the Trustee that (i) the Business Combination Agreement has terminated in accordance with its terms prior to the consummation of the Combination or (ii) the Combination will otherwise not be pursued.</w:t>
      </w:r>
    </w:p>
    <w:p>
      <w:pPr>
        <w:spacing w:after="0" w:line="79" w:lineRule="exact"/>
        <w:rPr>
          <w:sz w:val="20"/>
          <w:szCs w:val="20"/>
          <w:color w:val="auto"/>
        </w:rPr>
      </w:pPr>
    </w:p>
    <w:p>
      <w:pPr>
        <w:ind w:right="100" w:firstLine="436"/>
        <w:spacing w:after="0" w:line="275" w:lineRule="auto"/>
        <w:tabs>
          <w:tab w:leader="none" w:pos="6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Article III, the Company will cause the notice of Special Mandatory Redemption to be distributed to the Trustee within five Business Days after (a) (in the event of a Combination Termination Event) the date of such Combination Termination Event or (b) (in the event the Contribution, the Distribution and the Combination are not consummated on or before February 1, 2021) February 1, 2021, and the Trustee will then promptly forward (at the Company’s sole expense) such notice by first-class mail (or otherwise delivered in accordance with the procedures of the Depositary) to each Holder of the applicable series of Notes at its registered address.</w:t>
      </w:r>
    </w:p>
    <w:p>
      <w:pPr>
        <w:spacing w:after="0" w:line="68" w:lineRule="exact"/>
        <w:rPr>
          <w:rFonts w:ascii="Arial" w:cs="Arial" w:eastAsia="Arial" w:hAnsi="Arial"/>
          <w:sz w:val="17"/>
          <w:szCs w:val="17"/>
          <w:color w:val="auto"/>
        </w:rPr>
      </w:pPr>
    </w:p>
    <w:p>
      <w:pPr>
        <w:ind w:right="320" w:firstLine="436"/>
        <w:spacing w:after="0" w:line="311" w:lineRule="auto"/>
        <w:tabs>
          <w:tab w:leader="none" w:pos="6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funds sufficient to pay the Special Mandatory Redemption Price of all of any series of Notes to be redeemed on the Special Mandatory Redemption Date are deposited with a Paying Agent or the Trustee on or before such Special Mandatory Redemption Date, such Notes will cease to bear interest and, other than the right to receive the Special Mandatory Redemption Price for such Notes, all rights under such Notes shall terminate.</w:t>
      </w:r>
    </w:p>
    <w:p>
      <w:pPr>
        <w:spacing w:after="0" w:line="40" w:lineRule="exact"/>
        <w:rPr>
          <w:rFonts w:ascii="Arial" w:cs="Arial" w:eastAsia="Arial" w:hAnsi="Arial"/>
          <w:sz w:val="16"/>
          <w:szCs w:val="16"/>
          <w:color w:val="auto"/>
        </w:rPr>
      </w:pPr>
    </w:p>
    <w:p>
      <w:pPr>
        <w:ind w:firstLine="436"/>
        <w:spacing w:after="0" w:line="257"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provisions relating to Special Mandatory Redemption, with the exception of the Special Mandatory Redemption Price to be paid to Holders upon a Special Mandatory Redemption, may not be waived or modified for any series of Notes without the written consent of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in principal amount of that series of Notes outstanding. The Special Mandatory Redemption Price to be paid to Holders upon a Special Mandatory Redemption may not be waived or modified for any series of Notes without the written consent of each Holder of Notes of a series affected thereby.</w:t>
      </w:r>
    </w:p>
    <w:p>
      <w:pPr>
        <w:spacing w:after="0" w:line="79" w:lineRule="exact"/>
        <w:rPr>
          <w:rFonts w:ascii="Arial" w:cs="Arial" w:eastAsia="Arial" w:hAnsi="Arial"/>
          <w:sz w:val="18"/>
          <w:szCs w:val="18"/>
          <w:color w:val="auto"/>
        </w:rPr>
      </w:pPr>
    </w:p>
    <w:p>
      <w:pPr>
        <w:ind w:right="300" w:firstLine="436"/>
        <w:spacing w:after="0" w:line="277"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consummation of the Contribution, the Distribution and the Combination on or before February 1, 2021, the foregoing provisions regarding the Special Mandatory Redemption will cease to apply.</w:t>
      </w:r>
    </w:p>
    <w:p>
      <w:pPr>
        <w:spacing w:after="0" w:line="38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4.01 Payment of Principal, Premium and Interest.</w:t>
      </w:r>
    </w:p>
    <w:p>
      <w:pPr>
        <w:spacing w:after="0" w:line="117"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Company covenants and agrees that it will duly and punctually pay the principal of (and premium, if any) and interest on the Notes in accordance with the terms of the Notes and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4.02 Maintenance of Office or Agency.</w:t>
      </w:r>
    </w:p>
    <w:p>
      <w:pPr>
        <w:spacing w:after="0" w:line="11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Company will maintain in each Place of Payment for Notes an office or agency where Notes may be presented or surrendered for payment, where Notes may be surrendered for registration of transfer 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4"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each Place of Payment for Notes for such purposes. The Company will give prompt written notice to the Trustee of any such designation or rescission and of any change in the location of any such other office or agency.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4.03 Reports to Holders.</w:t>
      </w:r>
    </w:p>
    <w:p>
      <w:pPr>
        <w:spacing w:after="0" w:line="117" w:lineRule="exact"/>
        <w:rPr>
          <w:sz w:val="20"/>
          <w:szCs w:val="20"/>
          <w:color w:val="auto"/>
        </w:rPr>
      </w:pPr>
    </w:p>
    <w:p>
      <w:pPr>
        <w:ind w:firstLine="436"/>
        <w:spacing w:after="0" w:line="284" w:lineRule="auto"/>
        <w:tabs>
          <w:tab w:leader="none" w:pos="6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(1) the Company will not be required to provide the Trustee with any such information, documents and reports that are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Commission and (2) the Company will not be so obligated to file such information, documents and reports with the Commission if the Commission does not permit such filings;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Commission does not permit such filings, the Company will be required to provide to Holders any such information, documents or reports that are not so filed. The Company will also comply with the other provisions of TIA</w:t>
      </w: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Section 314(a), including the provision of the compliance certificate under TIA Section 314(a)(4), which compliance certificate shall be delivered to the Trustee, commencing with the year 2020. 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82" w:lineRule="exact"/>
        <w:rPr>
          <w:rFonts w:ascii="Arial" w:cs="Arial" w:eastAsia="Arial" w:hAnsi="Arial"/>
          <w:sz w:val="16"/>
          <w:szCs w:val="16"/>
          <w:color w:val="auto"/>
        </w:rPr>
      </w:pPr>
    </w:p>
    <w:p>
      <w:pPr>
        <w:ind w:right="100" w:firstLine="436"/>
        <w:spacing w:after="0" w:line="301"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that the Company fails to comply with its obligation to file or provide such information, documents and reports as required hereunder, the Company will be deemed to have cured such Default for purposes of Section 6.01(4)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Notes.</w:t>
      </w:r>
    </w:p>
    <w:p>
      <w:pPr>
        <w:spacing w:after="0" w:line="49" w:lineRule="exact"/>
        <w:rPr>
          <w:rFonts w:ascii="Arial" w:cs="Arial" w:eastAsia="Arial" w:hAnsi="Arial"/>
          <w:sz w:val="16"/>
          <w:szCs w:val="16"/>
          <w:color w:val="auto"/>
        </w:rPr>
      </w:pPr>
    </w:p>
    <w:p>
      <w:pPr>
        <w:ind w:right="340" w:firstLine="436"/>
        <w:spacing w:after="0" w:line="259"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so long as any Restricted Notes are outstanding, the Company agrees that, in order to render such Restricted Notes eligible for resale pursuant to Rule 144A under the Securities Act, it will make available, upon request, to any Holder of Restricted Notes or prospective purchasers of Restricted Notes the information specified in Rule 144A(d)(4), unless the Company furnishes such information to the Commission pursuant to Section 13 or 15(d) of the Exchange Act.</w:t>
      </w:r>
    </w:p>
    <w:p>
      <w:pPr>
        <w:spacing w:after="0" w:line="78" w:lineRule="exact"/>
        <w:rPr>
          <w:rFonts w:ascii="Arial" w:cs="Arial" w:eastAsia="Arial" w:hAnsi="Arial"/>
          <w:sz w:val="18"/>
          <w:szCs w:val="18"/>
          <w:color w:val="auto"/>
        </w:rPr>
      </w:pPr>
    </w:p>
    <w:p>
      <w:pPr>
        <w:ind w:right="60" w:firstLine="436"/>
        <w:spacing w:after="0" w:line="25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information, documents and reports required pursuant to this Indenture may, at the option of the Company, instead be those of any direct or indirect parent entity of the Company so long as such parent entity fully and unconditionally guarantees, by execution of this Indenture or a supplemental indenture, the obligations of the Company in respect of the Notes and such parent entity and the Company comply with the requirements of Rule 3-10 and Rule 13-01 of Regulation S-X promulgated by the Commission (or any successor provisions).</w:t>
      </w:r>
    </w:p>
    <w:p>
      <w:pPr>
        <w:spacing w:after="0" w:line="79" w:lineRule="exact"/>
        <w:rPr>
          <w:rFonts w:ascii="Arial" w:cs="Arial" w:eastAsia="Arial" w:hAnsi="Arial"/>
          <w:sz w:val="18"/>
          <w:szCs w:val="18"/>
          <w:color w:val="auto"/>
        </w:rPr>
      </w:pPr>
    </w:p>
    <w:p>
      <w:pPr>
        <w:ind w:left="680" w:hanging="24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Section 4.03, other than subsection (c), shall not apply to the Company prior to the consummation of the Combination.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4.04 Corporate Existence.</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Subject to Article V, the Company will do or cause to be done all things necessary to preserve and keep in full force and effect its existence as a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4.05 Money for Notes Payments To Be Held in Trust.</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the Notes, it will, on or before each due date of the principal of (and premium, if any) or interest on any of the Notes,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Whenever the Company shall have a Paying Agent for the Notes, it will, prior to 11:00 a.m., New York City time, on each due date of the principal of (and premium, if any) or interest on the Notes,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7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Company will cause the Paying Agent, other than the Trustee, to execute and deliver to the Trustee an instrument in which the Paying Agent shall agree with the Trustee, subject to the provisions of this Section, that the Paying Agent will:</w:t>
      </w:r>
    </w:p>
    <w:p>
      <w:pPr>
        <w:spacing w:after="0" w:line="62" w:lineRule="exact"/>
        <w:rPr>
          <w:sz w:val="20"/>
          <w:szCs w:val="20"/>
          <w:color w:val="auto"/>
        </w:rPr>
      </w:pPr>
    </w:p>
    <w:p>
      <w:pPr>
        <w:ind w:left="440" w:right="180" w:firstLine="419"/>
        <w:spacing w:after="0" w:line="277"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premium, if any) or interest on the Notes in trust for the benefit of the Persons entitled thereto until such sums shall be paid to such Persons or otherwise disposed of as herein provided;</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Notes) in the making of any payment of principal (and premium, if any) or interest on the Notes; and</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the Paying Agent.</w:t>
      </w:r>
    </w:p>
    <w:p>
      <w:pPr>
        <w:spacing w:after="0" w:line="170"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the Paying Agent to pay, to the Trustee all sums held in trust by the Company or the Paying Agent, such sums to be held by the Trustee upon the same trusts as those upon which such sums were held by the Company or the Paying Agent; and, upon such payment by the Paying Agent to the Trustee, the Paying Agent shall be released from all further liability with respect to such money.</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Any money deposited with the Trustee or the Paying Agent, or then held by the Company, in trust for the payment of the principal of (and premium, if any) or interest on the Notes and remaining unclaimed for three years after such principal (and premium, if any) or interest has become due and payable shall be paid to the Company on Company Order, or (if then held by the Company) shall be discharged from such trust; and the Holder of such Note shall thereafter, as an unsecured general creditor, look only to the Company for payment thereof, and all liability of the Trustee or the Paying Agent with respect to such trust money, and all liability of the Company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the Paying Agent, before being required to make any such repayment, may at the expense of the Company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40" w:top="274" w:right="53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4.06 Payment of Taxes and Other Claims.</w:t>
      </w:r>
    </w:p>
    <w:p>
      <w:pPr>
        <w:spacing w:after="0" w:line="11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The Company will pay or discharge or cause to be paid or discharged, before the same shall become delinquent, (1) all taxes, assessments and governmental charges levied or imposed upon the Company or any Subsidiary of the Company or upon the income, profits or property of the Company or any Subsidiary of the Company, and (2) all lawful claims against the Company or any Subsidiary of the Company for labor, materials and supplies, which in the case of either clause (1) or (2) of this Section 4.06, if unpaid, might by law become a lien upon a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the Company nor any Subsidiary of the Company shall be required to pay or discharge or cause to be paid or discharged any such tax, assessment, charge or claim whose amount, applicability or validity is being contested in good faith by appropriate proceedings.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4.07 Limitation on Liens.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Company will not, and will not permit any Subsidiary of the Company to, directly or indirectly, Incur or permit to exist any Lien (the “</w:t>
      </w:r>
      <w:r>
        <w:rPr>
          <w:rFonts w:ascii="Arial" w:cs="Arial" w:eastAsia="Arial" w:hAnsi="Arial"/>
          <w:sz w:val="18"/>
          <w:szCs w:val="18"/>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i w:val="1"/>
          <w:iCs w:val="1"/>
          <w:color w:val="auto"/>
        </w:rPr>
        <w:t>Lien</w:t>
      </w:r>
      <w:r>
        <w:rPr>
          <w:rFonts w:ascii="Arial" w:cs="Arial" w:eastAsia="Arial" w:hAnsi="Arial"/>
          <w:sz w:val="18"/>
          <w:szCs w:val="18"/>
          <w:color w:val="auto"/>
        </w:rPr>
        <w:t>”) of any nature whatsoever on any of its properties (including Capital Stock of a Subsidiary of the Company), whether owned on the Issue Date or</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acquired, securing any Indebtedness of the Company or a Domestic Subsidiary of the Company, other than Permitted Liens, without effectively providing that the Notes shall be secured equally and ratably with (or prior to) such Indebtedness so secured for so long as such Indebtedness is so secured.</w:t>
      </w:r>
    </w:p>
    <w:p>
      <w:pPr>
        <w:spacing w:after="0" w:line="18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Any Lien created for the benefit of the Holders pursuant to this Section 4.07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4.08 Purchase of Notes Upon a Change of Control Repurchase Event.</w:t>
      </w:r>
    </w:p>
    <w:p>
      <w:pPr>
        <w:spacing w:after="0" w:line="117" w:lineRule="exact"/>
        <w:rPr>
          <w:sz w:val="20"/>
          <w:szCs w:val="20"/>
          <w:color w:val="auto"/>
        </w:rPr>
      </w:pPr>
    </w:p>
    <w:p>
      <w:pPr>
        <w:ind w:firstLine="436"/>
        <w:spacing w:after="0" w:line="253"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 Change of Control Repurchase Event occurs with respect to a series of Notes, each Holder of such series of Notes will have the right to require that the Company purchase all or any part (in denominations of $2,000 and integral multiples of $1,000 in excess thereof) of such Holder’s Notes of such series pursuant to a Change of Control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on the terms set forth in this Indenture. In the Change of Control Offer, the Company will offer to purchase all of the Notes of such series at a purchase price (the “</w:t>
      </w:r>
      <w:r>
        <w:rPr>
          <w:rFonts w:ascii="Arial" w:cs="Arial" w:eastAsia="Arial" w:hAnsi="Arial"/>
          <w:sz w:val="18"/>
          <w:szCs w:val="18"/>
          <w:i w:val="1"/>
          <w:iCs w:val="1"/>
          <w:color w:val="auto"/>
        </w:rPr>
        <w:t>Change of Control Purchase Price</w:t>
      </w:r>
      <w:r>
        <w:rPr>
          <w:rFonts w:ascii="Arial" w:cs="Arial" w:eastAsia="Arial" w:hAnsi="Arial"/>
          <w:sz w:val="18"/>
          <w:szCs w:val="18"/>
          <w:color w:val="auto"/>
        </w:rPr>
        <w:t>”) in cash in an amount equal to 101% of the principal amount of such series of Notes, plus accrued and unpaid interest thereon, if any, to, but excluding, the date of purchase (the “</w:t>
      </w:r>
      <w:r>
        <w:rPr>
          <w:rFonts w:ascii="Arial" w:cs="Arial" w:eastAsia="Arial" w:hAnsi="Arial"/>
          <w:sz w:val="18"/>
          <w:szCs w:val="18"/>
          <w:i w:val="1"/>
          <w:iCs w:val="1"/>
          <w:color w:val="auto"/>
        </w:rPr>
        <w:t>Change of Control Purchase Date</w:t>
      </w:r>
      <w:r>
        <w:rPr>
          <w:rFonts w:ascii="Arial" w:cs="Arial" w:eastAsia="Arial" w:hAnsi="Arial"/>
          <w:sz w:val="18"/>
          <w:szCs w:val="18"/>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88" w:lineRule="exact"/>
        <w:rPr>
          <w:rFonts w:ascii="Arial" w:cs="Arial" w:eastAsia="Arial" w:hAnsi="Arial"/>
          <w:sz w:val="18"/>
          <w:szCs w:val="18"/>
          <w:color w:val="auto"/>
        </w:rPr>
      </w:pPr>
    </w:p>
    <w:p>
      <w:pPr>
        <w:ind w:right="160" w:firstLine="436"/>
        <w:spacing w:after="0" w:line="275"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Within 30 days after any Change of Control Repurchase Event with respect to a series of Notes or, at the Company’s option, prior to such Change of Control but after it is publicly announced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definitive agreement is in place for such Change of Control), the Company must cause written notice of the Change of Control Repurchase Event to be distributed to the Trustee, and the Trustee will then promptly forward (at the Company’s sole expense) such notice to each Holder of such series of Notes at its address appearing in the security register or otherwise in accordance with the procedures of the Depositary. The notice must state, among other things:</w:t>
      </w:r>
    </w:p>
    <w:p>
      <w:pPr>
        <w:spacing w:after="0" w:line="68" w:lineRule="exact"/>
        <w:rPr>
          <w:rFonts w:ascii="Arial" w:cs="Arial" w:eastAsia="Arial" w:hAnsi="Arial"/>
          <w:sz w:val="17"/>
          <w:szCs w:val="17"/>
          <w:color w:val="auto"/>
        </w:rPr>
      </w:pPr>
    </w:p>
    <w:p>
      <w:pPr>
        <w:ind w:left="1120" w:hanging="261"/>
        <w:spacing w:after="0"/>
        <w:tabs>
          <w:tab w:leader="none" w:pos="11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that a Change of Control Repurchase Event has occurred or may occur with respect to such series of Notes and the date of such event;</w:t>
      </w:r>
    </w:p>
    <w:p>
      <w:pPr>
        <w:spacing w:after="0" w:line="140" w:lineRule="exact"/>
        <w:rPr>
          <w:rFonts w:ascii="Arial" w:cs="Arial" w:eastAsia="Arial" w:hAnsi="Arial"/>
          <w:sz w:val="16"/>
          <w:szCs w:val="16"/>
          <w:color w:val="auto"/>
        </w:rPr>
      </w:pPr>
    </w:p>
    <w:p>
      <w:pPr>
        <w:jc w:val="both"/>
        <w:ind w:left="440" w:right="180" w:firstLine="419"/>
        <w:spacing w:after="0" w:line="263" w:lineRule="auto"/>
        <w:tabs>
          <w:tab w:leader="none" w:pos="11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fixed by the Company on a Business Day no earlier than 10 days nor later than 60 days from the date the notice is transmitted, or such later date as is necessary to comply with requirements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date may not occur prior to the Change of Control;</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any Note of such series not tendered will continue to accrue interest;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57" w:name="page58"/>
    <w:bookmarkEnd w:id="57"/>
    <w:p>
      <w:pPr>
        <w:jc w:val="both"/>
        <w:ind w:left="444" w:firstLine="419"/>
        <w:spacing w:after="0" w:line="263" w:lineRule="auto"/>
        <w:tabs>
          <w:tab w:leader="none" w:pos="1122"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unless the Company defaults in the payment of the Change of Control Purchase Price with respect to a series of Notes, any Notes of such series accepted for payment pursuant to the Change of Control Offer shall cease to accrue interest after the Change of Control Purchase Date; and</w:t>
      </w:r>
    </w:p>
    <w:p>
      <w:pPr>
        <w:spacing w:after="0" w:line="75" w:lineRule="exact"/>
        <w:rPr>
          <w:rFonts w:ascii="Arial" w:cs="Arial" w:eastAsia="Arial" w:hAnsi="Arial"/>
          <w:sz w:val="18"/>
          <w:szCs w:val="18"/>
          <w:color w:val="auto"/>
        </w:rPr>
      </w:pPr>
    </w:p>
    <w:p>
      <w:pPr>
        <w:ind w:left="444" w:right="80" w:firstLine="419"/>
        <w:spacing w:after="0" w:line="277" w:lineRule="auto"/>
        <w:tabs>
          <w:tab w:leader="none" w:pos="1122" w:val="left"/>
        </w:tabs>
        <w:numPr>
          <w:ilvl w:val="1"/>
          <w:numId w:val="45"/>
        </w:numPr>
        <w:rPr>
          <w:rFonts w:ascii="Arial" w:cs="Arial" w:eastAsia="Arial" w:hAnsi="Arial"/>
          <w:sz w:val="18"/>
          <w:szCs w:val="18"/>
          <w:color w:val="auto"/>
        </w:rPr>
      </w:pPr>
      <w:r>
        <w:rPr>
          <w:rFonts w:ascii="Arial" w:cs="Arial" w:eastAsia="Arial" w:hAnsi="Arial"/>
          <w:sz w:val="18"/>
          <w:szCs w:val="18"/>
          <w:color w:val="auto"/>
        </w:rPr>
        <w:t>other procedures that a Holder of Notes of such series must follow to accept a Change of Control Offer or to withdraw acceptance of the Change of Control Offer.</w:t>
      </w:r>
    </w:p>
    <w:p>
      <w:pPr>
        <w:spacing w:after="0" w:line="62" w:lineRule="exact"/>
        <w:rPr>
          <w:rFonts w:ascii="Arial" w:cs="Arial" w:eastAsia="Arial" w:hAnsi="Arial"/>
          <w:sz w:val="18"/>
          <w:szCs w:val="18"/>
          <w:color w:val="auto"/>
        </w:rPr>
      </w:pPr>
    </w:p>
    <w:p>
      <w:pPr>
        <w:ind w:left="4" w:firstLine="436"/>
        <w:spacing w:after="0" w:line="271" w:lineRule="auto"/>
        <w:tabs>
          <w:tab w:leader="none" w:pos="6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will comply with the applicable tender offer rules, including Rule 14e-l under the Exchange Act, and any other applicable securities laws or regulations in connection with a Change of Control Offer. To the extent that the provisions of any securities laws or regulations conflict with the provisions of this Section 4.08, the Company will comply with the applicable securities laws and regulations and will not be deemed to have breached its obligations under this Section 4.08 by virtue of its compliance with such securities laws or regulations. The Company will not be required to make a Change of Control Offer upon a Change of Control Repurchase Event if (i) a third party makes the Change of Control Offer in the manner, at the times and otherwise in compliance with the requirements described in this Indenture applicable to a Change of Control Offer made by the Company and purchases all Notes validly tendered and not withdrawn under such Change of Control Offer or (ii) the Company has exercised the right to redeem all of the Notes of such series pursuant to Section 3.07.</w:t>
      </w:r>
    </w:p>
    <w:p>
      <w:pPr>
        <w:spacing w:after="0" w:line="70" w:lineRule="exact"/>
        <w:rPr>
          <w:rFonts w:ascii="Arial" w:cs="Arial" w:eastAsia="Arial" w:hAnsi="Arial"/>
          <w:sz w:val="17"/>
          <w:szCs w:val="17"/>
          <w:color w:val="auto"/>
        </w:rPr>
      </w:pPr>
    </w:p>
    <w:p>
      <w:pPr>
        <w:ind w:left="704" w:hanging="264"/>
        <w:spacing w:after="0"/>
        <w:tabs>
          <w:tab w:leader="none" w:pos="7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will, to the extent permitted by law:</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accept for payment all Notes of each applicable series or portions thereof properly tendered pursuant to the Change of Control Offer;</w:t>
      </w:r>
    </w:p>
    <w:p>
      <w:pPr>
        <w:spacing w:after="0" w:line="140" w:lineRule="exact"/>
        <w:rPr>
          <w:rFonts w:ascii="Arial" w:cs="Arial" w:eastAsia="Arial" w:hAnsi="Arial"/>
          <w:sz w:val="16"/>
          <w:szCs w:val="16"/>
          <w:color w:val="auto"/>
        </w:rPr>
      </w:pPr>
    </w:p>
    <w:p>
      <w:pPr>
        <w:ind w:left="444" w:right="600" w:firstLine="419"/>
        <w:spacing w:after="0" w:line="277" w:lineRule="auto"/>
        <w:tabs>
          <w:tab w:leader="none" w:pos="11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Purchase Price in respect of all Notes of each applicable series or portions thereof so tendered; and</w:t>
      </w:r>
    </w:p>
    <w:p>
      <w:pPr>
        <w:spacing w:after="0" w:line="62" w:lineRule="exact"/>
        <w:rPr>
          <w:rFonts w:ascii="Arial" w:cs="Arial" w:eastAsia="Arial" w:hAnsi="Arial"/>
          <w:sz w:val="18"/>
          <w:szCs w:val="18"/>
          <w:color w:val="auto"/>
        </w:rPr>
      </w:pPr>
    </w:p>
    <w:p>
      <w:pPr>
        <w:ind w:left="444" w:right="400" w:firstLine="419"/>
        <w:spacing w:after="0" w:line="277" w:lineRule="auto"/>
        <w:tabs>
          <w:tab w:leader="none" w:pos="11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of the Notes so accepted together with an Officer’s Certificate to the Trustee stating that such Notes or portions thereof have been tendered to and purchased by the Company.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4.09 Restrictions on Sale Leaseback Transactions.</w:t>
      </w:r>
    </w:p>
    <w:p>
      <w:pPr>
        <w:spacing w:after="0" w:line="117"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Neither the Company nor any Domestic Subsidiary of the Company will enter into any Sale Leaseback Transaction with respect to any property unless:</w:t>
      </w:r>
    </w:p>
    <w:p>
      <w:pPr>
        <w:spacing w:after="0" w:line="62" w:lineRule="exact"/>
        <w:rPr>
          <w:sz w:val="20"/>
          <w:szCs w:val="20"/>
          <w:color w:val="auto"/>
        </w:rPr>
      </w:pPr>
    </w:p>
    <w:p>
      <w:pPr>
        <w:ind w:left="444" w:right="560" w:firstLine="419"/>
        <w:spacing w:after="0" w:line="277" w:lineRule="auto"/>
        <w:tabs>
          <w:tab w:leader="none" w:pos="11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or such Domestic Subsidiary would be entitled to create a Lien on such property securing Attributable Debt without equally and ratably securing the Notes pursuant to Section 4.07; and</w:t>
      </w:r>
    </w:p>
    <w:p>
      <w:pPr>
        <w:spacing w:after="0" w:line="62" w:lineRule="exact"/>
        <w:rPr>
          <w:rFonts w:ascii="Arial" w:cs="Arial" w:eastAsia="Arial" w:hAnsi="Arial"/>
          <w:sz w:val="18"/>
          <w:szCs w:val="18"/>
          <w:color w:val="auto"/>
        </w:rPr>
      </w:pPr>
    </w:p>
    <w:p>
      <w:pPr>
        <w:ind w:left="444" w:right="300" w:firstLine="419"/>
        <w:spacing w:after="0" w:line="277" w:lineRule="auto"/>
        <w:tabs>
          <w:tab w:leader="none" w:pos="11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gross proceeds received by the Company or such Domestic Subsidiary in connection with such Sale Leaseback Transaction are at least equal to the Fair Market Value of such property.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Notwithstanding the foregoing, the Company or any Domestic Subsidiary of the Company may enter into a Sale Leaseback Transaction if</w:t>
      </w:r>
    </w:p>
    <w:p>
      <w:pPr>
        <w:spacing w:after="0" w:line="35" w:lineRule="exact"/>
        <w:rPr>
          <w:sz w:val="20"/>
          <w:szCs w:val="20"/>
          <w:color w:val="auto"/>
        </w:rPr>
      </w:pPr>
    </w:p>
    <w:p>
      <w:pPr>
        <w:ind w:left="4" w:right="20" w:hanging="4"/>
        <w:spacing w:after="0" w:line="269" w:lineRule="auto"/>
        <w:tabs>
          <w:tab w:leader="none" w:pos="259"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during the twelve months following the effective date of the Sale Leaseback Transaction, the Company or any such Domestic Subsidiary applies an amount equal to the greater of the net proceeds of such sale or transfer and the Fair Market Value of the property that the Company or such Domestic Subsidiary leases in the transaction to (i) the voluntary retirement of the Notes or other Indebtedness of the Company or any Domestic Subsidiary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Indebtedness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senior to the Notes, or (ii) the acquisition, purchase, construction, development, extension or improvement of any property or assets of the Company or any Domestic Subsidiary of the Company used or to be used by or for the benefit of the Company or any Domestic Subsidiary of the Company in the ordinary course of business, or (y) the Company or such Domestic Subsidiary equally and ratably secures the Notes as described under Section 4.07.</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4.10 Mylan Guarantees.</w:t>
      </w:r>
    </w:p>
    <w:p>
      <w:pPr>
        <w:spacing w:after="0" w:line="11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Within one Business Day after the consummation of the Combination, the Company shall cause each of the Mylan Guarantors to enter into the Mylan Guarantors Supplemental Indenture, pursuant to which the Mylan Guarantors will Guarantee the Company’s Indenture Obligations, fully and unconditionally and on a senior unsecured basis.</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Each Guarantee of a Mylan Guarantor will be limited in amount to an amount not to exceed the maximum amount that can be guaranteed by the applicable Mylan Guarantor without rendering the Guarantee, as it relates to such Mylan Guarantor, voidable under applicable law relating to fraudulent conveyance or fraudulent transfer or similar laws affecting the rights of creditors generally.</w:t>
      </w:r>
    </w:p>
    <w:p>
      <w:pPr>
        <w:spacing w:after="0" w:line="184"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Notwithstanding the foregoing, any Guarantee by any Mylan Guarantor will be automatically and unconditionally terminated and released, without any action on the part of the Trustee, any holder of the Notes or any other person in accordance with Section 10.07.</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4.11 Additional Guarantees.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So long as any Finco Indebtedness remains outstanding, if Finco shall acquire and hold any material assets, other than (i) any intercompany notes or receivables or (ii) any proceeds from any Indebtedness issued by Finco, within 10 Business Days of such event, the Company shall cause Finco to enter into a supplemental indenture pursuant to which Finco shall agree to Guarantee the Company’s Indenture Obligations, fully and unconditionally and on a senior unsecured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Finco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7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Following the consummation of the Combination, if any Subsidiary of the Company that is not a Guarantor of the Company’s Indenture Obligations (other than Finco or a Receivables Entity)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unsecured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95"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Notwithstanding the foregoing, any Guarantee by any Guarantor (other than Pfizer) shall be automatically and unconditionally terminated and released, without any action on the part of the Trustee, any holder of the Notes or any other person in accordance with Section 10.07.</w:t>
      </w:r>
    </w:p>
    <w:p>
      <w:pPr>
        <w:spacing w:after="0" w:line="12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59" w:name="page60"/>
    <w:bookmarkEnd w:id="59"/>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4.12 Compliance Certificate.</w:t>
      </w:r>
    </w:p>
    <w:p>
      <w:pPr>
        <w:spacing w:after="0" w:line="117" w:lineRule="exact"/>
        <w:rPr>
          <w:sz w:val="20"/>
          <w:szCs w:val="20"/>
          <w:color w:val="auto"/>
        </w:rPr>
      </w:pPr>
    </w:p>
    <w:p>
      <w:pPr>
        <w:ind w:firstLine="436"/>
        <w:spacing w:after="0" w:line="289" w:lineRule="auto"/>
        <w:tabs>
          <w:tab w:leader="none" w:pos="68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and each Guarantor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on, if any, or interest, if any, on, the Notes is prohibited or if such event has occurred, a description of the event and what action the Company is taking or proposes to take with respect thereto.</w:t>
      </w:r>
    </w:p>
    <w:p>
      <w:pPr>
        <w:spacing w:after="0" w:line="58" w:lineRule="exact"/>
        <w:rPr>
          <w:rFonts w:ascii="Arial" w:cs="Arial" w:eastAsia="Arial" w:hAnsi="Arial"/>
          <w:sz w:val="16"/>
          <w:szCs w:val="16"/>
          <w:color w:val="auto"/>
        </w:rPr>
      </w:pPr>
    </w:p>
    <w:p>
      <w:pPr>
        <w:ind w:right="160" w:firstLine="436"/>
        <w:spacing w:after="0" w:line="263"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will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4.13 Stay, Extension and Usury Laws.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4.14 Use of Proceeds.</w:t>
      </w:r>
    </w:p>
    <w:p>
      <w:pPr>
        <w:spacing w:after="0" w:line="11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The Company will use the net proceeds from the offering of the Notes in the manner specified in “Use of Proceeds” contained in the Offering Memorandum, and will not distribute or otherwise transfer such proceeds other than in connection with or following the consummation of the Contribution.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4.15 No Limitations on RMT Transactions.</w:t>
      </w:r>
    </w:p>
    <w:p>
      <w:pPr>
        <w:spacing w:after="0" w:line="11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anything in this Article IV or elsewhere in this Indenture to the contrary, each of the RMT Transactions will be permitted under this Indenture (and, except as set forth in Section 4.14, in no event shall any of the RMT Transactions be subject to any of the covenants contained in this Indenture).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5.01 Consolidation, Merger and Sale of Assets.</w:t>
      </w:r>
    </w:p>
    <w:p>
      <w:pPr>
        <w:spacing w:after="0" w:line="117" w:lineRule="exact"/>
        <w:rPr>
          <w:sz w:val="20"/>
          <w:szCs w:val="20"/>
          <w:color w:val="auto"/>
        </w:rPr>
      </w:pPr>
    </w:p>
    <w:p>
      <w:pPr>
        <w:ind w:right="100" w:firstLine="436"/>
        <w:spacing w:after="0" w:line="308" w:lineRule="auto"/>
        <w:tabs>
          <w:tab w:leader="none" w:pos="6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will not consolidate with any other entity or accept a merger of any other entity into the Company or permit the Company to be merged into another Person, or sell or lease all or substantially all the assets of the Company and its Subsidiaries to, any entity, unless:</w:t>
      </w:r>
    </w:p>
    <w:p>
      <w:pPr>
        <w:spacing w:after="0" w:line="38" w:lineRule="exact"/>
        <w:rPr>
          <w:rFonts w:ascii="Arial" w:cs="Arial" w:eastAsia="Arial" w:hAnsi="Arial"/>
          <w:sz w:val="17"/>
          <w:szCs w:val="17"/>
          <w:color w:val="auto"/>
        </w:rPr>
      </w:pPr>
    </w:p>
    <w:p>
      <w:pPr>
        <w:jc w:val="both"/>
        <w:ind w:left="440" w:right="40" w:firstLine="419"/>
        <w:spacing w:after="0" w:line="263" w:lineRule="auto"/>
        <w:tabs>
          <w:tab w:leader="none" w:pos="11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either the Company shall be the continuing entity or the successor, transferee or lessee entity, if other than the Company (the “</w:t>
      </w:r>
      <w:r>
        <w:rPr>
          <w:rFonts w:ascii="Arial" w:cs="Arial" w:eastAsia="Arial" w:hAnsi="Arial"/>
          <w:sz w:val="18"/>
          <w:szCs w:val="18"/>
          <w:i w:val="1"/>
          <w:iCs w:val="1"/>
          <w:color w:val="auto"/>
        </w:rPr>
        <w:t>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shall expressly assume, by a supplemental indenture, executed and delivered to the Trustee, in form satisfactory to the Trustee,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Company under the Notes and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60" w:name="page61"/>
    <w:bookmarkEnd w:id="60"/>
    <w:p>
      <w:pPr>
        <w:ind w:left="1120" w:hanging="261"/>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after such transaction, no Default shall have occurred and be continuing; and</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consolidation, merger, sale or lease and such supplemental indenture (if any) comply with this Indenture.</w:t>
      </w:r>
    </w:p>
    <w:p>
      <w:pPr>
        <w:spacing w:after="0" w:line="62"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this Section 5.01,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78" w:lineRule="exact"/>
        <w:rPr>
          <w:rFonts w:ascii="Arial" w:cs="Arial" w:eastAsia="Arial" w:hAnsi="Arial"/>
          <w:sz w:val="18"/>
          <w:szCs w:val="18"/>
          <w:color w:val="auto"/>
        </w:rPr>
      </w:pPr>
    </w:p>
    <w:p>
      <w:pPr>
        <w:ind w:right="200" w:firstLine="436"/>
        <w:spacing w:after="0" w:line="263"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Successor Company will be the successor to the Company and shall succeed to, and be substituted for, and may exercise every right and power of, the Company under this Indenture, and the Company, as the predecessor company, except in the case of a lease, shall be released from all obligations under this Indenture and the Notes.</w:t>
      </w:r>
    </w:p>
    <w:p>
      <w:pPr>
        <w:spacing w:after="0" w:line="75"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of the RMT Transactions will be permitted under this Indenture (and in no event shall any such transactions be subject to this covenant).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6.01 Events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following events shall be an “</w:t>
      </w:r>
      <w:r>
        <w:rPr>
          <w:rFonts w:ascii="Arial" w:cs="Arial" w:eastAsia="Arial" w:hAnsi="Arial"/>
          <w:sz w:val="18"/>
          <w:szCs w:val="18"/>
          <w:i w:val="1"/>
          <w:iCs w:val="1"/>
          <w:color w:val="auto"/>
        </w:rPr>
        <w:t>Event of Default</w:t>
      </w:r>
      <w:r>
        <w:rPr>
          <w:rFonts w:ascii="Arial" w:cs="Arial" w:eastAsia="Arial" w:hAnsi="Arial"/>
          <w:sz w:val="18"/>
          <w:szCs w:val="18"/>
          <w:color w:val="auto"/>
        </w:rPr>
        <w:t>” with respect to the Notes of a series:</w:t>
      </w:r>
    </w:p>
    <w:p>
      <w:pPr>
        <w:spacing w:after="0" w:line="117" w:lineRule="exact"/>
        <w:rPr>
          <w:sz w:val="20"/>
          <w:szCs w:val="20"/>
          <w:color w:val="auto"/>
        </w:rPr>
      </w:pPr>
    </w:p>
    <w:p>
      <w:pPr>
        <w:ind w:left="1120" w:hanging="261"/>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failure to pay interest on the Notes of such series that continues for a period of 30 days after payment is due;</w:t>
      </w:r>
    </w:p>
    <w:p>
      <w:pPr>
        <w:spacing w:after="0" w:line="117" w:lineRule="exact"/>
        <w:rPr>
          <w:rFonts w:ascii="Arial" w:cs="Arial" w:eastAsia="Arial" w:hAnsi="Arial"/>
          <w:sz w:val="18"/>
          <w:szCs w:val="18"/>
          <w:color w:val="auto"/>
        </w:rPr>
      </w:pPr>
    </w:p>
    <w:p>
      <w:pPr>
        <w:ind w:left="440" w:right="600" w:firstLine="419"/>
        <w:spacing w:after="0" w:line="277" w:lineRule="auto"/>
        <w:tabs>
          <w:tab w:leader="none" w:pos="11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failure to pay the principal or premium, if any, on the Notes of such series when due upon maturity, redemption, acceleration or otherwise;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failure to comply with Section 5.01;</w:t>
      </w:r>
    </w:p>
    <w:p>
      <w:pPr>
        <w:spacing w:after="0" w:line="117" w:lineRule="exact"/>
        <w:rPr>
          <w:rFonts w:ascii="Arial" w:cs="Arial" w:eastAsia="Arial" w:hAnsi="Arial"/>
          <w:sz w:val="18"/>
          <w:szCs w:val="18"/>
          <w:color w:val="auto"/>
        </w:rPr>
      </w:pPr>
    </w:p>
    <w:p>
      <w:pPr>
        <w:ind w:left="440" w:firstLine="419"/>
        <w:spacing w:after="0" w:line="293" w:lineRule="auto"/>
        <w:tabs>
          <w:tab w:leader="none" w:pos="11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failure to comply with (x) any of the Company’s other agreements contained in this Indenture and applicable to the Notes of such series (other than (i) a failure that is subject to clause (1), (2) or (3) of this Section 6.01 or (ii) a failure to comply with Section 4.03) for a period of 60 days after receipt by the Company of written notice of such failure from the Trustee (or receipt by the Company and the Trustee of written notice of such failure from the Holders of at least 25% of the principal amount of the applicable series of Notes) or (y) the requirements set forth in Section 4.03 for a period of 120 days after receipt by the Company of written notice of such failure from the Trustee (or receipt by the Company and the Trustee of written notice of such failure from the holders of at least 25% of the principal amount of the applicable series of Notes);</w:t>
      </w:r>
    </w:p>
    <w:p>
      <w:pPr>
        <w:spacing w:after="0" w:line="56" w:lineRule="exact"/>
        <w:rPr>
          <w:rFonts w:ascii="Arial" w:cs="Arial" w:eastAsia="Arial" w:hAnsi="Arial"/>
          <w:sz w:val="16"/>
          <w:szCs w:val="16"/>
          <w:color w:val="auto"/>
        </w:rPr>
      </w:pPr>
    </w:p>
    <w:p>
      <w:pPr>
        <w:ind w:left="440" w:right="160" w:firstLine="419"/>
        <w:spacing w:after="0" w:line="275" w:lineRule="auto"/>
        <w:tabs>
          <w:tab w:leader="none" w:pos="1118"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one or more defaults shall have occurred under any of the agreements, indentures or instruments under which the Company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61" w:name="page62"/>
    <w:bookmarkEnd w:id="61"/>
    <w:p>
      <w:pPr>
        <w:ind w:left="440" w:right="140" w:firstLine="419"/>
        <w:spacing w:after="0" w:line="259"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or more judgments or orders that exceed $250.0 million in the aggregate (net of amounts covered by insurance or bonded) for the payment of money have been entered by a court or courts of competent jurisdiction against the Company or any Significant Subsidiary and such judgment or judgments have not been satisfied, stayed, annulled or rescinded within 60 days after such judgment or judgments become final and nonappealable;</w:t>
      </w:r>
    </w:p>
    <w:p>
      <w:pPr>
        <w:spacing w:after="0" w:line="78" w:lineRule="exact"/>
        <w:rPr>
          <w:rFonts w:ascii="Arial" w:cs="Arial" w:eastAsia="Arial" w:hAnsi="Arial"/>
          <w:sz w:val="18"/>
          <w:szCs w:val="18"/>
          <w:color w:val="auto"/>
        </w:rPr>
      </w:pPr>
    </w:p>
    <w:p>
      <w:pPr>
        <w:ind w:left="440" w:right="100" w:firstLine="419"/>
        <w:spacing w:after="0" w:line="257"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Guarantee by a Significant Subsidiary of the Company’s Indenture Obligations under the Notes of such series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this Indenture and any such Guarantee by such Significant Subsidiary of the Company’s Indenture Obligations under the Notes of such series, and any such Default continues for 10 days;</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or any Significant Subsidiary: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commences a voluntary insolvency proceeding;</w:t>
      </w:r>
    </w:p>
    <w:p>
      <w:pPr>
        <w:spacing w:after="0" w:line="117" w:lineRule="exact"/>
        <w:rPr>
          <w:rFonts w:ascii="Arial" w:cs="Arial" w:eastAsia="Arial" w:hAnsi="Arial"/>
          <w:sz w:val="18"/>
          <w:szCs w:val="18"/>
          <w:color w:val="auto"/>
        </w:rPr>
      </w:pPr>
    </w:p>
    <w:p>
      <w:pPr>
        <w:ind w:left="980" w:right="380" w:firstLine="408"/>
        <w:spacing w:after="0" w:line="277" w:lineRule="auto"/>
        <w:tabs>
          <w:tab w:leader="none" w:pos="1666"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insolvency proceeding or consents to its dissolution or winding-up;</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takes any comparable action under any foreign laws relating to insolvency;</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liquidation of any Subsidiary of the Company into the Company or another Subsidiary of the Company, other than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a credit reorganization, shall not constitute an Event of Default under this Section 6.01(8); and</w:t>
      </w:r>
    </w:p>
    <w:p>
      <w:pPr>
        <w:spacing w:after="0" w:line="62" w:lineRule="exact"/>
        <w:rPr>
          <w:sz w:val="20"/>
          <w:szCs w:val="20"/>
          <w:color w:val="auto"/>
        </w:rPr>
      </w:pPr>
    </w:p>
    <w:p>
      <w:pPr>
        <w:ind w:left="1120" w:hanging="261"/>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insolvency proceeding;</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any substantial part of their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orders the winding-up, liquidation or dissolution of the Company or any Significant Subsidiary;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orders the presentation of any plan or arrangement, compromise or reorganization of the Company or any Significant Subsidiary;</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1660" w:hanging="272"/>
        <w:spacing w:after="0"/>
        <w:tabs>
          <w:tab w:leader="none" w:pos="1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grants any similar relief under any foreign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in each such case the order or decree remains unstayed and in effect for 60 days.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62" w:name="page63"/>
    <w:bookmarkEnd w:id="62"/>
    <w:p>
      <w:pPr>
        <w:ind w:left="440" w:right="200" w:firstLine="419"/>
        <w:spacing w:after="0" w:line="342" w:lineRule="auto"/>
        <w:tabs>
          <w:tab w:leader="none" w:pos="1208"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prior to the consummation of the Distribution, the Pfizer Guarantee shall be held in any judicial proceeding not to be in full force and effect and enforceable in accordance with its terms, except to the extent contemplated by this Indenture or the Guarantee Agreement.</w:t>
      </w:r>
    </w:p>
    <w:p>
      <w:pPr>
        <w:spacing w:after="0" w:line="12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6.02 Acceleration of Maturity; Rescission.</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If an Event of Default with respect to the Notes of a series (other than an Event of Default specified in Sections 6.01(8) and 6.01(9) with respect to the Company) shall have occurred and be continuing, the Trustee or the Holders of at least 25% in outstanding principal amount of the Notes of such series, may declare to be immediately due and payable the principal amount of all of the Notes of such series then outstanding, plus accrued but unpaid interest thereon, if any, to the date of acceleration. If an Event of Default specified in Sections 6.01(8) and 6.01(9) with respect to the Company shall occur, such amount with respect to all the Notes shall become automatically due and payable immediately without any further action or notice. However, a notice of Default or notice of continuing Event of Default (including any declaration of acceleration) with respect to the Notes of any series may not be given with respect to any action taken, and reported publicly or to holders of the Notes of such series, more than two years prior to such notice. After any such acceleration, but before a judgment or decree based on acceleration is obtained by the applicable person, the registered Holders of a majority in principal amount of the then outstanding Notes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spacing w:after="0" w:line="172"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Subject to Section 7.01, in case an Event of Default shall occur and be continuing, the Trustee shall be under no obligation to exercise any of its rights or powers under this Indenture at the request or direction of any of the Holders of Notes of any series, unless such Holders have offered to the Trustee reasonable security and/or indemnity to its satisfaction. Subject to Section 7.06, the Holders of a majority in aggregate principal amount of any series of Notes then outstanding will have the right to direct the time, method and place of conducting any proceeding for any remedy available to the Trustee or exercising any trust or power the Trustee holds with respect to the Notes of such series.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6.03 Other Remedies.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 Event of Default occurs and is continuing, the Trustee may pursue any available remedy by proceeding at law or in equity to collect the payment of principal of, or premium, if any, and interest on the Notes of each applicable series or to enforce the performance of any provision of the Notes of each applicable series or this Indenture and may take any necessary action requested of it as Trustee to settle, compromise, adjust or otherwise conclude any proceedings to which it is a party.</w:t>
      </w:r>
    </w:p>
    <w:p>
      <w:pPr>
        <w:spacing w:after="0" w:line="18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Notes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6.04 Waiver of Past Defaults and Events of Default.</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Provided the Notes of a series are not then due and payable by reason of a declaration of acceleration, the Holders of a majority in principal amount of the then outstanding Notes of such series may on behalf of the Holders of all the affected Notes of such series waive any past Default with respect to such series of Notes and its consequences by providing written notice thereof to the Company and the Trustee, except a Default (1) in the payment of interest on or the principal of any Note or (2) in respect of a covenant or provision hereof which under this Indenture cannot be modified or amended without the consent of the Holder of each outstanding Note affected. In the case of any such waiver, the Company, the Trustee and the Holders of the Notes of the applicable series will be restored to their former positions and rights under this Indenture, respectively;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waiver shall extend to any subsequent or other Default or impair any right consequent thereto.</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6.05 Control by Majority.</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Holders of at least a majority in aggregate principal amount of the outstanding Notes of a series may direct the time, method and place of conducting any proceeding for any remedy available to the Trustee or exercising any trust or power conferred on the Trustee with respect to the Notes of such series. However, the Trustee may refuse to follow any direction that conflicts with law or this Indenture, that may involve the Trustee in personal liability, or that the Trustee determines in good faith may be unduly prejudicial to the rights of Holders of the affected Notes not joining in the giving of such direction and may take any other action it deems proper that is not inconsistent with any such direction received from Holders of the Notes.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6.06 Limitation on Suits.</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No Holder of the Notes of a series will have any right to institute any proceeding with respect to this Indenture, or for any remedy hereunder, unless:</w:t>
      </w:r>
    </w:p>
    <w:p>
      <w:pPr>
        <w:spacing w:after="0" w:line="62" w:lineRule="exact"/>
        <w:rPr>
          <w:sz w:val="20"/>
          <w:szCs w:val="20"/>
          <w:color w:val="auto"/>
        </w:rPr>
      </w:pPr>
    </w:p>
    <w:p>
      <w:pPr>
        <w:ind w:left="440" w:right="34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 of such series;</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such series have made a written request, and offered reasonable indemnity, to the Trustee to institute such proceeding as Trustee; and</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of such series a direction that is inconsistent with such request.</w:t>
      </w:r>
    </w:p>
    <w:p>
      <w:pPr>
        <w:spacing w:after="0" w:line="170"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However, the Holder of any Note will have an absolute and unconditional right to receive payment of the principal of, and premium, if any, or interest on, such Note on or after the date or dates they are to be paid as expressed in such Note and to institute suit for the enforcement of any such payment.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6.07 Rights of Holders To Receive Payment.</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Notwithstanding any other provision of this Indenture, except as otherwise provided in Section 8.02(d), the right of any Holder of a Note to receive payment of the principal of or premium, if any, or interest, if any, on such Note (including in connection with an offer to purchase) or to bring suit for the enforcement of any such payment, on or after the due date expressed in the Notes shall not be impaired or affected without the consent of such Holder. Notwithstanding the foregoing, each Holder of a Note, and each owner of a beneficial interest in a Note, shall be deemed to acknowledge and agree that the release of any Guarantee in accordance with the terms of this Indenture shall not impair the right of such Holder or owner to receive any payment of the principal of or premium, if any, or interest, if any, on such Note, and each such Holder and each such owner, by acquiring any interest in a Note, thereby consents to any such release and waives any and all claims against the Trustee, the Company and any Guarantor in connection with such release.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6.08 Collection Suit by Trustee.</w:t>
      </w:r>
    </w:p>
    <w:p>
      <w:pPr>
        <w:spacing w:after="0" w:line="117"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If an Event of Default in payment of principal, premium or interest specified in Section 6.01(1) or (2) occurs and is continuing, the Trustee may recover judgment in its own name and as trustee of an express trust against the Company (or any other obligor on the Notes) for the whole amount of unpaid principal and accrued interest remaining unpaid.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6.09 Trustee May File Proofs of Claim.</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Company (or any other obligor upon the Notes),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spacing w:after="0" w:line="18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any plan or reorganization, arrangement, adjustment or composition affecting the Notes or the rights of any Holder thereof, or to authorize the Trustee to vote in respect of the claim of any Holder in any such proceedings. All rights of action and claims under this Indenture or the Notes may be prosecuted and enforced by the Trustee without the possession of any of the Notes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6.10 Priorities.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money or property collected by the Trustee pursuant to this Article VI, and any money or other property distributable in respect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obligations under this Indenture after an Event of Default shall be applied in the following order:</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to the Trustee (including any predecessor Trustee) for amounts due under Section 7.06;</w:t>
      </w:r>
    </w:p>
    <w:p>
      <w:pPr>
        <w:spacing w:after="0" w:line="117" w:lineRule="exact"/>
        <w:rPr>
          <w:sz w:val="20"/>
          <w:szCs w:val="20"/>
          <w:color w:val="auto"/>
        </w:rPr>
      </w:pPr>
    </w:p>
    <w:p>
      <w:pPr>
        <w:ind w:left="440" w:firstLine="423"/>
        <w:spacing w:after="0" w:line="342" w:lineRule="auto"/>
        <w:rPr>
          <w:sz w:val="20"/>
          <w:szCs w:val="20"/>
          <w:color w:val="auto"/>
        </w:rPr>
      </w:pPr>
      <w:r>
        <w:rPr>
          <w:rFonts w:ascii="Arial" w:cs="Arial" w:eastAsia="Arial" w:hAnsi="Arial"/>
          <w:sz w:val="16"/>
          <w:szCs w:val="16"/>
          <w:color w:val="auto"/>
        </w:rPr>
        <w:t>SECOND: to Holders for amounts due and unpaid on the affected Notes for principal, premium, if any, and interest (including Additional Interest, if any) as to each, ratably, without preference or priority of any kind, according to the amounts due and payable on the affected Notes; and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6.11 Undertaking for Costs.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Notes of a series then outstanding.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6.12 Delay or Omission Not Waiver.</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 delay or omission of the Trustee or of any Holder of any Notes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7.01 Duties of Trustee.</w:t>
      </w:r>
    </w:p>
    <w:p>
      <w:pPr>
        <w:spacing w:after="0" w:line="117" w:lineRule="exact"/>
        <w:rPr>
          <w:sz w:val="20"/>
          <w:szCs w:val="20"/>
          <w:color w:val="auto"/>
        </w:rPr>
      </w:pPr>
    </w:p>
    <w:p>
      <w:pPr>
        <w:ind w:right="220" w:firstLine="436"/>
        <w:spacing w:after="0" w:line="263"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right="720" w:firstLine="419"/>
        <w:spacing w:after="0" w:line="277" w:lineRule="auto"/>
        <w:tabs>
          <w:tab w:leader="none" w:pos="11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440" w:right="20" w:firstLine="419"/>
        <w:spacing w:after="0" w:line="268" w:lineRule="auto"/>
        <w:tabs>
          <w:tab w:leader="none" w:pos="1118" w:val="left"/>
        </w:tabs>
        <w:numPr>
          <w:ilvl w:val="1"/>
          <w:numId w:val="58"/>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2" w:lineRule="exact"/>
        <w:rPr>
          <w:rFonts w:ascii="Arial" w:cs="Arial" w:eastAsia="Arial" w:hAnsi="Arial"/>
          <w:sz w:val="17"/>
          <w:szCs w:val="17"/>
          <w:color w:val="auto"/>
        </w:rPr>
      </w:pPr>
    </w:p>
    <w:p>
      <w:pPr>
        <w:ind w:right="180" w:firstLine="436"/>
        <w:spacing w:after="0" w:line="260"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77" w:lineRule="exact"/>
        <w:rPr>
          <w:rFonts w:ascii="Arial" w:cs="Arial" w:eastAsia="Arial" w:hAnsi="Arial"/>
          <w:sz w:val="18"/>
          <w:szCs w:val="18"/>
          <w:color w:val="auto"/>
        </w:rPr>
      </w:pPr>
    </w:p>
    <w:p>
      <w:pPr>
        <w:ind w:left="1120" w:hanging="261"/>
        <w:spacing w:after="0"/>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paragraph does not limit the effect of clause (b) or (d) of this Section 7.01;</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is proved that the Trustee was negligent in ascertaining the pertinent facts;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66" w:name="page67"/>
    <w:bookmarkEnd w:id="66"/>
    <w:p>
      <w:pPr>
        <w:ind w:left="400" w:right="260" w:firstLine="419"/>
        <w:spacing w:after="0" w:line="259" w:lineRule="auto"/>
        <w:tabs>
          <w:tab w:leader="none" w:pos="1078"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shall not be liable with respect to any action it takes or omits to take in good faith in accordance with a direction of the Holders of a majority in aggregate principal amount of the outstanding Notes of any series, determined as provided herein, relating to the time, method and place of conducting any proceeding for any remedy available to the Trustee, or exercising any trust or power conferred upon the Trustee, under this Indenture with respect to the Notes of such series.</w:t>
      </w:r>
    </w:p>
    <w:p>
      <w:pPr>
        <w:spacing w:after="0" w:line="78" w:lineRule="exact"/>
        <w:rPr>
          <w:rFonts w:ascii="Arial" w:cs="Arial" w:eastAsia="Arial" w:hAnsi="Arial"/>
          <w:sz w:val="18"/>
          <w:szCs w:val="18"/>
          <w:color w:val="auto"/>
        </w:rPr>
      </w:pPr>
    </w:p>
    <w:p>
      <w:pPr>
        <w:jc w:val="both"/>
        <w:ind w:left="-40" w:right="640" w:firstLine="436"/>
        <w:spacing w:after="0" w:line="286"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spacing w:after="0" w:line="57" w:lineRule="exact"/>
        <w:rPr>
          <w:rFonts w:ascii="Arial" w:cs="Arial" w:eastAsia="Arial" w:hAnsi="Arial"/>
          <w:sz w:val="17"/>
          <w:szCs w:val="17"/>
          <w:color w:val="auto"/>
        </w:rPr>
      </w:pPr>
    </w:p>
    <w:p>
      <w:pPr>
        <w:ind w:left="-40" w:firstLine="436"/>
        <w:spacing w:after="0" w:line="277" w:lineRule="auto"/>
        <w:tabs>
          <w:tab w:leader="none" w:pos="6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62" w:lineRule="exact"/>
        <w:rPr>
          <w:rFonts w:ascii="Arial" w:cs="Arial" w:eastAsia="Arial" w:hAnsi="Arial"/>
          <w:sz w:val="18"/>
          <w:szCs w:val="18"/>
          <w:color w:val="auto"/>
        </w:rPr>
      </w:pPr>
    </w:p>
    <w:p>
      <w:pPr>
        <w:ind w:left="-40" w:right="660" w:firstLine="436"/>
        <w:spacing w:after="0" w:line="308" w:lineRule="auto"/>
        <w:tabs>
          <w:tab w:leader="none" w:pos="62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shall not be liable for interest or earnings on any money received by it except as the Trustee may agree in writing with the Company. Money held in trust by the Trustee need not be segregated from other funds except to the extent required by the law.</w:t>
      </w:r>
    </w:p>
    <w:p>
      <w:pPr>
        <w:spacing w:after="0" w:line="38" w:lineRule="exact"/>
        <w:rPr>
          <w:rFonts w:ascii="Arial" w:cs="Arial" w:eastAsia="Arial" w:hAnsi="Arial"/>
          <w:sz w:val="17"/>
          <w:szCs w:val="17"/>
          <w:color w:val="auto"/>
        </w:rPr>
      </w:pPr>
    </w:p>
    <w:p>
      <w:pPr>
        <w:ind w:left="660" w:hanging="26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responsible for the application of any money by any Paying Agent other than the Trustee.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Section 7.02 Rights of Trustee.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Subject to Section 7.01:</w:t>
      </w:r>
    </w:p>
    <w:p>
      <w:pPr>
        <w:spacing w:after="0" w:line="117" w:lineRule="exact"/>
        <w:rPr>
          <w:sz w:val="20"/>
          <w:szCs w:val="20"/>
          <w:color w:val="auto"/>
        </w:rPr>
      </w:pPr>
    </w:p>
    <w:p>
      <w:pPr>
        <w:ind w:left="-40" w:right="120" w:firstLine="436"/>
        <w:spacing w:after="0" w:line="259"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in good faith by it to be genuine and to have been signed or presented by the proper person. The Trustee need not investigate any fact or matter stated in the document.</w:t>
      </w:r>
    </w:p>
    <w:p>
      <w:pPr>
        <w:spacing w:after="0" w:line="78" w:lineRule="exact"/>
        <w:rPr>
          <w:rFonts w:ascii="Arial" w:cs="Arial" w:eastAsia="Arial" w:hAnsi="Arial"/>
          <w:sz w:val="18"/>
          <w:szCs w:val="18"/>
          <w:color w:val="auto"/>
        </w:rPr>
      </w:pPr>
    </w:p>
    <w:p>
      <w:pPr>
        <w:ind w:left="-40" w:right="400" w:firstLine="436"/>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62" w:lineRule="exact"/>
        <w:rPr>
          <w:rFonts w:ascii="Arial" w:cs="Arial" w:eastAsia="Arial" w:hAnsi="Arial"/>
          <w:sz w:val="18"/>
          <w:szCs w:val="18"/>
          <w:color w:val="auto"/>
        </w:rPr>
      </w:pPr>
    </w:p>
    <w:p>
      <w:pPr>
        <w:ind w:left="-40" w:right="100" w:firstLine="436"/>
        <w:spacing w:after="0" w:line="257"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 Officer’s Certificate or an Opinion of Counsel (or both), which shall comply with the requirements of Section 11.02 and, in the absence of bad faith on its part, may conclusively rely upon such Officer’s Certificate or Opinion of Counsel (or both). The Trustee shall not be liable for any action it takes or omits to take in good faith in reliance on such Officer’s Certificate or Opinion of Counsel.</w:t>
      </w:r>
    </w:p>
    <w:p>
      <w:pPr>
        <w:spacing w:after="0" w:line="79" w:lineRule="exact"/>
        <w:rPr>
          <w:rFonts w:ascii="Arial" w:cs="Arial" w:eastAsia="Arial" w:hAnsi="Arial"/>
          <w:sz w:val="18"/>
          <w:szCs w:val="18"/>
          <w:color w:val="auto"/>
        </w:rPr>
      </w:pPr>
    </w:p>
    <w:p>
      <w:pPr>
        <w:ind w:left="-40" w:right="300" w:firstLine="436"/>
        <w:spacing w:after="0" w:line="342" w:lineRule="auto"/>
        <w:tabs>
          <w:tab w:leader="none" w:pos="6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spacing w:after="0" w:line="15" w:lineRule="exact"/>
        <w:rPr>
          <w:rFonts w:ascii="Arial" w:cs="Arial" w:eastAsia="Arial" w:hAnsi="Arial"/>
          <w:sz w:val="16"/>
          <w:szCs w:val="16"/>
          <w:color w:val="auto"/>
        </w:rPr>
      </w:pPr>
    </w:p>
    <w:p>
      <w:pPr>
        <w:ind w:left="-40" w:right="100" w:firstLine="436"/>
        <w:spacing w:after="0" w:line="277"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in good faith and believed by it to be authorized or within the discretion or rights or powers conferred upon it by this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480" w:top="274" w:right="479" w:bottom="1440" w:gutter="0" w:footer="0" w:header="0"/>
        </w:sectPr>
      </w:pPr>
    </w:p>
    <w:bookmarkStart w:id="67" w:name="page68"/>
    <w:bookmarkEnd w:id="67"/>
    <w:p>
      <w:pPr>
        <w:ind w:right="340" w:firstLine="436"/>
        <w:spacing w:after="0" w:line="342" w:lineRule="auto"/>
        <w:tabs>
          <w:tab w:leader="none" w:pos="665"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15" w:lineRule="exact"/>
        <w:rPr>
          <w:rFonts w:ascii="Arial" w:cs="Arial" w:eastAsia="Arial" w:hAnsi="Arial"/>
          <w:sz w:val="16"/>
          <w:szCs w:val="16"/>
          <w:color w:val="auto"/>
        </w:rPr>
      </w:pPr>
    </w:p>
    <w:p>
      <w:pPr>
        <w:ind w:right="120" w:firstLine="436"/>
        <w:spacing w:after="0" w:line="286" w:lineRule="auto"/>
        <w:tabs>
          <w:tab w:leader="none" w:pos="6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right="180" w:firstLine="436"/>
        <w:spacing w:after="0" w:line="263"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75" w:lineRule="exact"/>
        <w:rPr>
          <w:rFonts w:ascii="Arial" w:cs="Arial" w:eastAsia="Arial" w:hAnsi="Arial"/>
          <w:sz w:val="18"/>
          <w:szCs w:val="18"/>
          <w:color w:val="auto"/>
        </w:rPr>
      </w:pPr>
    </w:p>
    <w:p>
      <w:pPr>
        <w:ind w:right="40" w:firstLine="436"/>
        <w:spacing w:after="0" w:line="296"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53" w:lineRule="exact"/>
        <w:rPr>
          <w:rFonts w:ascii="Arial" w:cs="Arial" w:eastAsia="Arial" w:hAnsi="Arial"/>
          <w:sz w:val="16"/>
          <w:szCs w:val="16"/>
          <w:color w:val="auto"/>
        </w:rPr>
      </w:pPr>
    </w:p>
    <w:p>
      <w:pPr>
        <w:ind w:right="120" w:firstLine="436"/>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deemed to have notice or be charged with knowledge of any Default or Event of Default unless written notice of such Default or Event of Default from the Company or any Holder is received by a Responsible Officer of the Trustee at the Corporate Trust Office of the Trustee, and such notice references the Notes and this Indenture.</w:t>
      </w:r>
    </w:p>
    <w:p>
      <w:pPr>
        <w:spacing w:after="0" w:line="75" w:lineRule="exact"/>
        <w:rPr>
          <w:rFonts w:ascii="Arial" w:cs="Arial" w:eastAsia="Arial" w:hAnsi="Arial"/>
          <w:sz w:val="18"/>
          <w:szCs w:val="18"/>
          <w:color w:val="auto"/>
        </w:rPr>
      </w:pPr>
    </w:p>
    <w:p>
      <w:pPr>
        <w:ind w:right="160" w:firstLine="436"/>
        <w:spacing w:after="0" w:line="286" w:lineRule="auto"/>
        <w:tabs>
          <w:tab w:leader="none" w:pos="6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57" w:lineRule="exact"/>
        <w:rPr>
          <w:rFonts w:ascii="Arial" w:cs="Arial" w:eastAsia="Arial" w:hAnsi="Arial"/>
          <w:sz w:val="17"/>
          <w:szCs w:val="17"/>
          <w:color w:val="auto"/>
        </w:rPr>
      </w:pPr>
    </w:p>
    <w:p>
      <w:pPr>
        <w:jc w:val="both"/>
        <w:ind w:firstLine="436"/>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75" w:lineRule="exact"/>
        <w:rPr>
          <w:rFonts w:ascii="Arial" w:cs="Arial" w:eastAsia="Arial" w:hAnsi="Arial"/>
          <w:sz w:val="18"/>
          <w:szCs w:val="18"/>
          <w:color w:val="auto"/>
        </w:rPr>
      </w:pPr>
    </w:p>
    <w:p>
      <w:pPr>
        <w:ind w:right="140" w:firstLine="436"/>
        <w:spacing w:after="0" w:line="257" w:lineRule="auto"/>
        <w:tabs>
          <w:tab w:leader="none" w:pos="7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permissive right of the Trustee to take or refrain from taking action hereunder shall not be construed as a duty.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7.03 Individual Rights of Trustee.</w:t>
      </w:r>
    </w:p>
    <w:p>
      <w:pPr>
        <w:spacing w:after="0" w:line="11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make loans to, accept deposits from, perform services for or otherwise deal with the Company or any Affiliate thereof with the same rights it would have if it were not Trustee. However, in the event that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8" w:name="page69"/>
    <w:bookmarkEnd w:id="68"/>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Trustee acquires any conflicting interest within the meaning of Section 310(b)(1) of the TIA, it must eliminate such conflict within 90 days or resign;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there shall be excluded from the operation of TIA §310(b)(1) any indenture or indentures under which other securities or</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of interest of participation in other securities of the Company are outstanding if the requirements for such exclusion set forth in TIA §310(b)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 are met, other than the fact that such indentures are not described herein.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Agent may do the same with like rights. The Trustee is also subject to Section 7.09.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7.04 Trustee’s Disclaimer.</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recitals contained herein and in the Notes, except the Trustee’s certificates of authentication, shall be taken as the statements of the Company, and the Trustee assumes no responsibility for their correctness. The Trustee makes no representations as to the validity, sufficiency or adequacy of this Indenture or of the Notes. The Trustee shall not be accountable for the use or application by the Company of the Notes or the proceeds thereof. The Trustee shall not be responsible to make any calculation with respect to any matter under this Indenture. The Trustee represents that it is duly authorized to execute and deliver this Indenture, authenticate the Notes and perform its obligations hereunder. The Trustee shall have no duty to monitor or investigate the Company’s compliance with or the breach of, or cause to be performed or observed, any representation, warranty or covenant made in this Indenture.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7.05 Notice of Defaults.</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Within 90 days after the occurrence thereof, and if known to the Trustee pursuant to Section 7.02(j), the Trustee shall give to the Holders of the Notes of a series notice of each Default or Event of Default with respect to the Notes of such series known to the Trustee pursuant to Section 7.02(j), by transmitting such notice to Holders at their addresses as the same shall then appear on the register of the Notes kept by the Registrar, unless such Default shall have been cured or waived before the giving of such notice. Except in the case of a Default or Event of Default in payment of the principal of, premium, if any, or interest on any of the Notes of a series when and as the same shall become payable, or to make any sinking fund payment as to the Notes of a series (including payments pursuant to a redemption or repurchase of the Notes pursuant to the provisions of this Indenture), the Trustee shall be protected in withholding such notice if and so long as a committee of its Responsible Officers in good faith determines that withholding the notice is in the interests of Holders.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7.06 Compensation and Indemnity.</w:t>
      </w:r>
    </w:p>
    <w:p>
      <w:pPr>
        <w:spacing w:after="0" w:line="117" w:lineRule="exact"/>
        <w:rPr>
          <w:sz w:val="20"/>
          <w:szCs w:val="20"/>
          <w:color w:val="auto"/>
        </w:rPr>
      </w:pPr>
    </w:p>
    <w:p>
      <w:pPr>
        <w:ind w:right="60" w:firstLine="436"/>
        <w:spacing w:after="0" w:line="296" w:lineRule="auto"/>
        <w:tabs>
          <w:tab w:leader="none" w:pos="6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shall pay to the Trustee and Agents from time to time such reasonable compensation for their services hereunder (which compensation shall not be limited by any provision of law in regard to the compensation of a trustee of an express trust) as shall be agreed upon in writing. The Company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spacing w:after="0" w:line="53" w:lineRule="exact"/>
        <w:rPr>
          <w:rFonts w:ascii="Arial" w:cs="Arial" w:eastAsia="Arial" w:hAnsi="Arial"/>
          <w:sz w:val="16"/>
          <w:szCs w:val="16"/>
          <w:color w:val="auto"/>
        </w:rPr>
      </w:pPr>
    </w:p>
    <w:p>
      <w:pPr>
        <w:ind w:firstLine="436"/>
        <w:spacing w:after="0" w:line="272"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Company, or any Holder or any other Person) or liability in connection with the exercise or performance of any of its powers or duties hereunder (including, without limitation, settlement costs). The Trustee or Agent shall notify the Company in writing promptly of any claim of which a Responsible Officer of the Trustee has received written notice at its Corporate Trust Office asserted against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9" w:name="page70"/>
    <w:bookmarkEnd w:id="6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Trustee or Agent for which it may seek indemnity;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by the Trustee or Agent to so notify the Company shall not relieve the Company of its obligations hereunder, except to the extent that the Company has been materially prejudiced thereby. The Company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Company and the Company shall pay the reasonable and documented fees and expenses of such counsel.</w:t>
      </w:r>
    </w:p>
    <w:p>
      <w:pPr>
        <w:spacing w:after="0" w:line="68" w:lineRule="exact"/>
        <w:rPr>
          <w:sz w:val="20"/>
          <w:szCs w:val="20"/>
          <w:color w:val="auto"/>
        </w:rPr>
      </w:pPr>
    </w:p>
    <w:p>
      <w:pPr>
        <w:ind w:right="300" w:firstLine="436"/>
        <w:spacing w:after="0" w:line="277"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foregoing, the Company need not reimburse the Trustee for any expense or indemnify it against any loss or liability to have been incurred by the Trustee through its own willful misconduct or negligence.</w:t>
      </w:r>
    </w:p>
    <w:p>
      <w:pPr>
        <w:spacing w:after="0" w:line="62" w:lineRule="exact"/>
        <w:rPr>
          <w:rFonts w:ascii="Arial" w:cs="Arial" w:eastAsia="Arial" w:hAnsi="Arial"/>
          <w:sz w:val="18"/>
          <w:szCs w:val="18"/>
          <w:color w:val="auto"/>
        </w:rPr>
      </w:pPr>
    </w:p>
    <w:p>
      <w:pPr>
        <w:ind w:right="600" w:firstLine="436"/>
        <w:spacing w:after="0" w:line="342"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secure the payment obligations of the Company in this Section 7.06, the Trustee shall have a lien prior to the Notes on all money or property held or collected by the Trustee and such money or property held in trust to pay principal of and interest on particular Notes.</w:t>
      </w:r>
    </w:p>
    <w:p>
      <w:pPr>
        <w:spacing w:after="0" w:line="15" w:lineRule="exact"/>
        <w:rPr>
          <w:rFonts w:ascii="Arial" w:cs="Arial" w:eastAsia="Arial" w:hAnsi="Arial"/>
          <w:sz w:val="16"/>
          <w:szCs w:val="16"/>
          <w:color w:val="auto"/>
        </w:rPr>
      </w:pPr>
    </w:p>
    <w:p>
      <w:pPr>
        <w:ind w:right="20" w:firstLine="436"/>
        <w:spacing w:after="0" w:line="301" w:lineRule="auto"/>
        <w:tabs>
          <w:tab w:leader="none" w:pos="68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7.06 to compensate and indemnify the Trustee, Agents and each predecessor Trustee and to pay or reimburse the Trustee, Agents and each predecessor Trustee for expenses, disbursements and advances shall be the liability of the Company and the lien provided for under this Section 7.06 and shall survive the resignation or removal of the Trustee and the satisfaction, discharge or other termination of this Indenture for any reason, including any termination or rejection hereof under any Bankruptcy Law.</w:t>
      </w:r>
    </w:p>
    <w:p>
      <w:pPr>
        <w:spacing w:after="0" w:line="49" w:lineRule="exact"/>
        <w:rPr>
          <w:rFonts w:ascii="Arial" w:cs="Arial" w:eastAsia="Arial" w:hAnsi="Arial"/>
          <w:sz w:val="16"/>
          <w:szCs w:val="16"/>
          <w:color w:val="auto"/>
        </w:rPr>
      </w:pPr>
    </w:p>
    <w:p>
      <w:pPr>
        <w:ind w:firstLine="436"/>
        <w:spacing w:after="0" w:line="286" w:lineRule="auto"/>
        <w:tabs>
          <w:tab w:leader="none" w:pos="665"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spacing w:after="0" w:line="57" w:lineRule="exact"/>
        <w:rPr>
          <w:rFonts w:ascii="Arial" w:cs="Arial" w:eastAsia="Arial" w:hAnsi="Arial"/>
          <w:sz w:val="17"/>
          <w:szCs w:val="17"/>
          <w:color w:val="auto"/>
        </w:rPr>
      </w:pPr>
    </w:p>
    <w:p>
      <w:pPr>
        <w:ind w:right="300" w:firstLine="436"/>
        <w:spacing w:after="0" w:line="27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For purposes of this Section 7.06, the term “Trustee” shall include any predecessor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negligence, willful misconduct or bad faith of any Trustee hereunder shall not affect the rights or any other Trustee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7.07 Replacement of Trustee.</w:t>
      </w:r>
    </w:p>
    <w:p>
      <w:pPr>
        <w:spacing w:after="0" w:line="117" w:lineRule="exact"/>
        <w:rPr>
          <w:sz w:val="20"/>
          <w:szCs w:val="20"/>
          <w:color w:val="auto"/>
        </w:rPr>
      </w:pPr>
    </w:p>
    <w:p>
      <w:pPr>
        <w:ind w:right="500" w:firstLine="436"/>
        <w:spacing w:after="0" w:line="277"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7.07.</w:t>
      </w:r>
    </w:p>
    <w:p>
      <w:pPr>
        <w:spacing w:after="0" w:line="62" w:lineRule="exact"/>
        <w:rPr>
          <w:rFonts w:ascii="Arial" w:cs="Arial" w:eastAsia="Arial" w:hAnsi="Arial"/>
          <w:sz w:val="18"/>
          <w:szCs w:val="18"/>
          <w:color w:val="auto"/>
        </w:rPr>
      </w:pPr>
    </w:p>
    <w:p>
      <w:pPr>
        <w:ind w:firstLine="436"/>
        <w:spacing w:after="0" w:line="279"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Trustee may resign at any time by so notifying the Company in writing no later than 30 calendar days prior to the date of the proposed resignation. The Holders of a majority in principal amount of the outstanding Notes may remove the Trustee by notifying the Company and the removed Trustee in writing no later than 30 calendar days prior to the date of the proposed removal and may appoint a successor Trustee with the Company’s written consent, which consent shall not be unreasonably withheld. The Company may remove the Trustee at its election if:</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Trustee fails to comply with Section 7.09;</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Trustee is adjudged bankrupt or insolvent or an order for relief entered with respect to the Trustee under Bankruptcy Law;</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70" w:name="page71"/>
    <w:bookmarkEnd w:id="70"/>
    <w:p>
      <w:pPr>
        <w:ind w:right="620" w:firstLine="436"/>
        <w:spacing w:after="0" w:line="277"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Trustee resigns or is removed or if a vacancy exists in the office of Trustee for any reason, the Company shall promptly appoint a successor Trustee.</w:t>
      </w:r>
    </w:p>
    <w:p>
      <w:pPr>
        <w:spacing w:after="0" w:line="62"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30 days after the retiring Trustee resigns or is removed, the retiring Trustee, the Company or the Holders of at least 10% in principal amount of the outstanding Notes may petition at the expense of the Company any court of competent jurisdiction, in the case of the Trustee, for the appointment of a successor Trustee.</w:t>
      </w:r>
    </w:p>
    <w:p>
      <w:pPr>
        <w:spacing w:after="0" w:line="75" w:lineRule="exact"/>
        <w:rPr>
          <w:rFonts w:ascii="Arial" w:cs="Arial" w:eastAsia="Arial" w:hAnsi="Arial"/>
          <w:sz w:val="18"/>
          <w:szCs w:val="18"/>
          <w:color w:val="auto"/>
        </w:rPr>
      </w:pPr>
    </w:p>
    <w:p>
      <w:pPr>
        <w:ind w:right="20" w:firstLine="436"/>
        <w:spacing w:after="0" w:line="277"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Trustee fails to comply with Section 7.09, any Holder may petition any court of competent jurisdiction for the removal of the Trustee and the appointment of a successor Trustee.</w:t>
      </w:r>
    </w:p>
    <w:p>
      <w:pPr>
        <w:spacing w:after="0" w:line="62" w:lineRule="exact"/>
        <w:rPr>
          <w:rFonts w:ascii="Arial" w:cs="Arial" w:eastAsia="Arial" w:hAnsi="Arial"/>
          <w:sz w:val="18"/>
          <w:szCs w:val="18"/>
          <w:color w:val="auto"/>
        </w:rPr>
      </w:pPr>
    </w:p>
    <w:p>
      <w:pPr>
        <w:ind w:firstLine="436"/>
        <w:spacing w:after="0" w:line="296" w:lineRule="auto"/>
        <w:tabs>
          <w:tab w:leader="none" w:pos="6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successor Trustee shall deliver a written acceptance of its appointment to the retiring Trustee and to the Company.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Company’s obligations under Section 7.06 shall continue for the benefit of the retiring Trustee.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7.08 Successor Trustee by Consolidation, Merger, etc.</w:t>
      </w:r>
    </w:p>
    <w:p>
      <w:pPr>
        <w:spacing w:after="0" w:line="11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shall be otherwise qualified and eligible under this Article VII. In case at the time such successor to the Trustee shall succeed to the trusts created by this Indenture with respect to one or more series of Notes, any of such Notes shall have been authenticated but not delivered by the Trustee then in office, any successor to such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to adopt the certificate of authentication of any predecessor Trustee or authenticate Notes in the name of any predecessor Trustee shall apply only to its successor or successors by merger, conversion or consolidation.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7.09 Eligibility; Disqualification.</w:t>
      </w:r>
    </w:p>
    <w:p>
      <w:pPr>
        <w:spacing w:after="0" w:line="117" w:lineRule="exact"/>
        <w:rPr>
          <w:sz w:val="20"/>
          <w:szCs w:val="20"/>
          <w:color w:val="auto"/>
        </w:rPr>
      </w:pPr>
    </w:p>
    <w:p>
      <w:pPr>
        <w:jc w:val="both"/>
        <w:ind w:right="200" w:firstLine="440"/>
        <w:spacing w:after="0" w:line="259" w:lineRule="auto"/>
        <w:rPr>
          <w:sz w:val="20"/>
          <w:szCs w:val="20"/>
          <w:color w:val="auto"/>
        </w:rPr>
      </w:pPr>
      <w:r>
        <w:rPr>
          <w:rFonts w:ascii="Arial" w:cs="Arial" w:eastAsia="Arial" w:hAnsi="Arial"/>
          <w:sz w:val="18"/>
          <w:szCs w:val="18"/>
          <w:color w:val="auto"/>
        </w:rPr>
        <w:t>There will at all times be a Trustee hereunder that is a Person organized and doing business under the laws of the United States of America or of any state thereof that is authorized under such laws to exercise corporate trustee power and that is subject to supervision or examination by federal or state authorities. The Trustee (together with its corporate parent) shall have a combined capital and surplus of at least $100.0 million as set forth in the most recent applicable published annual report of condition.</w:t>
      </w:r>
    </w:p>
    <w:p>
      <w:pPr>
        <w:spacing w:after="0" w:line="18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The Trustee shall not be deemed to have a conflict of interest under or in respect of its duties under this Indenture except and to the extent provided for in Section 310(b)(1) of the TIA, applied as if this Indenture were qualified under such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there shall be excluded from the operation of TIA §310(b)(1) any indenture or indentures under which other securities or certificates of interest or participation in other securities of the Company are outstanding if the requirements for such exclusion set forth in TIA §310(b)(1) are met, other than the fact that such indentures are not described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7.10 Reports by Trustee to Holders.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required by TIA § 313(a), within 60 days after June 15 of any year, commencing 2020, the Trustee shall transmit to each Holder a brief report dated as of such date that complies with TIA § 313(a) (but if no event described in TIA § 313(a) has occurred within the twelve months preceding the reporting date, no report need be transmitted). The Trustee also shall comply with TIA § 313(b)(2). The Trustee shall also transmit all reports as required by TIA § 313(c) and comply with TIA § 313(d).</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7.11 Preferential Collection of Claims Against Company.</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Trustee shall comply with TIA § 311(a), excluding any creditor relationship listed in TIA § 311(b). A Trustee who has resigned or been removed shall be subject to TIA § 311(a) to the extent indicated therein.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8.01 Without Consent of Holders.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the Guarantors and the Trustee may modify or amend this Indenture without the consent of any Holder of a Note of any series to:</w:t>
      </w:r>
    </w:p>
    <w:p>
      <w:pPr>
        <w:spacing w:after="0" w:line="140" w:lineRule="exact"/>
        <w:rPr>
          <w:sz w:val="20"/>
          <w:szCs w:val="20"/>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cure any ambiguity, defect, mistake or inconsistency in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comply with the provisions of Section 4.10, 4.11 or 5.01, including to provide for or evidence the release of any Guarantor in accordance with Section 10.07;</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17" w:lineRule="exact"/>
        <w:rPr>
          <w:rFonts w:ascii="Arial" w:cs="Arial" w:eastAsia="Arial" w:hAnsi="Arial"/>
          <w:sz w:val="18"/>
          <w:szCs w:val="18"/>
          <w:color w:val="auto"/>
        </w:rPr>
      </w:pPr>
    </w:p>
    <w:p>
      <w:pPr>
        <w:ind w:left="440" w:right="900" w:firstLine="419"/>
        <w:spacing w:after="0" w:line="277"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required by the requirements of the Commission, comply with any requirements of the Commission in connection with the qualification of this Indenture under the TIA;</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Notes of such series or that does not adversely affect in any material respect the legal rights under this Indenture of any such Holder;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secure any series of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for the issuance of Additional Notes in accordance with the limitations set forth in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add covenants for the benefit of the Holders or to surrender any right or power conferred upon the Company or any Guarantor;</w:t>
      </w:r>
    </w:p>
    <w:p>
      <w:pPr>
        <w:spacing w:after="0" w:line="128" w:lineRule="exact"/>
        <w:rPr>
          <w:rFonts w:ascii="Arial" w:cs="Arial" w:eastAsia="Arial" w:hAnsi="Arial"/>
          <w:sz w:val="17"/>
          <w:szCs w:val="17"/>
          <w:color w:val="auto"/>
        </w:rPr>
      </w:pPr>
    </w:p>
    <w:p>
      <w:pPr>
        <w:ind w:left="440" w:right="60" w:firstLine="419"/>
        <w:spacing w:after="0" w:line="277" w:lineRule="auto"/>
        <w:tabs>
          <w:tab w:leader="none" w:pos="12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conform the text of this Indenture, the Notes or the Guarantees to any provision of the “Description of Notes” contained in the Offering Memorandum; and</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2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allow any Guarantor (including the Mylan Guarantors) to execute a supplemental indenture and/or Guarantee with respect to the Notes of any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72" w:name="page73"/>
    <w:bookmarkEnd w:id="7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the written request of the Company accompanied by a board resolution of the Board of Directors authorizing the execution of any such supplemental indenture and upon receipt by the Trustee of the documents described in Section 8.05, the Trustee shall join with the Company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8.02 With Consent of Holders.</w:t>
      </w:r>
    </w:p>
    <w:p>
      <w:pPr>
        <w:spacing w:after="0" w:line="117" w:lineRule="exact"/>
        <w:rPr>
          <w:sz w:val="20"/>
          <w:szCs w:val="20"/>
          <w:color w:val="auto"/>
        </w:rPr>
      </w:pPr>
    </w:p>
    <w:p>
      <w:pPr>
        <w:ind w:right="100" w:firstLine="436"/>
        <w:spacing w:after="0" w:line="296" w:lineRule="auto"/>
        <w:tabs>
          <w:tab w:leader="none" w:pos="6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the Guarantors and the Trustee may modify or amend this Indenture as it applies to a series of Notes with the consent of the Holders of a majority in aggregate principal amount of the outstanding Notes of such series affected by the modification or amendment (including consents obtained in connection with a tender offer or exchange offer for Notes of such series), and any past default or compliance with any provisions of this Indenture relating to a series of Notes may also be waived (except a default in the payment of principal, premium or interest and a default under clause (b) of this Section 8.02) with the consent of the Holders of a majority in aggregate principal amount of the then outstanding Notes of such series.</w:t>
      </w:r>
    </w:p>
    <w:p>
      <w:pPr>
        <w:spacing w:after="0" w:line="53" w:lineRule="exact"/>
        <w:rPr>
          <w:rFonts w:ascii="Arial" w:cs="Arial" w:eastAsia="Arial" w:hAnsi="Arial"/>
          <w:sz w:val="16"/>
          <w:szCs w:val="16"/>
          <w:color w:val="auto"/>
        </w:rPr>
      </w:pPr>
    </w:p>
    <w:p>
      <w:pPr>
        <w:ind w:left="700" w:hanging="264"/>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However, no such modification or amendment may, without the consent of each Holder of Notes of a series affected thereby: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extend the due date of the principal of, or any installment of principal of or interest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rate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reduce the amount payable upon the redemption of any Note of such series;</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1"/>
          <w:numId w:val="6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the Notes of such series after the due date thereof; or</w:t>
      </w:r>
    </w:p>
    <w:p>
      <w:pPr>
        <w:spacing w:after="0" w:line="62" w:lineRule="exact"/>
        <w:rPr>
          <w:rFonts w:ascii="Arial" w:cs="Arial" w:eastAsia="Arial" w:hAnsi="Arial"/>
          <w:sz w:val="18"/>
          <w:szCs w:val="18"/>
          <w:color w:val="auto"/>
        </w:rPr>
      </w:pPr>
    </w:p>
    <w:p>
      <w:pPr>
        <w:ind w:left="440" w:right="120" w:firstLine="419"/>
        <w:spacing w:after="0" w:line="342" w:lineRule="auto"/>
        <w:tabs>
          <w:tab w:leader="none" w:pos="1118" w:val="left"/>
        </w:tabs>
        <w:numPr>
          <w:ilvl w:val="1"/>
          <w:numId w:val="68"/>
        </w:numPr>
        <w:rPr>
          <w:rFonts w:ascii="Arial" w:cs="Arial" w:eastAsia="Arial" w:hAnsi="Arial"/>
          <w:sz w:val="16"/>
          <w:szCs w:val="16"/>
          <w:color w:val="auto"/>
        </w:rPr>
      </w:pPr>
      <w:r>
        <w:rPr>
          <w:rFonts w:ascii="Arial" w:cs="Arial" w:eastAsia="Arial" w:hAnsi="Arial"/>
          <w:sz w:val="16"/>
          <w:szCs w:val="16"/>
          <w:color w:val="auto"/>
        </w:rPr>
        <w:t>reduce the percentage in principal amount of the then outstanding Notes of such series, the consent of whose Holders is required for modification or amendment of this Indenture, for waiver of compliance with certain provisions of this Indenture or for waiver of certain defaults.</w:t>
      </w:r>
    </w:p>
    <w:p>
      <w:pPr>
        <w:spacing w:after="0" w:line="15" w:lineRule="exact"/>
        <w:rPr>
          <w:rFonts w:ascii="Arial" w:cs="Arial" w:eastAsia="Arial" w:hAnsi="Arial"/>
          <w:sz w:val="16"/>
          <w:szCs w:val="16"/>
          <w:color w:val="auto"/>
        </w:rPr>
      </w:pPr>
    </w:p>
    <w:p>
      <w:pPr>
        <w:ind w:firstLine="436"/>
        <w:spacing w:after="0" w:line="257"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a majority of the principal amount of then outstanding Notes of any series may waive future compliance with certain restrictive covenants of this Indenture applicable to such series of Notes. The Holders of at least a majority in principal amount of then outstanding Notes of a series may waive any past default under this Indenture with respect to such series, except a failure by the Company to pay the principal of, or any premium or interest on, any Notes of such series or a provision that cannot be modified or amended without the consent of the Holders of all outstanding Notes of such series.</w:t>
      </w:r>
    </w:p>
    <w:p>
      <w:pPr>
        <w:spacing w:after="0" w:line="79" w:lineRule="exact"/>
        <w:rPr>
          <w:rFonts w:ascii="Arial" w:cs="Arial" w:eastAsia="Arial" w:hAnsi="Arial"/>
          <w:sz w:val="18"/>
          <w:szCs w:val="18"/>
          <w:color w:val="auto"/>
        </w:rPr>
      </w:pPr>
    </w:p>
    <w:p>
      <w:pPr>
        <w:jc w:val="both"/>
        <w:ind w:right="20" w:firstLine="436"/>
        <w:spacing w:after="0" w:line="259"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any waiver or modification in accordance with Section 3.08(d), with the exception of the Special Mandatory Redemption Price, shall require the written consent of Holders of at least 66 2/3% in principal amount of that series of Notes outstanding. The Special Mandatory Redemption Price may not be waived or modified for any series of Notes without the written consent of each Holder of Notes of a series affected thereby.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73" w:name="page74"/>
    <w:bookmarkEnd w:id="73"/>
    <w:p>
      <w:pPr>
        <w:ind w:right="320" w:firstLine="436"/>
        <w:spacing w:after="0" w:line="279" w:lineRule="auto"/>
        <w:tabs>
          <w:tab w:leader="none" w:pos="685"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determining whether the Holders of the required principal amount of a series of Notes have concurred in any direction, notice, waiver or consent, Notes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Notes that a Responsible Officer of the Trustee actually knows are so owned will be so disregarded.</w:t>
      </w:r>
    </w:p>
    <w:p>
      <w:pPr>
        <w:spacing w:after="0" w:line="63" w:lineRule="exact"/>
        <w:rPr>
          <w:rFonts w:ascii="Arial" w:cs="Arial" w:eastAsia="Arial" w:hAnsi="Arial"/>
          <w:sz w:val="17"/>
          <w:szCs w:val="17"/>
          <w:color w:val="auto"/>
        </w:rPr>
      </w:pPr>
    </w:p>
    <w:p>
      <w:pPr>
        <w:ind w:right="820" w:firstLine="436"/>
        <w:spacing w:after="0" w:line="277"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After an amendment that requires the consent of the Holders of the affected Notes becomes effective, the Company shall transmit to each registered Holder of the affected Notes at such Holder’s address appearing in the security register a notice briefly describing such amendment. However, the failure to give such notice to all Holders of such Notes, or any defect therein, shall not impair or affect the validity of the amendment.</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Upon the written request of the Company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Company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8.03 Revocation and Effect of Consents.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9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8.04 Notation on or Exchange of Notes.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If an amendment, supplement, or waiver changes the terms of a Note, the Trustee (in accordance with the specific written direction of the Company) shall request the Holder of the Note (in accordance with the specific written direction of the Company) to deliver it to the Trustee. In such case, the Trustee shall place an appropriate notation on the Note about the changed terms and return it to the Holder. Alternatively, if the Company or the Trustee so determines, the Company in exchange for the Note shall issue and the Trustee shall authenticate a new Note that reflects the changed terms. Failure to make the appropriate notation or issue a new Note shall not affect the validity and effect of such amendment, supplement or waiver.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8.05 Trustee To Sign Amendments, etc.</w:t>
      </w:r>
    </w:p>
    <w:p>
      <w:pPr>
        <w:spacing w:after="0" w:line="225"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shall be fully protected in relying upon an Officer’s Certificate and an Opinion of Counsel stating, in addition to the matters required by Section 11.02, that such amendment, supplement or waiver is authorized or permitted by this Indenture.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IX</w:t>
      </w:r>
    </w:p>
    <w:p>
      <w:pPr>
        <w:spacing w:after="0" w:line="2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SATISFACTION AND DISCHARGE OF INDENTURE; DEFEASANCE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9.01 Satisfaction and Discharge of Liability on Notes; Defeasance.</w:t>
      </w:r>
    </w:p>
    <w:p>
      <w:pPr>
        <w:spacing w:after="0" w:line="117" w:lineRule="exact"/>
        <w:rPr>
          <w:sz w:val="20"/>
          <w:szCs w:val="20"/>
          <w:color w:val="auto"/>
        </w:rPr>
      </w:pPr>
    </w:p>
    <w:p>
      <w:pPr>
        <w:ind w:right="60" w:firstLine="436"/>
        <w:spacing w:after="0" w:line="263" w:lineRule="auto"/>
        <w:tabs>
          <w:tab w:leader="none" w:pos="6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Indenture will be discharged and will cease to be of further effect with respect to any series of Notes (except as to rights of registration of transfer or exchange of Notes and rights to receive principal of and premium, if any, and interest on such Notes) as to all outstanding Notes of such series issued hereunder when:</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200" w:firstLine="408"/>
        <w:spacing w:after="0" w:line="311" w:lineRule="auto"/>
        <w:tabs>
          <w:tab w:leader="none" w:pos="1676" w:val="left"/>
        </w:tabs>
        <w:numPr>
          <w:ilvl w:val="2"/>
          <w:numId w:val="70"/>
        </w:numPr>
        <w:rPr>
          <w:rFonts w:ascii="Arial" w:cs="Arial" w:eastAsia="Arial" w:hAnsi="Arial"/>
          <w:sz w:val="16"/>
          <w:szCs w:val="16"/>
          <w:color w:val="auto"/>
        </w:rPr>
      </w:pPr>
      <w:r>
        <w:rPr>
          <w:rFonts w:ascii="Arial" w:cs="Arial" w:eastAsia="Arial" w:hAnsi="Arial"/>
          <w:sz w:val="16"/>
          <w:szCs w:val="16"/>
          <w:color w:val="auto"/>
        </w:rPr>
        <w:t>all the Notes of such series that have been authenticated and delivered (except lost, stolen or destroyed Notes which have been replaced or paid and Notes for whose payment money has been deposited in trust or segregated and held in trust by the Company and thereafter repaid to the Company or discharged from this trust) have been delivered to the Trustee for cancellation, or</w:t>
      </w:r>
    </w:p>
    <w:p>
      <w:pPr>
        <w:spacing w:after="0" w:line="40" w:lineRule="exact"/>
        <w:rPr>
          <w:rFonts w:ascii="Arial" w:cs="Arial" w:eastAsia="Arial" w:hAnsi="Arial"/>
          <w:sz w:val="16"/>
          <w:szCs w:val="16"/>
          <w:color w:val="auto"/>
        </w:rPr>
      </w:pPr>
    </w:p>
    <w:p>
      <w:pPr>
        <w:ind w:left="980" w:right="60" w:firstLine="408"/>
        <w:spacing w:after="0" w:line="293" w:lineRule="auto"/>
        <w:tabs>
          <w:tab w:leader="none" w:pos="1666" w:val="left"/>
        </w:tabs>
        <w:numPr>
          <w:ilvl w:val="2"/>
          <w:numId w:val="70"/>
        </w:numPr>
        <w:rPr>
          <w:rFonts w:ascii="Arial" w:cs="Arial" w:eastAsia="Arial" w:hAnsi="Arial"/>
          <w:sz w:val="16"/>
          <w:szCs w:val="16"/>
          <w:color w:val="auto"/>
        </w:rPr>
      </w:pPr>
      <w:r>
        <w:rPr>
          <w:rFonts w:ascii="Arial" w:cs="Arial" w:eastAsia="Arial" w:hAnsi="Arial"/>
          <w:sz w:val="16"/>
          <w:szCs w:val="16"/>
          <w:color w:val="auto"/>
        </w:rPr>
        <w:t>all Notes of such series not delivered to the Trustee for cancellation otherwise (i) have become due and payable, (ii) will become due and payable, or are to be called for redemption, within one year or (iii) have been called for redemption pursuant to the terms of this Indenture and, in any case, the Company or any Guarantor has deposited or caused to be deposited with the Trustee as trust funds, in trust solely for the benefit of the Holders of such Notes, U.S. legal tender, U.S. Government Obligations or a combination thereof, in such amounts as will be sufficient (without consideration of any reinvestment of interest) to pay and discharge the entire Indebtedness (including all principal and accrued interest) on the Notes of such series not theretofore delivered to the Trustee for cancellation,</w:t>
      </w:r>
    </w:p>
    <w:p>
      <w:pPr>
        <w:spacing w:after="0" w:line="56" w:lineRule="exact"/>
        <w:rPr>
          <w:rFonts w:ascii="Arial" w:cs="Arial" w:eastAsia="Arial" w:hAnsi="Arial"/>
          <w:sz w:val="16"/>
          <w:szCs w:val="16"/>
          <w:color w:val="auto"/>
        </w:rPr>
      </w:pPr>
    </w:p>
    <w:p>
      <w:pPr>
        <w:ind w:left="1120" w:hanging="261"/>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or any Guarantor has paid all sums payable by it under this Indenture, and</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to apply the deposited money toward the payment of the Notes of such series at maturity or on the Redemption Date, as the case may be.</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In addition, the Company must deliver to the Trustee an Officer’s Certificate and an Opinion of Counsel stating that all conditions precedent to satisfaction and discharge have been complied with.</w:t>
      </w:r>
    </w:p>
    <w:p>
      <w:pPr>
        <w:spacing w:after="0" w:line="62" w:lineRule="exact"/>
        <w:rPr>
          <w:sz w:val="20"/>
          <w:szCs w:val="20"/>
          <w:color w:val="auto"/>
        </w:rPr>
      </w:pPr>
    </w:p>
    <w:p>
      <w:pPr>
        <w:ind w:right="20" w:firstLine="436"/>
        <w:spacing w:after="0" w:line="257"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clause (c) of this Section 9.01 and Section 9.02, the Company may, at its option and at any time, elect to have its obligations and the obligations of the Guarantors discharged with respect to the outstanding Notes of a series (“</w:t>
      </w:r>
      <w:r>
        <w:rPr>
          <w:rFonts w:ascii="Arial" w:cs="Arial" w:eastAsia="Arial" w:hAnsi="Arial"/>
          <w:sz w:val="18"/>
          <w:szCs w:val="18"/>
          <w:i w:val="1"/>
          <w:iCs w:val="1"/>
          <w:color w:val="auto"/>
        </w:rPr>
        <w:t>Legal Defeasance</w:t>
      </w:r>
      <w:r>
        <w:rPr>
          <w:rFonts w:ascii="Arial" w:cs="Arial" w:eastAsia="Arial" w:hAnsi="Arial"/>
          <w:sz w:val="18"/>
          <w:szCs w:val="18"/>
          <w:color w:val="auto"/>
        </w:rPr>
        <w:t>”). Legal Defeasance means that the Company and the Guarantors shall be deemed to have paid and discharged the entire indebtedness represented by the Notes of such series and the related Guarantees, and this Indenture shall cease to be of further effect as to all outstanding Notes of such series and the related Guarantees, except as to:</w:t>
      </w:r>
    </w:p>
    <w:p>
      <w:pPr>
        <w:spacing w:after="0" w:line="79" w:lineRule="exact"/>
        <w:rPr>
          <w:rFonts w:ascii="Arial" w:cs="Arial" w:eastAsia="Arial" w:hAnsi="Arial"/>
          <w:sz w:val="18"/>
          <w:szCs w:val="18"/>
          <w:color w:val="auto"/>
        </w:rPr>
      </w:pPr>
    </w:p>
    <w:p>
      <w:pPr>
        <w:ind w:left="440" w:right="200" w:firstLine="419"/>
        <w:spacing w:after="0" w:line="308" w:lineRule="auto"/>
        <w:tabs>
          <w:tab w:leader="none" w:pos="1118"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rights of Holders of such series of Notes issued under this Indenture to receive payments in respect of the principal of, premium, if any, and interest on such Notes when such payments are due solely out of the trust created pursuant to this Indenture;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75" w:name="page76"/>
    <w:bookmarkEnd w:id="75"/>
    <w:p>
      <w:pPr>
        <w:jc w:val="both"/>
        <w:ind w:left="440" w:right="180" w:firstLine="419"/>
        <w:spacing w:after="0" w:line="263"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Company’s obligations with respect to such series of Notes concerning issuing temporary Notes under Section 2.11, registration of Notes under Section 2.04, mutilated, destroyed, lost or stolen Notes under Section 2.08, and the maintenance of an office or agency for payment under Section 2.04 and money for security payments held in trust under Section 2.05;</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the Company’s obligation in connection therewith;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applicable provisions of this Article IX.</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In addition, the Company may, at its option and at any time, elect to have its obligations and the obligations of the Guarantors released with respect to (A) their respective obligations under Sections 4.03 and 4.07 through 4.12 with respect to the outstanding Notes of a series and (B) the operation of Sections 6.01(5), (6), (7) or (8) (only as such clauses (7) or (8) apply to Significant Subsidiaries) (“</w:t>
      </w:r>
      <w:r>
        <w:rPr>
          <w:rFonts w:ascii="Arial" w:cs="Arial" w:eastAsia="Arial" w:hAnsi="Arial"/>
          <w:sz w:val="18"/>
          <w:szCs w:val="18"/>
          <w:i w:val="1"/>
          <w:iCs w:val="1"/>
          <w:color w:val="auto"/>
        </w:rPr>
        <w:t>Covenant Defeasance</w:t>
      </w:r>
      <w:r>
        <w:rPr>
          <w:rFonts w:ascii="Arial" w:cs="Arial" w:eastAsia="Arial" w:hAnsi="Arial"/>
          <w:sz w:val="18"/>
          <w:szCs w:val="18"/>
          <w:color w:val="auto"/>
        </w:rPr>
        <w:t>”) on and after the conditions in Section 9.02 with respect to Covenant Defeasance are satisfied, and thereafter any omission to comply with such obligations shall not constitute a Default or Event of Default with respect to such Notes. The Company may exercise its Legal Defeasance option regardless of whether it previously exercised Covenant Defeasance.</w:t>
      </w:r>
    </w:p>
    <w:p>
      <w:pPr>
        <w:spacing w:after="0" w:line="84" w:lineRule="exact"/>
        <w:rPr>
          <w:sz w:val="20"/>
          <w:szCs w:val="20"/>
          <w:color w:val="auto"/>
        </w:rPr>
      </w:pPr>
    </w:p>
    <w:p>
      <w:pPr>
        <w:ind w:right="380" w:firstLine="436"/>
        <w:spacing w:after="0" w:line="277"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Company exercises its Legal Defeasance option, payment of the Notes of such series may not be accelerated because of an Event of Default with respect thereto.</w:t>
      </w:r>
    </w:p>
    <w:p>
      <w:pPr>
        <w:spacing w:after="0" w:line="62"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satisfaction of the conditions set forth herein and upon request of the Company, the Trustee shall acknowledge in writing the discharge of those obligations that the Company terminates.</w:t>
      </w:r>
    </w:p>
    <w:p>
      <w:pPr>
        <w:spacing w:after="0" w:line="62" w:lineRule="exact"/>
        <w:rPr>
          <w:rFonts w:ascii="Arial" w:cs="Arial" w:eastAsia="Arial" w:hAnsi="Arial"/>
          <w:sz w:val="18"/>
          <w:szCs w:val="18"/>
          <w:color w:val="auto"/>
        </w:rPr>
      </w:pPr>
    </w:p>
    <w:p>
      <w:pPr>
        <w:ind w:firstLine="436"/>
        <w:spacing w:after="0" w:line="263"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clauses (a) and (b) of this Section 9.01, the Company’s obligations in Sections 2.04, 2.06, 2.07, 2.08, 7.06, 9.05 and 9.06 shall survive with respect to such series of Notes until such time as the Notes of such series have been paid in full. Thereafter, the Company’s obligations in Sections 7.06, 9.05 and 9.06 shall survive.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9.02 Conditions to Defeasance.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with respect to the Notes of any series:</w:t>
      </w:r>
    </w:p>
    <w:p>
      <w:pPr>
        <w:spacing w:after="0" w:line="117" w:lineRule="exact"/>
        <w:rPr>
          <w:sz w:val="20"/>
          <w:szCs w:val="20"/>
          <w:color w:val="auto"/>
        </w:rPr>
      </w:pPr>
    </w:p>
    <w:p>
      <w:pPr>
        <w:jc w:val="both"/>
        <w:ind w:right="80" w:firstLine="436"/>
        <w:spacing w:after="0" w:line="275" w:lineRule="auto"/>
        <w:tabs>
          <w:tab w:leader="none" w:pos="6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or other agent, as trust funds, in trust solely for the benefit of the Holders of the Notes of such series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of, premium, if any, and interest on the Notes of such series on the stated date for payment or on the Redemption Date of the principal or installment of principal of, premium, if any, or interest on such series of Notes;</w:t>
      </w:r>
    </w:p>
    <w:p>
      <w:pPr>
        <w:spacing w:after="0" w:line="68" w:lineRule="exact"/>
        <w:rPr>
          <w:rFonts w:ascii="Arial" w:cs="Arial" w:eastAsia="Arial" w:hAnsi="Arial"/>
          <w:sz w:val="17"/>
          <w:szCs w:val="17"/>
          <w:color w:val="auto"/>
        </w:rPr>
      </w:pPr>
    </w:p>
    <w:p>
      <w:pPr>
        <w:ind w:right="220" w:firstLine="436"/>
        <w:spacing w:after="0" w:line="263"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Legal Defeasance, the Company shall have delivered to the Trustee an Opinion of Counsel to the effect that the beneficial owners of Notes of such series will not recognize income, gain or loss for U.S. federal income tax purposes solely as a result of the Legal Defeasance and will be subject to 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76" w:name="page77"/>
    <w:bookmarkEnd w:id="76"/>
    <w:p>
      <w:pPr>
        <w:ind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federal income tax on the same amounts, in the same manner and at the same times as would have been the case if such Legal Defeasance had not occurred, which opinion must be based either on a change in the applicable U.S. federal income tax laws or regulations occurring after the date of the Offering Memorandum, or the Company having received a ruling from, or published by, the Internal Revenue Service to that effect;</w:t>
      </w:r>
    </w:p>
    <w:p>
      <w:pPr>
        <w:spacing w:after="0" w:line="41" w:lineRule="exact"/>
        <w:rPr>
          <w:sz w:val="20"/>
          <w:szCs w:val="20"/>
          <w:color w:val="auto"/>
        </w:rPr>
      </w:pPr>
    </w:p>
    <w:p>
      <w:pPr>
        <w:ind w:right="120" w:firstLine="436"/>
        <w:spacing w:after="0" w:line="259" w:lineRule="auto"/>
        <w:tabs>
          <w:tab w:leader="none" w:pos="6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to the effect that the beneficial owners of Notes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78"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w:t>
      </w:r>
    </w:p>
    <w:p>
      <w:pPr>
        <w:spacing w:after="0" w:line="75" w:lineRule="exact"/>
        <w:rPr>
          <w:rFonts w:ascii="Arial" w:cs="Arial" w:eastAsia="Arial" w:hAnsi="Arial"/>
          <w:sz w:val="18"/>
          <w:szCs w:val="18"/>
          <w:color w:val="auto"/>
        </w:rPr>
      </w:pPr>
    </w:p>
    <w:p>
      <w:pPr>
        <w:ind w:right="180" w:firstLine="436"/>
        <w:spacing w:after="0" w:line="308" w:lineRule="auto"/>
        <w:tabs>
          <w:tab w:leader="none" w:pos="6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4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Notwithstanding the foregoing provisions of this Section 9.02, the conditions set forth in the foregoing subsections (b), (c), (d) and (e) need not be satisfied so long as, at the time the Company makes the deposit described in subsection (a), (i) no Default under clauses (1), (2), (8) and (9) under Section 6.01 has occurred and is continuing on the date of such deposit and after giving effect thereto, and (ii) either (x) a notice of redemption has been transmitted providing for redemption of all the Notes of such series not more than 60 days after such transmission and the requirements for such redemption shall have been complied with or (y) the Stated Maturity of the Notes of such series will occur within 60 days. If the conditions in the preceding sentence are satisfied, the Company shall be deemed to have exercised its Covenant Defeasance option.</w:t>
      </w:r>
    </w:p>
    <w:p>
      <w:pPr>
        <w:spacing w:after="0" w:line="178"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If the funds deposited with the Trustee or other agent to effect Covenant Defeasance are insufficient to pay the principal of and interest on the Notes of the applicable series when due, then the Company’s obligations and the obligations of Guarantors under this Indenture will be revived with respect to such series and no such defeasance will be deemed to have occurred.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9.03 Deposited Money and U.S. Government Obligations To Be Held in Trust; Other Miscellaneous Provisions.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money and U.S. Government Obligations (including the proceeds thereof) deposited with the Trustee or other agent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9.02(a) in respect of the outstanding Notes of a series shall be held in trust and applied by the Trustee or other agent,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such Notes and this Indenture, to the payment, either directly or through any Paying Agent, to the Holders of such Notes, of all sums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become due thereon in respect of principal, premium, if any, and accrued interest, but such money need not be segregated from other funds except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extent required by law.</w:t>
      </w:r>
    </w:p>
    <w:p>
      <w:pPr>
        <w:spacing w:after="0" w:line="21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Company shall pay and indemnify the Trustee or other agent against any tax, fee or other charge imposed on or assessed against the U.S. Government Obligations deposited pursuant to Section 9.02(a) or the principal, premium, if any,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Anything in this Article IX to the contrary notwithstanding, the Trustee or other agent shall deliver or pay to the Company from time to time upon a request of the Company any money or U.S. Government Obligations held by it as provided in Section 9.02(a)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9.04 Reinstatement.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If the Trustee or Paying Agent is unable to apply any money or U.S. Government Obligations in accordance with Section 9.01 by reason of any legal proceeding or by reason of any order or judgment of any court or U.S. Governmental Authority enjoining, restraining or otherwise prohibiting such application, the Company’s obligations under this Indenture and the applicable Notes shall be revived and reinstated as though no deposit had occurred pursuant to this Article IX until such time as the Trustee or Paying Agent is permitted to apply all such money or U.S. Government Obligations in accordance with Section 9.01;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accrued interest on any Notes because of the reinstatement of its obligations, the Company shall be subrogated to the rights of the Holders of such Notes to receive such payment from the money or U.S. Government Obligations held by the Trustee or Paying Agent.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9.05 Moneys Held by Paying Agent.</w:t>
      </w:r>
    </w:p>
    <w:p>
      <w:pPr>
        <w:spacing w:after="0" w:line="11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connection with the satisfaction and discharge of this Indenture, all moneys then held by any Paying Agent under the provisions of this Indenture shall, upon written demand of the Company, be paid to the Trustee, or if sufficient moneys have been deposited pursuant to Section 9.02(a), to the Company upon a request of the Company, and thereupon the Paying Agent shall be released from all further liability with respect to such moneys.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9.06 Moneys Held by Trustee.</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Any moneys deposited with the Trustee or any Paying Agent or then held by the Company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to the Company upon a request of the Company, or if such moneys are then held by the Company in trust, such moneys shall be released from such trust; and the Holder of such Note entitled to receive such payment shall thereafter, as an unsecured general creditor, look only to the Company for the payment thereof, and all liability of the Trustee or the Paying Agent with respect to such trust money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or the Paying Agent, before being required to make any such repayment, may, at the expense of the Company either transmit to each Holder affected, at the address shown in the register of the Notes maintained by the Registrar pursuant to Section 2.04,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transmission or publication, any unclaimed balance of such moneys then remaining will be repaid to the Company. After payment to the Company or the release of any money held in trust by the Company, Holders entitled to the money must look only to the Company for payment as general creditors unless applicable abandoned property law designates another Person.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10.01 Guarantee.</w:t>
      </w:r>
    </w:p>
    <w:p>
      <w:pPr>
        <w:spacing w:after="0" w:line="117" w:lineRule="exact"/>
        <w:rPr>
          <w:sz w:val="20"/>
          <w:szCs w:val="20"/>
          <w:color w:val="auto"/>
        </w:rPr>
      </w:pPr>
    </w:p>
    <w:p>
      <w:pPr>
        <w:ind w:firstLine="436"/>
        <w:spacing w:after="0" w:line="263"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Guarantor, hereby jointly and severally, absolutely, unconditionally and irrevocably guarantees the Notes and obligations of the Company hereunder and thereunder, and guarantees to each Holder of a Note authenticated and delivered by the Trustee, and to the Trustee on behalf of such Holder, that (i)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8" w:name="page79"/>
    <w:bookmarkEnd w:id="7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principal of (and premium, if any) and interest on the Notes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Company to the Holders or the Trustee hereunder or thereunder will be paid in full or performed, all in accordance with the terms hereof and thereof; and (ii) in case of any extension of time of payment or renewal of any Notes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spacing w:after="0" w:line="177"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Each Guarantor hereby agrees that its obligations hereunder shall be unconditional, irrespective of the validity, regularity or enforceability of the Notes or this Indenture, the absence of any action to enforce the same, any waiver or consent by any Holder of Notes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spacing w:after="0" w:line="63" w:lineRule="exact"/>
        <w:rPr>
          <w:sz w:val="20"/>
          <w:szCs w:val="20"/>
          <w:color w:val="auto"/>
        </w:rPr>
      </w:pPr>
    </w:p>
    <w:p>
      <w:pPr>
        <w:ind w:right="20" w:firstLine="436"/>
        <w:spacing w:after="0" w:line="286"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Guarantee of such Guarantor shall not be discharged as to the 2022 Notes, the 2025 Notes, the 2027 Notes, the 2030 Notes, the 2040 Notes or the 2050 Notes, as the case may be, except by complete performance of the obligations contained in such Notes, this Indenture and such Guarantee. Each Guarantor acknowledges that the Guarantee is a guarantee of payment and not of collection. Each of the Guarantors hereby agrees that, in the event of a default in payment of principal (or premium, if any) or interest on such Note, whether at its Stated Maturity, by acceleration, purchase or otherwise, legal proceedings may be instituted by the Trustee on behalf of, or by, the Holder of such Note, subject to the terms and conditions set forth in this Indenture, directly against each of the Guarantors to enforce such Guarantor’s Guarantee without first proceeding against the Company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65" w:lineRule="exact"/>
        <w:rPr>
          <w:rFonts w:ascii="Arial" w:cs="Arial" w:eastAsia="Arial" w:hAnsi="Arial"/>
          <w:sz w:val="16"/>
          <w:szCs w:val="16"/>
          <w:color w:val="auto"/>
        </w:rPr>
      </w:pPr>
    </w:p>
    <w:p>
      <w:pPr>
        <w:ind w:right="20" w:firstLine="436"/>
        <w:spacing w:after="0" w:line="271" w:lineRule="auto"/>
        <w:tabs>
          <w:tab w:leader="none" w:pos="6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any Holder or the Trustee is required by any court or otherwise to return to the Company or any Guarantor, or any custodian, trustee, liquidator or other similar official acting in relation to either the Company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spacing w:after="0" w:line="70" w:lineRule="exact"/>
        <w:rPr>
          <w:rFonts w:ascii="Arial" w:cs="Arial" w:eastAsia="Arial" w:hAnsi="Arial"/>
          <w:sz w:val="17"/>
          <w:szCs w:val="17"/>
          <w:color w:val="auto"/>
        </w:rPr>
      </w:pPr>
    </w:p>
    <w:p>
      <w:pPr>
        <w:ind w:right="20" w:firstLine="436"/>
        <w:spacing w:after="0" w:line="286" w:lineRule="auto"/>
        <w:tabs>
          <w:tab w:leader="none" w:pos="695"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80" w:lineRule="exact"/>
        <w:rPr>
          <w:sz w:val="20"/>
          <w:szCs w:val="20"/>
          <w:color w:val="auto"/>
        </w:rPr>
      </w:pPr>
    </w:p>
    <w:p>
      <w:pPr>
        <w:ind w:right="160" w:firstLine="436"/>
        <w:spacing w:after="0" w:line="291"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To evidence its Guarantee, each Guarantor hereby agrees that a Notation of Guarantee substantially in the form attached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hereto will be endorsed by an Officer of such Guarantor on each Note authenticated and delivered to the Trustee and that this Indenture or a Supplemental Indenture to this Indenture will be executed on behalf of such Guarantor by one of its Officers. Each Guarantor hereby agrees that its Guarantee will remain in full force and effect notwithstanding any failure to endorse on each Note a Notation of Guarantee. The delivery of any Note by the Trustee, after the authentication thereof hereunder, will be deemed to constitute due delivery of the Notation of Guarantee set forth in this Indenture by the Guarantors. If an Officer whose signature is on this Indenture or on the Notation of Guarantee no longer holds that office at the time the Trustee authenticates the Note on which a Notation of Guarantee is endorsed, the Notation of Guarantee will be valid nevertheless.</w:t>
      </w:r>
    </w:p>
    <w:p>
      <w:pPr>
        <w:spacing w:after="0" w:line="58" w:lineRule="exact"/>
        <w:rPr>
          <w:rFonts w:ascii="Arial" w:cs="Arial" w:eastAsia="Arial" w:hAnsi="Arial"/>
          <w:sz w:val="16"/>
          <w:szCs w:val="16"/>
          <w:color w:val="auto"/>
        </w:rPr>
      </w:pPr>
    </w:p>
    <w:p>
      <w:pPr>
        <w:ind w:left="660" w:hanging="22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Article X shall not apply to Pfizer or the Pfizer Guarantee.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10.02 Severability.</w:t>
      </w:r>
    </w:p>
    <w:p>
      <w:pPr>
        <w:spacing w:after="0" w:line="11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In case any provision of any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10.03 Limitation of Liability.</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10.04 Contribution.</w:t>
      </w:r>
    </w:p>
    <w:p>
      <w:pPr>
        <w:spacing w:after="0" w:line="117"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In order to provide for just and equitable contribution among the Guarantors, the Guarantors agree, </w:t>
      </w:r>
      <w:r>
        <w:rPr>
          <w:rFonts w:ascii="Arial" w:cs="Arial" w:eastAsia="Arial" w:hAnsi="Arial"/>
          <w:sz w:val="18"/>
          <w:szCs w:val="18"/>
          <w:i w:val="1"/>
          <w:iCs w:val="1"/>
          <w:color w:val="auto"/>
        </w:rPr>
        <w:t>inter se</w:t>
      </w:r>
      <w:r>
        <w:rPr>
          <w:rFonts w:ascii="Arial" w:cs="Arial" w:eastAsia="Arial" w:hAnsi="Arial"/>
          <w:sz w:val="18"/>
          <w:szCs w:val="18"/>
          <w:color w:val="auto"/>
        </w:rPr>
        <w:t xml:space="preserve">, that in the event any payment or distribution is made by any Guarantor under a Guarantee, such Guarantor will be entitled to a contribution from any other Guarantor in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based on the net assets of each Guarantor determined in accordance with GAAP.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10.05 Subrogation.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Each Guarantor shall be subrogated to all rights of Holders against the Company in respect of any amounts paid by any Guarantor pursuant to the provisions of Section 10.01;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 Event of Default has occurred and is continuing, no Guarantor shall be entitled to enforce or receive any payments arising out of, or based upon, such right of subrogation until all amounts then due and payable by the Company under this Indenture or the Notes shall have been paid in full.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0"/>
          </w:cols>
          <w:pgMar w:left="440" w:top="274" w:right="53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10.06 Reinstatement.</w:t>
      </w:r>
    </w:p>
    <w:p>
      <w:pPr>
        <w:spacing w:after="0" w:line="117"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Company upon the bankruptcy or insolvency of the Company or any Guarantor.</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10.07 Release of a Guarantor.</w:t>
      </w:r>
    </w:p>
    <w:p>
      <w:pPr>
        <w:spacing w:after="0" w:line="117"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Any Guarantee issued by any Guarantor under this Indenture (which, for the avoidance of doubt, shall not include the Pfizer Guarantee) shall be automatically and unconditionally terminated and released, without any action on the part of the Trustee, any holder of the Notes or any other person, upon:</w:t>
      </w:r>
    </w:p>
    <w:p>
      <w:pPr>
        <w:spacing w:after="0" w:line="76" w:lineRule="exact"/>
        <w:rPr>
          <w:sz w:val="20"/>
          <w:szCs w:val="20"/>
          <w:color w:val="auto"/>
        </w:rPr>
      </w:pPr>
    </w:p>
    <w:p>
      <w:pPr>
        <w:ind w:left="440" w:right="680" w:firstLine="419"/>
        <w:spacing w:after="0" w:line="277"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sale or disposition of such Guarantor in a transaction that complies with this Indenture such that such Guarantor ceases to be a Subsidiary of the Company;</w:t>
      </w:r>
    </w:p>
    <w:p>
      <w:pPr>
        <w:spacing w:after="0" w:line="62" w:lineRule="exact"/>
        <w:rPr>
          <w:rFonts w:ascii="Arial" w:cs="Arial" w:eastAsia="Arial" w:hAnsi="Arial"/>
          <w:sz w:val="18"/>
          <w:szCs w:val="18"/>
          <w:color w:val="auto"/>
        </w:rPr>
      </w:pPr>
    </w:p>
    <w:p>
      <w:pPr>
        <w:jc w:val="both"/>
        <w:ind w:left="440" w:firstLine="419"/>
        <w:spacing w:after="0" w:line="263"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any series of Notes, if the Company exercises its Legal Defeasance option or its Covenant Defeasance option with respect to such series of Notes or if the Company’s obligations under this Indenture are discharged with respect to such series of Notes in accordance with the terms of this Indenture;</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in the case of any Guarantee by Finco, upon Finco no longer holding any material assets, other than (i) any intercompany notes or receivables or (ii) any proceeds from any Indebtedness issued by Finco and (b) in the case of any Guarantee by any Guarantor other than Pfizer or Finco, upon 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spacing w:after="0" w:line="79"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any series of Notes, upon receipt of the consent of the Holders of a majority of the aggregate principal amount of the outstanding Notes of such series in accordance with Section 8.02.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10.08 Benefits Acknowledged.</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Each Guarantor acknowledges that it will receive direct and indirect benefits from the financing arrangements contemplated by this Indenture and that its respective Guarantee is knowingly made in contemplation of such benefits.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XI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11.01 Notices.</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Except for notice or communications to Holders, any notice or communication shall be given in writing and is duly given when received if delivered in person, when receipt is acknowledged if sent by facsimile, on the next Business Day if timely delivered by a nationally recognized courier service that guarantees overnight delivery or two Business Days after deposit if mailed by first-class mail, postage prepaid, addressed as follows: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81" w:name="page82"/>
    <w:bookmarkEnd w:id="81"/>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Company or any Guarantor other than Pfizer, prior to the consummation of the Combination:</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to the Company or any Guarantor other than Pfizer, from and after the consummation of the Combination:</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Sanjeev.Narula@pfizer.com and thomas.salus@mylan.com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9019"/>
          </w:cols>
          <w:pgMar w:left="1440" w:top="274" w:right="1440" w:bottom="1440" w:gutter="0" w:footer="0" w:header="0"/>
        </w:sectPr>
      </w:pPr>
    </w:p>
    <w:bookmarkStart w:id="82" w:name="page83"/>
    <w:bookmarkEnd w:id="82"/>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Trustee: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Mailing Address: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Bank of New York Mellon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500 Ross Street, 12th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Pittsburgh, PA 15262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US Corporate Client Service Management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(412) 234-8377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Melinda.m.wrzesinski@bnymellon.com</w:t>
      </w:r>
    </w:p>
    <w:p>
      <w:pPr>
        <w:spacing w:after="0" w:line="21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Such notices or communications shall be effective when actually received and shall be sufficiently given if so given within the time prescribed in this Indenture.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Company, the Guarantors or the Trustee by written notice to the others may designate additional or different addresses for subsequent notices or communications.</w:t>
      </w:r>
    </w:p>
    <w:p>
      <w:pPr>
        <w:spacing w:after="0" w:line="170"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 xml:space="preserve">The Trustee shall have the right, but shall not be required, to rely upon and comply with instructions and directions sent by email, facsimile and other similar unsecured electronic methods by persons believed by the Trustee to be authorized to give instructions and directions on behalf of the Company. The Trustee shall have no duty or obligation to verify or confirm that the person who sent such instructions or directions is, in fact, a person authorized to give instructions on behalf of the Company; and the Trustee shall have no liability for any losses, liabilities, costs or expenses incurred or sustained by the Company as a result of such reliance upon or compliance with such instructions or directions,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reliance was in good faith. The Company agrees to assume all risks arising out of the use of such electronic methods to submit instructions and directions to the Trustee, including without limitation the risk of the Trustee acting on unauthorized instructions, and all the risk of interception and misuse by third parties.</w:t>
      </w:r>
    </w:p>
    <w:p>
      <w:pPr>
        <w:spacing w:after="0" w:line="16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Any notice or communication transmitted to a Holder shall be transmitted to him or her at his or her address shown on the register kept by the Registrar.</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Company transmits a notice or communication to Holders, it will transmit a copy to the Trustee and each Agent at the same time.</w:t>
      </w:r>
    </w:p>
    <w:p>
      <w:pPr>
        <w:spacing w:after="0" w:line="23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11.02 Certificate and Opinion as to Conditions Precedent.</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Upon any request or application by the Company to the Trustee to take any action under this Indenture (other than the authentication and delivery of the Initial Notes), if so requested by the Trustee, the Company shall furnish to the Trustee:</w:t>
      </w:r>
    </w:p>
    <w:p>
      <w:pPr>
        <w:spacing w:after="0" w:line="62" w:lineRule="exact"/>
        <w:rPr>
          <w:sz w:val="20"/>
          <w:szCs w:val="20"/>
          <w:color w:val="auto"/>
        </w:rPr>
      </w:pPr>
    </w:p>
    <w:p>
      <w:pPr>
        <w:ind w:left="440" w:right="600" w:firstLine="419"/>
        <w:spacing w:after="0" w:line="308" w:lineRule="auto"/>
        <w:tabs>
          <w:tab w:leader="none" w:pos="1118"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Officer’s Certificate (which must include the statements set forth in Section 11.03) stating that, in the opinion of the signer, all conditions precedent, if any, provided for in this Indenture relating to the proposed action have been complied with; and</w:t>
      </w:r>
    </w:p>
    <w:p>
      <w:pPr>
        <w:spacing w:after="0" w:line="38" w:lineRule="exact"/>
        <w:rPr>
          <w:rFonts w:ascii="Arial" w:cs="Arial" w:eastAsia="Arial" w:hAnsi="Arial"/>
          <w:sz w:val="17"/>
          <w:szCs w:val="17"/>
          <w:color w:val="auto"/>
        </w:rPr>
      </w:pPr>
    </w:p>
    <w:p>
      <w:pPr>
        <w:ind w:left="440" w:right="20" w:firstLine="419"/>
        <w:spacing w:after="0" w:line="277" w:lineRule="auto"/>
        <w:tabs>
          <w:tab w:leader="none" w:pos="11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Opinion of Counsel (which must include the statements set forth in Section 11.03) stating that, in the opinion of such counsel, all such conditions precedent have been complied 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11.03 Statements Required in Certificate and Opinion.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120" w:hanging="261"/>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11.04 Communications by Holders with Other Holders.</w:t>
      </w:r>
    </w:p>
    <w:p>
      <w:pPr>
        <w:spacing w:after="0" w:line="11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Company, the Trustee, the Registrar and anyone else shall have the protection of TIA § 312(c).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11.05 Rules by Trustee and Agents.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11.06 No Personal Liability of Directors, Officers, Employees and Stockholders.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 past, present or future director, member, partner, officer, employee or equityholder of the Company, any Guarantor or any of their respective Subsidiaries will have any liability for any of the Company’s or such Guarantor’s obligations under the Notes or this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11.07 Governing Law; Waiver of Jury Trial; Jurisdiction.</w:t>
      </w:r>
    </w:p>
    <w:p>
      <w:pPr>
        <w:spacing w:after="0" w:line="117"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THE INTERNAL LAW OF THE STATE OF NEW YORK (INCLUDING, WITHOUT LIMITATION, SECTION 5-1401 OF THE NEW YORK GENERAL OBLIGATIONS LAW OR ANY SUCCESSOR TO SUCH STATUTE)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7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EACH PARTY HEREBY, AND EACH HOLDER OF A NOTE BY ITS ACCEPTANCE THEREOF, WAIVES, TO THE FULLEST EXTENT PERMITTED BY APPLICABLE LAW, ANY RIGHT IT MAY HAVE TO A TRIAL BY JURY IN RESPECT OF ANY LITIGATION DIRECTLY OR INDIRECTLY ARISING OUT OF, OR IN CONNECTION WITH THIS INDENTURE.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84" w:name="page85"/>
    <w:bookmarkEnd w:id="84"/>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COMPANY HEREBY IRREVOCABLY CONSENTS TO THE SERVICE OF PROCESS OUT OF ANY OF THE AFOREMENTIONED COURTS IN ANY SUCH ACTION OR PROCEEDING BY THE MAILING OF COPIES THEREOF BY REGISTERED OR CERTIFIED MAIL, POSTAGE PREPAID, TO THE COMPANY AT ITS ADDRESS REFERRED TO IN SECTION 11.01.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11.08 No Adverse Interpretation of Other Agreements.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11.09 Successors.</w:t>
      </w:r>
    </w:p>
    <w:p>
      <w:pPr>
        <w:spacing w:after="0" w:line="11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10.07.</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11.10 Separability.</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11.11 Counterpart Originals.</w:t>
      </w:r>
    </w:p>
    <w:p>
      <w:pPr>
        <w:spacing w:after="0" w:line="117"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 The exchange of copies of this Indenture and of signature pages by facsimile or electronic format (</w:t>
      </w:r>
      <w:r>
        <w:rPr>
          <w:rFonts w:ascii="Arial" w:cs="Arial" w:eastAsia="Arial" w:hAnsi="Arial"/>
          <w:sz w:val="18"/>
          <w:szCs w:val="18"/>
          <w:i w:val="1"/>
          <w:iCs w:val="1"/>
          <w:color w:val="auto"/>
        </w:rPr>
        <w:t>i.e</w:t>
      </w:r>
      <w:r>
        <w:rPr>
          <w:rFonts w:ascii="Arial" w:cs="Arial" w:eastAsia="Arial" w:hAnsi="Arial"/>
          <w:sz w:val="18"/>
          <w:szCs w:val="18"/>
          <w:color w:val="auto"/>
        </w:rPr>
        <w:t>., “pdf” or “tif”) transmission shall constitute effective execution and delivery of this Indenture as to the parties hereto and may be used in lieu of the original Indenture for all purposes. Signatures of the parties hereto transmitted by facsimile or electronic format (</w:t>
      </w:r>
      <w:r>
        <w:rPr>
          <w:rFonts w:ascii="Arial" w:cs="Arial" w:eastAsia="Arial" w:hAnsi="Arial"/>
          <w:sz w:val="18"/>
          <w:szCs w:val="18"/>
          <w:i w:val="1"/>
          <w:iCs w:val="1"/>
          <w:color w:val="auto"/>
        </w:rPr>
        <w:t>i.e</w:t>
      </w:r>
      <w:r>
        <w:rPr>
          <w:rFonts w:ascii="Arial" w:cs="Arial" w:eastAsia="Arial" w:hAnsi="Arial"/>
          <w:sz w:val="18"/>
          <w:szCs w:val="18"/>
          <w:color w:val="auto"/>
        </w:rPr>
        <w:t>., “pdf” or “tif”) shall be deemed to be their original signatures for all purposes.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440" w:top="274" w:right="49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11.12 Table of Contents, Headings, etc.</w:t>
      </w:r>
    </w:p>
    <w:p>
      <w:pPr>
        <w:spacing w:after="0" w:line="11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11.13 Benefits of Indenture.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Nothing in this Indenture expressed and nothing that may be implied from any of the provisions hereof is intended, or shall be construed, to confer upon, or to give to, any Person other than the parties hereto and their successors and the Holders of the Notes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11.14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11.15 Conflict with Trust Indenture Act.</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To the extent the TIA applies to this Indenture or the Notes, if any provision hereof limits, qualifies or conflicts with another provision hereof that is required to be included in this Indenture by any of the provisions of the TIA, such required provision will control. To the extent the TIA applies to this Indenture or the Notes, if any provision of this Indenture modifies or excludes any provision of the TIA that may be so modified or excluded, the latter provision will be deemed to apply to this Indenture as so modified or to be excluded, as the case may be.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11.16 Electronic Delivery.</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 delivered in connection with the Indenture shall have the same validity and legal effect as the use of a signature affixed by hand and is made with the intention of authenticating this Indenture and on all documents required to be delivered in connection with the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4" w:right="47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Chief Financial Officer, Controller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Francine Kincaid</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900"/>
          </w:cols>
          <w:pgMar w:left="880" w:top="274" w:right="11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1.125% SENIOR NOTE DUE 2022</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2022.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4" w:right="4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080"/>
          </w:cols>
          <w:pgMar w:left="880" w:top="274" w:right="939" w:bottom="1440" w:gutter="0" w:footer="0" w:header="0"/>
        </w:sectPr>
      </w:pPr>
    </w:p>
    <w:bookmarkStart w:id="89" w:name="page90"/>
    <w:bookmarkEnd w:id="89"/>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1.125% Senior Notes due 2022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019"/>
          </w:cols>
          <w:pgMar w:left="440" w:top="274"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1.125% SENIOR NOTE DUE 2022</w:t>
      </w:r>
    </w:p>
    <w:p>
      <w:pPr>
        <w:spacing w:after="0" w:line="117" w:lineRule="exact"/>
        <w:rPr>
          <w:sz w:val="20"/>
          <w:szCs w:val="20"/>
          <w:color w:val="auto"/>
        </w:rPr>
      </w:pPr>
    </w:p>
    <w:p>
      <w:pPr>
        <w:ind w:right="60" w:firstLine="436"/>
        <w:spacing w:after="0" w:line="293"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1.125% per annum. Interest on the 1.125% Senior Notes due 2022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60" w:firstLine="436"/>
        <w:spacing w:after="0" w:line="257"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40" w:firstLine="436"/>
        <w:spacing w:after="0" w:line="342"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xml:space="preserve">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80" w:firstLine="436"/>
        <w:spacing w:after="0" w:line="279" w:lineRule="auto"/>
        <w:tabs>
          <w:tab w:leader="none" w:pos="695"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ind w:left="440" w:firstLine="419"/>
        <w:spacing w:after="0" w:line="259" w:lineRule="auto"/>
        <w:tabs>
          <w:tab w:leader="none" w:pos="111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Maturity Date, not including accrued and unpaid interest thereon, if any, to, but excluding, the Redemption Date, discounted to the Redemption Date on a semi-annual basis (assuming a 360-day year consisting of twelve 30-day months) at the Treasury Rate plus 15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00"/>
          </w:cols>
          <w:pgMar w:left="440" w:top="274" w:right="459" w:bottom="1440" w:gutter="0" w:footer="0" w:header="0"/>
        </w:sectPr>
      </w:pPr>
    </w:p>
    <w:bookmarkStart w:id="91" w:name="page92"/>
    <w:bookmarkEnd w:id="91"/>
    <w:p>
      <w:pPr>
        <w:ind w:left="-20" w:right="20" w:firstLine="436"/>
        <w:spacing w:after="0" w:line="296" w:lineRule="auto"/>
        <w:tabs>
          <w:tab w:leader="none" w:pos="67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left="-20" w:right="460" w:firstLine="436"/>
        <w:spacing w:after="0" w:line="277" w:lineRule="auto"/>
        <w:tabs>
          <w:tab w:leader="none" w:pos="67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left="-20" w:right="500" w:firstLine="436"/>
        <w:spacing w:after="0" w:line="277" w:lineRule="auto"/>
        <w:tabs>
          <w:tab w:leader="none" w:pos="67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left="-20" w:right="20" w:firstLine="436"/>
        <w:spacing w:after="0" w:line="308" w:lineRule="auto"/>
        <w:tabs>
          <w:tab w:leader="none" w:pos="67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xml:space="preserve">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left="-20" w:right="240" w:firstLine="436"/>
        <w:spacing w:after="0" w:line="277" w:lineRule="auto"/>
        <w:tabs>
          <w:tab w:leader="none" w:pos="76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left="-20" w:right="180" w:firstLine="436"/>
        <w:spacing w:after="0" w:line="259" w:lineRule="auto"/>
        <w:tabs>
          <w:tab w:leader="none" w:pos="75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left="-20" w:firstLine="436"/>
        <w:spacing w:after="0" w:line="273" w:lineRule="auto"/>
        <w:tabs>
          <w:tab w:leader="none" w:pos="76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xml:space="preserve">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left="-20" w:right="40" w:firstLine="436"/>
        <w:spacing w:after="0" w:line="271" w:lineRule="auto"/>
        <w:tabs>
          <w:tab w:leader="none" w:pos="76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xml:space="preserve">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70" w:lineRule="exact"/>
        <w:rPr>
          <w:rFonts w:ascii="Arial" w:cs="Arial" w:eastAsia="Arial" w:hAnsi="Arial"/>
          <w:sz w:val="17"/>
          <w:szCs w:val="17"/>
          <w:color w:val="auto"/>
        </w:rPr>
      </w:pPr>
    </w:p>
    <w:p>
      <w:pPr>
        <w:ind w:left="-20" w:right="20" w:firstLine="436"/>
        <w:spacing w:after="0" w:line="342" w:lineRule="auto"/>
        <w:tabs>
          <w:tab w:leader="none" w:pos="76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80"/>
          </w:cols>
          <w:pgMar w:left="460" w:top="274" w:right="459" w:bottom="1440" w:gutter="0" w:footer="0" w:header="0"/>
        </w:sectPr>
      </w:pPr>
    </w:p>
    <w:bookmarkStart w:id="92" w:name="page93"/>
    <w:bookmarkEnd w:id="92"/>
    <w:p>
      <w:pPr>
        <w:ind w:right="20" w:firstLine="436"/>
        <w:spacing w:after="0" w:line="269" w:lineRule="auto"/>
        <w:tabs>
          <w:tab w:leader="none" w:pos="78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xml:space="preserve">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020"/>
          </w:cols>
          <w:pgMar w:left="440" w:top="274" w:right="4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Cravath, Swaine &amp; Moore LLP</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9580"/>
          </w:cols>
          <w:pgMar w:left="880" w:top="274" w:right="1439" w:bottom="1440" w:gutter="0" w:footer="0" w:header="0"/>
          <w:type w:val="continuous"/>
        </w:sectPr>
      </w:pPr>
    </w:p>
    <w:bookmarkStart w:id="94" w:name="page95"/>
    <w:bookmarkEnd w:id="94"/>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6635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20281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720"/>
          </w:cols>
          <w:pgMar w:left="440" w:top="274" w:right="739" w:bottom="1440" w:gutter="0" w:footer="0" w:header="0"/>
        </w:sectPr>
      </w:pPr>
    </w:p>
    <w:bookmarkStart w:id="95" w:name="page96"/>
    <w:bookmarkEnd w:id="9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84" w:hanging="384"/>
        <w:spacing w:after="0"/>
        <w:tabs>
          <w:tab w:leader="none" w:pos="384"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384" w:hanging="384"/>
        <w:spacing w:after="0"/>
        <w:tabs>
          <w:tab w:leader="none" w:pos="384"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84" w:hanging="384"/>
        <w:spacing w:after="0"/>
        <w:tabs>
          <w:tab w:leader="none" w:pos="384"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884" w:hanging="884"/>
        <w:spacing w:after="0" w:line="286" w:lineRule="auto"/>
        <w:tabs>
          <w:tab w:leader="none" w:pos="371" w:val="left"/>
        </w:tabs>
        <w:numPr>
          <w:ilvl w:val="0"/>
          <w:numId w:val="85"/>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884" w:right="240" w:hanging="884"/>
        <w:spacing w:after="0" w:line="277" w:lineRule="auto"/>
        <w:tabs>
          <w:tab w:leader="none" w:pos="371"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884" w:right="160" w:hanging="884"/>
        <w:spacing w:after="0" w:line="277" w:lineRule="auto"/>
        <w:tabs>
          <w:tab w:leader="none" w:pos="371"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384" w:hanging="384"/>
        <w:spacing w:after="0"/>
        <w:tabs>
          <w:tab w:leader="none" w:pos="384"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186055</wp:posOffset>
            </wp:positionV>
            <wp:extent cx="27946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8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14605</wp:posOffset>
            </wp:positionV>
            <wp:extent cx="15855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must be guaranteed by a</w:t>
      </w:r>
    </w:p>
    <w:p>
      <w:pPr>
        <w:spacing w:after="0" w:line="23"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Trustee</w:t>
      </w:r>
    </w:p>
    <w:p>
      <w:pPr>
        <w:spacing w:after="0" w:line="15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04"/>
          </w:cols>
          <w:pgMar w:left="436" w:top="274"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9317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-10160</wp:posOffset>
            </wp:positionV>
            <wp:extent cx="15138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9317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-10160</wp:posOffset>
            </wp:positionV>
            <wp:extent cx="15138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 – 10</w:t>
      </w:r>
    </w:p>
    <w:p>
      <w:pPr>
        <w:sectPr>
          <w:pgSz w:w="11900" w:h="16838" w:orient="portrait"/>
          <w:cols w:equalWidth="0" w:num="1">
            <w:col w:w="10820"/>
          </w:cols>
          <w:pgMar w:left="440" w:top="274" w:right="6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275" w:lineRule="exact"/>
        <w:rPr>
          <w:sz w:val="20"/>
          <w:szCs w:val="20"/>
          <w:color w:val="auto"/>
        </w:rPr>
      </w:pPr>
    </w:p>
    <w:p>
      <w:pPr>
        <w:ind w:left="960" w:hanging="532"/>
        <w:spacing w:after="0"/>
        <w:tabs>
          <w:tab w:leader="none" w:pos="960" w:val="left"/>
        </w:tabs>
        <w:numPr>
          <w:ilvl w:val="0"/>
          <w:numId w:val="86"/>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6635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15855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Signature must be guaranteed by a</w:t>
      </w:r>
    </w:p>
    <w:p>
      <w:pPr>
        <w:spacing w:after="0" w:line="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640" w:right="200"/>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A-1 – 11</w:t>
      </w:r>
    </w:p>
    <w:p>
      <w:pPr>
        <w:sectPr>
          <w:pgSz w:w="11900" w:h="16838" w:orient="portrait"/>
          <w:cols w:equalWidth="0" w:num="2">
            <w:col w:w="4460" w:space="720"/>
            <w:col w:w="5840"/>
          </w:cols>
          <w:pgMar w:left="440" w:top="274" w:right="4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INCREASES OR DECREASES IN GLOBAL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Amount of decrease in</w:t>
            </w: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Amount of increase in</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Principal Amount of this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6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Principal Amount of this</w:t>
            </w:r>
          </w:p>
        </w:tc>
        <w:tc>
          <w:tcPr>
            <w:tcW w:w="2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Global 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signatory of Trustee or</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6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3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such decrease or 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Notes Custodian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 – 12</w:t>
      </w:r>
    </w:p>
    <w:p>
      <w:pPr>
        <w:sectPr>
          <w:pgSz w:w="11900" w:h="16838" w:orient="portrait"/>
          <w:cols w:equalWidth="0" w:num="1">
            <w:col w:w="11020"/>
          </w:cols>
          <w:pgMar w:left="440" w:top="274" w:right="4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1.650% SENIOR NOTE DUE 2025</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2025.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4" w:right="4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080"/>
          </w:cols>
          <w:pgMar w:left="880" w:top="274" w:right="939" w:bottom="1440" w:gutter="0" w:footer="0" w:header="0"/>
        </w:sectPr>
      </w:pPr>
    </w:p>
    <w:bookmarkStart w:id="101" w:name="page102"/>
    <w:bookmarkEnd w:id="101"/>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1.650% Senior Notes due 2025 referred to in the within-mentioned Indenture.</w:t>
      </w:r>
    </w:p>
    <w:p>
      <w:pPr>
        <w:spacing w:after="0" w:line="13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019"/>
          </w:cols>
          <w:pgMar w:left="440" w:top="274" w:right="1440"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1.650% SENIOR NOTE DUE 2025</w:t>
      </w:r>
    </w:p>
    <w:p>
      <w:pPr>
        <w:spacing w:after="0" w:line="225" w:lineRule="exact"/>
        <w:rPr>
          <w:sz w:val="20"/>
          <w:szCs w:val="20"/>
          <w:color w:val="auto"/>
        </w:rPr>
      </w:pPr>
    </w:p>
    <w:p>
      <w:pPr>
        <w:ind w:right="20" w:firstLine="436"/>
        <w:spacing w:after="0" w:line="293"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1.650% per annum. Interest on the 1.650% Senior Notes due 2025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xml:space="preserve">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25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960"/>
          </w:cols>
          <w:pgMar w:left="440" w:top="274" w:right="499" w:bottom="1440" w:gutter="0" w:footer="0" w:header="0"/>
        </w:sectPr>
      </w:pPr>
    </w:p>
    <w:bookmarkStart w:id="103" w:name="page104"/>
    <w:bookmarkEnd w:id="103"/>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Rede</w:t>
      </w:r>
      <w:r>
        <w:rPr>
          <w:rFonts w:ascii="Arial" w:cs="Arial" w:eastAsia="Arial" w:hAnsi="Arial"/>
          <w:sz w:val="16"/>
          <w:szCs w:val="16"/>
          <w:u w:val="single" w:color="auto"/>
          <w:color w:val="auto"/>
        </w:rPr>
        <w:t>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xml:space="preserve">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xml:space="preserve">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80" w:firstLine="436"/>
        <w:spacing w:after="0" w:line="259" w:lineRule="auto"/>
        <w:tabs>
          <w:tab w:leader="none" w:pos="77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xml:space="preserve">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xml:space="preserve">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00"/>
          </w:cols>
          <w:pgMar w:left="440" w:top="274" w:right="459" w:bottom="1440" w:gutter="0" w:footer="0" w:header="0"/>
        </w:sectPr>
      </w:pPr>
    </w:p>
    <w:bookmarkStart w:id="104" w:name="page105"/>
    <w:bookmarkEnd w:id="104"/>
    <w:p>
      <w:pPr>
        <w:ind w:right="40" w:firstLine="436"/>
        <w:spacing w:after="0" w:line="342" w:lineRule="auto"/>
        <w:tabs>
          <w:tab w:leader="none" w:pos="78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xml:space="preserve">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020"/>
          </w:cols>
          <w:pgMar w:left="440" w:top="274" w:right="4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Cravath, Swaine &amp; Moore LLP</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9580"/>
          </w:cols>
          <w:pgMar w:left="880" w:top="274" w:right="1439" w:bottom="1440" w:gutter="0" w:footer="0" w:header="0"/>
          <w:type w:val="continuous"/>
        </w:sectPr>
      </w:pPr>
    </w:p>
    <w:bookmarkStart w:id="106" w:name="page107"/>
    <w:bookmarkEnd w:id="106"/>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14605</wp:posOffset>
            </wp:positionV>
            <wp:extent cx="26574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-10160</wp:posOffset>
            </wp:positionV>
            <wp:extent cx="15138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18567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0720"/>
          </w:cols>
          <w:pgMar w:left="440" w:top="274" w:right="739" w:bottom="1440" w:gutter="0" w:footer="0" w:header="0"/>
        </w:sectPr>
      </w:pPr>
    </w:p>
    <w:bookmarkStart w:id="107" w:name="page108"/>
    <w:bookmarkEnd w:id="10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220" w:hanging="664"/>
        <w:spacing w:after="0" w:line="286" w:lineRule="auto"/>
        <w:tabs>
          <w:tab w:leader="none" w:pos="340" w:val="left"/>
        </w:tabs>
        <w:numPr>
          <w:ilvl w:val="0"/>
          <w:numId w:val="90"/>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664" w:right="140" w:hanging="664"/>
        <w:spacing w:after="0" w:line="277" w:lineRule="auto"/>
        <w:tabs>
          <w:tab w:leader="none" w:pos="34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664" w:right="100" w:hanging="664"/>
        <w:spacing w:after="0" w:line="277" w:lineRule="auto"/>
        <w:tabs>
          <w:tab w:leader="none" w:pos="34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4616450</wp:posOffset>
            </wp:positionH>
            <wp:positionV relativeFrom="paragraph">
              <wp:posOffset>374650</wp:posOffset>
            </wp:positionV>
            <wp:extent cx="23418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726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14605</wp:posOffset>
            </wp:positionV>
            <wp:extent cx="15855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must be guaranteed by a</w:t>
      </w:r>
    </w:p>
    <w:p>
      <w:pPr>
        <w:spacing w:after="0" w:line="23"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0984"/>
          </w:cols>
          <w:pgMar w:left="436" w:top="274" w:right="4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 – 10</w:t>
      </w:r>
    </w:p>
    <w:p>
      <w:pPr>
        <w:sectPr>
          <w:pgSz w:w="11900" w:h="16838" w:orient="portrait"/>
          <w:cols w:equalWidth="0" w:num="1">
            <w:col w:w="10820"/>
          </w:cols>
          <w:pgMar w:left="440" w:top="274" w:right="6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248" w:lineRule="exact"/>
        <w:rPr>
          <w:sz w:val="20"/>
          <w:szCs w:val="20"/>
          <w:color w:val="auto"/>
        </w:rPr>
      </w:pPr>
    </w:p>
    <w:p>
      <w:pPr>
        <w:ind w:left="640" w:hanging="204"/>
        <w:spacing w:after="0"/>
        <w:tabs>
          <w:tab w:leader="none" w:pos="640"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(Sign exactly as your name appears on the other side of the</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14605</wp:posOffset>
            </wp:positionV>
            <wp:extent cx="28632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guarantor acceptable to the Trustee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 – 11</w:t>
      </w:r>
    </w:p>
    <w:p>
      <w:pPr>
        <w:sectPr>
          <w:pgSz w:w="11900" w:h="16838" w:orient="portrait"/>
          <w:cols w:equalWidth="0" w:num="1">
            <w:col w:w="11020"/>
          </w:cols>
          <w:pgMar w:left="440" w:top="274" w:right="439" w:bottom="1440" w:gutter="0" w:footer="0" w:header="0"/>
        </w:sectPr>
      </w:pPr>
    </w:p>
    <w:bookmarkStart w:id="110" w:name="page111"/>
    <w:bookmarkEnd w:id="110"/>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Amount of</w:t>
            </w:r>
          </w:p>
        </w:tc>
        <w:tc>
          <w:tcPr>
            <w:tcW w:w="18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Principal 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authorized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signatory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24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Trustee or Notes</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Note</w:t>
            </w:r>
          </w:p>
        </w:tc>
        <w:tc>
          <w:tcPr>
            <w:tcW w:w="7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Note</w:t>
            </w:r>
          </w:p>
        </w:tc>
        <w:tc>
          <w:tcPr>
            <w:tcW w:w="76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760" w:type="dxa"/>
            <w:vAlign w:val="bottom"/>
          </w:tcPr>
          <w:p>
            <w:pPr>
              <w:spacing w:after="0"/>
              <w:rPr>
                <w:sz w:val="14"/>
                <w:szCs w:val="14"/>
                <w:color w:val="auto"/>
              </w:rPr>
            </w:pPr>
          </w:p>
        </w:tc>
        <w:tc>
          <w:tcPr>
            <w:tcW w:w="10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A-2 – 12</w:t>
      </w:r>
    </w:p>
    <w:p>
      <w:pPr>
        <w:sectPr>
          <w:pgSz w:w="11900" w:h="16838" w:orient="portrait"/>
          <w:cols w:equalWidth="0" w:num="1">
            <w:col w:w="10560"/>
          </w:cols>
          <w:pgMar w:left="440" w:top="274" w:right="8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52"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SENIOR NOTE DUE 2027</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2027.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020"/>
          </w:cols>
          <w:pgMar w:left="440" w:top="274" w:right="4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0080"/>
          </w:cols>
          <w:pgMar w:left="880" w:top="274" w:right="939" w:bottom="1440" w:gutter="0" w:footer="0" w:header="0"/>
        </w:sectPr>
      </w:pPr>
    </w:p>
    <w:bookmarkStart w:id="113" w:name="page114"/>
    <w:bookmarkEnd w:id="113"/>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2.300% Senior Notes due 2027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019"/>
          </w:cols>
          <w:pgMar w:left="440" w:top="274" w:right="1440"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2.300% SENIOR NOTE DUE 2027</w:t>
      </w:r>
    </w:p>
    <w:p>
      <w:pPr>
        <w:spacing w:after="0" w:line="225" w:lineRule="exact"/>
        <w:rPr>
          <w:sz w:val="20"/>
          <w:szCs w:val="20"/>
          <w:color w:val="auto"/>
        </w:rPr>
      </w:pPr>
    </w:p>
    <w:p>
      <w:pPr>
        <w:ind w:right="20" w:firstLine="436"/>
        <w:spacing w:after="0" w:line="293"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2.300% per annum. Interest on the 2.300% Senior Notes due 2027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xml:space="preserve">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30 basis points,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0960"/>
          </w:cols>
          <w:pgMar w:left="440" w:top="274" w:right="499" w:bottom="1440" w:gutter="0" w:footer="0" w:header="0"/>
        </w:sectPr>
      </w:pPr>
    </w:p>
    <w:bookmarkStart w:id="115" w:name="page116"/>
    <w:bookmarkEnd w:id="115"/>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xml:space="preserve">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80" w:firstLine="436"/>
        <w:spacing w:after="0" w:line="259" w:lineRule="auto"/>
        <w:tabs>
          <w:tab w:leader="none" w:pos="77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xml:space="preserve">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xml:space="preserve">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000"/>
          </w:cols>
          <w:pgMar w:left="440" w:top="274" w:right="459" w:bottom="1440" w:gutter="0" w:footer="0" w:header="0"/>
        </w:sectPr>
      </w:pPr>
    </w:p>
    <w:bookmarkStart w:id="116" w:name="page117"/>
    <w:bookmarkEnd w:id="116"/>
    <w:p>
      <w:pPr>
        <w:ind w:right="40" w:firstLine="436"/>
        <w:spacing w:after="0" w:line="342" w:lineRule="auto"/>
        <w:tabs>
          <w:tab w:leader="none" w:pos="78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xml:space="preserve">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020"/>
          </w:cols>
          <w:pgMar w:left="440" w:top="274" w:right="4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Wachtell, Lipton, Rosen &amp; Katz</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51 West 52nd Street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right"/>
        <w:ind w:right="4240"/>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9580"/>
          </w:cols>
          <w:pgMar w:left="880" w:top="274" w:right="1439" w:bottom="1440" w:gutter="0" w:footer="0" w:header="0"/>
          <w:type w:val="continuous"/>
        </w:sectPr>
      </w:pPr>
    </w:p>
    <w:bookmarkStart w:id="118" w:name="page119"/>
    <w:bookmarkEnd w:id="118"/>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6858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 exactly as your 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appears on the face of this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-10795</wp:posOffset>
            </wp:positionV>
            <wp:extent cx="1428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0600"/>
          </w:cols>
          <w:pgMar w:left="440" w:top="274" w:right="859" w:bottom="1440" w:gutter="0" w:footer="0" w:header="0"/>
        </w:sectPr>
      </w:pPr>
    </w:p>
    <w:bookmarkStart w:id="119" w:name="page120"/>
    <w:bookmarkEnd w:id="1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220" w:hanging="664"/>
        <w:spacing w:after="0" w:line="286" w:lineRule="auto"/>
        <w:tabs>
          <w:tab w:leader="none" w:pos="340" w:val="left"/>
        </w:tabs>
        <w:numPr>
          <w:ilvl w:val="0"/>
          <w:numId w:val="95"/>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664" w:right="140" w:hanging="664"/>
        <w:spacing w:after="0" w:line="277" w:lineRule="auto"/>
        <w:tabs>
          <w:tab w:leader="none" w:pos="340"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664" w:right="100" w:hanging="664"/>
        <w:spacing w:after="0" w:line="277" w:lineRule="auto"/>
        <w:tabs>
          <w:tab w:leader="none" w:pos="340"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262890</wp:posOffset>
            </wp:positionV>
            <wp:extent cx="27946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14605</wp:posOffset>
            </wp:positionV>
            <wp:extent cx="29317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guarantor acceptable to the Trustee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0984"/>
          </w:cols>
          <w:pgMar w:left="436" w:top="274" w:right="4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 – 10</w:t>
      </w:r>
    </w:p>
    <w:p>
      <w:pPr>
        <w:sectPr>
          <w:pgSz w:w="11900" w:h="16838" w:orient="portrait"/>
          <w:cols w:equalWidth="0" w:num="1">
            <w:col w:w="10820"/>
          </w:cols>
          <w:pgMar w:left="440" w:top="274" w:right="6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248" w:lineRule="exact"/>
        <w:rPr>
          <w:sz w:val="20"/>
          <w:szCs w:val="20"/>
          <w:color w:val="auto"/>
        </w:rPr>
      </w:pPr>
    </w:p>
    <w:p>
      <w:pPr>
        <w:ind w:left="640" w:hanging="204"/>
        <w:spacing w:after="0"/>
        <w:tabs>
          <w:tab w:leader="none" w:pos="64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(Sign exactly as your name appears on the other side of the</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14605</wp:posOffset>
            </wp:positionV>
            <wp:extent cx="28632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guarantor acceptable to the Trustee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 – 11</w:t>
      </w:r>
    </w:p>
    <w:p>
      <w:pPr>
        <w:sectPr>
          <w:pgSz w:w="11900" w:h="16838" w:orient="portrait"/>
          <w:cols w:equalWidth="0" w:num="1">
            <w:col w:w="11020"/>
          </w:cols>
          <w:pgMar w:left="440" w:top="274" w:right="439" w:bottom="1440" w:gutter="0" w:footer="0" w:header="0"/>
        </w:sectPr>
      </w:pPr>
    </w:p>
    <w:bookmarkStart w:id="122" w:name="page123"/>
    <w:bookmarkEnd w:id="12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Amount of</w:t>
            </w:r>
          </w:p>
        </w:tc>
        <w:tc>
          <w:tcPr>
            <w:tcW w:w="18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Principal 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signatory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24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Trustee or Notes</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Note</w:t>
            </w:r>
          </w:p>
        </w:tc>
        <w:tc>
          <w:tcPr>
            <w:tcW w:w="7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Note</w:t>
            </w:r>
          </w:p>
        </w:tc>
        <w:tc>
          <w:tcPr>
            <w:tcW w:w="76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760" w:type="dxa"/>
            <w:vAlign w:val="bottom"/>
          </w:tcPr>
          <w:p>
            <w:pPr>
              <w:spacing w:after="0"/>
              <w:rPr>
                <w:sz w:val="14"/>
                <w:szCs w:val="14"/>
                <w:color w:val="auto"/>
              </w:rPr>
            </w:pPr>
          </w:p>
        </w:tc>
        <w:tc>
          <w:tcPr>
            <w:tcW w:w="10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A-3 – 12</w:t>
      </w:r>
    </w:p>
    <w:p>
      <w:pPr>
        <w:sectPr>
          <w:pgSz w:w="11900" w:h="16838" w:orient="portrait"/>
          <w:cols w:equalWidth="0" w:num="1">
            <w:col w:w="10560"/>
          </w:cols>
          <w:pgMar w:left="440" w:top="274" w:right="8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52"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2.700% SENIOR NOTE DUE 2030</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2030.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20"/>
          </w:cols>
          <w:pgMar w:left="440" w:top="274" w:right="4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0080"/>
          </w:cols>
          <w:pgMar w:left="880" w:top="274" w:right="939" w:bottom="1440" w:gutter="0" w:footer="0" w:header="0"/>
        </w:sectPr>
      </w:pPr>
    </w:p>
    <w:bookmarkStart w:id="125" w:name="page126"/>
    <w:bookmarkEnd w:id="125"/>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2.700% Senior Notes due 2030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0019"/>
          </w:cols>
          <w:pgMar w:left="440" w:top="274" w:right="1440"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2.700% SENIOR NOTE DUE 2030</w:t>
      </w:r>
    </w:p>
    <w:p>
      <w:pPr>
        <w:spacing w:after="0" w:line="225" w:lineRule="exact"/>
        <w:rPr>
          <w:sz w:val="20"/>
          <w:szCs w:val="20"/>
          <w:color w:val="auto"/>
        </w:rPr>
      </w:pPr>
    </w:p>
    <w:p>
      <w:pPr>
        <w:ind w:right="20" w:firstLine="436"/>
        <w:spacing w:after="0" w:line="293"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2.700% per annum. Interest on the 2.700% Senior Notes due 2030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xml:space="preserve">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30 basis points,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0960"/>
          </w:cols>
          <w:pgMar w:left="440" w:top="274" w:right="499" w:bottom="1440" w:gutter="0" w:footer="0" w:header="0"/>
        </w:sectPr>
      </w:pPr>
    </w:p>
    <w:bookmarkStart w:id="127" w:name="page128"/>
    <w:bookmarkEnd w:id="127"/>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xml:space="preserve">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xml:space="preserve">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80" w:firstLine="436"/>
        <w:spacing w:after="0" w:line="259" w:lineRule="auto"/>
        <w:tabs>
          <w:tab w:leader="none" w:pos="77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xml:space="preserve">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xml:space="preserve">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000"/>
          </w:cols>
          <w:pgMar w:left="440" w:top="274" w:right="459" w:bottom="1440" w:gutter="0" w:footer="0" w:header="0"/>
        </w:sectPr>
      </w:pPr>
    </w:p>
    <w:bookmarkStart w:id="128" w:name="page129"/>
    <w:bookmarkEnd w:id="128"/>
    <w:p>
      <w:pPr>
        <w:ind w:right="40" w:firstLine="436"/>
        <w:spacing w:after="0" w:line="342" w:lineRule="auto"/>
        <w:tabs>
          <w:tab w:leader="none" w:pos="78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xml:space="preserve">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020"/>
          </w:cols>
          <w:pgMar w:left="440" w:top="274" w:right="439" w:bottom="1440" w:gutter="0" w:footer="0" w:header="0"/>
        </w:sectPr>
      </w:pPr>
    </w:p>
    <w:bookmarkStart w:id="129" w:name="page130"/>
    <w:bookmarkEnd w:id="129"/>
    <w:p>
      <w:pPr>
        <w:ind w:left="-320" w:firstLine="436"/>
        <w:spacing w:after="0" w:line="263" w:lineRule="auto"/>
        <w:tabs>
          <w:tab w:leader="none" w:pos="46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Sanjeev Narula</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(646) 441-5757</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100"/>
        <w:spacing w:after="0"/>
        <w:tabs>
          <w:tab w:leader="none" w:pos="1680" w:val="left"/>
        </w:tabs>
        <w:rPr>
          <w:sz w:val="20"/>
          <w:szCs w:val="20"/>
          <w:color w:val="auto"/>
        </w:rPr>
      </w:pPr>
      <w:r>
        <w:rPr>
          <w:rFonts w:ascii="Arial" w:cs="Arial" w:eastAsia="Arial" w:hAnsi="Arial"/>
          <w:sz w:val="18"/>
          <w:szCs w:val="18"/>
          <w:color w:val="auto"/>
        </w:rPr>
        <w:t>Attn:</w:t>
        <w:tab/>
        <w:t>Michael S. Benn</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(212) 403-2158</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1100"/>
        <w:spacing w:after="0"/>
        <w:tabs>
          <w:tab w:leader="none" w:pos="168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100"/>
        <w:spacing w:after="0"/>
        <w:tabs>
          <w:tab w:leader="none" w:pos="1680" w:val="left"/>
        </w:tabs>
        <w:rPr>
          <w:sz w:val="20"/>
          <w:szCs w:val="20"/>
          <w:color w:val="auto"/>
        </w:rPr>
      </w:pPr>
      <w:r>
        <w:rPr>
          <w:rFonts w:ascii="Arial" w:cs="Arial" w:eastAsia="Arial" w:hAnsi="Arial"/>
          <w:sz w:val="18"/>
          <w:szCs w:val="18"/>
          <w:color w:val="auto"/>
        </w:rPr>
        <w:t>Attn:</w:t>
        <w:tab/>
        <w:t>Sanjeev Narula and Thomas Salus</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(724) 514-1871</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Sanjeev.Narula@pfizer.com and thomas.salus@mylan.com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1100"/>
        <w:spacing w:after="0"/>
        <w:tabs>
          <w:tab w:leader="none" w:pos="168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0380"/>
          </w:cols>
          <w:pgMar w:left="760" w:top="274" w:right="759" w:bottom="1440" w:gutter="0" w:footer="0" w:header="0"/>
        </w:sectPr>
      </w:pPr>
    </w:p>
    <w:bookmarkStart w:id="130" w:name="page131"/>
    <w:bookmarkEnd w:id="130"/>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14605</wp:posOffset>
            </wp:positionV>
            <wp:extent cx="18173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0720"/>
          </w:cols>
          <w:pgMar w:left="440" w:top="274" w:right="739" w:bottom="1440" w:gutter="0" w:footer="0" w:header="0"/>
        </w:sectPr>
      </w:pPr>
    </w:p>
    <w:bookmarkStart w:id="131" w:name="page132"/>
    <w:bookmarkEnd w:id="13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464" w:hanging="464"/>
        <w:spacing w:after="0"/>
        <w:tabs>
          <w:tab w:leader="none" w:pos="464"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464" w:hanging="464"/>
        <w:spacing w:after="0"/>
        <w:tabs>
          <w:tab w:leader="none" w:pos="464"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464" w:hanging="464"/>
        <w:spacing w:after="0"/>
        <w:tabs>
          <w:tab w:leader="none" w:pos="464"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884" w:hanging="884"/>
        <w:spacing w:after="0" w:line="286" w:lineRule="auto"/>
        <w:tabs>
          <w:tab w:leader="none" w:pos="452" w:val="left"/>
        </w:tabs>
        <w:numPr>
          <w:ilvl w:val="0"/>
          <w:numId w:val="101"/>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884" w:right="240" w:hanging="884"/>
        <w:spacing w:after="0" w:line="277" w:lineRule="auto"/>
        <w:tabs>
          <w:tab w:leader="none" w:pos="452"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884" w:right="160" w:hanging="884"/>
        <w:spacing w:after="0" w:line="277" w:lineRule="auto"/>
        <w:tabs>
          <w:tab w:leader="none" w:pos="452"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464" w:hanging="464"/>
        <w:spacing w:after="0"/>
        <w:tabs>
          <w:tab w:leader="none" w:pos="464"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262890</wp:posOffset>
            </wp:positionV>
            <wp:extent cx="27946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14605</wp:posOffset>
            </wp:positionV>
            <wp:extent cx="15855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must be guaranteed by a</w:t>
      </w:r>
    </w:p>
    <w:p>
      <w:pPr>
        <w:spacing w:after="0" w:line="23"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004"/>
          </w:cols>
          <w:pgMar w:left="436" w:top="274"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 – 10</w:t>
      </w:r>
    </w:p>
    <w:p>
      <w:pPr>
        <w:sectPr>
          <w:pgSz w:w="11900" w:h="16838" w:orient="portrait"/>
          <w:cols w:equalWidth="0" w:num="1">
            <w:col w:w="10820"/>
          </w:cols>
          <w:pgMar w:left="440" w:top="274" w:right="6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154" w:lineRule="exact"/>
        <w:rPr>
          <w:sz w:val="20"/>
          <w:szCs w:val="20"/>
          <w:color w:val="auto"/>
        </w:rPr>
      </w:pPr>
    </w:p>
    <w:p>
      <w:pPr>
        <w:ind w:left="960" w:hanging="532"/>
        <w:spacing w:after="0"/>
        <w:tabs>
          <w:tab w:leader="none" w:pos="960" w:val="left"/>
        </w:tabs>
        <w:numPr>
          <w:ilvl w:val="0"/>
          <w:numId w:val="102"/>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15855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Signature must be guaranteed by a</w:t>
      </w:r>
    </w:p>
    <w:p>
      <w:pPr>
        <w:spacing w:after="0" w:line="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640" w:right="200"/>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A-4 – 11</w:t>
      </w:r>
    </w:p>
    <w:p>
      <w:pPr>
        <w:sectPr>
          <w:pgSz w:w="11900" w:h="16838" w:orient="portrait"/>
          <w:cols w:equalWidth="0" w:num="2">
            <w:col w:w="4460" w:space="720"/>
            <w:col w:w="5840"/>
          </w:cols>
          <w:pgMar w:left="440" w:top="274" w:right="43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Trustee or Notes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such decrease or 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20"/>
              <w:spacing w:after="0"/>
              <w:rPr>
                <w:sz w:val="20"/>
                <w:szCs w:val="20"/>
                <w:color w:val="auto"/>
              </w:rPr>
            </w:pPr>
            <w:r>
              <w:rPr>
                <w:rFonts w:ascii="Arial" w:cs="Arial" w:eastAsia="Arial" w:hAnsi="Arial"/>
                <w:sz w:val="18"/>
                <w:szCs w:val="18"/>
                <w:color w:val="auto"/>
              </w:rPr>
              <w:t>A-4 – 12</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52"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3.850% SENIOR NOTE DUE 2040</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2040.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020"/>
          </w:cols>
          <w:pgMar w:left="440" w:top="274" w:right="4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0080"/>
          </w:cols>
          <w:pgMar w:left="880" w:top="274" w:right="939" w:bottom="1440" w:gutter="0" w:footer="0" w:header="0"/>
        </w:sectPr>
      </w:pPr>
    </w:p>
    <w:bookmarkStart w:id="137" w:name="page138"/>
    <w:bookmarkEnd w:id="137"/>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3.850% Senior Notes due 2040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0019"/>
          </w:cols>
          <w:pgMar w:left="440" w:top="274" w:right="1440"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3.850% SENIOR NOTE DUE 2040</w:t>
      </w:r>
    </w:p>
    <w:p>
      <w:pPr>
        <w:spacing w:after="0" w:line="225" w:lineRule="exact"/>
        <w:rPr>
          <w:sz w:val="20"/>
          <w:szCs w:val="20"/>
          <w:color w:val="auto"/>
        </w:rPr>
      </w:pPr>
    </w:p>
    <w:p>
      <w:pPr>
        <w:ind w:right="20" w:firstLine="436"/>
        <w:spacing w:after="0" w:line="293"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3.850% per annum. Interest on the 3.850% Senior Notes due 2040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40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0960"/>
          </w:cols>
          <w:pgMar w:left="440" w:top="274" w:right="499" w:bottom="1440" w:gutter="0" w:footer="0" w:header="0"/>
        </w:sectPr>
      </w:pPr>
    </w:p>
    <w:bookmarkStart w:id="139" w:name="page140"/>
    <w:bookmarkEnd w:id="139"/>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60" w:firstLine="436"/>
        <w:spacing w:after="0" w:line="259" w:lineRule="auto"/>
        <w:tabs>
          <w:tab w:leader="none" w:pos="77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000"/>
          </w:cols>
          <w:pgMar w:left="440" w:top="274" w:right="459" w:bottom="1440" w:gutter="0" w:footer="0" w:header="0"/>
        </w:sectPr>
      </w:pPr>
    </w:p>
    <w:bookmarkStart w:id="140" w:name="page141"/>
    <w:bookmarkEnd w:id="140"/>
    <w:p>
      <w:pPr>
        <w:ind w:right="20" w:firstLine="436"/>
        <w:spacing w:after="0" w:line="342" w:lineRule="auto"/>
        <w:tabs>
          <w:tab w:leader="none" w:pos="78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right="260" w:firstLine="436"/>
        <w:spacing w:after="0" w:line="263"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020"/>
          </w:cols>
          <w:pgMar w:left="440" w:top="274" w:right="4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Sanjeev Narula</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(646) 441-5757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Michael S. Benn</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Sanjeev Narula and Thomas Salus</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9580"/>
          </w:cols>
          <w:pgMar w:left="880" w:top="274" w:right="1439" w:bottom="1440" w:gutter="0" w:footer="0" w:header="0"/>
          <w:type w:val="continuous"/>
        </w:sectPr>
      </w:pPr>
    </w:p>
    <w:bookmarkStart w:id="142" w:name="page143"/>
    <w:bookmarkEnd w:id="14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14605</wp:posOffset>
            </wp:positionV>
            <wp:extent cx="18173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0720"/>
          </w:cols>
          <w:pgMar w:left="440" w:top="274" w:right="739" w:bottom="1440" w:gutter="0" w:footer="0" w:header="0"/>
        </w:sectPr>
      </w:pPr>
    </w:p>
    <w:bookmarkStart w:id="143" w:name="page144"/>
    <w:bookmarkEnd w:id="14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464" w:hanging="464"/>
        <w:spacing w:after="0"/>
        <w:tabs>
          <w:tab w:leader="none" w:pos="464"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464" w:hanging="464"/>
        <w:spacing w:after="0"/>
        <w:tabs>
          <w:tab w:leader="none" w:pos="464"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464" w:hanging="464"/>
        <w:spacing w:after="0"/>
        <w:tabs>
          <w:tab w:leader="none" w:pos="464"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884" w:hanging="884"/>
        <w:spacing w:after="0" w:line="286" w:lineRule="auto"/>
        <w:tabs>
          <w:tab w:leader="none" w:pos="452" w:val="left"/>
        </w:tabs>
        <w:numPr>
          <w:ilvl w:val="0"/>
          <w:numId w:val="106"/>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884" w:right="240" w:hanging="884"/>
        <w:spacing w:after="0" w:line="277" w:lineRule="auto"/>
        <w:tabs>
          <w:tab w:leader="none" w:pos="452"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884" w:right="160" w:hanging="884"/>
        <w:spacing w:after="0" w:line="277" w:lineRule="auto"/>
        <w:tabs>
          <w:tab w:leader="none" w:pos="452"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464" w:hanging="464"/>
        <w:spacing w:after="0"/>
        <w:tabs>
          <w:tab w:leader="none" w:pos="464"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262890</wp:posOffset>
            </wp:positionV>
            <wp:extent cx="27946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14605</wp:posOffset>
            </wp:positionV>
            <wp:extent cx="15855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must be guaranteed by a</w:t>
      </w:r>
    </w:p>
    <w:p>
      <w:pPr>
        <w:spacing w:after="0" w:line="23"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004"/>
          </w:cols>
          <w:pgMar w:left="436" w:top="274"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 – 10</w:t>
      </w:r>
    </w:p>
    <w:p>
      <w:pPr>
        <w:sectPr>
          <w:pgSz w:w="11900" w:h="16838" w:orient="portrait"/>
          <w:cols w:equalWidth="0" w:num="1">
            <w:col w:w="10820"/>
          </w:cols>
          <w:pgMar w:left="440" w:top="274" w:right="6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154" w:lineRule="exact"/>
        <w:rPr>
          <w:sz w:val="20"/>
          <w:szCs w:val="20"/>
          <w:color w:val="auto"/>
        </w:rPr>
      </w:pPr>
    </w:p>
    <w:p>
      <w:pPr>
        <w:ind w:left="960" w:hanging="532"/>
        <w:spacing w:after="0"/>
        <w:tabs>
          <w:tab w:leader="none" w:pos="960" w:val="left"/>
        </w:tabs>
        <w:numPr>
          <w:ilvl w:val="0"/>
          <w:numId w:val="107"/>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15855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Signature must be guaranteed by a</w:t>
      </w:r>
    </w:p>
    <w:p>
      <w:pPr>
        <w:spacing w:after="0" w:line="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640" w:right="200"/>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A-5 – 11</w:t>
      </w:r>
    </w:p>
    <w:p>
      <w:pPr>
        <w:sectPr>
          <w:pgSz w:w="11900" w:h="16838" w:orient="portrait"/>
          <w:cols w:equalWidth="0" w:num="2">
            <w:col w:w="4460" w:space="720"/>
            <w:col w:w="5840"/>
          </w:cols>
          <w:pgMar w:left="440" w:top="274" w:right="439" w:bottom="144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Trustee or Notes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20"/>
              <w:spacing w:after="0"/>
              <w:rPr>
                <w:sz w:val="20"/>
                <w:szCs w:val="20"/>
                <w:color w:val="auto"/>
              </w:rPr>
            </w:pPr>
            <w:r>
              <w:rPr>
                <w:rFonts w:ascii="Arial" w:cs="Arial" w:eastAsia="Arial" w:hAnsi="Arial"/>
                <w:sz w:val="18"/>
                <w:szCs w:val="18"/>
                <w:color w:val="auto"/>
              </w:rPr>
              <w:t>A-5 – 12</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52"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 SENIOR NOTE DUE 2050</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2050.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020"/>
          </w:cols>
          <w:pgMar w:left="440" w:top="274" w:right="4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0080"/>
          </w:cols>
          <w:pgMar w:left="880" w:top="274" w:right="939" w:bottom="1440" w:gutter="0" w:footer="0" w:header="0"/>
        </w:sectPr>
      </w:pPr>
    </w:p>
    <w:bookmarkStart w:id="149" w:name="page150"/>
    <w:bookmarkEnd w:id="149"/>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4.000% Senior Notes due 2050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0019"/>
          </w:cols>
          <w:pgMar w:left="440" w:top="274" w:right="1440"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4.000% SENIOR NOTE DUE 2050</w:t>
      </w:r>
    </w:p>
    <w:p>
      <w:pPr>
        <w:spacing w:after="0" w:line="117" w:lineRule="exact"/>
        <w:rPr>
          <w:sz w:val="20"/>
          <w:szCs w:val="20"/>
          <w:color w:val="auto"/>
        </w:rPr>
      </w:pPr>
    </w:p>
    <w:p>
      <w:pPr>
        <w:ind w:right="20" w:firstLine="436"/>
        <w:spacing w:after="0" w:line="293"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4.000% per annum. Interest on the 4.000% Senior Notes due 2050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40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0960"/>
          </w:cols>
          <w:pgMar w:left="440" w:top="274" w:right="499" w:bottom="1440" w:gutter="0" w:footer="0" w:header="0"/>
        </w:sectPr>
      </w:pPr>
    </w:p>
    <w:bookmarkStart w:id="151" w:name="page152"/>
    <w:bookmarkEnd w:id="151"/>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60" w:firstLine="436"/>
        <w:spacing w:after="0" w:line="259" w:lineRule="auto"/>
        <w:tabs>
          <w:tab w:leader="none" w:pos="77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000"/>
          </w:cols>
          <w:pgMar w:left="440" w:top="274" w:right="459" w:bottom="1440" w:gutter="0" w:footer="0" w:header="0"/>
        </w:sectPr>
      </w:pPr>
    </w:p>
    <w:bookmarkStart w:id="152" w:name="page153"/>
    <w:bookmarkEnd w:id="152"/>
    <w:p>
      <w:pPr>
        <w:ind w:right="20" w:firstLine="436"/>
        <w:spacing w:after="0" w:line="342" w:lineRule="auto"/>
        <w:tabs>
          <w:tab w:leader="none" w:pos="78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Successor Entity</w:t>
      </w:r>
      <w:r>
        <w:rPr>
          <w:rFonts w:ascii="Arial" w:cs="Arial" w:eastAsia="Arial" w:hAnsi="Arial"/>
          <w:sz w:val="16"/>
          <w:szCs w:val="16"/>
          <w:color w:val="auto"/>
        </w:rPr>
        <w:t>.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right="260" w:firstLine="436"/>
        <w:spacing w:after="0" w:line="263"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020"/>
          </w:cols>
          <w:pgMar w:left="440" w:top="274" w:right="4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Sanjeev Narula</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(646) 441-5757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Michael S. Benn</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Sanjeev Narula and Thomas Salus</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9580"/>
          </w:cols>
          <w:pgMar w:left="880" w:top="274" w:right="14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4"/>
              </w:rPr>
              <w:t>Date: ________________________________________</w:t>
            </w:r>
          </w:p>
        </w:tc>
        <w:tc>
          <w:tcPr>
            <w:tcW w:w="6780" w:type="dxa"/>
            <w:vAlign w:val="bottom"/>
            <w:gridSpan w:val="2"/>
          </w:tcPr>
          <w:p>
            <w:pPr>
              <w:ind w:left="740"/>
              <w:spacing w:after="0"/>
              <w:rPr>
                <w:sz w:val="20"/>
                <w:szCs w:val="20"/>
                <w:color w:val="auto"/>
              </w:rPr>
            </w:pPr>
            <w:r>
              <w:rPr>
                <w:rFonts w:ascii="Arial" w:cs="Arial" w:eastAsia="Arial" w:hAnsi="Arial"/>
                <w:sz w:val="18"/>
                <w:szCs w:val="18"/>
                <w:color w:val="auto"/>
              </w:rPr>
              <w:t>Your Signature:</w:t>
            </w:r>
          </w:p>
        </w:tc>
      </w:tr>
      <w:tr>
        <w:trPr>
          <w:trHeight w:val="209"/>
        </w:trPr>
        <w:tc>
          <w:tcPr>
            <w:tcW w:w="4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 exactly as your name</w:t>
            </w:r>
          </w:p>
        </w:tc>
      </w:tr>
      <w:tr>
        <w:trPr>
          <w:trHeight w:val="230"/>
        </w:trPr>
        <w:tc>
          <w:tcPr>
            <w:tcW w:w="4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appears on the face of this Note)</w:t>
            </w:r>
          </w:p>
        </w:tc>
      </w:tr>
      <w:tr>
        <w:trPr>
          <w:trHeight w:val="446"/>
        </w:trPr>
        <w:tc>
          <w:tcPr>
            <w:tcW w:w="4240" w:type="dxa"/>
            <w:vAlign w:val="bottom"/>
          </w:tcPr>
          <w:p>
            <w:pPr>
              <w:spacing w:after="0"/>
              <w:rPr>
                <w:sz w:val="20"/>
                <w:szCs w:val="20"/>
                <w:color w:val="auto"/>
              </w:rPr>
            </w:pPr>
            <w:r>
              <w:rPr>
                <w:rFonts w:ascii="Arial" w:cs="Arial" w:eastAsia="Arial" w:hAnsi="Arial"/>
                <w:sz w:val="18"/>
                <w:szCs w:val="18"/>
                <w:color w:val="auto"/>
                <w:w w:val="94"/>
              </w:rPr>
              <w:t>Signature Guarantee: ___________________________</w:t>
            </w:r>
          </w:p>
        </w:tc>
        <w:tc>
          <w:tcPr>
            <w:tcW w:w="21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2"/>
        </w:trPr>
        <w:tc>
          <w:tcPr>
            <w:tcW w:w="4240" w:type="dxa"/>
            <w:vAlign w:val="bottom"/>
          </w:tcPr>
          <w:p>
            <w:pPr>
              <w:spacing w:after="0"/>
              <w:rPr>
                <w:sz w:val="24"/>
                <w:szCs w:val="24"/>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SIGNATURE GUARANTEE</w:t>
            </w:r>
          </w:p>
        </w:tc>
      </w:tr>
    </w:tbl>
    <w:p>
      <w:pPr>
        <w:spacing w:after="0" w:line="202"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020"/>
          </w:cols>
          <w:pgMar w:left="440" w:top="274" w:right="439" w:bottom="1440" w:gutter="0" w:footer="0" w:header="0"/>
        </w:sectPr>
      </w:pPr>
    </w:p>
    <w:bookmarkStart w:id="155" w:name="page156"/>
    <w:bookmarkEnd w:id="15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84" w:hanging="384"/>
        <w:spacing w:after="0"/>
        <w:tabs>
          <w:tab w:leader="none" w:pos="38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384" w:hanging="384"/>
        <w:spacing w:after="0"/>
        <w:tabs>
          <w:tab w:leader="none" w:pos="38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84" w:hanging="384"/>
        <w:spacing w:after="0"/>
        <w:tabs>
          <w:tab w:leader="none" w:pos="38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884" w:hanging="884"/>
        <w:spacing w:after="0" w:line="286" w:lineRule="auto"/>
        <w:tabs>
          <w:tab w:leader="none" w:pos="371" w:val="left"/>
        </w:tabs>
        <w:numPr>
          <w:ilvl w:val="0"/>
          <w:numId w:val="111"/>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884" w:right="240" w:hanging="884"/>
        <w:spacing w:after="0" w:line="277" w:lineRule="auto"/>
        <w:tabs>
          <w:tab w:leader="none" w:pos="371"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884" w:right="160" w:hanging="884"/>
        <w:spacing w:after="0" w:line="277" w:lineRule="auto"/>
        <w:tabs>
          <w:tab w:leader="none" w:pos="371"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384" w:hanging="384"/>
        <w:spacing w:after="0"/>
        <w:tabs>
          <w:tab w:leader="none" w:pos="38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262890</wp:posOffset>
            </wp:positionV>
            <wp:extent cx="27946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14605</wp:posOffset>
            </wp:positionV>
            <wp:extent cx="22974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Signature must be guaranteed by a participant in a</w:t>
      </w:r>
    </w:p>
    <w:p>
      <w:pPr>
        <w:spacing w:after="0" w:line="23"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recognized signature guaranty medallion program</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or other signature guarantor acceptable to the</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Trustee</w:t>
      </w:r>
    </w:p>
    <w:p>
      <w:pPr>
        <w:spacing w:after="0" w:line="15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004"/>
          </w:cols>
          <w:pgMar w:left="436" w:top="274"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15430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Signature Guarantee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15430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 – 10</w:t>
      </w:r>
    </w:p>
    <w:p>
      <w:pPr>
        <w:sectPr>
          <w:pgSz w:w="11900" w:h="16838" w:orient="portrait"/>
          <w:cols w:equalWidth="0" w:num="1">
            <w:col w:w="10820"/>
          </w:cols>
          <w:pgMar w:left="440" w:top="274" w:right="6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248" w:lineRule="exact"/>
        <w:rPr>
          <w:sz w:val="20"/>
          <w:szCs w:val="20"/>
          <w:color w:val="auto"/>
        </w:rPr>
      </w:pPr>
    </w:p>
    <w:p>
      <w:pPr>
        <w:ind w:left="640" w:hanging="204"/>
        <w:spacing w:after="0"/>
        <w:tabs>
          <w:tab w:leader="none" w:pos="640" w:val="left"/>
        </w:tabs>
        <w:numPr>
          <w:ilvl w:val="0"/>
          <w:numId w:val="112"/>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3145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14605</wp:posOffset>
            </wp:positionV>
            <wp:extent cx="209994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16" w:lineRule="exact"/>
        <w:rPr>
          <w:sz w:val="20"/>
          <w:szCs w:val="20"/>
          <w:color w:val="auto"/>
        </w:rPr>
      </w:pPr>
    </w:p>
    <w:p>
      <w:pPr>
        <w:ind w:left="1580"/>
        <w:spacing w:after="0" w:line="301" w:lineRule="auto"/>
        <w:rPr>
          <w:sz w:val="20"/>
          <w:szCs w:val="20"/>
          <w:color w:val="auto"/>
        </w:rPr>
      </w:pPr>
      <w:r>
        <w:rPr>
          <w:rFonts w:ascii="Arial" w:cs="Arial" w:eastAsia="Arial" w:hAnsi="Arial"/>
          <w:sz w:val="16"/>
          <w:szCs w:val="16"/>
          <w:color w:val="auto"/>
        </w:rPr>
        <w:t>Signature must be guaranteed by a participant in a recognized signature guaranty medallion program or other signature guarantor acceptable to the 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100" w:right="280"/>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A-6 – 11</w:t>
      </w:r>
    </w:p>
    <w:p>
      <w:pPr>
        <w:sectPr>
          <w:pgSz w:w="11900" w:h="16838" w:orient="portrait"/>
          <w:cols w:equalWidth="0" w:num="2">
            <w:col w:w="4880" w:space="300"/>
            <w:col w:w="5840"/>
          </w:cols>
          <w:pgMar w:left="440" w:top="274" w:right="4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Trustee or Notes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20"/>
              <w:spacing w:after="0"/>
              <w:rPr>
                <w:sz w:val="20"/>
                <w:szCs w:val="20"/>
                <w:color w:val="auto"/>
              </w:rPr>
            </w:pPr>
            <w:r>
              <w:rPr>
                <w:rFonts w:ascii="Arial" w:cs="Arial" w:eastAsia="Arial" w:hAnsi="Arial"/>
                <w:sz w:val="18"/>
                <w:szCs w:val="18"/>
                <w:color w:val="auto"/>
              </w:rPr>
              <w:t>A-6 – 12</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144A SECURITIES AND OTHER SECURITIES THAT 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SECURITIES]</w:t>
      </w:r>
    </w:p>
    <w:p>
      <w:pPr>
        <w:spacing w:after="0" w:line="21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THE ORIGINAL ISSUE DATE OF THE ISSUANCE OF ANY ADDITIONAL NOTES AND THE LAST DATE ON WHICH THE ISSUER OR ANY AFFILIATE OF THE ISSUER WAS THE OWNER OF THIS SECURITY (OR ANY PREDECESSOR OF SUCH SECURITY), ONLY (A) TO UPJOHN INC. OR ANY OF ITS SUBSIDIARIES,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UPJOHN INC.’S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 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UNDER ERISA OR ANY SIMILAR LAW OR (2) THE ACQUISITION AND HOLDING OF THIS SECURITY WILL NOT CONSTITUTE A NON- EXEMPT PROHIBITED TRANSACTION UNDER SECTION 406 OF ERISA OR SECTION 4975 OF THE CODE OR A SIMILAR VIOLATION UNDER ANY APPLICABLE SIMILAR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020"/>
          </w:cols>
          <w:pgMar w:left="440" w:top="274" w:right="4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ASSIGNMENT FOR 144A SECURITIES AND OTHER SECURITIES THAT 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firstLine="436"/>
        <w:spacing w:after="0" w:line="277" w:lineRule="auto"/>
        <w:tabs>
          <w:tab w:leader="none" w:pos="647" w:val="left"/>
        </w:tabs>
        <w:numPr>
          <w:ilvl w:val="0"/>
          <w:numId w:val="113"/>
        </w:numPr>
        <w:rPr>
          <w:rFonts w:ascii="MS PGothic" w:cs="MS PGothic" w:eastAsia="MS PGothic" w:hAnsi="MS PGothic"/>
          <w:sz w:val="18"/>
          <w:szCs w:val="18"/>
          <w:color w:val="auto"/>
        </w:rPr>
      </w:pPr>
      <w:r>
        <w:rPr>
          <w:rFonts w:ascii="Arial" w:cs="Arial" w:eastAsia="Arial" w:hAnsi="Arial"/>
          <w:sz w:val="18"/>
          <w:szCs w:val="18"/>
          <w:color w:val="auto"/>
        </w:rPr>
        <w:t>(a) This Note is being transferred in compliance with the exemption from registration under the Securities Act of 1933, as amended provided by Rule 144A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380" w:firstLine="436"/>
        <w:spacing w:after="0" w:line="277" w:lineRule="auto"/>
        <w:tabs>
          <w:tab w:leader="none" w:pos="647"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(b) This Note is being transferred other than in accordance with clause (a) above and documents are being furnished to the Registrar which comply with the conditions of transfer set forth in this Note and the Indenture.</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If none of the foregoing boxes is checked, the Trustee or Registrar shall not be obligated to register this Note in the name of any person other than the Holder hereof unless and until the conditions to any such transfer of registration set forth herein and in Sections 2.07, 2.16 and 2.17 of the Indenture shall have been satisfied.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Date: ____________________</w:t>
            </w: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Your Signature:</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(Sign exactly as your name appears on the other side of the</w:t>
            </w:r>
          </w:p>
        </w:tc>
        <w:tc>
          <w:tcPr>
            <w:tcW w:w="0" w:type="dxa"/>
            <w:vAlign w:val="bottom"/>
          </w:tcPr>
          <w:p>
            <w:pPr>
              <w:spacing w:after="0"/>
              <w:rPr>
                <w:sz w:val="1"/>
                <w:szCs w:val="1"/>
                <w:color w:val="auto"/>
              </w:rPr>
            </w:pPr>
          </w:p>
        </w:tc>
      </w:tr>
      <w:tr>
        <w:trPr>
          <w:trHeight w:val="230"/>
        </w:trPr>
        <w:tc>
          <w:tcPr>
            <w:tcW w:w="4780" w:type="dxa"/>
            <w:vAlign w:val="bottom"/>
            <w:vMerge w:val="restart"/>
          </w:tcPr>
          <w:p>
            <w:pPr>
              <w:spacing w:after="0"/>
              <w:rPr>
                <w:sz w:val="20"/>
                <w:szCs w:val="20"/>
                <w:color w:val="auto"/>
              </w:rPr>
            </w:pPr>
            <w:r>
              <w:rPr>
                <w:rFonts w:ascii="Arial" w:cs="Arial" w:eastAsia="Arial" w:hAnsi="Arial"/>
                <w:sz w:val="18"/>
                <w:szCs w:val="18"/>
                <w:color w:val="auto"/>
                <w:w w:val="97"/>
              </w:rPr>
              <w:t>Signature Guarantee: _______________________________</w:t>
            </w:r>
          </w:p>
        </w:tc>
        <w:tc>
          <w:tcPr>
            <w:tcW w:w="18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TRANSFEROR IF (a) ABOVE IS CHECKED</w:t>
      </w:r>
    </w:p>
    <w:p>
      <w:pPr>
        <w:spacing w:after="0" w:line="225"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The transfer is being effected pursuant to and in accordance with Rule 144A under the Securities Act of 1933, and, accordingly, the transferor hereby further certifies that the beneficial interest or certificated Note is being transferred to a Person that the transferor reasonably believed and believes is purchasing the beneficial interest or certificated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1020"/>
          </w:cols>
          <w:pgMar w:left="440" w:top="274" w:right="439" w:bottom="1440" w:gutter="0" w:footer="0" w:header="0"/>
        </w:sectPr>
      </w:pPr>
    </w:p>
    <w:bookmarkStart w:id="161" w:name="page162"/>
    <w:bookmarkEnd w:id="161"/>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compliance with any applicable securities laws of any state of the United States. Upon consummation of the proposed transfer in accordance with the terms of the Indenture, the transferred beneficial interest or certificated Note will be subject to the restrictions on transfer enumerated on the Rule 144A Notes and/or the certificated Note and in the Indenture and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66351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 – 3</w:t>
      </w:r>
    </w:p>
    <w:p>
      <w:pPr>
        <w:sectPr>
          <w:pgSz w:w="11900" w:h="16838" w:orient="portrait"/>
          <w:cols w:equalWidth="0" w:num="1">
            <w:col w:w="10920"/>
          </w:cols>
          <w:pgMar w:left="440" w:top="274" w:right="5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REGULATION S NOTE]</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ORIGINAL ISSUE DATE HEREOF AND THE DATE ON WHICH THIS SECURITY (OR ANY PREDECESSOR OF SUCH SECURITY) WAS FIRST OFFERED TO PERSONS OTHER THAN DISTRIBUTORS (AS DEFINED IN RULE 902 OF REGULATION S) IN RELIANCE ON REGULATION S, ONLY (A) TO UPJOHN INC. OR ANY OF ITS SUBSIDIARIES,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UPJOHN INC.’S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 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UNDER ERISA OR ANY SIMILAR LAW OR (2) THE ACQUISITION AND HOLDING OF THIS SECURITY WILL NOT CONSTITUTE A NON-EXEMPT PROHIBITED TRANSACTION UNDER SECTION 406 OF ERISA OR SECTION 4975 OF THE CODE OR A SIMILAR VIOLATION UNDER ANY APPLICABLE SIMILAR LAW.”</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ectPr>
          <w:pgSz w:w="11900" w:h="16838" w:orient="portrait"/>
          <w:cols w:equalWidth="0" w:num="1">
            <w:col w:w="11020"/>
          </w:cols>
          <w:pgMar w:left="440" w:top="274" w:right="4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ASSIGNMENT FOR REGULATION 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right="180" w:firstLine="436"/>
        <w:spacing w:after="0" w:line="277" w:lineRule="auto"/>
        <w:tabs>
          <w:tab w:leader="none" w:pos="647" w:val="left"/>
        </w:tabs>
        <w:numPr>
          <w:ilvl w:val="0"/>
          <w:numId w:val="115"/>
        </w:numPr>
        <w:rPr>
          <w:rFonts w:ascii="MS PGothic" w:cs="MS PGothic" w:eastAsia="MS PGothic" w:hAnsi="MS PGothic"/>
          <w:sz w:val="18"/>
          <w:szCs w:val="18"/>
          <w:color w:val="auto"/>
        </w:rPr>
      </w:pPr>
      <w:r>
        <w:rPr>
          <w:rFonts w:ascii="Arial" w:cs="Arial" w:eastAsia="Arial" w:hAnsi="Arial"/>
          <w:sz w:val="18"/>
          <w:szCs w:val="18"/>
          <w:color w:val="auto"/>
        </w:rPr>
        <w:t>(a) This Note is being transferred in compliance with the exemption from registration under the Securities Act of 1933, as amended, provided by Rule 903 or Rule 904 under the Securities Act of 1933,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380" w:firstLine="436"/>
        <w:spacing w:after="0" w:line="277" w:lineRule="auto"/>
        <w:tabs>
          <w:tab w:leader="none" w:pos="647" w:val="left"/>
        </w:tabs>
        <w:numPr>
          <w:ilvl w:val="0"/>
          <w:numId w:val="116"/>
        </w:numPr>
        <w:rPr>
          <w:rFonts w:ascii="MS PGothic" w:cs="MS PGothic" w:eastAsia="MS PGothic" w:hAnsi="MS PGothic"/>
          <w:sz w:val="18"/>
          <w:szCs w:val="18"/>
          <w:color w:val="auto"/>
        </w:rPr>
      </w:pPr>
      <w:r>
        <w:rPr>
          <w:rFonts w:ascii="Arial" w:cs="Arial" w:eastAsia="Arial" w:hAnsi="Arial"/>
          <w:sz w:val="18"/>
          <w:szCs w:val="18"/>
          <w:color w:val="auto"/>
        </w:rPr>
        <w:t>(b) This Note is being transferred other than in accordance with clause (a) above and documents are being furnished to the Registrar which comply with the conditions of transfer set forth in this Note and the Indenture.</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If none of the foregoing boxes is checked, the Trustee or Registrar shall not be obligated to register this Note in the name of any person other than the Holder hereof unless and until the conditions to any such transfer of registration set forth herein and in Sections 2.07, 2.16 and 2.17 of the Indenture shall have been satisfied.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Date: __________________________________</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Your Signature:</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 exactly as your name appears on the</w:t>
            </w:r>
          </w:p>
        </w:tc>
        <w:tc>
          <w:tcPr>
            <w:tcW w:w="0" w:type="dxa"/>
            <w:vAlign w:val="bottom"/>
          </w:tcPr>
          <w:p>
            <w:pPr>
              <w:spacing w:after="0"/>
              <w:rPr>
                <w:sz w:val="1"/>
                <w:szCs w:val="1"/>
                <w:color w:val="auto"/>
              </w:rPr>
            </w:pPr>
          </w:p>
        </w:tc>
      </w:tr>
      <w:tr>
        <w:trPr>
          <w:trHeight w:val="230"/>
        </w:trPr>
        <w:tc>
          <w:tcPr>
            <w:tcW w:w="4860" w:type="dxa"/>
            <w:vAlign w:val="bottom"/>
            <w:vMerge w:val="restart"/>
          </w:tcPr>
          <w:p>
            <w:pPr>
              <w:spacing w:after="0"/>
              <w:rPr>
                <w:sz w:val="20"/>
                <w:szCs w:val="20"/>
                <w:color w:val="auto"/>
              </w:rPr>
            </w:pPr>
            <w:r>
              <w:rPr>
                <w:rFonts w:ascii="Arial" w:cs="Arial" w:eastAsia="Arial" w:hAnsi="Arial"/>
                <w:sz w:val="18"/>
                <w:szCs w:val="18"/>
                <w:color w:val="auto"/>
                <w:w w:val="93"/>
              </w:rPr>
              <w:t>Signature Guarantee: __________________________________</w:t>
            </w:r>
          </w:p>
        </w:tc>
        <w:tc>
          <w:tcPr>
            <w:tcW w:w="1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face of this Note)</w:t>
            </w:r>
          </w:p>
        </w:tc>
        <w:tc>
          <w:tcPr>
            <w:tcW w:w="0" w:type="dxa"/>
            <w:vAlign w:val="bottom"/>
          </w:tcPr>
          <w:p>
            <w:pPr>
              <w:spacing w:after="0"/>
              <w:rPr>
                <w:sz w:val="1"/>
                <w:szCs w:val="1"/>
                <w:color w:val="auto"/>
              </w:rPr>
            </w:pPr>
          </w:p>
        </w:tc>
      </w:tr>
      <w:tr>
        <w:trPr>
          <w:trHeight w:val="229"/>
        </w:trPr>
        <w:tc>
          <w:tcPr>
            <w:tcW w:w="486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TRANSFEROR IF (a) ABOVE IS CHECKED</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transfer is being effected pursuant to and in accordance with Rule 903 or Rule 904 under the Securities Act of 1933, as amended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2</w:t>
      </w:r>
    </w:p>
    <w:p>
      <w:pPr>
        <w:sectPr>
          <w:pgSz w:w="11900" w:h="16838" w:orient="portrait"/>
          <w:cols w:equalWidth="0" w:num="1">
            <w:col w:w="11020"/>
          </w:cols>
          <w:pgMar w:left="440" w:top="274" w:right="439" w:bottom="1440" w:gutter="0" w:footer="0" w:header="0"/>
        </w:sectPr>
      </w:pPr>
    </w:p>
    <w:bookmarkStart w:id="164" w:name="page165"/>
    <w:bookmarkEnd w:id="16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under Regulation S, the transfer is not being made to a U.S. Person or for the account or benefit of a U.S. Person (other than an initial purchaser). Upon consummation of the proposed transfer in accordance with the terms of the Indenture, the transferred beneficial interest or certificated Note will be subject to the restrictions on transfer enumerated on the Regulation S Notes and/or the certificated Note and in the Indenture and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66351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3</w:t>
      </w:r>
    </w:p>
    <w:p>
      <w:pPr>
        <w:sectPr>
          <w:pgSz w:w="11900" w:h="16838" w:orient="portrait"/>
          <w:cols w:equalWidth="0" w:num="1">
            <w:col w:w="10980"/>
          </w:cols>
          <w:pgMar w:left="440" w:top="274" w:right="47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GLOBAL NOTE]</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Any Global Note authenticated and delivered hereunder shall bear a legend (which would be in addition to any other legends required in the case of a Restricted Note) in substantially the following form:</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NOTE IS A GLOBAL NOTE WITHIN THE MEANING OF THE INDENTURE HEREINAFTER REFERRED TO AND IS REGISTERED IN THE NAME OF A DEPOSITARY OR A NOMINEE OF A DEPOSITARY. THIS NOTE IS NOT EXCHANGEABLE FOR NOTES REGISTERED IN THE NAME OF A PERSON OTHER THAN THE DEPOSITARY OR ITS NOMINEE EXCEPT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THE LIMITED CIRCUMSTANCES DESCRIBED IN THE INDENTURE.</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DEPOSITARY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1</w:t>
      </w:r>
    </w:p>
    <w:p>
      <w:pPr>
        <w:sectPr>
          <w:pgSz w:w="11900" w:h="16838" w:orient="portrait"/>
          <w:cols w:equalWidth="0" w:num="1">
            <w:col w:w="11020"/>
          </w:cols>
          <w:pgMar w:left="440" w:top="274" w:right="4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 — Corporate Finance Unit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 - Corporate Finance Unit</w:t>
      </w:r>
    </w:p>
    <w:p>
      <w:pPr>
        <w:spacing w:after="0" w:line="13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[1.125% Senior Notes due 2022 / 1.650% Senior Notes due 2025 / 2.300% Senior Notes due 2027 / 2.700% Senior Notes due 2030 /</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3.850% Senior Notes due 2040 / 4.000% Senior Notes due 2050]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In connection with our proposed sale of $[ ] aggregate principal amount of the Notes, we confirm that such sale has been effected pursuant to and in accordance with Regulation S under the U.S.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accordingly, we represent that:</w:t>
      </w:r>
    </w:p>
    <w:p>
      <w:pPr>
        <w:spacing w:after="0" w:line="16" w:lineRule="exact"/>
        <w:rPr>
          <w:sz w:val="20"/>
          <w:szCs w:val="20"/>
          <w:color w:val="auto"/>
        </w:rPr>
      </w:pPr>
    </w:p>
    <w:p>
      <w:pPr>
        <w:ind w:left="700" w:hanging="264"/>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offer of the Notes was not made to a U.S. person or to a person in the United States;</w:t>
      </w:r>
    </w:p>
    <w:p>
      <w:pPr>
        <w:spacing w:after="0" w:line="117"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either (a) at the time the buy offer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 directed selling efforts have been made in the United States in contravention of the requirements of Rule 904(a) of Regulation S;</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have advised the transferee of the transfer restrictions applicable to the Notes.</w:t>
      </w:r>
    </w:p>
    <w:p>
      <w:pPr>
        <w:spacing w:after="0" w:line="22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1</w:t>
      </w:r>
    </w:p>
    <w:p>
      <w:pPr>
        <w:sectPr>
          <w:pgSz w:w="11900" w:h="16838" w:orient="portrait"/>
          <w:cols w:equalWidth="0" w:num="1">
            <w:col w:w="11020"/>
          </w:cols>
          <w:pgMar w:left="440" w:top="274" w:right="4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ACQUIRING INSTITUTIONAL ACCREDITED INVESTOR]</w:t>
      </w:r>
    </w:p>
    <w:p>
      <w:pPr>
        <w:sectPr>
          <w:pgSz w:w="11900" w:h="16838" w:orient="portrait"/>
          <w:cols w:equalWidth="0" w:num="1">
            <w:col w:w="11020"/>
          </w:cols>
          <w:pgMar w:left="440" w:top="274" w:right="4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Prior to the consummation of the Combination: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Sanjeev Narula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Trust Division — Corporate Finance Unit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From and after the consummation of the Combination: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Sanjeev.Narula@pfizer.com and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thomas.salus@mylan.com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Trust Division — Corporate Finance Unit</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74"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[1.125% Senior Notes due 2022 / 1.650% Senior Notes due 2025 / 2.300% Senior Notes due 2027 / 2.700% Senior Notes due 2030 /</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3.850% Senior Notes due 2040 / 4.000% Senior Notes due 2050]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4"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Reference is hereby made to the Indenture, dated as of June 22, 2020 (the “</w:t>
      </w:r>
      <w:r>
        <w:rPr>
          <w:rFonts w:ascii="Arial" w:cs="Arial" w:eastAsia="Arial" w:hAnsi="Arial"/>
          <w:sz w:val="16"/>
          <w:szCs w:val="16"/>
          <w:i w:val="1"/>
          <w:iCs w:val="1"/>
          <w:color w:val="auto"/>
        </w:rPr>
        <w:t>Indenture</w:t>
      </w:r>
      <w:r>
        <w:rPr>
          <w:rFonts w:ascii="Arial" w:cs="Arial" w:eastAsia="Arial" w:hAnsi="Arial"/>
          <w:sz w:val="16"/>
          <w:szCs w:val="16"/>
          <w:color w:val="auto"/>
        </w:rPr>
        <w:t>”), between Upjohn Inc., as issuer (the “</w:t>
      </w:r>
      <w:r>
        <w:rPr>
          <w:rFonts w:ascii="Arial" w:cs="Arial" w:eastAsia="Arial" w:hAnsi="Arial"/>
          <w:sz w:val="16"/>
          <w:szCs w:val="16"/>
          <w:i w:val="1"/>
          <w:iCs w:val="1"/>
          <w:color w:val="auto"/>
        </w:rPr>
        <w:t>Company</w:t>
      </w:r>
      <w:r>
        <w:rPr>
          <w:rFonts w:ascii="Arial" w:cs="Arial" w:eastAsia="Arial" w:hAnsi="Arial"/>
          <w:sz w:val="16"/>
          <w:szCs w:val="16"/>
          <w:color w:val="auto"/>
        </w:rPr>
        <w:t>”), and The Bank of New York Mellon, as trustee. Capitalized terms used but not defined herein shall have the meanings given to them in the Indenture.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our proposed purchase of $ [ ] aggregate principal amount of:</w:t>
      </w:r>
    </w:p>
    <w:p>
      <w:pPr>
        <w:spacing w:after="0" w:line="117" w:lineRule="exact"/>
        <w:rPr>
          <w:sz w:val="20"/>
          <w:szCs w:val="20"/>
          <w:color w:val="auto"/>
        </w:rPr>
      </w:pPr>
    </w:p>
    <w:p>
      <w:pPr>
        <w:ind w:left="1100" w:hanging="241"/>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 a beneficial interest in a Global Note,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 a Definitive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117" w:lineRule="exact"/>
        <w:rPr>
          <w:sz w:val="20"/>
          <w:szCs w:val="20"/>
          <w:color w:val="auto"/>
        </w:rPr>
      </w:pPr>
    </w:p>
    <w:p>
      <w:pPr>
        <w:jc w:val="both"/>
        <w:ind w:left="440" w:right="100" w:firstLine="419"/>
        <w:spacing w:after="0" w:line="286" w:lineRule="auto"/>
        <w:tabs>
          <w:tab w:leader="none" w:pos="104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40" w:right="220" w:firstLine="419"/>
        <w:spacing w:after="0" w:line="286" w:lineRule="auto"/>
        <w:tabs>
          <w:tab w:leader="none" w:pos="104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understand that the offer and sale of the Notes has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prior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020"/>
          </w:cols>
          <w:pgMar w:left="440" w:top="274" w:right="439" w:bottom="1440" w:gutter="0" w:footer="0" w:header="0"/>
          <w:type w:val="continuous"/>
        </w:sectPr>
      </w:pPr>
    </w:p>
    <w:bookmarkStart w:id="168" w:name="page169"/>
    <w:bookmarkEnd w:id="168"/>
    <w:p>
      <w:pPr>
        <w:ind w:left="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expiration of the holding period applicable to sales of the Notes under Rule 144 of the Securities Act,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77" w:lineRule="exact"/>
        <w:rPr>
          <w:sz w:val="20"/>
          <w:szCs w:val="20"/>
          <w:color w:val="auto"/>
        </w:rPr>
      </w:pPr>
    </w:p>
    <w:p>
      <w:pPr>
        <w:ind w:left="440" w:right="120" w:firstLine="419"/>
        <w:spacing w:after="0" w:line="311" w:lineRule="auto"/>
        <w:tabs>
          <w:tab w:leader="none" w:pos="104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40" w:lineRule="exact"/>
        <w:rPr>
          <w:rFonts w:ascii="Arial" w:cs="Arial" w:eastAsia="Arial" w:hAnsi="Arial"/>
          <w:sz w:val="16"/>
          <w:szCs w:val="16"/>
          <w:color w:val="auto"/>
        </w:rPr>
      </w:pPr>
    </w:p>
    <w:p>
      <w:pPr>
        <w:ind w:left="440" w:right="80" w:firstLine="419"/>
        <w:spacing w:after="0" w:line="286" w:lineRule="auto"/>
        <w:tabs>
          <w:tab w:leader="none" w:pos="104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57" w:lineRule="exact"/>
        <w:rPr>
          <w:rFonts w:ascii="Arial" w:cs="Arial" w:eastAsia="Arial" w:hAnsi="Arial"/>
          <w:sz w:val="17"/>
          <w:szCs w:val="17"/>
          <w:color w:val="auto"/>
        </w:rPr>
      </w:pPr>
    </w:p>
    <w:p>
      <w:pPr>
        <w:ind w:left="440" w:right="60" w:firstLine="419"/>
        <w:spacing w:after="0" w:line="277" w:lineRule="auto"/>
        <w:tabs>
          <w:tab w:leader="none" w:pos="104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142875</wp:posOffset>
            </wp:positionV>
            <wp:extent cx="27946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 of Transferor]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0980"/>
          </w:cols>
          <w:pgMar w:left="440" w:top="274" w:right="4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Each of the undersigned (collectively, the “</w:t>
      </w:r>
      <w:r>
        <w:rPr>
          <w:rFonts w:ascii="Arial" w:cs="Arial" w:eastAsia="Arial" w:hAnsi="Arial"/>
          <w:sz w:val="18"/>
          <w:szCs w:val="18"/>
          <w:i w:val="1"/>
          <w:iCs w:val="1"/>
          <w:color w:val="auto"/>
        </w:rPr>
        <w:t>Guarantors</w:t>
      </w:r>
      <w:r>
        <w:rPr>
          <w:rFonts w:ascii="Arial" w:cs="Arial" w:eastAsia="Arial" w:hAnsi="Arial"/>
          <w:sz w:val="18"/>
          <w:szCs w:val="18"/>
          <w:color w:val="auto"/>
        </w:rPr>
        <w:t>”) have guaranteed, jointly and severally, fully and unconditionally (such guarantee by each Guarantor being referred to herein as the “</w:t>
      </w:r>
      <w:r>
        <w:rPr>
          <w:rFonts w:ascii="Arial" w:cs="Arial" w:eastAsia="Arial" w:hAnsi="Arial"/>
          <w:sz w:val="18"/>
          <w:szCs w:val="18"/>
          <w:i w:val="1"/>
          <w:iCs w:val="1"/>
          <w:color w:val="auto"/>
        </w:rPr>
        <w:t>Guarantee</w:t>
      </w:r>
      <w:r>
        <w:rPr>
          <w:rFonts w:ascii="Arial" w:cs="Arial" w:eastAsia="Arial" w:hAnsi="Arial"/>
          <w:sz w:val="18"/>
          <w:szCs w:val="18"/>
          <w:color w:val="auto"/>
        </w:rPr>
        <w:t>”) (i) the due and punctual payment of the principal of and interest on the Notes, whether at maturity, by acceleration or otherwise, the due and punctual payment of interest on the overdue principal and interest, if any, on the Notes, to the extent lawful, and the due and punctual performance of all other obligations of the Company to the Holders or the Trustee all in accordance with the terms set forth in Article X of the Indenture and (ii)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95"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No past, present or future director, member, partner, officer, employee or equityholder of the Guarantors will have any liability for any of the Guarantor’s obligations under the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Guarantees.</w:t>
      </w:r>
    </w:p>
    <w:p>
      <w:pPr>
        <w:spacing w:after="0" w:line="17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Each holder of a Note by accepting a Note agrees that any Guarantor named below shall have no further liability with respect to its Guarantee if such Guarantor otherwise ceases to be liable in respect of its Guarantee in accordance with the terms of the Indenture.</w:t>
      </w:r>
    </w:p>
    <w:p>
      <w:pPr>
        <w:spacing w:after="0" w:line="170"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The Guarantee shall not be valid or obligatory for any purpose until the certificate of authentication on the Notes upon which the Guarantee is noted shall have been executed by the Trustee under the Indenture by the manual signature of one of its authorized officers.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 – 1</w:t>
      </w:r>
    </w:p>
    <w:p>
      <w:pPr>
        <w:sectPr>
          <w:pgSz w:w="11900" w:h="16838" w:orient="portrait"/>
          <w:cols w:equalWidth="0" w:num="1">
            <w:col w:w="11020"/>
          </w:cols>
          <w:pgMar w:left="440" w:top="274" w:right="4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MYLAN GUARANTORS SUPPLEMENTAL INDENTURE]</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MYLAN GUARANTORS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 among [MYLAN GUARANTOR]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Company and The Bank of New York Mellon,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June 22, 2020 providing for the issuance of 1.125% Senior Notes due 2022, 1.650% Senior Notes due 2025, 2.300% Senior Notes due 2027, 2.700% Senior Notes due 2030, 3.850% Senior Notes due 2040 and 4.000% Senior Notes due 2050 (collectively,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each of the Mylan Guarantors shall execute and deliver to the Trustee one or more supplemental indentures pursuant to which the Mylan Guarantors shall unconditionally guarantee the Company’s Indenture Obligations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8.01 of the Indenture, the parties hereto are authorized to execute and deliver this Supplemental Indenture.</w:t>
      </w:r>
    </w:p>
    <w:p>
      <w:pPr>
        <w:spacing w:after="0" w:line="237"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6" w:lineRule="exact"/>
        <w:rPr>
          <w:sz w:val="20"/>
          <w:szCs w:val="20"/>
          <w:color w:val="auto"/>
        </w:rPr>
      </w:pPr>
    </w:p>
    <w:p>
      <w:pPr>
        <w:ind w:left="620" w:hanging="184"/>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128" w:lineRule="exact"/>
        <w:rPr>
          <w:rFonts w:ascii="Arial" w:cs="Arial" w:eastAsia="Arial" w:hAnsi="Arial"/>
          <w:sz w:val="17"/>
          <w:szCs w:val="17"/>
          <w:color w:val="auto"/>
        </w:rPr>
      </w:pPr>
    </w:p>
    <w:p>
      <w:pPr>
        <w:ind w:right="20" w:firstLine="436"/>
        <w:spacing w:after="0" w:line="277"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X thereof.</w:t>
      </w:r>
    </w:p>
    <w:p>
      <w:pPr>
        <w:spacing w:after="0" w:line="62" w:lineRule="exact"/>
        <w:rPr>
          <w:rFonts w:ascii="Arial" w:cs="Arial" w:eastAsia="Arial" w:hAnsi="Arial"/>
          <w:sz w:val="18"/>
          <w:szCs w:val="18"/>
          <w:color w:val="auto"/>
        </w:rPr>
      </w:pPr>
    </w:p>
    <w:p>
      <w:pPr>
        <w:ind w:right="100" w:firstLine="436"/>
        <w:spacing w:after="0" w:line="275" w:lineRule="auto"/>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NO RECOURSE AGAINST OTHERS. No past, present or future director, member, partner, officer, employee or equityholder of the Company or any of the Guarantors will have any liability for any of the Company’s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68" w:lineRule="exact"/>
        <w:rPr>
          <w:rFonts w:ascii="Arial" w:cs="Arial" w:eastAsia="Arial" w:hAnsi="Arial"/>
          <w:sz w:val="17"/>
          <w:szCs w:val="17"/>
          <w:color w:val="auto"/>
        </w:rPr>
      </w:pPr>
    </w:p>
    <w:p>
      <w:pPr>
        <w:ind w:right="20" w:firstLine="436"/>
        <w:spacing w:after="0" w:line="279" w:lineRule="auto"/>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63" w:lineRule="exact"/>
        <w:rPr>
          <w:rFonts w:ascii="Arial" w:cs="Arial" w:eastAsia="Arial" w:hAnsi="Arial"/>
          <w:sz w:val="17"/>
          <w:szCs w:val="17"/>
          <w:color w:val="auto"/>
        </w:rPr>
      </w:pPr>
    </w:p>
    <w:p>
      <w:pPr>
        <w:ind w:right="40" w:firstLine="436"/>
        <w:spacing w:after="0" w:line="277"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 – 1</w:t>
      </w:r>
    </w:p>
    <w:p>
      <w:pPr>
        <w:sectPr>
          <w:pgSz w:w="11900" w:h="16838" w:orient="portrait"/>
          <w:cols w:equalWidth="0" w:num="1">
            <w:col w:w="11020"/>
          </w:cols>
          <w:pgMar w:left="440" w:top="274" w:right="439" w:bottom="1440" w:gutter="0" w:footer="0" w:header="0"/>
        </w:sectPr>
      </w:pPr>
    </w:p>
    <w:bookmarkStart w:id="171" w:name="page172"/>
    <w:bookmarkEnd w:id="171"/>
    <w:p>
      <w:pPr>
        <w:ind w:left="624" w:hanging="184"/>
        <w:spacing w:after="0"/>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OF HEADINGS.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4" w:firstLine="436"/>
        <w:spacing w:after="0" w:line="263" w:lineRule="auto"/>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75" w:lineRule="exact"/>
        <w:rPr>
          <w:rFonts w:ascii="Arial" w:cs="Arial" w:eastAsia="Arial" w:hAnsi="Arial"/>
          <w:sz w:val="18"/>
          <w:szCs w:val="18"/>
          <w:color w:val="auto"/>
        </w:rPr>
      </w:pPr>
    </w:p>
    <w:p>
      <w:pPr>
        <w:ind w:left="4" w:right="20" w:firstLine="436"/>
        <w:spacing w:after="0" w:line="255" w:lineRule="auto"/>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[APPOINTMENT OF AGENT FOR SERVICE. [ ]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 ] waives, to the fullest extent permitted by law, any other requirements of or objections to personal jurisdiction with respect thereto. [ ] represents and warrants that such agent has agreed to act as its agent for service of process, and [ ] agrees to take any and all action, including the filing of any and all documents and instruments, that may be necessary to continue such appointment in full force and effect.]</w:t>
      </w:r>
      <w:r>
        <w:rPr>
          <w:rFonts w:ascii="Arial" w:cs="Arial" w:eastAsia="Arial" w:hAnsi="Arial"/>
          <w:sz w:val="15"/>
          <w:szCs w:val="15"/>
          <w:color w:val="auto"/>
        </w:rPr>
        <w:t>1</w:t>
      </w:r>
    </w:p>
    <w:p>
      <w:pPr>
        <w:spacing w:after="0" w:line="192"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right="100" w:hanging="424"/>
        <w:spacing w:after="0" w:line="342" w:lineRule="auto"/>
        <w:tabs>
          <w:tab w:leader="none" w:pos="424" w:val="left"/>
        </w:tabs>
        <w:numPr>
          <w:ilvl w:val="0"/>
          <w:numId w:val="123"/>
        </w:numPr>
        <w:rPr>
          <w:rFonts w:ascii="Arial" w:cs="Arial" w:eastAsia="Arial" w:hAnsi="Arial"/>
          <w:sz w:val="13"/>
          <w:szCs w:val="13"/>
          <w:color w:val="auto"/>
        </w:rPr>
      </w:pPr>
      <w:r>
        <w:rPr>
          <w:rFonts w:ascii="Arial" w:cs="Arial" w:eastAsia="Arial" w:hAnsi="Arial"/>
          <w:sz w:val="16"/>
          <w:szCs w:val="16"/>
          <w:color w:val="auto"/>
        </w:rPr>
        <w:t>If applicable, to be included with respect to any Guaranteeing Subsidiary that is not a corporation, partnership, limited liability company, trust or other entity organized or existing under the laws of the United States, any state thereof, the District of Columbia, or any territory thereof.</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H – 2</w:t>
      </w:r>
    </w:p>
    <w:p>
      <w:pPr>
        <w:sectPr>
          <w:pgSz w:w="11900" w:h="16838" w:orient="portrait"/>
          <w:cols w:equalWidth="0" w:num="1">
            <w:col w:w="10944"/>
          </w:cols>
          <w:pgMar w:left="436" w:top="274" w:right="5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ADDITIONAL GUARANTORS SUPPLEMENTAL INDENTURE]</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ADDITIONAL GUARANTORS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 ], among [ ] (the “</w:t>
      </w:r>
      <w:r>
        <w:rPr>
          <w:rFonts w:ascii="Arial" w:cs="Arial" w:eastAsia="Arial" w:hAnsi="Arial"/>
          <w:sz w:val="17"/>
          <w:szCs w:val="17"/>
          <w:i w:val="1"/>
          <w:iCs w:val="1"/>
          <w:color w:val="auto"/>
        </w:rPr>
        <w:t>Guaranteeing</w:t>
      </w:r>
      <w:r>
        <w:rPr>
          <w:rFonts w:ascii="Arial" w:cs="Arial" w:eastAsia="Arial" w:hAnsi="Arial"/>
          <w:sz w:val="17"/>
          <w:szCs w:val="17"/>
          <w:color w:val="auto"/>
        </w:rPr>
        <w:t xml:space="preserve"> </w:t>
      </w:r>
      <w:r>
        <w:rPr>
          <w:rFonts w:ascii="Arial" w:cs="Arial" w:eastAsia="Arial" w:hAnsi="Arial"/>
          <w:sz w:val="17"/>
          <w:szCs w:val="17"/>
          <w:i w:val="1"/>
          <w:iCs w:val="1"/>
          <w:color w:val="auto"/>
        </w:rPr>
        <w:t>Subsidiary</w:t>
      </w:r>
      <w:r>
        <w:rPr>
          <w:rFonts w:ascii="Arial" w:cs="Arial" w:eastAsia="Arial" w:hAnsi="Arial"/>
          <w:sz w:val="17"/>
          <w:szCs w:val="17"/>
          <w:color w:val="auto"/>
        </w:rPr>
        <w:t>”), a subsidiary of Upjohn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herein) and The Bank of New York Mellon,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June 22, 2020 providing for the issuance of 1.125% Senior Notes due 2022, 1.650% Senior Notes due 2025, 2.300% Senior Notes due 2027, 2.700% Senior Notes due 2030, 3.850% Senior Notes due 2040 and 4.000% Senior Notes due 2050 (collectively,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the Company’s Indenture Obligations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8.01 of the Indenture, the parties hereto are authorized to execute and deliver this Supplemental Indenture.</w:t>
      </w:r>
    </w:p>
    <w:p>
      <w:pPr>
        <w:spacing w:after="0" w:line="237"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6" w:lineRule="exact"/>
        <w:rPr>
          <w:sz w:val="20"/>
          <w:szCs w:val="20"/>
          <w:color w:val="auto"/>
        </w:rPr>
      </w:pPr>
    </w:p>
    <w:p>
      <w:pPr>
        <w:ind w:left="620" w:hanging="184"/>
        <w:spacing w:after="0"/>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128" w:lineRule="exact"/>
        <w:rPr>
          <w:rFonts w:ascii="Arial" w:cs="Arial" w:eastAsia="Arial" w:hAnsi="Arial"/>
          <w:sz w:val="17"/>
          <w:szCs w:val="17"/>
          <w:color w:val="auto"/>
        </w:rPr>
      </w:pPr>
    </w:p>
    <w:p>
      <w:pPr>
        <w:ind w:right="20" w:firstLine="436"/>
        <w:spacing w:after="0" w:line="277" w:lineRule="auto"/>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X thereof.</w:t>
      </w:r>
    </w:p>
    <w:p>
      <w:pPr>
        <w:spacing w:after="0" w:line="62" w:lineRule="exact"/>
        <w:rPr>
          <w:rFonts w:ascii="Arial" w:cs="Arial" w:eastAsia="Arial" w:hAnsi="Arial"/>
          <w:sz w:val="18"/>
          <w:szCs w:val="18"/>
          <w:color w:val="auto"/>
        </w:rPr>
      </w:pPr>
    </w:p>
    <w:p>
      <w:pPr>
        <w:ind w:right="100" w:firstLine="436"/>
        <w:spacing w:after="0" w:line="275"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 RECOURSE AGAINST OTHERS. No past, present or future director, member, partner, officer, employee or equityholder of the Company or any of the Guarantors will have any liability for any of the Company’s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68" w:lineRule="exact"/>
        <w:rPr>
          <w:rFonts w:ascii="Arial" w:cs="Arial" w:eastAsia="Arial" w:hAnsi="Arial"/>
          <w:sz w:val="17"/>
          <w:szCs w:val="17"/>
          <w:color w:val="auto"/>
        </w:rPr>
      </w:pPr>
    </w:p>
    <w:p>
      <w:pPr>
        <w:ind w:right="20" w:firstLine="436"/>
        <w:spacing w:after="0" w:line="279"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63" w:lineRule="exact"/>
        <w:rPr>
          <w:rFonts w:ascii="Arial" w:cs="Arial" w:eastAsia="Arial" w:hAnsi="Arial"/>
          <w:sz w:val="17"/>
          <w:szCs w:val="17"/>
          <w:color w:val="auto"/>
        </w:rPr>
      </w:pPr>
    </w:p>
    <w:p>
      <w:pPr>
        <w:ind w:right="40" w:firstLine="436"/>
        <w:spacing w:after="0" w:line="277" w:lineRule="auto"/>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 1</w:t>
      </w:r>
    </w:p>
    <w:p>
      <w:pPr>
        <w:sectPr>
          <w:pgSz w:w="11900" w:h="16838" w:orient="portrait"/>
          <w:cols w:equalWidth="0" w:num="1">
            <w:col w:w="11020"/>
          </w:cols>
          <w:pgMar w:left="440" w:top="274" w:right="439" w:bottom="1440" w:gutter="0" w:footer="0" w:header="0"/>
        </w:sectPr>
      </w:pPr>
    </w:p>
    <w:bookmarkStart w:id="173" w:name="page174"/>
    <w:bookmarkEnd w:id="173"/>
    <w:p>
      <w:pPr>
        <w:ind w:left="624" w:hanging="184"/>
        <w:spacing w:after="0"/>
        <w:tabs>
          <w:tab w:leader="none" w:pos="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OF HEADINGS.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4" w:firstLine="436"/>
        <w:spacing w:after="0" w:line="263" w:lineRule="auto"/>
        <w:tabs>
          <w:tab w:leader="none" w:pos="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75" w:lineRule="exact"/>
        <w:rPr>
          <w:rFonts w:ascii="Arial" w:cs="Arial" w:eastAsia="Arial" w:hAnsi="Arial"/>
          <w:sz w:val="18"/>
          <w:szCs w:val="18"/>
          <w:color w:val="auto"/>
        </w:rPr>
      </w:pPr>
    </w:p>
    <w:p>
      <w:pPr>
        <w:ind w:left="4" w:right="20" w:firstLine="436"/>
        <w:spacing w:after="0" w:line="255" w:lineRule="auto"/>
        <w:tabs>
          <w:tab w:leader="none" w:pos="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[APPOINTMENT OF AGENT FOR SERVICE. [ ]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 ] waives, to the fullest extent permitted by law, any other requirements of or objections to personal jurisdiction with respect thereto. [ ] represents and warrants that such agent has agreed to act as its agent for service of process, and [ ] agrees to take any and all action, including the filing of any and all documents and instruments, that may be necessary to continue such appointment in full force and effect.]</w:t>
      </w:r>
      <w:r>
        <w:rPr>
          <w:rFonts w:ascii="Arial" w:cs="Arial" w:eastAsia="Arial" w:hAnsi="Arial"/>
          <w:sz w:val="15"/>
          <w:szCs w:val="15"/>
          <w:color w:val="auto"/>
        </w:rPr>
        <w:t>2</w:t>
      </w:r>
    </w:p>
    <w:p>
      <w:pPr>
        <w:spacing w:after="0" w:line="192"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[EXISTING GUARANTORS]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5" w:lineRule="exact"/>
        <w:rPr>
          <w:sz w:val="20"/>
          <w:szCs w:val="20"/>
          <w:color w:val="auto"/>
        </w:rPr>
      </w:pPr>
    </w:p>
    <w:p>
      <w:pPr>
        <w:ind w:left="424" w:right="100" w:hanging="424"/>
        <w:spacing w:after="0" w:line="342" w:lineRule="auto"/>
        <w:tabs>
          <w:tab w:leader="none" w:pos="424" w:val="left"/>
        </w:tabs>
        <w:numPr>
          <w:ilvl w:val="0"/>
          <w:numId w:val="126"/>
        </w:numPr>
        <w:rPr>
          <w:rFonts w:ascii="Arial" w:cs="Arial" w:eastAsia="Arial" w:hAnsi="Arial"/>
          <w:sz w:val="13"/>
          <w:szCs w:val="13"/>
          <w:color w:val="auto"/>
        </w:rPr>
      </w:pPr>
      <w:r>
        <w:rPr>
          <w:rFonts w:ascii="Arial" w:cs="Arial" w:eastAsia="Arial" w:hAnsi="Arial"/>
          <w:sz w:val="16"/>
          <w:szCs w:val="16"/>
          <w:color w:val="auto"/>
        </w:rPr>
        <w:t>If applicable, to be included with respect to any Guaranteeing Subsidiary that is not a corporation, partnership, limited liability company, trust or other entity organized or existing under the laws of the United States, any state thereof, the District of Columbia, or any territory thereof.</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I – 2</w:t>
      </w:r>
    </w:p>
    <w:p>
      <w:pPr>
        <w:sectPr>
          <w:pgSz w:w="11900" w:h="16838" w:orient="portrait"/>
          <w:cols w:equalWidth="0" w:num="1">
            <w:col w:w="10944"/>
          </w:cols>
          <w:pgMar w:left="436" w:top="274" w:right="519" w:bottom="1440" w:gutter="0" w:footer="0" w:header="0"/>
        </w:sectPr>
      </w:pPr>
    </w:p>
    <w:bookmarkStart w:id="174" w:name="page175"/>
    <w:bookmarkEnd w:id="17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 – 3</w:t>
      </w:r>
    </w:p>
    <w:p>
      <w:pPr>
        <w:sectPr>
          <w:pgSz w:w="11900" w:h="16838" w:orient="portrait"/>
          <w:cols w:equalWidth="0" w:num="1">
            <w:col w:w="9019"/>
          </w:cols>
          <w:pgMar w:left="1440" w:top="274"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4.8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1.125% Senior Notes Due 2022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1.650% Senior Notes Due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2.300%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$1,450,000,000 2.700% Senior Notes Due 2030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$1,500,000,000 3.850% Senior Notes Due 2040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$2,000,000,000 4.000% Senior Notes Due 2050</w:t>
      </w:r>
    </w:p>
    <w:p>
      <w:pPr>
        <w:spacing w:after="0" w:line="211"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June 22, 2020</w:t>
      </w:r>
    </w:p>
    <w:p>
      <w:pPr>
        <w:spacing w:after="0" w:line="24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This Registration Rights Agreement dated June 22,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Upjohn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Goldman Sachs &amp; Co. LLC, BofA Securities, Inc., Citigroup Global Markets Inc., Morgan Stanley and Co. LLC, and Mizuho Securities USA LLC, as representatives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of the several purchasers named in Schedule I to the Purchase Agreement (as defined below)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w:t>
      </w:r>
    </w:p>
    <w:p>
      <w:pPr>
        <w:spacing w:after="0" w:line="187" w:lineRule="exact"/>
        <w:rPr>
          <w:sz w:val="20"/>
          <w:szCs w:val="20"/>
          <w:color w:val="auto"/>
        </w:rPr>
      </w:pPr>
    </w:p>
    <w:p>
      <w:pPr>
        <w:ind w:right="360" w:firstLine="440"/>
        <w:spacing w:after="0" w:line="286" w:lineRule="auto"/>
        <w:rPr>
          <w:sz w:val="20"/>
          <w:szCs w:val="20"/>
          <w:color w:val="auto"/>
        </w:rPr>
      </w:pPr>
      <w:r>
        <w:rPr>
          <w:rFonts w:ascii="Arial" w:cs="Arial" w:eastAsia="Arial" w:hAnsi="Arial"/>
          <w:sz w:val="16"/>
          <w:szCs w:val="16"/>
          <w:color w:val="auto"/>
        </w:rPr>
        <w:t>The Company, Pfizer Inc., a Delaware corporation (“</w:t>
      </w:r>
      <w:r>
        <w:rPr>
          <w:rFonts w:ascii="Arial" w:cs="Arial" w:eastAsia="Arial" w:hAnsi="Arial"/>
          <w:sz w:val="16"/>
          <w:szCs w:val="16"/>
          <w:u w:val="single" w:color="auto"/>
          <w:color w:val="auto"/>
        </w:rPr>
        <w:t>Pfizer</w:t>
      </w:r>
      <w:r>
        <w:rPr>
          <w:rFonts w:ascii="Arial" w:cs="Arial" w:eastAsia="Arial" w:hAnsi="Arial"/>
          <w:sz w:val="16"/>
          <w:szCs w:val="16"/>
          <w:color w:val="auto"/>
        </w:rPr>
        <w:t>”), Mylan N.V., a public limited liability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incorporated and existing under the laws of the Netherlands (“</w:t>
      </w:r>
      <w:r>
        <w:rPr>
          <w:rFonts w:ascii="Arial" w:cs="Arial" w:eastAsia="Arial" w:hAnsi="Arial"/>
          <w:sz w:val="16"/>
          <w:szCs w:val="16"/>
          <w:u w:val="single" w:color="auto"/>
          <w:color w:val="auto"/>
        </w:rPr>
        <w:t>Mylan N.V.</w:t>
      </w:r>
      <w:r>
        <w:rPr>
          <w:rFonts w:ascii="Arial" w:cs="Arial" w:eastAsia="Arial" w:hAnsi="Arial"/>
          <w:sz w:val="16"/>
          <w:szCs w:val="16"/>
          <w:color w:val="auto"/>
        </w:rPr>
        <w:t>”) (solely for purposes of Section 1(B), Section 9(b) – (e), Section 11, Section 13 and Sections 15 – 24 thereof), and the Representatives are parties to the Purchase Agreement dated June 17, 2020 (the “</w:t>
      </w:r>
      <w:r>
        <w:rPr>
          <w:rFonts w:ascii="Arial" w:cs="Arial" w:eastAsia="Arial" w:hAnsi="Arial"/>
          <w:sz w:val="16"/>
          <w:szCs w:val="16"/>
          <w:u w:val="single" w:color="auto"/>
          <w:color w:val="auto"/>
        </w:rPr>
        <w:t>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which provides for the sale by the Company to the Initial Purchasers of $1,000,000,000 aggregate principal amount of the Company’s</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1.125% Senior Notes due 2022 (the “</w:t>
      </w:r>
      <w:r>
        <w:rPr>
          <w:rFonts w:ascii="Arial" w:cs="Arial" w:eastAsia="Arial" w:hAnsi="Arial"/>
          <w:sz w:val="16"/>
          <w:szCs w:val="16"/>
          <w:u w:val="single" w:color="auto"/>
          <w:color w:val="auto"/>
        </w:rPr>
        <w:t>2022 Notes</w:t>
      </w:r>
      <w:r>
        <w:rPr>
          <w:rFonts w:ascii="Arial" w:cs="Arial" w:eastAsia="Arial" w:hAnsi="Arial"/>
          <w:sz w:val="16"/>
          <w:szCs w:val="16"/>
          <w:color w:val="auto"/>
        </w:rPr>
        <w:t>”), $750,000,000 aggregate principal amount of the Company’s 1.650% Senior Notes due 2025 (the “</w:t>
      </w:r>
      <w:r>
        <w:rPr>
          <w:rFonts w:ascii="Arial" w:cs="Arial" w:eastAsia="Arial" w:hAnsi="Arial"/>
          <w:sz w:val="16"/>
          <w:szCs w:val="16"/>
          <w:u w:val="single" w:color="auto"/>
          <w:color w:val="auto"/>
        </w:rPr>
        <w:t>2025 Notes</w:t>
      </w:r>
      <w:r>
        <w:rPr>
          <w:rFonts w:ascii="Arial" w:cs="Arial" w:eastAsia="Arial" w:hAnsi="Arial"/>
          <w:sz w:val="16"/>
          <w:szCs w:val="16"/>
          <w:color w:val="auto"/>
        </w:rPr>
        <w:t>”), $750,000,000 aggregate principal amount of the Company’s 2.300% Senior Notes due 2027 (the “</w:t>
      </w:r>
      <w:r>
        <w:rPr>
          <w:rFonts w:ascii="Arial" w:cs="Arial" w:eastAsia="Arial" w:hAnsi="Arial"/>
          <w:sz w:val="16"/>
          <w:szCs w:val="16"/>
          <w:u w:val="single" w:color="auto"/>
          <w:color w:val="auto"/>
        </w:rPr>
        <w:t>2027 Notes</w:t>
      </w:r>
      <w:r>
        <w:rPr>
          <w:rFonts w:ascii="Arial" w:cs="Arial" w:eastAsia="Arial" w:hAnsi="Arial"/>
          <w:sz w:val="16"/>
          <w:szCs w:val="16"/>
          <w:color w:val="auto"/>
        </w:rPr>
        <w:t>”), $1,450,000,000 aggregate principal amount of the Company’s 2.700% Senior Notes due 2030 (the “</w:t>
      </w:r>
      <w:r>
        <w:rPr>
          <w:rFonts w:ascii="Arial" w:cs="Arial" w:eastAsia="Arial" w:hAnsi="Arial"/>
          <w:sz w:val="16"/>
          <w:szCs w:val="16"/>
          <w:u w:val="single" w:color="auto"/>
          <w:color w:val="auto"/>
        </w:rPr>
        <w:t>2030 Notes</w:t>
      </w:r>
      <w:r>
        <w:rPr>
          <w:rFonts w:ascii="Arial" w:cs="Arial" w:eastAsia="Arial" w:hAnsi="Arial"/>
          <w:sz w:val="16"/>
          <w:szCs w:val="16"/>
          <w:color w:val="auto"/>
        </w:rPr>
        <w:t>”), $1,500,000,000 aggregate principal amount of the Company’s 3.850% Senior Notes due 2040 (the “</w:t>
      </w:r>
      <w:r>
        <w:rPr>
          <w:rFonts w:ascii="Arial" w:cs="Arial" w:eastAsia="Arial" w:hAnsi="Arial"/>
          <w:sz w:val="16"/>
          <w:szCs w:val="16"/>
          <w:u w:val="single" w:color="auto"/>
          <w:color w:val="auto"/>
        </w:rPr>
        <w:t>2040 Notes</w:t>
      </w:r>
      <w:r>
        <w:rPr>
          <w:rFonts w:ascii="Arial" w:cs="Arial" w:eastAsia="Arial" w:hAnsi="Arial"/>
          <w:sz w:val="16"/>
          <w:szCs w:val="16"/>
          <w:color w:val="auto"/>
        </w:rPr>
        <w:t>”), and $2,000,000,000 aggregate principal amount of the Company’s 4.0% Senior Notes due 2050 (the “</w:t>
      </w:r>
      <w:r>
        <w:rPr>
          <w:rFonts w:ascii="Arial" w:cs="Arial" w:eastAsia="Arial" w:hAnsi="Arial"/>
          <w:sz w:val="16"/>
          <w:szCs w:val="16"/>
          <w:u w:val="single" w:color="auto"/>
          <w:color w:val="auto"/>
        </w:rPr>
        <w:t>2050 Notes</w:t>
      </w:r>
      <w:r>
        <w:rPr>
          <w:rFonts w:ascii="Arial" w:cs="Arial" w:eastAsia="Arial" w:hAnsi="Arial"/>
          <w:sz w:val="16"/>
          <w:szCs w:val="16"/>
          <w:color w:val="auto"/>
        </w:rPr>
        <w:t>”) (the “</w:t>
      </w:r>
      <w:r>
        <w:rPr>
          <w:rFonts w:ascii="Arial" w:cs="Arial" w:eastAsia="Arial" w:hAnsi="Arial"/>
          <w:sz w:val="16"/>
          <w:szCs w:val="16"/>
          <w:u w:val="single" w:color="auto"/>
          <w:color w:val="auto"/>
        </w:rPr>
        <w:t>2050 Notes</w:t>
      </w:r>
      <w:r>
        <w:rPr>
          <w:rFonts w:ascii="Arial" w:cs="Arial" w:eastAsia="Arial" w:hAnsi="Arial"/>
          <w:sz w:val="16"/>
          <w:szCs w:val="16"/>
          <w:color w:val="auto"/>
        </w:rPr>
        <w:t>” and, together with the 2022 Notes, the 2025 Notes, the 2027 Notes, the 2030 Notes, the 2040 Notes and the 2050 Notes, the “</w:t>
      </w:r>
      <w:r>
        <w:rPr>
          <w:rFonts w:ascii="Arial" w:cs="Arial" w:eastAsia="Arial" w:hAnsi="Arial"/>
          <w:sz w:val="16"/>
          <w:szCs w:val="16"/>
          <w:u w:val="single" w:color="auto"/>
          <w:color w:val="auto"/>
        </w:rPr>
        <w:t>Securities</w:t>
      </w:r>
      <w:r>
        <w:rPr>
          <w:rFonts w:ascii="Arial" w:cs="Arial" w:eastAsia="Arial" w:hAnsi="Arial"/>
          <w:sz w:val="16"/>
          <w:szCs w:val="16"/>
          <w:color w:val="auto"/>
        </w:rPr>
        <w:t>”), which will be guaranteed on a senior unsecured basis (i) upon issuance and prior to the consummation of the Distribution (as defined in the Purchase Agreement), by Pfizer, and (ii) within one business day after the consummation of the Combination (as defined in the Purchase Agreement), by the Mylan Guarantors (as defined below). Each of the 2022 Notes, the 2025 Notes, the 2027 Notes, the 2030 Notes, the 2040 Notes and the 2050 Notes are sometimes referred to herein as a “</w:t>
      </w:r>
      <w:r>
        <w:rPr>
          <w:rFonts w:ascii="Arial" w:cs="Arial" w:eastAsia="Arial" w:hAnsi="Arial"/>
          <w:sz w:val="16"/>
          <w:szCs w:val="16"/>
          <w:u w:val="single" w:color="auto"/>
          <w:color w:val="auto"/>
        </w:rPr>
        <w:t>Series</w:t>
      </w:r>
      <w:r>
        <w:rPr>
          <w:rFonts w:ascii="Arial" w:cs="Arial" w:eastAsia="Arial" w:hAnsi="Arial"/>
          <w:sz w:val="16"/>
          <w:szCs w:val="16"/>
          <w:color w:val="auto"/>
        </w:rPr>
        <w:t>” of Notes. As an inducement to the Initial Purchasers to enter into the Purchase Agreement, the Company has agreed to provide to the Initial Purchasers and their direct and indirect transferees the registration rights set forth in this Agreement. The execution and delivery of this Agreement is a condition to the closing under the Purchase Agreement.</w:t>
      </w:r>
    </w:p>
    <w:p>
      <w:pPr>
        <w:sectPr>
          <w:pgSz w:w="11900" w:h="16838" w:orient="portrait"/>
          <w:cols w:equalWidth="0" w:num="1">
            <w:col w:w="11020"/>
          </w:cols>
          <w:pgMar w:left="440" w:top="121" w:right="43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consideration of the foregoing, the parties hereto agree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shall mean any subsidiary of the Company (including each Mylan Guarantor) that becomes a Guarantor under the Indenture after the date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shall have the meaning set forth in Section 2(d) hereof.</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that is not a Saturday, Sunday or other day on which commercial banks in New York City are authorized or required by law to remain closed. For purposes of this Agreement, if the day on which any deadline specified in this Agreement expires is not a Business Day, such deadline shall be deemed to expire on the next succeeding Business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w:t>
      </w:r>
      <w:r>
        <w:rPr>
          <w:rFonts w:ascii="Arial" w:cs="Arial" w:eastAsia="Arial" w:hAnsi="Arial"/>
          <w:sz w:val="18"/>
          <w:szCs w:val="18"/>
          <w:color w:val="auto"/>
        </w:rPr>
        <w:t>” shall have the meaning set forth in the Purchase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and shall also include the Company’s 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 Report</w:t>
      </w:r>
      <w:r>
        <w:rPr>
          <w:rFonts w:ascii="Arial" w:cs="Arial" w:eastAsia="Arial" w:hAnsi="Arial"/>
          <w:sz w:val="18"/>
          <w:szCs w:val="18"/>
          <w:color w:val="auto"/>
        </w:rPr>
        <w:t>” shall mean any report to be filed by the Company or the Guarantors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Dates</w:t>
      </w:r>
      <w:r>
        <w:rPr>
          <w:rFonts w:ascii="Arial" w:cs="Arial" w:eastAsia="Arial" w:hAnsi="Arial"/>
          <w:sz w:val="18"/>
          <w:szCs w:val="18"/>
          <w:color w:val="auto"/>
        </w:rPr>
        <w:t>” shall have the meaning set forth in Section 2(a)(ii) hereof.</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w:t>
      </w:r>
      <w:r>
        <w:rPr>
          <w:rFonts w:ascii="Arial" w:cs="Arial" w:eastAsia="Arial" w:hAnsi="Arial"/>
          <w:sz w:val="18"/>
          <w:szCs w:val="18"/>
          <w:color w:val="auto"/>
        </w:rPr>
        <w:t>” shall mean the exchange offer by the Company and the Guarantors of Exchange Securities for Registrable Securities pursuant to Section 2(a)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 Registration</w:t>
      </w:r>
      <w:r>
        <w:rPr>
          <w:rFonts w:ascii="Arial" w:cs="Arial" w:eastAsia="Arial" w:hAnsi="Arial"/>
          <w:sz w:val="18"/>
          <w:szCs w:val="18"/>
          <w:color w:val="auto"/>
        </w:rPr>
        <w:t>” shall mean a registration under the Securities Act effected pursuant to Section 2(a) hereof.</w:t>
      </w:r>
    </w:p>
    <w:p>
      <w:pPr>
        <w:spacing w:after="0" w:line="225" w:lineRule="exact"/>
        <w:rPr>
          <w:sz w:val="20"/>
          <w:szCs w:val="20"/>
          <w:color w:val="auto"/>
        </w:rPr>
      </w:pPr>
    </w:p>
    <w:p>
      <w:pPr>
        <w:ind w:right="6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shall mean an exchange offer registration statement on Form S-4 (or, if applicable, on another appropriate form) and all amendments and supplements to such registration statement, in each case including the Prospectus contained therein or deemed a part thereof, all exhibits thereto and any document incorporated by reference therein.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77" w:name="page178"/>
    <w:bookmarkEnd w:id="177"/>
    <w:p>
      <w:pPr>
        <w:ind w:left="4" w:right="2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Exchange Securities</w:t>
      </w:r>
      <w:r>
        <w:rPr>
          <w:rFonts w:ascii="Arial" w:cs="Arial" w:eastAsia="Arial" w:hAnsi="Arial"/>
          <w:sz w:val="16"/>
          <w:szCs w:val="16"/>
          <w:color w:val="auto"/>
        </w:rPr>
        <w:t>” shall mean, with respect to the Registrable Securities of each Series, senior notes issued by the Company and guaranteed by the Guarantors under the Indenture containing terms identical to the Securities of such Series (except that the Exchange Securities will not be</w:t>
      </w:r>
    </w:p>
    <w:p>
      <w:pPr>
        <w:ind w:left="4" w:right="160" w:hanging="4"/>
        <w:spacing w:after="0" w:line="255" w:lineRule="auto"/>
        <w:tabs>
          <w:tab w:leader="none" w:pos="21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restrictions on transfer, (ii) guaranteed by Pfizer (iii) subject to special mandatory redemption provisions or (iv) subject to any increase in annual interest rate for failure to comply with this Agreement) and to be offered to Holders of Securities of such Series in exchange for Securities of such Series pursuant to the Exchange Offer.</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Free Writing Prospectus</w:t>
      </w:r>
      <w:r>
        <w:rPr>
          <w:rFonts w:ascii="Arial" w:cs="Arial" w:eastAsia="Arial" w:hAnsi="Arial"/>
          <w:sz w:val="17"/>
          <w:szCs w:val="17"/>
          <w:color w:val="auto"/>
        </w:rPr>
        <w:t>” means each free writing prospectus (as defined in Rule 405 under the Securities Act) prepared by or on behalf of the Company or used or referred to by the Company in connection with the sale of the Securities or the Exchange Securities.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Guarantees</w:t>
      </w:r>
      <w:r>
        <w:rPr>
          <w:rFonts w:ascii="Arial" w:cs="Arial" w:eastAsia="Arial" w:hAnsi="Arial"/>
          <w:sz w:val="16"/>
          <w:szCs w:val="16"/>
          <w:color w:val="auto"/>
        </w:rPr>
        <w:t>” shall mean the guarantees of the Securities and guarantees of the Exchange Securities by the Guarantors under the Indenture.</w:t>
      </w:r>
    </w:p>
    <w:p>
      <w:pPr>
        <w:spacing w:after="0" w:line="248"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shall mean each Additional Guarantor and any Guarantor’s successor that Guarantees the Securities, in each case, during such periods that such entity Guarantees the Securities.</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xml:space="preserve">” shall mean the Initial Purchasers, for so long as they own any Registrable Securities, and each of their successors, assigns and direct and indirect transferees who become owners of Registrable Securities under the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Section 4 and Section 5 hereof, the term “Holders” shall include Participating Broker-Dealers.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shall have the meaning set forth in Section 5(c) hereof.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Person</w:t>
      </w:r>
      <w:r>
        <w:rPr>
          <w:rFonts w:ascii="Arial" w:cs="Arial" w:eastAsia="Arial" w:hAnsi="Arial"/>
          <w:sz w:val="18"/>
          <w:szCs w:val="18"/>
          <w:color w:val="auto"/>
        </w:rPr>
        <w:t>” shall have the meaning set forth in Section 5(c) hereof.</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shall mean the Indenture relating to the Securities dated as of June 22, 2020, among the Company and The Bank of New York Mellon, as trustee, as the same may be amended or supplemented from time to time in accordance with the terms thereof.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Holders</w:t>
      </w:r>
      <w:r>
        <w:rPr>
          <w:rFonts w:ascii="Arial" w:cs="Arial" w:eastAsia="Arial" w:hAnsi="Arial"/>
          <w:sz w:val="17"/>
          <w:szCs w:val="17"/>
          <w:color w:val="auto"/>
        </w:rPr>
        <w:t xml:space="preserve">” shall mean, with respect to any Series of Notes, the Holders of a majority of the aggregate principal amount of the outstanding Registrable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whenever the consent or approval of Holders of a specified percentage of Registrable Securities of such Series is required hereunder, any Registrable Securities of such Series owned directly or indirectly by the Company or any of its controlled affiliates shall not be counted in determining whether such consent or approval was given by the Holders of such required percentage or amount;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shall issue any additional Securities under the Indenture prior to consummation of the Exchange Offer or, if applicable, the effectiveness of any Shelf Registration Statement, such additional Securities of such Series and the Registrable Securities of such Series to which this Agreement relates shall be treated together as one class for purposes of determining whether the consent or approval of Holders of a specified percentage of Registrable Securities has been obtained.</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78" w:name="page179"/>
    <w:bookmarkEnd w:id="178"/>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Mylan Guarantors</w:t>
      </w:r>
      <w:r>
        <w:rPr>
          <w:rFonts w:ascii="Arial" w:cs="Arial" w:eastAsia="Arial" w:hAnsi="Arial"/>
          <w:sz w:val="18"/>
          <w:szCs w:val="18"/>
          <w:color w:val="auto"/>
        </w:rPr>
        <w:t>” shall mean each subsidiary of the Company following the consummation of the Combination, including Mylan Inc., that, following the assumption of the obligations of Mylan N.V., as issuer or guarantor of the Mylan Notes, as applicable, by one or more subsidiaries of the Company, as successor to Mylan N.V., is an issuer or guarantor of any Mylan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Inc.</w:t>
      </w:r>
      <w:r>
        <w:rPr>
          <w:rFonts w:ascii="Arial" w:cs="Arial" w:eastAsia="Arial" w:hAnsi="Arial"/>
          <w:sz w:val="18"/>
          <w:szCs w:val="18"/>
          <w:color w:val="auto"/>
        </w:rPr>
        <w:t>” shall mean a Pennsylvania corporation and wholly-owned subsidiary of Mylan N.V.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Indentures</w:t>
      </w:r>
      <w:r>
        <w:rPr>
          <w:rFonts w:ascii="Arial" w:cs="Arial" w:eastAsia="Arial" w:hAnsi="Arial"/>
          <w:sz w:val="18"/>
          <w:szCs w:val="18"/>
          <w:color w:val="auto"/>
        </w:rPr>
        <w:t>” shall mean the following:</w:t>
      </w:r>
    </w:p>
    <w:p>
      <w:pPr>
        <w:spacing w:after="0" w:line="117" w:lineRule="exact"/>
        <w:rPr>
          <w:sz w:val="20"/>
          <w:szCs w:val="20"/>
          <w:color w:val="auto"/>
        </w:rPr>
      </w:pPr>
    </w:p>
    <w:p>
      <w:pPr>
        <w:ind w:left="680" w:hanging="244"/>
        <w:spacing w:after="0"/>
        <w:tabs>
          <w:tab w:leader="none" w:pos="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Indenture dated as of December 21, 2012, among Mylan Inc., as issuer, the subsidiaries party thereto,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right="200" w:firstLine="436"/>
        <w:spacing w:after="0" w:line="277"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62" w:lineRule="exact"/>
        <w:rPr>
          <w:rFonts w:ascii="Arial" w:cs="Arial" w:eastAsia="Arial" w:hAnsi="Arial"/>
          <w:sz w:val="18"/>
          <w:szCs w:val="18"/>
          <w:color w:val="auto"/>
        </w:rPr>
      </w:pPr>
    </w:p>
    <w:p>
      <w:pPr>
        <w:ind w:right="40" w:firstLine="436"/>
        <w:spacing w:after="0" w:line="277"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128" w:lineRule="exact"/>
        <w:rPr>
          <w:rFonts w:ascii="Arial" w:cs="Arial" w:eastAsia="Arial" w:hAnsi="Arial"/>
          <w:sz w:val="17"/>
          <w:szCs w:val="17"/>
          <w:color w:val="auto"/>
        </w:rPr>
      </w:pPr>
    </w:p>
    <w:p>
      <w:pPr>
        <w:ind w:right="160" w:firstLine="436"/>
        <w:spacing w:after="0" w:line="277"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62" w:lineRule="exact"/>
        <w:rPr>
          <w:rFonts w:ascii="Arial" w:cs="Arial" w:eastAsia="Arial" w:hAnsi="Arial"/>
          <w:sz w:val="18"/>
          <w:szCs w:val="18"/>
          <w:color w:val="auto"/>
        </w:rPr>
      </w:pPr>
    </w:p>
    <w:p>
      <w:pPr>
        <w:ind w:right="40" w:firstLine="436"/>
        <w:spacing w:after="0" w:line="277" w:lineRule="auto"/>
        <w:tabs>
          <w:tab w:leader="none" w:pos="6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62"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Indenture dated as of December 9, 2015, among Mylan N.V., as issuer, Mylan Inc., as guarantor,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left="660" w:hanging="224"/>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Indenture dated as of June 9, 2016, among Mylan N.V., as issuer, Mylan Inc., as guarantor, and The Bank of New York Mellon, as trustee;</w:t>
      </w:r>
    </w:p>
    <w:p>
      <w:pPr>
        <w:spacing w:after="0" w:line="140" w:lineRule="exact"/>
        <w:rPr>
          <w:rFonts w:ascii="Arial" w:cs="Arial" w:eastAsia="Arial" w:hAnsi="Arial"/>
          <w:sz w:val="16"/>
          <w:szCs w:val="16"/>
          <w:color w:val="auto"/>
        </w:rPr>
      </w:pPr>
    </w:p>
    <w:p>
      <w:pPr>
        <w:ind w:left="660" w:hanging="224"/>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Indenture dated as of November 22, 2016, among Mylan N.V., as issuer, Mylan Inc., as guarantor, and Citibank, N.A., London Branch,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Indenture dated as of April 9, 2018, by and between Mylan Inc., as issuer, Mylan N.V., as guarantor, and The Bank of New York Mellon, as trustee;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440" w:top="274" w:right="619" w:bottom="1440" w:gutter="0" w:footer="0" w:header="0"/>
        </w:sectPr>
      </w:pPr>
    </w:p>
    <w:bookmarkStart w:id="179" w:name="page180"/>
    <w:bookmarkEnd w:id="179"/>
    <w:p>
      <w:pPr>
        <w:ind w:left="660" w:hanging="224"/>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May 23, 2018, by and between Mylan Inc., as issuer, Mylan N.V., as guarantor, and Citibank, N.A., London Branch,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N.V.</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Notes</w:t>
      </w:r>
      <w:r>
        <w:rPr>
          <w:rFonts w:ascii="Arial" w:cs="Arial" w:eastAsia="Arial" w:hAnsi="Arial"/>
          <w:sz w:val="18"/>
          <w:szCs w:val="18"/>
          <w:color w:val="auto"/>
        </w:rPr>
        <w:t>” shall mean any senior notes issued by Mylan N.V. and Mylan Inc., as applicable, under the Mylan Indentures and that remain outstanding upon the consummation of the Combination.</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and Questionnaire</w:t>
      </w:r>
      <w:r>
        <w:rPr>
          <w:rFonts w:ascii="Arial" w:cs="Arial" w:eastAsia="Arial" w:hAnsi="Arial"/>
          <w:sz w:val="18"/>
          <w:szCs w:val="18"/>
          <w:color w:val="auto"/>
        </w:rPr>
        <w:t>” shall mean a notice of registration statement and selling security holder questionnaire distributed to a Holder by the Company upon receipt of a Shelf Request from such Holder.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Broker-Dealers</w:t>
      </w:r>
      <w:r>
        <w:rPr>
          <w:rFonts w:ascii="Arial" w:cs="Arial" w:eastAsia="Arial" w:hAnsi="Arial"/>
          <w:sz w:val="18"/>
          <w:szCs w:val="18"/>
          <w:color w:val="auto"/>
        </w:rPr>
        <w:t>” shall have the meaning set forth in Section 4(a) hereof.</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Holder</w:t>
      </w:r>
      <w:r>
        <w:rPr>
          <w:rFonts w:ascii="Arial" w:cs="Arial" w:eastAsia="Arial" w:hAnsi="Arial"/>
          <w:sz w:val="18"/>
          <w:szCs w:val="18"/>
          <w:color w:val="auto"/>
        </w:rPr>
        <w:t>” shall mean any Holder of Registrable Securities that has returned a completed and signed Notice and Questionnaire to the Company in accordance with Section 2(b) hereof.</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limited liability company, corporation, trust or unincorporated organization, or a government or agency or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shall mean the prospectus included in, or, pursuant to the rules and regulations of the Securities Act, deemed a part of,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shall mean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Securities shall cease to be Registrable Securities at the earliest date (i) when a Registration Statement with respect to such Securities has become effective under the Securities Act and such Securities have been exchanged or disposed of pursuant to such Registration Statement, (ii) when such Securities cease to be outstanding, (iii) except in the case of Securities that otherwise remain Registrable Securities and that are held by an Initial Purchaser and that are ineligible to be exchanged in the Exchange Offer, when the Exchange Offer is consummated or (iv) when such Securities are freely tradeable, without restriction, under federal or state securities laws.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80" w:name="page181"/>
    <w:bookmarkEnd w:id="180"/>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Registration Default</w:t>
      </w:r>
      <w:r>
        <w:rPr>
          <w:rFonts w:ascii="Arial" w:cs="Arial" w:eastAsia="Arial" w:hAnsi="Arial"/>
          <w:sz w:val="17"/>
          <w:szCs w:val="17"/>
          <w:color w:val="auto"/>
        </w:rPr>
        <w:t>” shall mean, as to any Series of Notes, the occurrence of any of the following: (i) the Exchange Offer, with respect to such Series of Notes, is not completed on or prior to the Target Registration Date, (ii) the Shelf Registration Statement, with respect to such Series of Notes, if required pursuant to Section 2(b)(i) hereof, has not become effective on or prior to the Target Registration Date, (iii) if the Company receives a Shelf Request pursuant to Section 2(b)(ii), the Shelf Registration Statement required to be filed thereby has not become effective by the later of (a) the Target Registration Date and (b) 90 days after delivery of such Shelf Request, or (iv) the Shelf Registration Statement, if required by this Agreement, has become effective and thereafter ceases to be effective or the Prospectus contained therein ceases to be usable, in each case whether or not permitted by this Agreement, at any time during the Shelf Effectiveness Period, and such failure to remain effective or usable exists for more than 180 days (whether or not consecutive) in any 12-month period.</w:t>
      </w:r>
    </w:p>
    <w:p>
      <w:pPr>
        <w:spacing w:after="0" w:line="17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shall mean any and all expenses incident to performance of or compliance by the Company and the Guarantors with this Agreement, including without limitation: (i) all SEC or FINRA registration and filing fees, (ii) all fees and expenses incurred in connection with compliance with state securities or blue sky laws to the extent required hereunder, (iii) all expenses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(v) all fees and disbursements relating to the qualification of the Indenture under applicable securities laws, (vi) the fees and disbursements of the Trustee and its counsel, (vii) the fees and disbursements of counsel for the Company and the Guarantors and (viii) the fees and disbursements of the independent registered public accountants of the Company and the Guarantors, including the expenses of any special audits or “comfort” letters required by or incident to the performance of and compliance with this Agreement, but excluding in all cases fees and expenses of counsel to the Underwriters or the Holders and underwriting discounts and commissions, brokerage commissions and transfer taxes, if any, relating to the sale or disposition of Registrable Securities by a Holder and any other costs or expenses of the Underwriters or the Holders.</w:t>
      </w:r>
    </w:p>
    <w:p>
      <w:pPr>
        <w:spacing w:after="0" w:line="17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Company and the Guarantors that covers any of the Exchange Securities or Registrable Securities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Effectiveness Period</w:t>
      </w:r>
      <w:r>
        <w:rPr>
          <w:rFonts w:ascii="Arial" w:cs="Arial" w:eastAsia="Arial" w:hAnsi="Arial"/>
          <w:sz w:val="18"/>
          <w:szCs w:val="18"/>
          <w:color w:val="auto"/>
        </w:rPr>
        <w:t>” shall have the meaning set forth in Section 2(b) hereof.</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shall mean a registration effected pursuant to Section 2(b) hereof.</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shall mean a “shelf” registration statement of the Company and the Guarantors that covers all or a portion of the Registrable Securities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Request</w:t>
      </w:r>
      <w:r>
        <w:rPr>
          <w:rFonts w:ascii="Arial" w:cs="Arial" w:eastAsia="Arial" w:hAnsi="Arial"/>
          <w:sz w:val="18"/>
          <w:szCs w:val="18"/>
          <w:color w:val="auto"/>
        </w:rPr>
        <w:t>” shall have the meaning set forth in Section 2(b)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Staff</w:t>
      </w:r>
      <w:r>
        <w:rPr>
          <w:rFonts w:ascii="Arial" w:cs="Arial" w:eastAsia="Arial" w:hAnsi="Arial"/>
          <w:sz w:val="18"/>
          <w:szCs w:val="18"/>
          <w:color w:val="auto"/>
        </w:rPr>
        <w:t>” shall mean the staff of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Registration Date</w:t>
      </w:r>
      <w:r>
        <w:rPr>
          <w:rFonts w:ascii="Arial" w:cs="Arial" w:eastAsia="Arial" w:hAnsi="Arial"/>
          <w:sz w:val="18"/>
          <w:szCs w:val="18"/>
          <w:color w:val="auto"/>
        </w:rPr>
        <w:t>” shall mean 365 days after the consummation of the Combination.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shall mean the trustee with respect to the Securities under the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have the meaning set forth in Section 3(e)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an offering in which Registrable Securities are sold to an Underwriter for reoffering to the public.</w:t>
      </w:r>
    </w:p>
    <w:p>
      <w:pPr>
        <w:spacing w:after="0" w:line="225" w:lineRule="exact"/>
        <w:rPr>
          <w:sz w:val="20"/>
          <w:szCs w:val="20"/>
          <w:color w:val="auto"/>
        </w:rPr>
      </w:pPr>
    </w:p>
    <w:p>
      <w:pPr>
        <w:ind w:left="620" w:hanging="184"/>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Registration under the Securities Act</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301" w:lineRule="auto"/>
        <w:tabs>
          <w:tab w:leader="none" w:pos="68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the extent not prohibited by any applicable law or applicable interpretations of the Staff, following the consummation of the Combination, the Company and the Guarantors shall use their commercially reasonable efforts to (x) cause to be filed an Exchange Offer Registration Statement covering an offer to the Holders to exchange all the Registrable Securities for Exchange Securities and (y) have such Registration Statement become and remain effective until 90 days after the last Exchange Date for use by one or more Participating Broker-Dealers.</w:t>
      </w:r>
    </w:p>
    <w:p>
      <w:pPr>
        <w:spacing w:after="0" w:line="15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Company and the Guarantors shall commence the Exchange Offer by mailing or making available the related Prospectus, appropriate letters of transmittal and other accompanying documents to each Holder stating, in addition to such other disclosures as are required by applicable law, substantially the following:</w:t>
      </w:r>
    </w:p>
    <w:p>
      <w:pPr>
        <w:spacing w:after="0" w:line="76" w:lineRule="exact"/>
        <w:rPr>
          <w:sz w:val="20"/>
          <w:szCs w:val="20"/>
          <w:color w:val="auto"/>
        </w:rPr>
      </w:pPr>
    </w:p>
    <w:p>
      <w:pPr>
        <w:ind w:left="440" w:right="260" w:firstLine="419"/>
        <w:spacing w:after="0" w:line="277" w:lineRule="auto"/>
        <w:tabs>
          <w:tab w:leader="none" w:pos="10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that the Exchange Offer is being made pursuant to this Agreement and that all Registrable Securities validly tendered and not properly withdrawn will be accepted for exchange;</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12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period of acceptance for exchange (which shall be a period of at least 20 Business Days from the date such notice is mailed or made available) (the “</w:t>
      </w:r>
      <w:r>
        <w:rPr>
          <w:rFonts w:ascii="Arial" w:cs="Arial" w:eastAsia="Arial" w:hAnsi="Arial"/>
          <w:sz w:val="18"/>
          <w:szCs w:val="18"/>
          <w:u w:val="single" w:color="auto"/>
          <w:color w:val="auto"/>
        </w:rPr>
        <w:t>Exchange Dates</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2" w:name="page183"/>
    <w:bookmarkEnd w:id="182"/>
    <w:p>
      <w:pPr>
        <w:ind w:left="440" w:right="240" w:firstLine="419"/>
        <w:spacing w:after="0" w:line="277" w:lineRule="auto"/>
        <w:tabs>
          <w:tab w:leader="none" w:pos="1178"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any Registrable Security not tendered will remain outstanding and continue to accrue interest but will not retain any rights under this Agreement, except as otherwise specified herein;</w:t>
      </w:r>
    </w:p>
    <w:p>
      <w:pPr>
        <w:spacing w:after="0" w:line="62" w:lineRule="exact"/>
        <w:rPr>
          <w:rFonts w:ascii="Arial" w:cs="Arial" w:eastAsia="Arial" w:hAnsi="Arial"/>
          <w:sz w:val="18"/>
          <w:szCs w:val="18"/>
          <w:color w:val="auto"/>
        </w:rPr>
      </w:pPr>
    </w:p>
    <w:p>
      <w:pPr>
        <w:ind w:left="440" w:firstLine="419"/>
        <w:spacing w:after="0" w:line="259" w:lineRule="auto"/>
        <w:tabs>
          <w:tab w:leader="none" w:pos="11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that any Holder electing to have a Registrable Security exchanged pursuant to the Exchange Offer will be required to (A) surrender such Registrable Security, together with the appropriate letters of transmittal, to the institution and at the address and in the manner specified in the notice, or (B) effect such exchange otherwise in compliance with the applicable procedures of the depositary for such Registrable Security, in each case on or prior to the last Exchange Date; and</w:t>
      </w:r>
    </w:p>
    <w:p>
      <w:pPr>
        <w:spacing w:after="0" w:line="78" w:lineRule="exact"/>
        <w:rPr>
          <w:rFonts w:ascii="Arial" w:cs="Arial" w:eastAsia="Arial" w:hAnsi="Arial"/>
          <w:sz w:val="18"/>
          <w:szCs w:val="18"/>
          <w:color w:val="auto"/>
        </w:rPr>
      </w:pPr>
    </w:p>
    <w:p>
      <w:pPr>
        <w:ind w:left="440" w:firstLine="419"/>
        <w:spacing w:after="0" w:line="287" w:lineRule="auto"/>
        <w:tabs>
          <w:tab w:leader="none" w:pos="111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that any Holder will be entitled to withdraw its election, not later than the last Exchange Date, by (A) sending to the institution and at the address specified in the notice, a telegram, facsimile transmission or letter setting forth the name of such Holder, the principal amount of Registrable Securities delivered for exchange and a statement that such Holder is withdrawing its election to have such Securities exchanged or</w:t>
      </w:r>
    </w:p>
    <w:p>
      <w:pPr>
        <w:spacing w:after="0" w:line="2" w:lineRule="exact"/>
        <w:rPr>
          <w:rFonts w:ascii="Arial" w:cs="Arial" w:eastAsia="Arial" w:hAnsi="Arial"/>
          <w:sz w:val="16"/>
          <w:szCs w:val="16"/>
          <w:color w:val="auto"/>
        </w:rPr>
      </w:pPr>
    </w:p>
    <w:p>
      <w:pPr>
        <w:ind w:left="720" w:hanging="284"/>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effecting such withdrawal in compliance with the applicable procedures of the depositary for the Registrable Securities.</w:t>
      </w:r>
    </w:p>
    <w:p>
      <w:pPr>
        <w:spacing w:after="0" w:line="211"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As a condition to participating in the Exchange Offer, a Holder will be required to represent to the Company and the Guarantors that (1) any Exchange Securities to be received by it will be acquired in the ordinary course of its business, (2) at the time of the commencement of the Exchange Offer it has no arrangement or understanding with any Person to participate in the distribution (within the meaning of the Securities Act) of the Exchange Securities in violation of the provisions of the Securities Act, (3) it is not an “affiliate” (within the meaning of Rule 405 under the Securities Act) of the Company or any Guarantor and (4) if such Holder is a broker-dealer that will receive Exchange Securities for its own account in exchange for Registrable Securities that were acquired as a result of market-making or other trading activities, then such Holder will deliver a Prospectus (or, to the extent permitted by law, make available a Prospectus to purchasers) in connection with any resale of such Exchange Securities.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soon as reasonably practicable after the last Exchange Date, the Company and the Guarantors shall:</w:t>
      </w:r>
    </w:p>
    <w:p>
      <w:pPr>
        <w:spacing w:after="0" w:line="117" w:lineRule="exact"/>
        <w:rPr>
          <w:sz w:val="20"/>
          <w:szCs w:val="20"/>
          <w:color w:val="auto"/>
        </w:rPr>
      </w:pPr>
    </w:p>
    <w:p>
      <w:pPr>
        <w:ind w:left="440" w:right="320" w:firstLine="419"/>
        <w:spacing w:after="0" w:line="277" w:lineRule="auto"/>
        <w:tabs>
          <w:tab w:leader="none" w:pos="108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accept for exchange Registrable Securities or portions thereof validly tendered and not properly withdrawn pursuant to the Exchange Offer; and</w:t>
      </w:r>
    </w:p>
    <w:p>
      <w:pPr>
        <w:spacing w:after="0" w:line="62" w:lineRule="exact"/>
        <w:rPr>
          <w:sz w:val="20"/>
          <w:szCs w:val="20"/>
          <w:color w:val="auto"/>
        </w:rPr>
      </w:pPr>
    </w:p>
    <w:p>
      <w:pPr>
        <w:jc w:val="both"/>
        <w:ind w:left="440" w:firstLine="419"/>
        <w:spacing w:after="0" w:line="263" w:lineRule="auto"/>
        <w:tabs>
          <w:tab w:leader="none" w:pos="11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all Registrable Securities or portions thereof so accepted for exchange by the Company and issue, and cause the Trustee to promptly authenticate and deliver to each Holder, Exchange Securities equal in principal amount to the principal amount of the Registrable Securities tendered by such Holder.</w:t>
      </w:r>
    </w:p>
    <w:p>
      <w:pPr>
        <w:spacing w:after="0" w:line="184"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The Company and the Guarantors shall use their commercially reasonable efforts to complete the Exchange Offer as provided above and shall comply in all material respects with the applicable requirements of the Securities Act, the Exchange Act and other applicable laws and regulations in connection with the Exchange Offer.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83" w:name="page184"/>
    <w:bookmarkEnd w:id="183"/>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the avoidance of doubt, notwithstanding any provision herein purporting to require physical mailing, delivery or acceptance of any document or instrument, the Company and the Guarantors may conduct the Exchange Offer exclusively through the automated tender offer program of the Depository Trust Company or any successor or similar system permitting electronic transmittal, tender and acceptance of documents and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provision shall apply only to Registrable Securities held in the form of beneficial interests in a global note deposited with (or held by a custodian for) the Depository Trust Company.</w:t>
      </w:r>
    </w:p>
    <w:p>
      <w:pPr>
        <w:spacing w:after="0" w:line="188" w:lineRule="exact"/>
        <w:rPr>
          <w:sz w:val="20"/>
          <w:szCs w:val="20"/>
          <w:color w:val="auto"/>
        </w:rPr>
      </w:pPr>
    </w:p>
    <w:p>
      <w:pPr>
        <w:ind w:firstLine="436"/>
        <w:spacing w:after="0" w:line="253"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that (i) the Company and the Guarantors determine that the Exchange Offer Registration provided for in Section 2(a) hereof would violate any applicable law or applicable interpretations of the Staff or (ii) upon receipt of a written request (a “</w:t>
      </w:r>
      <w:r>
        <w:rPr>
          <w:rFonts w:ascii="Arial" w:cs="Arial" w:eastAsia="Arial" w:hAnsi="Arial"/>
          <w:sz w:val="18"/>
          <w:szCs w:val="18"/>
          <w:u w:val="single" w:color="auto"/>
          <w:color w:val="auto"/>
        </w:rPr>
        <w:t>Shelf Request</w:t>
      </w:r>
      <w:r>
        <w:rPr>
          <w:rFonts w:ascii="Arial" w:cs="Arial" w:eastAsia="Arial" w:hAnsi="Arial"/>
          <w:sz w:val="18"/>
          <w:szCs w:val="18"/>
          <w:color w:val="auto"/>
        </w:rPr>
        <w:t xml:space="preserve">”) from any Initial Purchaser representing that it holds Registrable Securities that are or were ineligible to be exchanged in the Exchange Offer, the Company and the Guarantors shall use their commercially reasonable efforts to cause to be filed as soon as reasonably practicable after such determination or Shelf Request, as the case may be, a Shelf Registration Statement providing for the sale of all the Registrable Securities by the Holders thereof and to have such Shelf Registration Statement become effective;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Holder will be entitled to have any Registrable Securities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the Company as is contemplated by Section 3(b) hereof.</w:t>
      </w:r>
    </w:p>
    <w:p>
      <w:pPr>
        <w:spacing w:after="0" w:line="19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In the event that the Company and the Guarantors are required to file a Shelf Registration Statement pursuant to clause (ii) of the preceding sentence, the Company and the Guarantors shall use their commercially reasonable efforts to file and have become effective both an Exchange Offer Registration Statement pursuant to Section 2(a) hereof with respect to all Registrable Securities and a Shelf Registration Statement (which may be a combined Registration Statement with the Exchange Offer Registration Statement) with respect to offers and sales of Registrable Securities held by the Initial Purchasers after completion of the Exchange Offer.</w:t>
      </w:r>
    </w:p>
    <w:p>
      <w:pPr>
        <w:spacing w:after="0" w:line="188"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The Company and the Guarantors shall use their commercially reasonable efforts to keep the Shelf Registration Statement, if required, continuously effective until the earliest of (x) the date the Securities cease to be Registrable Securities, (y) one year after the date of the consummation of the Combination, and (z) the date when Holders, other than Holders that are “affiliates” (as defined in Rule 144) of the Company, are able to sell such Securities without restriction, and without reliance as to the availability of current public information, pursuant to Rule 144 promulgated under the Securities Act (the “</w:t>
      </w:r>
      <w:r>
        <w:rPr>
          <w:rFonts w:ascii="Arial" w:cs="Arial" w:eastAsia="Arial" w:hAnsi="Arial"/>
          <w:sz w:val="16"/>
          <w:szCs w:val="16"/>
          <w:u w:val="single" w:color="auto"/>
          <w:color w:val="auto"/>
        </w:rPr>
        <w:t>Shelf Effectiveness Period</w:t>
      </w:r>
      <w:r>
        <w:rPr>
          <w:rFonts w:ascii="Arial" w:cs="Arial" w:eastAsia="Arial" w:hAnsi="Arial"/>
          <w:sz w:val="16"/>
          <w:szCs w:val="16"/>
          <w:color w:val="auto"/>
        </w:rPr>
        <w:t>”). Further, the Company and the Guarantors shall supplement or 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Holder of Registrable Securities with respect to information relating to such Holder, and use their commercially reasonable efforts to cause any such amendment to become effective, if required, and such Shelf Registration Statement, Prospectus or Free Writing Prospectus, as the case may be, to become usable as soon as thereafter reasonably practicable subject to Section 3(d) below. The Company and the Guarantors shall furnish to the Participating Holders copies of any such supplement or amendment promptly after its being used or filed with the SEC.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4" w:name="page185"/>
    <w:bookmarkEnd w:id="184"/>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The Company and the Guarantors shall pay all Registration Expenses in connection with any registration pursuant to Section 2(a)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2(b) hereof. Each Holder shall pay all underwriting discounts and commissions, brokerage commissions and transfer taxes, if any, relating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sale or disposition of such Holder’s Registrable Securities pursuant to the Shelf Registration Statement.</w:t>
      </w:r>
    </w:p>
    <w:p>
      <w:pPr>
        <w:spacing w:after="0" w:line="103" w:lineRule="exact"/>
        <w:rPr>
          <w:sz w:val="20"/>
          <w:szCs w:val="20"/>
          <w:color w:val="auto"/>
        </w:rPr>
      </w:pPr>
    </w:p>
    <w:p>
      <w:pPr>
        <w:ind w:left="4" w:right="180" w:firstLine="436"/>
        <w:spacing w:after="0" w:line="291" w:lineRule="auto"/>
        <w:tabs>
          <w:tab w:leader="none" w:pos="69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If a Registration Default occurs with respect to the Registrable Securities of a Series, the interest rate on the Registrable Securities of such Series will be increased by (i) 0.25% per annum for the first 90-day period beginning on the day immediately following such Registration Default and</w:t>
      </w:r>
    </w:p>
    <w:p>
      <w:pPr>
        <w:ind w:left="4" w:right="100" w:hanging="4"/>
        <w:spacing w:after="0" w:line="285" w:lineRule="auto"/>
        <w:tabs>
          <w:tab w:leader="none" w:pos="26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 additional 0.25% per annum with respect to each subsequent 90-day period, in each case until and including the date such Registration Default ends, up to a maximum increase of 0.50% per annum (such interest referred to in clauses (i) and (ii) above, “</w:t>
      </w:r>
      <w:r>
        <w:rPr>
          <w:rFonts w:ascii="Arial" w:cs="Arial" w:eastAsia="Arial" w:hAnsi="Arial"/>
          <w:sz w:val="16"/>
          <w:szCs w:val="16"/>
          <w:u w:val="single" w:color="auto"/>
          <w:color w:val="auto"/>
        </w:rPr>
        <w:t>Additional Interest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Additional Interest accrue after the Shelf Effectiveness Period. A Registration Default, with respect to the Registrable Securities of a Series, ends when the Securities of such Series cease to be Registrable Securities or, if earlier, (1) in the case of a Registration Default under clause (i) of the definition thereof, when the Exchange Offer is completed, (2) in the case of a Registration Default under clause (ii) or clause (iii) of the definition thereof, when the Shelf Registration Statement becomes effective or (3) in the case of a Registration Default under clause (iv) of the definition thereof, when the Shelf Registration Statement again becomes effective or the Prospectus again becomes usable. If at any time more than one Registration Default has occurred and is continuing, then, until the next date that there is no Registration Default, the increase in interest rate provided for by this paragraph shall apply as if there occurred a single Registration Default that begins on the date that the earliest such Registration Default occurred and ends on such next date that there is no Registration Default. The Representatives acknowledge and agree that the Company and the Guarantors will not be required to pay Additional Interest hereunder once the Securities become freely tradeable under Rule 144 promulgated under the Securities Act.</w:t>
      </w:r>
    </w:p>
    <w:p>
      <w:pPr>
        <w:spacing w:after="0" w:line="66" w:lineRule="exact"/>
        <w:rPr>
          <w:rFonts w:ascii="Arial" w:cs="Arial" w:eastAsia="Arial" w:hAnsi="Arial"/>
          <w:sz w:val="16"/>
          <w:szCs w:val="16"/>
          <w:color w:val="auto"/>
        </w:rPr>
      </w:pPr>
    </w:p>
    <w:p>
      <w:pPr>
        <w:ind w:left="684" w:hanging="244"/>
        <w:spacing w:after="0"/>
        <w:tabs>
          <w:tab w:leader="none" w:pos="68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It is acknowledged that the interest rate increase set forth above is the sole remedy for any default hereunder.</w:t>
      </w:r>
    </w:p>
    <w:p>
      <w:pPr>
        <w:spacing w:after="0" w:line="225" w:lineRule="exact"/>
        <w:rPr>
          <w:sz w:val="20"/>
          <w:szCs w:val="20"/>
          <w:color w:val="auto"/>
        </w:rPr>
      </w:pPr>
    </w:p>
    <w:p>
      <w:pPr>
        <w:ind w:left="624" w:hanging="184"/>
        <w:spacing w:after="0"/>
        <w:tabs>
          <w:tab w:leader="none" w:pos="62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connection with their obligations pursuant to Section 2(a) and Section 2(b) hereof, the Company and the Guarantors shall:</w:t>
      </w:r>
    </w:p>
    <w:p>
      <w:pPr>
        <w:spacing w:after="0" w:line="117" w:lineRule="exact"/>
        <w:rPr>
          <w:rFonts w:ascii="Arial" w:cs="Arial" w:eastAsia="Arial" w:hAnsi="Arial"/>
          <w:sz w:val="18"/>
          <w:szCs w:val="18"/>
          <w:color w:val="auto"/>
        </w:rPr>
      </w:pPr>
    </w:p>
    <w:p>
      <w:pPr>
        <w:ind w:left="444" w:firstLine="419"/>
        <w:spacing w:after="0" w:line="296" w:lineRule="auto"/>
        <w:tabs>
          <w:tab w:leader="none" w:pos="108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use their commercially reasonable efforts to prepare and file with the SEC a Registration Statement on the appropriate form under the Securities Act, which form (A) shall be selected by the Company and the Guarantors, (B) shall, in the case of a Shelf Registration, be available for the sale of the Registrable Securities by the Holders thereof and (C) shall comply as to form in all material respects with the requirements of the applicable form and include all financial statements required by the SEC to be filed therewith; and use their commercially reasonable efforts to cause such Registration Statement to become effective and remain effective for the applicable period in accordance with Section 2 hereof;</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85" w:name="page186"/>
    <w:bookmarkEnd w:id="185"/>
    <w:p>
      <w:pPr>
        <w:ind w:left="4" w:right="40" w:firstLine="419"/>
        <w:spacing w:after="0" w:line="296" w:lineRule="auto"/>
        <w:tabs>
          <w:tab w:leader="none" w:pos="691" w:val="left"/>
        </w:tabs>
        <w:numPr>
          <w:ilvl w:val="1"/>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Section 3(d) below, (A) prepare and file with the SEC such amendments and post-effective amendments to each Registration Statement as may be necessary to keep such Registration Statement effective for the applicable period in accordance with Section 2 hereof and cause each Prospectus to be supplemented by any required prospectus supplement and, as so supplemented, to be filed pursuant to Rule 424 under the Securities Act; and (B) keep each Prospectus current during the period described in Section 4(3) of and Rule 174 under the Securities Act that is applicable to transactions by brokers or dealers with respect to the Registrable Securities or Exchange Securities;</w:t>
      </w:r>
    </w:p>
    <w:p>
      <w:pPr>
        <w:spacing w:after="0" w:line="53" w:lineRule="exact"/>
        <w:rPr>
          <w:rFonts w:ascii="Arial" w:cs="Arial" w:eastAsia="Arial" w:hAnsi="Arial"/>
          <w:sz w:val="16"/>
          <w:szCs w:val="16"/>
          <w:color w:val="auto"/>
        </w:rPr>
      </w:pPr>
    </w:p>
    <w:p>
      <w:pPr>
        <w:ind w:left="4" w:right="40" w:firstLine="419"/>
        <w:spacing w:after="0" w:line="342" w:lineRule="auto"/>
        <w:tabs>
          <w:tab w:leader="none" w:pos="74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the extent any Free Writing Prospectus is used, file with the SEC any Free Writing Prospectus that is required to be filed by the Company or the Guarantors with the SEC in accordance with the Securities Act and to retain any Free Writing Prospectus not required to be filed;</w:t>
      </w:r>
    </w:p>
    <w:p>
      <w:pPr>
        <w:spacing w:after="0" w:line="15" w:lineRule="exact"/>
        <w:rPr>
          <w:rFonts w:ascii="Arial" w:cs="Arial" w:eastAsia="Arial" w:hAnsi="Arial"/>
          <w:sz w:val="16"/>
          <w:szCs w:val="16"/>
          <w:color w:val="auto"/>
        </w:rPr>
      </w:pPr>
    </w:p>
    <w:p>
      <w:pPr>
        <w:ind w:left="4" w:right="140" w:firstLine="419"/>
        <w:spacing w:after="0" w:line="290" w:lineRule="auto"/>
        <w:tabs>
          <w:tab w:leader="none" w:pos="73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the case of a Shelf Registration, furnish to each Participating Holder, to counsel for the Initial Purchasers, to counsel for such Participating Holders and to each Underwriter of an Underwritten Offering of Registrable Securities, if any, without charge, as many copies of each Prospectus, preliminary prospectus or Free Writing Prospectus, and any amendment or supplement thereto, as such Participating Holder, counsel or Underwriter may reasonably request in order to facilitate the sale or other disposition of the Registrable Securities thereunder; and, subject to Section 3(c) hereof, the Company and the Guarantors consent to the use of such Prospectus, preliminary prospectus or such Free Writing Prospectus and any amendment or supplement thereto in accordance with applicable law by each of the Participating Holders and any such Underwriters in connection with the offering and sale of the Registrable Securities covered by and in the manner described in such Prospectus, preliminary prospectus or such Free Writing Prospectus or any amendment or supplement thereto in accordance with applicable law;</w:t>
      </w:r>
    </w:p>
    <w:p>
      <w:pPr>
        <w:spacing w:after="0" w:line="57" w:lineRule="exact"/>
        <w:rPr>
          <w:rFonts w:ascii="Arial" w:cs="Arial" w:eastAsia="Arial" w:hAnsi="Arial"/>
          <w:sz w:val="16"/>
          <w:szCs w:val="16"/>
          <w:color w:val="auto"/>
        </w:rPr>
      </w:pPr>
    </w:p>
    <w:p>
      <w:pPr>
        <w:ind w:left="4" w:firstLine="419"/>
        <w:spacing w:after="0" w:line="284" w:lineRule="auto"/>
        <w:tabs>
          <w:tab w:leader="none" w:pos="68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in the case of a Shelf Registration, use their commercially reasonable efforts to register or qualify the Registrable Securities under all applicable state securities or blue sky laws of such jurisdictions as any Participating Holder shall reasonably request in writing by the time the applicable Registration Statement becomes effective; cooperate with such Participating Holders in connection with any filings required to be made with FINRA;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Company nor any Guarantor shall be required to (1) qualify or be authorized, as applicable, as a foreign corporation or other entity or as a dealer in securities, investment firm or other entity under financial supervision in any such jurisdiction where it would not otherwise be required to so qualify or be authorized, (2) file any general consent to service of process in any such jurisdiction,</w:t>
      </w:r>
    </w:p>
    <w:p>
      <w:pPr>
        <w:spacing w:after="0" w:line="4" w:lineRule="exact"/>
        <w:rPr>
          <w:rFonts w:ascii="Arial" w:cs="Arial" w:eastAsia="Arial" w:hAnsi="Arial"/>
          <w:sz w:val="16"/>
          <w:szCs w:val="16"/>
          <w:color w:val="auto"/>
        </w:rPr>
      </w:pPr>
    </w:p>
    <w:p>
      <w:pPr>
        <w:ind w:left="4" w:right="260" w:hanging="4"/>
        <w:spacing w:after="0" w:line="260" w:lineRule="auto"/>
        <w:tabs>
          <w:tab w:leader="none" w:pos="25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so subject or (4) make any changes to incorporating or organizational documents (including its deed of incorporation, articles of association, board rules or any charter);</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86" w:name="page187"/>
    <w:bookmarkEnd w:id="186"/>
    <w:p>
      <w:pPr>
        <w:ind w:left="4" w:firstLine="419"/>
        <w:spacing w:after="0" w:line="283" w:lineRule="auto"/>
        <w:tabs>
          <w:tab w:leader="none" w:pos="731" w:val="left"/>
        </w:tabs>
        <w:numPr>
          <w:ilvl w:val="1"/>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 Shelf Registration, notify counsel for the Initial Purchasers and notify each Participating Holder and counsel for such Participating Holders promptly and, if requested by any such Participating Holder or counsel, confirm such advice in writing (1) when a Registration Statement has become effective, when any post-effective amendment thereto has been filed and becomes effective, when any Free Writing Prospectus has been filed or any amendment or supplement to the Prospectus or any Free Writing Prospectus has been filed, (2)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if, between the applicable effective date of a Shelf Registration Statement and the closing of any sale of Registrable Securities covered thereby, the Company or any Guarantor receives any notification with respect to the suspension of the qualification of the Registrable Securities for sale in any jurisdiction or the initiation of any proceeding for such purpose, (5) of the happening of any event during the period a Registration Statement is effective that makes any statement made in such Registration Statement or the related Prospectus or any Free Writing Prospectus untrue in any material respect or that requires the making of any changes in such Registration Statement or Prospectus or any Free Writing Prospectus in order to make the statements therein not misleading and</w:t>
      </w:r>
    </w:p>
    <w:p>
      <w:pPr>
        <w:spacing w:after="0" w:line="1" w:lineRule="exact"/>
        <w:rPr>
          <w:rFonts w:ascii="Arial" w:cs="Arial" w:eastAsia="Arial" w:hAnsi="Arial"/>
          <w:sz w:val="16"/>
          <w:szCs w:val="16"/>
          <w:color w:val="auto"/>
        </w:rPr>
      </w:pPr>
    </w:p>
    <w:p>
      <w:pPr>
        <w:ind w:left="4" w:right="340" w:hanging="4"/>
        <w:spacing w:after="0" w:line="260" w:lineRule="auto"/>
        <w:tabs>
          <w:tab w:leader="none" w:pos="25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any determination by the Company or any Guarantor that a post-effective amendment to a Registration Statement or any amendment or supplement to the Prospectus or any Free Writing Prospectus would be appropriate;</w:t>
      </w:r>
    </w:p>
    <w:p>
      <w:pPr>
        <w:spacing w:after="0" w:line="77" w:lineRule="exact"/>
        <w:rPr>
          <w:rFonts w:ascii="Arial" w:cs="Arial" w:eastAsia="Arial" w:hAnsi="Arial"/>
          <w:sz w:val="18"/>
          <w:szCs w:val="18"/>
          <w:color w:val="auto"/>
        </w:rPr>
      </w:pPr>
    </w:p>
    <w:p>
      <w:pPr>
        <w:ind w:left="784" w:hanging="361"/>
        <w:spacing w:after="0"/>
        <w:tabs>
          <w:tab w:leader="none" w:pos="78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subject to Section 3(d) below, use their commercially reasonable efforts to obtain the withdrawal of any order suspending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effectiveness of a Registration Statement or, in the case of a Shelf Registration, the resolution of any objection of the SEC pursuant to Rule 401(g)</w:t>
      </w:r>
    </w:p>
    <w:p>
      <w:pPr>
        <w:spacing w:after="0" w:line="32" w:lineRule="exact"/>
        <w:rPr>
          <w:rFonts w:ascii="Arial" w:cs="Arial" w:eastAsia="Arial" w:hAnsi="Arial"/>
          <w:sz w:val="17"/>
          <w:szCs w:val="17"/>
          <w:color w:val="auto"/>
        </w:rPr>
      </w:pPr>
    </w:p>
    <w:p>
      <w:pPr>
        <w:ind w:left="4" w:right="740" w:hanging="4"/>
        <w:spacing w:after="0" w:line="323" w:lineRule="auto"/>
        <w:tabs>
          <w:tab w:leader="none" w:pos="25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under the Securities Act, including by filing an amendment to such Registration Statement on the proper form, as soon as reasonably practicable and provide prompt notice to each Holder or Participating Holder of the withdrawal of any such order or such resolution;</w:t>
      </w:r>
    </w:p>
    <w:p>
      <w:pPr>
        <w:spacing w:after="0" w:line="30" w:lineRule="exact"/>
        <w:rPr>
          <w:rFonts w:ascii="Arial" w:cs="Arial" w:eastAsia="Arial" w:hAnsi="Arial"/>
          <w:sz w:val="16"/>
          <w:szCs w:val="16"/>
          <w:color w:val="auto"/>
        </w:rPr>
      </w:pPr>
    </w:p>
    <w:p>
      <w:pPr>
        <w:ind w:left="4" w:right="180" w:firstLine="419"/>
        <w:spacing w:after="0" w:line="263" w:lineRule="auto"/>
        <w:tabs>
          <w:tab w:leader="none" w:pos="83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case of a Shelf Registration, furnish to each Participating Holder upon request, without charge, at least one conformed copy of each Registration Statement and any post-effective amendment thereto (without any documents incorporated therein by reference or exhibits thereto, unless requested);</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4"/>
          </w:cols>
          <w:pgMar w:left="876" w:top="274" w:right="479" w:bottom="1440" w:gutter="0" w:footer="0" w:header="0"/>
        </w:sectPr>
      </w:pPr>
    </w:p>
    <w:bookmarkStart w:id="187" w:name="page188"/>
    <w:bookmarkEnd w:id="187"/>
    <w:p>
      <w:pPr>
        <w:ind w:right="280" w:firstLine="419"/>
        <w:spacing w:after="0" w:line="279" w:lineRule="auto"/>
        <w:tabs>
          <w:tab w:leader="none" w:pos="728" w:val="left"/>
        </w:tabs>
        <w:numPr>
          <w:ilvl w:val="0"/>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 Shelf Registration, cooperate with the Participating Holders to facilitate the timely preparation and delivery of certificates representing Registrable Securities to be sold and not bearing any restrictive legends and enable such Registrable Securities to be issued in such denominations and registered in such names (consistent with the provisions of the Indenture) as such Participating Holders may reasonably request at least one Business Day prior to the closing of any sale of Registrable Securities;</w:t>
      </w:r>
    </w:p>
    <w:p>
      <w:pPr>
        <w:spacing w:after="0" w:line="63" w:lineRule="exact"/>
        <w:rPr>
          <w:rFonts w:ascii="Arial" w:cs="Arial" w:eastAsia="Arial" w:hAnsi="Arial"/>
          <w:sz w:val="17"/>
          <w:szCs w:val="17"/>
          <w:color w:val="auto"/>
        </w:rPr>
      </w:pPr>
    </w:p>
    <w:p>
      <w:pPr>
        <w:ind w:firstLine="419"/>
        <w:spacing w:after="0" w:line="287" w:lineRule="auto"/>
        <w:tabs>
          <w:tab w:leader="none" w:pos="67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Section 3(a)(vi)(5) hereof, subject to Section 3(d) below, use their commercially reasonable efforts to prepare and file with the SEC a supplement or post-effective amendment to the applicable Exchange Offer Registration Statement or Shelf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Securities,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shall notify the Participating Holders (in the case of a Shelf Registration Statement) and the Initial Purchasers and any Participating Broker-Dealers known to the Company (in the case of an Exchange Offer Registration Statement) to suspend use of the Prospectus or any Free Writing Prospectus as promptly as practicable after the occurrence of such an event, and such Participating Holders, such Participating Broker-Dealers and the Initial Purchasers, as applicable, hereby agree to suspend use of the Prospectus or any Free Writing Prospectus, as the case may be, upon receipt of such notice from the Company until the Company and the Guarantors have amended or supplemented the Prospectus or the Free Writing Prospectus, as the case may be, to correct such misstatement or omission;</w:t>
      </w:r>
    </w:p>
    <w:p>
      <w:pPr>
        <w:spacing w:after="0" w:line="59" w:lineRule="exact"/>
        <w:rPr>
          <w:rFonts w:ascii="Arial" w:cs="Arial" w:eastAsia="Arial" w:hAnsi="Arial"/>
          <w:sz w:val="16"/>
          <w:szCs w:val="16"/>
          <w:color w:val="auto"/>
        </w:rPr>
      </w:pPr>
    </w:p>
    <w:p>
      <w:pPr>
        <w:ind w:right="40" w:firstLine="419"/>
        <w:spacing w:after="0" w:line="255" w:lineRule="auto"/>
        <w:tabs>
          <w:tab w:leader="none" w:pos="7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and the Guarantors shall not, at any time after initial filing of a Registration Statement, use or file any Prospectus, any Free Writing Prospectus, any amendment of or supplement to a Registration Statement or a Prospectus or a Free Writing Prospectus, or any document that is to be incorporated by reference into a Registration Statement (other than an Exchange Act Report), a Prospectus or a Free Writing Prospectus, of which the Initial Purchasers and their counsel (and, in the case of a Shelf Registration Statement, the Participating Holders and their counsel) shall not have previously been advised and furnished a copy or to which the Initial Purchasers or their counsel or the Participating Holders or their counsel shall reasonably object;</w:t>
      </w:r>
    </w:p>
    <w:p>
      <w:pPr>
        <w:spacing w:after="0" w:line="84" w:lineRule="exact"/>
        <w:rPr>
          <w:rFonts w:ascii="Arial" w:cs="Arial" w:eastAsia="Arial" w:hAnsi="Arial"/>
          <w:sz w:val="18"/>
          <w:szCs w:val="18"/>
          <w:color w:val="auto"/>
        </w:rPr>
      </w:pPr>
    </w:p>
    <w:p>
      <w:pPr>
        <w:ind w:firstLine="419"/>
        <w:spacing w:after="0" w:line="277" w:lineRule="auto"/>
        <w:tabs>
          <w:tab w:leader="none" w:pos="77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obtain a CUSIP number for all Exchange Securities or Registrable Securities, as the case may be, not later than the initial effective date of a Registration Statement;</w:t>
      </w:r>
    </w:p>
    <w:p>
      <w:pPr>
        <w:spacing w:after="0" w:line="62" w:lineRule="exact"/>
        <w:rPr>
          <w:rFonts w:ascii="Arial" w:cs="Arial" w:eastAsia="Arial" w:hAnsi="Arial"/>
          <w:sz w:val="18"/>
          <w:szCs w:val="18"/>
          <w:color w:val="auto"/>
        </w:rPr>
      </w:pPr>
    </w:p>
    <w:p>
      <w:pPr>
        <w:ind w:right="80" w:firstLine="419"/>
        <w:spacing w:after="0" w:line="275" w:lineRule="auto"/>
        <w:tabs>
          <w:tab w:leader="none" w:pos="82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cause the Indenture to be qualified under the Trust Indenture Act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Trust Indenture Act; and execute, and use their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10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20"/>
          </w:cols>
          <w:pgMar w:left="880" w:top="274" w:right="499" w:bottom="1440" w:gutter="0" w:footer="0" w:header="0"/>
        </w:sectPr>
      </w:pPr>
    </w:p>
    <w:bookmarkStart w:id="188" w:name="page189"/>
    <w:bookmarkEnd w:id="188"/>
    <w:p>
      <w:pPr>
        <w:ind w:left="420" w:right="60" w:firstLine="419"/>
        <w:spacing w:after="0" w:line="259" w:lineRule="auto"/>
        <w:tabs>
          <w:tab w:leader="none" w:pos="1238"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reasonably requested by any Participating Holder, promptly include in a Prospectus supplement or post-effective amendment such information with respect to such Participating Holder as such Participating Holder reasonably requests to be included therein and make all required filings of such Prospectus supplement or such post-effective amendment as soon as the Company has received notification of the matters to be so included in such filing; and</w:t>
      </w:r>
    </w:p>
    <w:p>
      <w:pPr>
        <w:spacing w:after="0" w:line="78" w:lineRule="exact"/>
        <w:rPr>
          <w:rFonts w:ascii="Arial" w:cs="Arial" w:eastAsia="Arial" w:hAnsi="Arial"/>
          <w:sz w:val="18"/>
          <w:szCs w:val="18"/>
          <w:color w:val="auto"/>
        </w:rPr>
      </w:pPr>
    </w:p>
    <w:p>
      <w:pPr>
        <w:ind w:left="-20" w:right="80" w:firstLine="436"/>
        <w:spacing w:after="0" w:line="254" w:lineRule="auto"/>
        <w:tabs>
          <w:tab w:leader="none" w:pos="67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Shelf Registration Statement, the Company may require, as a condition to including a Holder’s Registrable Securities in the Registration Statement, each Holder of Registrable Securities to furnish to the Company a Notice and Questionnaire and such other information regarding such Holder and the proposed disposition by such Holder of such Registrable Securities as the Company may from time to time reasonably request in writing. No Holder of Registrable Securities shall be entitled to include any of its Registrable Securities in any Shelf Registration pursuant to this Agreement unless such Holder furnishes to the Company in writing, within 20 days after receipt of a written request therefor, such information as the Company may reasonably request for inclusion in any Shelf Registration or Prospectus included therein, and no such Holder shall be entitled to Additional Interest pursuant hereto.</w:t>
      </w:r>
    </w:p>
    <w:p>
      <w:pPr>
        <w:spacing w:after="0" w:line="86" w:lineRule="exact"/>
        <w:rPr>
          <w:rFonts w:ascii="Arial" w:cs="Arial" w:eastAsia="Arial" w:hAnsi="Arial"/>
          <w:sz w:val="18"/>
          <w:szCs w:val="18"/>
          <w:color w:val="auto"/>
        </w:rPr>
      </w:pPr>
    </w:p>
    <w:p>
      <w:pPr>
        <w:ind w:left="-20" w:right="120" w:firstLine="436"/>
        <w:spacing w:after="0" w:line="272" w:lineRule="auto"/>
        <w:tabs>
          <w:tab w:leader="none" w:pos="66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Each Participating Holder agrees that, upon receipt of any notice from the Company of the happening of any event of the kind described in Section 3(a)(vi)(3) or Section 3(a)(vi)(5) hereof or any notice pursuant to Section 3(d), such Participating Holder will forthwith discontinue disposition of Registrable Securities pursuant to the Shelf Registration Statement until such Participating Holder’s receipt of the copies of the supplemented or amended Prospectus and any Free Writing Prospectus contemplated by Section 3(a)(x) hereof or notice that the period referred to in Section 3(d) has ended and, if so directed by the Company, such Participating Holder will deliver to the Company all copies in its possession, other than permanent file copies then in such Participating Holder’s possession, of the Prospectus and any Free Writing Prospectus covering such Registrable Securities that is current at the time of receipt of such notice.</w:t>
      </w:r>
    </w:p>
    <w:p>
      <w:pPr>
        <w:spacing w:after="0" w:line="69" w:lineRule="exact"/>
        <w:rPr>
          <w:rFonts w:ascii="Arial" w:cs="Arial" w:eastAsia="Arial" w:hAnsi="Arial"/>
          <w:sz w:val="17"/>
          <w:szCs w:val="17"/>
          <w:color w:val="auto"/>
        </w:rPr>
      </w:pPr>
    </w:p>
    <w:p>
      <w:pPr>
        <w:ind w:left="-20" w:firstLine="436"/>
        <w:spacing w:after="0" w:line="289" w:lineRule="auto"/>
        <w:tabs>
          <w:tab w:leader="none" w:pos="67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to the contrary, the Company may postpone effecting an Exchange Offer Registration or a Shelf Registration (or the maintenance of its effectiveness and usability) (i) during the regular quarterly period during which directors and executive officers of the Company are not permitted to trade under the insider trading policy of the Company then in effect until the expiration of such quarterly period (but in no event later than two Business Days after the date of the Company’s quarterly earnings announcement) and (ii) for a period of up to 90 days if the Company determines in good faith that such Exchange Offer Registration or a Shelf Registration, as the case may be, would (A) reasonably be expected to materially impede, delay, interfere with or otherwise have a material adverse effect on any material acquisition of assets (other than in the ordinary course of business), merger, consolidation, tender offer, financing or any other material business transaction by the Company or any of its subsidiaries or (B) require disclosure of information that has not been disclosed to the public, the disclosure of which would not be in the best interests of the Company. Any such suspensions shall not exceed 180 days in the aggregate during any 365-day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189" w:name="page190"/>
    <w:bookmarkEnd w:id="189"/>
    <w:p>
      <w:pPr>
        <w:ind w:right="120" w:firstLine="436"/>
        <w:spacing w:after="0" w:line="290" w:lineRule="auto"/>
        <w:tabs>
          <w:tab w:leader="none" w:pos="685"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Participating Holders who desire to do so may sell such Registrable Securities in an Underwritten Offering. In any such Underwritten Offering, the investment bank or investment banks and manager or managers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that will administer the offering will be selected by the Holders of a majority in principal amount of the Registrable Securities included in such offering and shall be reasonably acceptable to the Company. The Company and the Guarantors shall use commercially reasonable efforts to comply in all material respects with any reasonable and customary request, including the provision of opinions of counsel, accountants’ comfort letters and officers’ certificates, of the Participating Holders or Underwriters made in connection with such Underwritten Offering to the extent such request does not create an undue burden or expense for the Company or its subsidiaries. All expenses of the Underwritten Offering (other than Registration Expenses and expenses of the Company and its subsidiaries) shall be borne by the Participating Holders and the Underwriters, as agreed amongst them.</w:t>
      </w:r>
    </w:p>
    <w:p>
      <w:pPr>
        <w:spacing w:after="0" w:line="57" w:lineRule="exact"/>
        <w:rPr>
          <w:rFonts w:ascii="Arial" w:cs="Arial" w:eastAsia="Arial" w:hAnsi="Arial"/>
          <w:sz w:val="16"/>
          <w:szCs w:val="16"/>
          <w:color w:val="auto"/>
        </w:rPr>
      </w:pPr>
    </w:p>
    <w:p>
      <w:pPr>
        <w:ind w:right="220" w:firstLine="436"/>
        <w:spacing w:after="0" w:line="286" w:lineRule="auto"/>
        <w:tabs>
          <w:tab w:leader="none" w:pos="66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Each Holder agrees that such Holder shall not take any action that would result in the Company or Guarantors being required to file with the SEC a free writing prospectus, as defined in Rule 405, as amended, under the Securities Act, prepared by or on behalf of such Holder that otherwise would not be required to be filed by the Company or Guarantors thereunder, but for the action of such Holder.</w:t>
      </w:r>
    </w:p>
    <w:p>
      <w:pPr>
        <w:spacing w:after="0" w:line="165" w:lineRule="exact"/>
        <w:rPr>
          <w:sz w:val="20"/>
          <w:szCs w:val="20"/>
          <w:color w:val="auto"/>
        </w:rPr>
      </w:pPr>
    </w:p>
    <w:p>
      <w:pPr>
        <w:ind w:left="620" w:hanging="184"/>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Participation of Broker-Dealers in Exchange Offer</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9" w:lineRule="auto"/>
        <w:tabs>
          <w:tab w:leader="none" w:pos="6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Staff has taken the position that any broker-dealer that receives Exchange Securities for its own account in the Exchange Offer in exchange for Securities that were acquired by such broker-dealer as a result of market-making or other trading activities (a “</w:t>
      </w:r>
      <w:r>
        <w:rPr>
          <w:rFonts w:ascii="Arial" w:cs="Arial" w:eastAsia="Arial" w:hAnsi="Arial"/>
          <w:sz w:val="18"/>
          <w:szCs w:val="18"/>
          <w:u w:val="single" w:color="auto"/>
          <w:color w:val="auto"/>
        </w:rPr>
        <w:t>Participating Broker-Dealer</w:t>
      </w:r>
      <w:r>
        <w:rPr>
          <w:rFonts w:ascii="Arial" w:cs="Arial" w:eastAsia="Arial" w:hAnsi="Arial"/>
          <w:sz w:val="18"/>
          <w:szCs w:val="18"/>
          <w:color w:val="auto"/>
        </w:rPr>
        <w:t>”) may be deemed to be an “underwriter” within the meaning of the Securities Act and must deliver a prospectus meeting the requirements of the Securities Act in connection with any resale of such Exchange Securities.</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and the Guarantors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(or, to the extent permitted by law, made available to purchasers) to satisfy their prospectus delivery obligation under the Securities Act in connection with resales of Exchange Securities for their own accounts, so long as the Prospectus otherwise meets the requirements of the Securities Act.</w:t>
      </w:r>
    </w:p>
    <w:p>
      <w:pPr>
        <w:spacing w:after="0" w:line="84" w:lineRule="exact"/>
        <w:rPr>
          <w:sz w:val="20"/>
          <w:szCs w:val="20"/>
          <w:color w:val="auto"/>
        </w:rPr>
      </w:pPr>
    </w:p>
    <w:p>
      <w:pPr>
        <w:jc w:val="both"/>
        <w:ind w:right="60" w:firstLine="436"/>
        <w:spacing w:after="0" w:line="296" w:lineRule="auto"/>
        <w:tabs>
          <w:tab w:leader="none" w:pos="69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light of the above, and subject to Section 3(d), the Company and the Guarantors shall amend or supplement the Prospectus contained in the Exchange Offer Registration Statement for a period of up to 90 days after the last Exchange Date, in order to expedite or facilitate the disposition of any Exchange Securities by Participating Broker-Dealers consistent with the positions of the Staff recited in Section 4(a) above. The Company and the Guarantors further acknowledge that Participating Broker-Dealers shall be authorized, subject to Section 3(d), to deliver such Prospectus (or, to the extent permitted by law, make available) during such period in connection with the resales contemplated by this Section 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0" w:name="page191"/>
    <w:bookmarkEnd w:id="190"/>
    <w:p>
      <w:pPr>
        <w:ind w:right="360" w:firstLine="436"/>
        <w:spacing w:after="0" w:line="277" w:lineRule="auto"/>
        <w:tabs>
          <w:tab w:leader="none" w:pos="6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Initial Purchasers shall have no liability to the Company, any Guarantor or any Holder with respect to any request that they may make pursuant to Section 4(b) hereof.</w:t>
      </w:r>
    </w:p>
    <w:p>
      <w:pPr>
        <w:spacing w:after="0" w:line="170" w:lineRule="exact"/>
        <w:rPr>
          <w:sz w:val="20"/>
          <w:szCs w:val="20"/>
          <w:color w:val="auto"/>
        </w:rPr>
      </w:pPr>
    </w:p>
    <w:p>
      <w:pPr>
        <w:ind w:left="620" w:hanging="184"/>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7" w:lineRule="auto"/>
        <w:tabs>
          <w:tab w:leader="none" w:pos="68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Company agrees that it and each Guarantor, jointly and severally, shall indemnify and hold harmless each Initial Purchaser and each Holder and their respective affiliates, and each Person, if any, who controls any Initial Purchaser or any Holder within the meaning of Section 15 of the Securities Act or Section 20 of the Exchange Act, from and against any and all losses, claims, damages and liabilities (including, without limitation, reasonable and documented legal fees and other expenses reasonably incurred in connection with any suit, action or proceeding or any claim asserted, as such fees and expenses are incurred), joint or several, that arise out of, or are based upon, (1) any untrue statement or alleged untrue statement of a material fact contained in any Registration Statement or any omission or alleged omission to state therein a material fact required to be stated therein or necessary in order to make the statements therein not misleading, or (2) any untrue statement or alleged untrue statement of a material fact contained in any Prospectus or any Free Writing Prospectus,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or information relating to any Holder furnished to the Company or any Guarantor in writing by or on behalf of such parties expressly for use in any Registration Statement, any Prospectus and any Free Writing Prospectus. In connection with any Underwritten Offering permitted by Section 3, the Company and the Guarantors, jointly and severally, shall also indemnify the Underwriters, if any, selling brokers, dealers and similar securities industry professionals participating in the distribution, their respective affiliates and each Person who controls such Persons (within the meaning of the Securities Act and the Exchange Act) to the same extent as provided above with respect to the indemnification of the Holders, if requested in connection with any Registration Statement, any Prospectus or any Free Writing Prospectus.</w:t>
      </w:r>
    </w:p>
    <w:p>
      <w:pPr>
        <w:spacing w:after="0" w:line="83" w:lineRule="exact"/>
        <w:rPr>
          <w:rFonts w:ascii="Arial" w:cs="Arial" w:eastAsia="Arial" w:hAnsi="Arial"/>
          <w:sz w:val="17"/>
          <w:szCs w:val="17"/>
          <w:color w:val="auto"/>
        </w:rPr>
      </w:pPr>
    </w:p>
    <w:p>
      <w:pPr>
        <w:ind w:firstLine="436"/>
        <w:spacing w:after="0" w:line="272" w:lineRule="auto"/>
        <w:tabs>
          <w:tab w:leader="none" w:pos="69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Holder agrees, severally and not jointly, to indemnify and hold harmless the Company, the Guarantors, the Initial Purchasers and the other selling Holders, and each of the directors and officers of the Company and the Guarantors and each Person, if any, who controls the Company, the Guarantors, any Initial Purchaser and any other selling Holder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Holder furnished to the Company or any Guarantor in writing by such Holder expressly for use in any Registration Statement, any Prospectus and any Free Writing Prospectus.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1" w:name="page192"/>
    <w:bookmarkEnd w:id="191"/>
    <w:p>
      <w:pPr>
        <w:ind w:left="4" w:right="40" w:firstLine="436"/>
        <w:spacing w:after="0" w:line="283" w:lineRule="auto"/>
        <w:tabs>
          <w:tab w:leader="none" w:pos="689" w:val="left"/>
        </w:tabs>
        <w:numPr>
          <w:ilvl w:val="1"/>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Arial" w:cs="Arial" w:eastAsia="Arial" w:hAnsi="Arial"/>
          <w:sz w:val="16"/>
          <w:szCs w:val="16"/>
          <w:u w:val="single" w:color="auto"/>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u w:val="single" w:color="auto"/>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(which consent shall not be unreasonably withheld or delayed), be counsel to the Indemnifying Person) to represent the Indemnified Person and any others entitled to indemnification pursuant to this Section 5 that the Indemnifying Person may designate in such proceeding and shall pay the fees and expenses of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w:t>
      </w:r>
    </w:p>
    <w:p>
      <w:pPr>
        <w:spacing w:after="0" w:line="1" w:lineRule="exact"/>
        <w:rPr>
          <w:rFonts w:ascii="Arial" w:cs="Arial" w:eastAsia="Arial" w:hAnsi="Arial"/>
          <w:sz w:val="16"/>
          <w:szCs w:val="16"/>
          <w:color w:val="auto"/>
        </w:rPr>
      </w:pPr>
    </w:p>
    <w:p>
      <w:pPr>
        <w:ind w:left="4" w:hanging="4"/>
        <w:spacing w:after="0" w:line="281" w:lineRule="auto"/>
        <w:tabs>
          <w:tab w:leader="none" w:pos="26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one local counsel per jurisdiction) for all Indemnified Persons, and that all such fees and expenses shall be reasonable and documented and shall be reimbursed as they are incurred. Any such separate firm</w:t>
      </w:r>
    </w:p>
    <w:p>
      <w:pPr>
        <w:spacing w:after="0" w:line="4" w:lineRule="exact"/>
        <w:rPr>
          <w:rFonts w:ascii="Arial" w:cs="Arial" w:eastAsia="Arial" w:hAnsi="Arial"/>
          <w:sz w:val="16"/>
          <w:szCs w:val="16"/>
          <w:color w:val="auto"/>
        </w:rPr>
      </w:pPr>
    </w:p>
    <w:p>
      <w:pPr>
        <w:ind w:left="4" w:right="40" w:hanging="4"/>
        <w:spacing w:after="0" w:line="268" w:lineRule="auto"/>
        <w:tabs>
          <w:tab w:leader="none" w:pos="25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for any Initial Purchaser, its affiliates, directors and officers and any control Persons of such Initial Purchaser shall be designated in writing by the Representatives, (y) for any Holder, its directors and officers and any control Persons of such Holder shall be designated in writing by the Majority Holders and (z) in all other cases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a failure to act by or on behalf of any Indemnified Person.</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92" w:name="page193"/>
    <w:bookmarkEnd w:id="192"/>
    <w:p>
      <w:pPr>
        <w:ind w:left="4" w:right="60" w:firstLine="436"/>
        <w:spacing w:after="0" w:line="287" w:lineRule="auto"/>
        <w:tabs>
          <w:tab w:leader="none" w:pos="699" w:val="left"/>
        </w:tabs>
        <w:numPr>
          <w:ilvl w:val="1"/>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w:t>
      </w:r>
    </w:p>
    <w:p>
      <w:pPr>
        <w:spacing w:after="0" w:line="2" w:lineRule="exact"/>
        <w:rPr>
          <w:rFonts w:ascii="Arial" w:cs="Arial" w:eastAsia="Arial" w:hAnsi="Arial"/>
          <w:sz w:val="16"/>
          <w:szCs w:val="16"/>
          <w:color w:val="auto"/>
        </w:rPr>
      </w:pPr>
    </w:p>
    <w:p>
      <w:pPr>
        <w:ind w:left="4" w:hanging="4"/>
        <w:spacing w:after="0" w:line="268" w:lineRule="auto"/>
        <w:tabs>
          <w:tab w:leader="none" w:pos="21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such proportion as is appropriate to reflect the relative benefits received by the Company and the Guarantors from the offering of the Securities and the Exchange Securities, on the one hand, and by the Holders from receiving Securities or Exchange Securities registered under the Securities Act, on the other hand, or (ii) if the allocation provided by clause (i) is not permitted by applicable law, in such proportion as is appropriate to reflect not only the relative benefits referred to in clause (i) but also the relative fault of the Company and the Guarantors on the one hand and the Holders on the other in connection with the statements or omissions that resulted in such losses, claims, damages or liabilities, as well as any other relevant equitable considerations. The relative fault of the Company and the Guarantors on the one hand and the Holders on the other shall be determined by reference to, among other things, whether the untrue or alleged untrue statement of a material fact or the omission or alleged omission to state a material fact relates to information supplied by the Company and the Guarantors or by the Holders and the parties’ relative intent, knowledge, access to information and opportunity to correct or prevent such statement or omission.</w:t>
      </w:r>
    </w:p>
    <w:p>
      <w:pPr>
        <w:spacing w:after="0" w:line="73" w:lineRule="exact"/>
        <w:rPr>
          <w:rFonts w:ascii="Arial" w:cs="Arial" w:eastAsia="Arial" w:hAnsi="Arial"/>
          <w:sz w:val="17"/>
          <w:szCs w:val="17"/>
          <w:color w:val="auto"/>
        </w:rPr>
      </w:pPr>
    </w:p>
    <w:p>
      <w:pPr>
        <w:ind w:left="4" w:right="60" w:firstLine="436"/>
        <w:spacing w:after="0" w:line="269" w:lineRule="auto"/>
        <w:tabs>
          <w:tab w:leader="none" w:pos="689"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The Company, the Guarantors and the Holders agree that it would not be just and equitable if contribution pursuant to this Section 5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Holders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5, in no event shall a Holder be required to contribute any amount in excess of the amount by which the total price at which the Securities or Exchange Securities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5 are several and not joint.</w:t>
      </w:r>
    </w:p>
    <w:p>
      <w:pPr>
        <w:spacing w:after="0" w:line="77" w:lineRule="exact"/>
        <w:rPr>
          <w:rFonts w:ascii="Arial" w:cs="Arial" w:eastAsia="Arial" w:hAnsi="Arial"/>
          <w:sz w:val="17"/>
          <w:szCs w:val="17"/>
          <w:color w:val="auto"/>
        </w:rPr>
      </w:pPr>
    </w:p>
    <w:p>
      <w:pPr>
        <w:ind w:left="4" w:right="140" w:firstLine="436"/>
        <w:spacing w:after="0" w:line="277" w:lineRule="auto"/>
        <w:tabs>
          <w:tab w:leader="none" w:pos="66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remedies provided for in this Section 5 are not exclusive and shall not limit any rights or remedies that may otherwise be available to any Indemnified Person at law or in equity.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93" w:name="page194"/>
    <w:bookmarkEnd w:id="193"/>
    <w:p>
      <w:pPr>
        <w:ind w:left="-40" w:right="60" w:firstLine="436"/>
        <w:spacing w:after="0" w:line="301" w:lineRule="auto"/>
        <w:tabs>
          <w:tab w:leader="none" w:pos="6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indemnity and contribution provisions contained in this Section 5 shall remain operative and in full force and effect regardless of (i) any termination of this Agreement, (ii) any investigation made by or on behalf of the Initial Purchasers or any Holder or any Person controlling any Initial Purchaser or any Holder, or by or on behalf of the Company or the Guarantors or the officers or directors of or any Person controlling the Company or the Guarantors, (iii) acceptance of any of the Exchange Securities and (iv) any sale of Registrable Securities pursuant to a Shelf Registration Statement.</w:t>
      </w:r>
    </w:p>
    <w:p>
      <w:pPr>
        <w:spacing w:after="0" w:line="157" w:lineRule="exact"/>
        <w:rPr>
          <w:sz w:val="20"/>
          <w:szCs w:val="20"/>
          <w:color w:val="auto"/>
        </w:rPr>
      </w:pPr>
    </w:p>
    <w:p>
      <w:pPr>
        <w:ind w:left="580" w:hanging="184"/>
        <w:spacing w:after="0"/>
        <w:tabs>
          <w:tab w:leader="none" w:pos="5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75" w:lineRule="auto"/>
        <w:tabs>
          <w:tab w:leader="none" w:pos="645"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No Inconsistent Agreements. </w:t>
      </w:r>
      <w:r>
        <w:rPr>
          <w:rFonts w:ascii="Arial" w:cs="Arial" w:eastAsia="Arial" w:hAnsi="Arial"/>
          <w:sz w:val="17"/>
          <w:szCs w:val="17"/>
          <w:color w:val="auto"/>
        </w:rPr>
        <w:t>The Company represents, warrants and agrees that (i) the rights granted to the Holders hereunder do not in any</w:t>
      </w:r>
      <w:r>
        <w:rPr>
          <w:rFonts w:ascii="Arial" w:cs="Arial" w:eastAsia="Arial" w:hAnsi="Arial"/>
          <w:sz w:val="17"/>
          <w:szCs w:val="17"/>
          <w:i w:val="1"/>
          <w:iCs w:val="1"/>
          <w:color w:val="auto"/>
        </w:rPr>
        <w:t xml:space="preserve"> </w:t>
      </w:r>
      <w:r>
        <w:rPr>
          <w:rFonts w:ascii="Arial" w:cs="Arial" w:eastAsia="Arial" w:hAnsi="Arial"/>
          <w:sz w:val="17"/>
          <w:szCs w:val="17"/>
          <w:color w:val="auto"/>
        </w:rPr>
        <w:t>way conflict in any material respect with and are not inconsistent with the rights granted to the holders of any other outstanding securities issued or guaranteed by the Company or any Guarantor under any other agreement and (ii) neither the Company nor any Guarantor has entered into, or on or after the date of this Agreement will enter into, any agreement that is inconsistent with the rights granted to the Holders of Registrable Securities in this Agreement or otherwise conflicts in any material respect with the provisions hereof.</w:t>
      </w:r>
    </w:p>
    <w:p>
      <w:pPr>
        <w:spacing w:after="0" w:line="68" w:lineRule="exact"/>
        <w:rPr>
          <w:rFonts w:ascii="Arial" w:cs="Arial" w:eastAsia="Arial" w:hAnsi="Arial"/>
          <w:sz w:val="17"/>
          <w:szCs w:val="17"/>
          <w:color w:val="auto"/>
        </w:rPr>
      </w:pPr>
    </w:p>
    <w:p>
      <w:pPr>
        <w:ind w:left="-40" w:right="60" w:firstLine="436"/>
        <w:spacing w:after="0" w:line="291" w:lineRule="auto"/>
        <w:tabs>
          <w:tab w:leader="none" w:pos="65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Amendments and Waivers. </w:t>
      </w:r>
      <w:r>
        <w:rPr>
          <w:rFonts w:ascii="Arial" w:cs="Arial" w:eastAsia="Arial" w:hAnsi="Arial"/>
          <w:sz w:val="16"/>
          <w:szCs w:val="16"/>
          <w:color w:val="auto"/>
        </w:rPr>
        <w:t>The provisions of this Agreement, including the provisions of this sentence, may not be amended, modified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supplemented, and waivers or consents to departures from the provisions hereof may not be given unless the Company has obtained the written consent of Holders of at least a majority in aggregate principal amount of the outstanding Registrable Securities affected by such amendment, modification, supplement, waiver or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amendment, modification, supplement, waiver or consent to Section 5 above that directly or indirectly affects the rights of any Initial Purchaser hereunder, the Company shall obtain the written consent of each such Initial Purchaser against which such amendment, modification, supplement, waiver or consent is to be effective. Any amendments, modifications, supplements, waivers or consents pursuant to this Section 6(b) shall be by a writing executed by each of the parties hereto.</w:t>
      </w:r>
    </w:p>
    <w:p>
      <w:pPr>
        <w:spacing w:after="0" w:line="58" w:lineRule="exact"/>
        <w:rPr>
          <w:rFonts w:ascii="Arial" w:cs="Arial" w:eastAsia="Arial" w:hAnsi="Arial"/>
          <w:sz w:val="16"/>
          <w:szCs w:val="16"/>
          <w:color w:val="auto"/>
        </w:rPr>
      </w:pPr>
    </w:p>
    <w:p>
      <w:pPr>
        <w:ind w:left="-40" w:right="20" w:firstLine="436"/>
        <w:spacing w:after="0" w:line="288" w:lineRule="auto"/>
        <w:tabs>
          <w:tab w:leader="none" w:pos="64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provided for or permitted hereunder shall be made in writing by hand-delivery, registered first-class mail, electronic mail, facsimile, or any courier guaranteeing overnight delivery (i) if to a Holder, at the most current address given by such Holder to the Company by means of a notice given in accordance with the provisions of this Section 6(c), which address initially is, with respect to the Initial Purchasers, the address set forth in the Purchase Agreement; (ii) if to the Company and the Guarantors, initially at the address set forth in the Purchase Agreement and thereafter at such other address, notice of which is given in accordance with the provisions of this Section 6(c); and (iii) to such other persons at their respective addresses as provided in the Purchase Agreement and thereafter at such other address, notice of which is given in accordance with the provisions of this Section 6(c). All such notices and communications shall be deemed to have been duly given: at the time delivered by hand, if personally delivered; five Business Days after being deposited in the mail, postage prepaid, if mailed; when receipt is acknowledged, if e-mailed or facsimiled;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74" w:right="499" w:bottom="1440" w:gutter="0" w:footer="0" w:header="0"/>
        </w:sectPr>
      </w:pPr>
    </w:p>
    <w:bookmarkStart w:id="194" w:name="page195"/>
    <w:bookmarkEnd w:id="194"/>
    <w:p>
      <w:pPr>
        <w:ind w:right="20" w:firstLine="436"/>
        <w:spacing w:after="0" w:line="290"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Successors and Assigns. </w:t>
      </w:r>
      <w:r>
        <w:rPr>
          <w:rFonts w:ascii="Arial" w:cs="Arial" w:eastAsia="Arial" w:hAnsi="Arial"/>
          <w:sz w:val="16"/>
          <w:szCs w:val="16"/>
          <w:color w:val="auto"/>
        </w:rPr>
        <w:t>This Agreement shall inure to the benefit of and be binding upon the successors, assigns and transferees of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parties, including, without limitation and without the need for an express assignment, subsequent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Company or the Guarantors with respect to any failure by a Holder to comply with, or any breach by any Holder of, any of the obligations of such Holder under this Agreement.</w:t>
      </w:r>
    </w:p>
    <w:p>
      <w:pPr>
        <w:spacing w:after="0" w:line="57" w:lineRule="exact"/>
        <w:rPr>
          <w:rFonts w:ascii="Arial" w:cs="Arial" w:eastAsia="Arial" w:hAnsi="Arial"/>
          <w:sz w:val="16"/>
          <w:szCs w:val="16"/>
          <w:color w:val="auto"/>
        </w:rPr>
      </w:pPr>
    </w:p>
    <w:p>
      <w:pPr>
        <w:ind w:right="60" w:firstLine="436"/>
        <w:spacing w:after="0" w:line="311" w:lineRule="auto"/>
        <w:tabs>
          <w:tab w:leader="none" w:pos="685"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Third Party Beneficiaries. </w:t>
      </w:r>
      <w:r>
        <w:rPr>
          <w:rFonts w:ascii="Arial" w:cs="Arial" w:eastAsia="Arial" w:hAnsi="Arial"/>
          <w:sz w:val="16"/>
          <w:szCs w:val="16"/>
          <w:color w:val="auto"/>
        </w:rPr>
        <w:t>Each Holder shall be a third party beneficiary to the agreements made hereunder (excluding those agreements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Section 5 hereto) between the Company, on the one hand, and the Initial Purchasers, on the other hand, and shall have the right to enforce such agreements directly to the extent it deems such enforcement necessary or advisable to protect its rights or the rights of other Holders hereunder.</w:t>
      </w:r>
    </w:p>
    <w:p>
      <w:pPr>
        <w:spacing w:after="0" w:line="40" w:lineRule="exact"/>
        <w:rPr>
          <w:rFonts w:ascii="Arial" w:cs="Arial" w:eastAsia="Arial" w:hAnsi="Arial"/>
          <w:sz w:val="16"/>
          <w:szCs w:val="16"/>
          <w:color w:val="auto"/>
        </w:rPr>
      </w:pPr>
    </w:p>
    <w:p>
      <w:pPr>
        <w:ind w:firstLine="436"/>
        <w:spacing w:after="0" w:line="308" w:lineRule="auto"/>
        <w:tabs>
          <w:tab w:leader="none" w:pos="665"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executed in any number of counterparts and by the parties hereto in separate counterparts, each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when so executed shall be deemed to be an original and all of which taken together shall constitute one and the same agreement.</w:t>
      </w:r>
    </w:p>
    <w:p>
      <w:pPr>
        <w:spacing w:after="0" w:line="38" w:lineRule="exact"/>
        <w:rPr>
          <w:rFonts w:ascii="Arial" w:cs="Arial" w:eastAsia="Arial" w:hAnsi="Arial"/>
          <w:sz w:val="17"/>
          <w:szCs w:val="17"/>
          <w:color w:val="auto"/>
        </w:rPr>
      </w:pPr>
    </w:p>
    <w:p>
      <w:pPr>
        <w:ind w:right="580" w:firstLine="436"/>
        <w:spacing w:after="0" w:line="277"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in this Agreement are for convenience of reference only, are not a part of this Agreement and shall not limit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affect the meaning hereof.</w:t>
      </w:r>
    </w:p>
    <w:p>
      <w:pPr>
        <w:spacing w:after="0" w:line="62"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internal laws of the State of New York.</w:t>
      </w:r>
    </w:p>
    <w:p>
      <w:pPr>
        <w:spacing w:after="0" w:line="62" w:lineRule="exact"/>
        <w:rPr>
          <w:rFonts w:ascii="Arial" w:cs="Arial" w:eastAsia="Arial" w:hAnsi="Arial"/>
          <w:sz w:val="18"/>
          <w:szCs w:val="18"/>
          <w:color w:val="auto"/>
        </w:rPr>
      </w:pPr>
    </w:p>
    <w:p>
      <w:pPr>
        <w:ind w:right="80" w:firstLine="436"/>
        <w:spacing w:after="0" w:line="291" w:lineRule="auto"/>
        <w:tabs>
          <w:tab w:leader="none" w:pos="655"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Submission to Jurisdiction; Appointment of Agent for Service</w:t>
      </w:r>
      <w:r>
        <w:rPr>
          <w:rFonts w:ascii="Arial" w:cs="Arial" w:eastAsia="Arial" w:hAnsi="Arial"/>
          <w:sz w:val="16"/>
          <w:szCs w:val="16"/>
          <w:color w:val="auto"/>
        </w:rPr>
        <w:t>. The Company irrevocably submits to the non-exclusive jurisdiction of any New</w:t>
      </w:r>
      <w:r>
        <w:rPr>
          <w:rFonts w:ascii="Arial" w:cs="Arial" w:eastAsia="Arial" w:hAnsi="Arial"/>
          <w:sz w:val="16"/>
          <w:szCs w:val="16"/>
          <w:i w:val="1"/>
          <w:iCs w:val="1"/>
          <w:color w:val="auto"/>
        </w:rPr>
        <w:t xml:space="preserve"> </w:t>
      </w:r>
      <w:r>
        <w:rPr>
          <w:rFonts w:ascii="Arial" w:cs="Arial" w:eastAsia="Arial" w:hAnsi="Arial"/>
          <w:sz w:val="16"/>
          <w:szCs w:val="16"/>
          <w:color w:val="auto"/>
        </w:rPr>
        <w:t>York State or United States Federal court sitting in The City of New York (the “</w:t>
      </w:r>
      <w:r>
        <w:rPr>
          <w:rFonts w:ascii="Arial" w:cs="Arial" w:eastAsia="Arial" w:hAnsi="Arial"/>
          <w:sz w:val="16"/>
          <w:szCs w:val="16"/>
          <w:u w:val="single" w:color="auto"/>
          <w:color w:val="auto"/>
        </w:rPr>
        <w:t>Specified Courts</w:t>
      </w:r>
      <w:r>
        <w:rPr>
          <w:rFonts w:ascii="Arial" w:cs="Arial" w:eastAsia="Arial" w:hAnsi="Arial"/>
          <w:sz w:val="16"/>
          <w:szCs w:val="16"/>
          <w:color w:val="auto"/>
        </w:rPr>
        <w:t>”) over any suit, action or proceeding arising out of or relating to this Agreement (each, a “</w:t>
      </w:r>
      <w:r>
        <w:rPr>
          <w:rFonts w:ascii="Arial" w:cs="Arial" w:eastAsia="Arial" w:hAnsi="Arial"/>
          <w:sz w:val="16"/>
          <w:szCs w:val="16"/>
          <w:u w:val="single" w:color="auto"/>
          <w:color w:val="auto"/>
        </w:rPr>
        <w:t>Related Proceeding</w:t>
      </w:r>
      <w:r>
        <w:rPr>
          <w:rFonts w:ascii="Arial" w:cs="Arial" w:eastAsia="Arial" w:hAnsi="Arial"/>
          <w:sz w:val="16"/>
          <w:szCs w:val="16"/>
          <w:color w:val="auto"/>
        </w:rPr>
        <w:t>”). The Company irrevocably waives, to the fullest extent permitted by law, any objection that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95" w:name="page196"/>
    <w:bookmarkEnd w:id="195"/>
    <w:p>
      <w:pPr>
        <w:ind w:left="-20" w:firstLine="436"/>
        <w:spacing w:after="0" w:line="273" w:lineRule="auto"/>
        <w:tabs>
          <w:tab w:leader="none" w:pos="635"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Entire Agreement; Severability. </w:t>
      </w:r>
      <w:r>
        <w:rPr>
          <w:rFonts w:ascii="Arial" w:cs="Arial" w:eastAsia="Arial" w:hAnsi="Arial"/>
          <w:sz w:val="17"/>
          <w:szCs w:val="17"/>
          <w:color w:val="auto"/>
        </w:rPr>
        <w:t>This Agreement contains the entire agreement between the parties relating to the subject matter hereof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and the Initial Purchasers shall endeavor in good faith negotiations to replace the invalid, void or unenforceable provisions with valid provisions the economic effect of which comes as close as possible to that of the invalid, void or unenforceable provisions.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4"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Controller and Treasurer</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Confirmed and accepted as of the date first above written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themselves and on behalf of the several Initial Purchasers: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Matthew Leavitt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Matthew Leavitt</w:t>
      </w:r>
    </w:p>
    <w:p>
      <w:pPr>
        <w:spacing w:after="0" w:line="23"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Douglas A.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Douglas A. Muller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Brian D. Bednarski</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MORGAN STANLEY AND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Ian Drewe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Ian Drewe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MIZUHO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Brian D. Bednarski</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4.9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UPJOHN FINANCE B.V.</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€750,000,000 0.816% Senior Notes Due 2022</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€750,000,000 1.023% Senior Notes Due 2024</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€850,000,000 1.362% Senior Notes Due 2027</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€1,250,000,000 1.908% Senior Notes Due 2032</w:t>
      </w:r>
    </w:p>
    <w:p>
      <w:pPr>
        <w:spacing w:after="0" w:line="23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June 23, 2020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CITIBANK, N.A., LONDON BRANCH</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ectPr>
          <w:pgSz w:w="11900" w:h="16838" w:orient="portrait"/>
          <w:cols w:equalWidth="0" w:num="1">
            <w:col w:w="10020"/>
          </w:cols>
          <w:pgMar w:left="1440" w:top="121" w:right="4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90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406"/>
        </w:trPr>
        <w:tc>
          <w:tcPr>
            <w:tcW w:w="11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140" w:type="dxa"/>
            <w:vAlign w:val="bottom"/>
          </w:tcPr>
          <w:p>
            <w:pPr>
              <w:spacing w:after="0"/>
              <w:rPr>
                <w:sz w:val="24"/>
                <w:szCs w:val="24"/>
                <w:color w:val="auto"/>
              </w:rPr>
            </w:pPr>
          </w:p>
        </w:tc>
        <w:tc>
          <w:tcPr>
            <w:tcW w:w="7900" w:type="dxa"/>
            <w:vAlign w:val="bottom"/>
          </w:tcPr>
          <w:p>
            <w:pPr>
              <w:jc w:val="center"/>
              <w:ind w:left="170"/>
              <w:spacing w:after="0"/>
              <w:rPr>
                <w:sz w:val="20"/>
                <w:szCs w:val="20"/>
                <w:color w:val="auto"/>
              </w:rPr>
            </w:pPr>
            <w:r>
              <w:rPr>
                <w:rFonts w:ascii="Arial" w:cs="Arial" w:eastAsia="Arial" w:hAnsi="Arial"/>
                <w:sz w:val="18"/>
                <w:szCs w:val="18"/>
                <w:color w:val="auto"/>
                <w:w w:val="97"/>
              </w:rPr>
              <w:t>ARTICLE I</w:t>
            </w:r>
          </w:p>
        </w:tc>
        <w:tc>
          <w:tcPr>
            <w:tcW w:w="19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900" w:type="dxa"/>
            <w:vAlign w:val="bottom"/>
          </w:tcPr>
          <w:p>
            <w:pPr>
              <w:jc w:val="center"/>
              <w:ind w:left="170"/>
              <w:spacing w:after="0"/>
              <w:rPr>
                <w:sz w:val="20"/>
                <w:szCs w:val="20"/>
                <w:color w:val="auto"/>
              </w:rPr>
            </w:pPr>
            <w:r>
              <w:rPr>
                <w:rFonts w:ascii="Arial" w:cs="Arial" w:eastAsia="Arial" w:hAnsi="Arial"/>
                <w:sz w:val="18"/>
                <w:szCs w:val="18"/>
                <w:color w:val="auto"/>
                <w:w w:val="95"/>
              </w:rPr>
              <w:t>DEFINITIONS AND INCORPORATION BY REFERENCE</w:t>
            </w:r>
          </w:p>
        </w:tc>
        <w:tc>
          <w:tcPr>
            <w:tcW w:w="19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790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7900" w:type="dxa"/>
            <w:vAlign w:val="bottom"/>
          </w:tcPr>
          <w:p>
            <w:pPr>
              <w:ind w:left="260"/>
              <w:spacing w:after="0"/>
              <w:rPr>
                <w:sz w:val="20"/>
                <w:szCs w:val="20"/>
                <w:color w:val="auto"/>
              </w:rPr>
            </w:pPr>
            <w:r>
              <w:rPr>
                <w:rFonts w:ascii="Arial" w:cs="Arial" w:eastAsia="Arial" w:hAnsi="Arial"/>
                <w:sz w:val="18"/>
                <w:szCs w:val="18"/>
                <w:color w:val="auto"/>
              </w:rPr>
              <w:t>Other 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1.03</w:t>
            </w:r>
          </w:p>
        </w:tc>
        <w:tc>
          <w:tcPr>
            <w:tcW w:w="7900" w:type="dxa"/>
            <w:vAlign w:val="bottom"/>
          </w:tcPr>
          <w:p>
            <w:pPr>
              <w:ind w:left="260"/>
              <w:spacing w:after="0"/>
              <w:rPr>
                <w:sz w:val="20"/>
                <w:szCs w:val="20"/>
                <w:color w:val="auto"/>
              </w:rPr>
            </w:pPr>
            <w:r>
              <w:rPr>
                <w:rFonts w:ascii="Arial" w:cs="Arial" w:eastAsia="Arial" w:hAnsi="Arial"/>
                <w:sz w:val="18"/>
                <w:szCs w:val="18"/>
                <w:color w:val="auto"/>
              </w:rPr>
              <w:t>Rules of Construction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140" w:type="dxa"/>
            <w:vAlign w:val="bottom"/>
          </w:tcPr>
          <w:p>
            <w:pPr>
              <w:spacing w:after="0"/>
              <w:rPr>
                <w:sz w:val="24"/>
                <w:szCs w:val="24"/>
                <w:color w:val="auto"/>
              </w:rPr>
            </w:pPr>
          </w:p>
        </w:tc>
        <w:tc>
          <w:tcPr>
            <w:tcW w:w="7900" w:type="dxa"/>
            <w:vAlign w:val="bottom"/>
          </w:tcPr>
          <w:p>
            <w:pPr>
              <w:jc w:val="center"/>
              <w:ind w:left="170"/>
              <w:spacing w:after="0"/>
              <w:rPr>
                <w:sz w:val="20"/>
                <w:szCs w:val="20"/>
                <w:color w:val="auto"/>
              </w:rPr>
            </w:pPr>
            <w:r>
              <w:rPr>
                <w:rFonts w:ascii="Arial" w:cs="Arial" w:eastAsia="Arial" w:hAnsi="Arial"/>
                <w:sz w:val="18"/>
                <w:szCs w:val="18"/>
                <w:color w:val="auto"/>
              </w:rPr>
              <w:t>ARTICLE II</w:t>
            </w:r>
          </w:p>
        </w:tc>
        <w:tc>
          <w:tcPr>
            <w:tcW w:w="19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900" w:type="dxa"/>
            <w:vAlign w:val="bottom"/>
          </w:tcPr>
          <w:p>
            <w:pPr>
              <w:jc w:val="center"/>
              <w:ind w:left="170"/>
              <w:spacing w:after="0"/>
              <w:rPr>
                <w:sz w:val="20"/>
                <w:szCs w:val="20"/>
                <w:color w:val="auto"/>
              </w:rPr>
            </w:pPr>
            <w:r>
              <w:rPr>
                <w:rFonts w:ascii="Arial" w:cs="Arial" w:eastAsia="Arial" w:hAnsi="Arial"/>
                <w:sz w:val="18"/>
                <w:szCs w:val="18"/>
                <w:color w:val="auto"/>
                <w:w w:val="93"/>
              </w:rPr>
              <w:t>THE NOTES</w:t>
            </w:r>
          </w:p>
        </w:tc>
        <w:tc>
          <w:tcPr>
            <w:tcW w:w="19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2.01</w:t>
            </w:r>
          </w:p>
        </w:tc>
        <w:tc>
          <w:tcPr>
            <w:tcW w:w="7900" w:type="dxa"/>
            <w:vAlign w:val="bottom"/>
          </w:tcPr>
          <w:p>
            <w:pPr>
              <w:ind w:left="260"/>
              <w:spacing w:after="0"/>
              <w:rPr>
                <w:sz w:val="20"/>
                <w:szCs w:val="20"/>
                <w:color w:val="auto"/>
              </w:rPr>
            </w:pPr>
            <w:r>
              <w:rPr>
                <w:rFonts w:ascii="Arial" w:cs="Arial" w:eastAsia="Arial" w:hAnsi="Arial"/>
                <w:sz w:val="18"/>
                <w:szCs w:val="18"/>
                <w:color w:val="auto"/>
              </w:rPr>
              <w:t>Amount of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7900" w:type="dxa"/>
            <w:vAlign w:val="bottom"/>
          </w:tcPr>
          <w:p>
            <w:pPr>
              <w:ind w:left="260"/>
              <w:spacing w:after="0"/>
              <w:rPr>
                <w:sz w:val="20"/>
                <w:szCs w:val="20"/>
                <w:color w:val="auto"/>
              </w:rPr>
            </w:pPr>
            <w:r>
              <w:rPr>
                <w:rFonts w:ascii="Arial" w:cs="Arial" w:eastAsia="Arial" w:hAnsi="Arial"/>
                <w:sz w:val="18"/>
                <w:szCs w:val="18"/>
                <w:color w:val="auto"/>
              </w:rPr>
              <w:t>Form and Dating</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2.03</w:t>
            </w:r>
          </w:p>
        </w:tc>
        <w:tc>
          <w:tcPr>
            <w:tcW w:w="7900" w:type="dxa"/>
            <w:vAlign w:val="bottom"/>
          </w:tcPr>
          <w:p>
            <w:pPr>
              <w:ind w:left="260"/>
              <w:spacing w:after="0"/>
              <w:rPr>
                <w:sz w:val="20"/>
                <w:szCs w:val="20"/>
                <w:color w:val="auto"/>
              </w:rPr>
            </w:pPr>
            <w:r>
              <w:rPr>
                <w:rFonts w:ascii="Arial" w:cs="Arial" w:eastAsia="Arial" w:hAnsi="Arial"/>
                <w:sz w:val="18"/>
                <w:szCs w:val="18"/>
                <w:color w:val="auto"/>
              </w:rPr>
              <w:t>Execution and Authentication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2.04</w:t>
            </w:r>
          </w:p>
        </w:tc>
        <w:tc>
          <w:tcPr>
            <w:tcW w:w="7900" w:type="dxa"/>
            <w:vAlign w:val="bottom"/>
          </w:tcPr>
          <w:p>
            <w:pPr>
              <w:ind w:left="260"/>
              <w:spacing w:after="0"/>
              <w:rPr>
                <w:sz w:val="20"/>
                <w:szCs w:val="20"/>
                <w:color w:val="auto"/>
              </w:rPr>
            </w:pPr>
            <w:r>
              <w:rPr>
                <w:rFonts w:ascii="Arial" w:cs="Arial" w:eastAsia="Arial" w:hAnsi="Arial"/>
                <w:sz w:val="18"/>
                <w:szCs w:val="18"/>
                <w:color w:val="auto"/>
              </w:rPr>
              <w:t>Registrar and Paying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2.05</w:t>
            </w:r>
          </w:p>
        </w:tc>
        <w:tc>
          <w:tcPr>
            <w:tcW w:w="7900" w:type="dxa"/>
            <w:vAlign w:val="bottom"/>
          </w:tcPr>
          <w:p>
            <w:pPr>
              <w:ind w:left="260"/>
              <w:spacing w:after="0"/>
              <w:rPr>
                <w:sz w:val="20"/>
                <w:szCs w:val="20"/>
                <w:color w:val="auto"/>
              </w:rPr>
            </w:pPr>
            <w:r>
              <w:rPr>
                <w:rFonts w:ascii="Arial" w:cs="Arial" w:eastAsia="Arial" w:hAnsi="Arial"/>
                <w:sz w:val="18"/>
                <w:szCs w:val="18"/>
                <w:color w:val="auto"/>
              </w:rPr>
              <w:t>Paying Agent To Hold Money for the Benefit of the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2.06</w:t>
            </w:r>
          </w:p>
        </w:tc>
        <w:tc>
          <w:tcPr>
            <w:tcW w:w="7900" w:type="dxa"/>
            <w:vAlign w:val="bottom"/>
          </w:tcPr>
          <w:p>
            <w:pPr>
              <w:ind w:left="260"/>
              <w:spacing w:after="0"/>
              <w:rPr>
                <w:sz w:val="20"/>
                <w:szCs w:val="20"/>
                <w:color w:val="auto"/>
              </w:rPr>
            </w:pPr>
            <w:r>
              <w:rPr>
                <w:rFonts w:ascii="Arial" w:cs="Arial" w:eastAsia="Arial" w:hAnsi="Arial"/>
                <w:sz w:val="18"/>
                <w:szCs w:val="18"/>
                <w:color w:val="auto"/>
              </w:rPr>
              <w:t>Holder Lists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2.07</w:t>
            </w:r>
          </w:p>
        </w:tc>
        <w:tc>
          <w:tcPr>
            <w:tcW w:w="7900" w:type="dxa"/>
            <w:vAlign w:val="bottom"/>
          </w:tcPr>
          <w:p>
            <w:pPr>
              <w:ind w:left="260"/>
              <w:spacing w:after="0"/>
              <w:rPr>
                <w:sz w:val="20"/>
                <w:szCs w:val="20"/>
                <w:color w:val="auto"/>
              </w:rPr>
            </w:pPr>
            <w:r>
              <w:rPr>
                <w:rFonts w:ascii="Arial" w:cs="Arial" w:eastAsia="Arial" w:hAnsi="Arial"/>
                <w:sz w:val="18"/>
                <w:szCs w:val="18"/>
                <w:color w:val="auto"/>
              </w:rPr>
              <w:t>Transfer and Exchange</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2.08</w:t>
            </w:r>
          </w:p>
        </w:tc>
        <w:tc>
          <w:tcPr>
            <w:tcW w:w="7900" w:type="dxa"/>
            <w:vAlign w:val="bottom"/>
          </w:tcPr>
          <w:p>
            <w:pPr>
              <w:ind w:left="260"/>
              <w:spacing w:after="0"/>
              <w:rPr>
                <w:sz w:val="20"/>
                <w:szCs w:val="20"/>
                <w:color w:val="auto"/>
              </w:rPr>
            </w:pPr>
            <w:r>
              <w:rPr>
                <w:rFonts w:ascii="Arial" w:cs="Arial" w:eastAsia="Arial" w:hAnsi="Arial"/>
                <w:sz w:val="18"/>
                <w:szCs w:val="18"/>
                <w:color w:val="auto"/>
              </w:rPr>
              <w:t>Replacement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2.09</w:t>
            </w:r>
          </w:p>
        </w:tc>
        <w:tc>
          <w:tcPr>
            <w:tcW w:w="7900" w:type="dxa"/>
            <w:vAlign w:val="bottom"/>
          </w:tcPr>
          <w:p>
            <w:pPr>
              <w:ind w:left="260"/>
              <w:spacing w:after="0"/>
              <w:rPr>
                <w:sz w:val="20"/>
                <w:szCs w:val="20"/>
                <w:color w:val="auto"/>
              </w:rPr>
            </w:pPr>
            <w:r>
              <w:rPr>
                <w:rFonts w:ascii="Arial" w:cs="Arial" w:eastAsia="Arial" w:hAnsi="Arial"/>
                <w:sz w:val="18"/>
                <w:szCs w:val="18"/>
                <w:color w:val="auto"/>
              </w:rPr>
              <w:t>Outstanding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7900" w:type="dxa"/>
            <w:vAlign w:val="bottom"/>
          </w:tcPr>
          <w:p>
            <w:pPr>
              <w:ind w:left="260"/>
              <w:spacing w:after="0"/>
              <w:rPr>
                <w:sz w:val="20"/>
                <w:szCs w:val="20"/>
                <w:color w:val="auto"/>
              </w:rPr>
            </w:pPr>
            <w:r>
              <w:rPr>
                <w:rFonts w:ascii="Arial" w:cs="Arial" w:eastAsia="Arial" w:hAnsi="Arial"/>
                <w:sz w:val="18"/>
                <w:szCs w:val="18"/>
                <w:color w:val="auto"/>
              </w:rPr>
              <w:t>Treasury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2.11</w:t>
            </w:r>
          </w:p>
        </w:tc>
        <w:tc>
          <w:tcPr>
            <w:tcW w:w="7900" w:type="dxa"/>
            <w:vAlign w:val="bottom"/>
          </w:tcPr>
          <w:p>
            <w:pPr>
              <w:ind w:left="260"/>
              <w:spacing w:after="0"/>
              <w:rPr>
                <w:sz w:val="20"/>
                <w:szCs w:val="20"/>
                <w:color w:val="auto"/>
              </w:rPr>
            </w:pPr>
            <w:r>
              <w:rPr>
                <w:rFonts w:ascii="Arial" w:cs="Arial" w:eastAsia="Arial" w:hAnsi="Arial"/>
                <w:sz w:val="18"/>
                <w:szCs w:val="18"/>
                <w:color w:val="auto"/>
              </w:rPr>
              <w:t>Temporary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2.12</w:t>
            </w:r>
          </w:p>
        </w:tc>
        <w:tc>
          <w:tcPr>
            <w:tcW w:w="7900" w:type="dxa"/>
            <w:vAlign w:val="bottom"/>
          </w:tcPr>
          <w:p>
            <w:pPr>
              <w:ind w:left="260"/>
              <w:spacing w:after="0"/>
              <w:rPr>
                <w:sz w:val="20"/>
                <w:szCs w:val="20"/>
                <w:color w:val="auto"/>
              </w:rPr>
            </w:pPr>
            <w:r>
              <w:rPr>
                <w:rFonts w:ascii="Arial" w:cs="Arial" w:eastAsia="Arial" w:hAnsi="Arial"/>
                <w:sz w:val="18"/>
                <w:szCs w:val="18"/>
                <w:color w:val="auto"/>
              </w:rPr>
              <w:t>Cancellation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2.13</w:t>
            </w:r>
          </w:p>
        </w:tc>
        <w:tc>
          <w:tcPr>
            <w:tcW w:w="7900" w:type="dxa"/>
            <w:vAlign w:val="bottom"/>
          </w:tcPr>
          <w:p>
            <w:pPr>
              <w:ind w:left="260"/>
              <w:spacing w:after="0"/>
              <w:rPr>
                <w:sz w:val="20"/>
                <w:szCs w:val="20"/>
                <w:color w:val="auto"/>
              </w:rPr>
            </w:pPr>
            <w:r>
              <w:rPr>
                <w:rFonts w:ascii="Arial" w:cs="Arial" w:eastAsia="Arial" w:hAnsi="Arial"/>
                <w:sz w:val="18"/>
                <w:szCs w:val="18"/>
                <w:color w:val="auto"/>
              </w:rPr>
              <w:t>Defaulted Interest</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2.14</w:t>
            </w:r>
          </w:p>
        </w:tc>
        <w:tc>
          <w:tcPr>
            <w:tcW w:w="7900" w:type="dxa"/>
            <w:vAlign w:val="bottom"/>
          </w:tcPr>
          <w:p>
            <w:pPr>
              <w:ind w:left="260"/>
              <w:spacing w:after="0"/>
              <w:rPr>
                <w:sz w:val="20"/>
                <w:szCs w:val="20"/>
                <w:color w:val="auto"/>
              </w:rPr>
            </w:pPr>
            <w:r>
              <w:rPr>
                <w:rFonts w:ascii="Arial" w:cs="Arial" w:eastAsia="Arial" w:hAnsi="Arial"/>
                <w:sz w:val="18"/>
                <w:szCs w:val="18"/>
                <w:color w:val="auto"/>
              </w:rPr>
              <w:t>Identifying Number</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2.15</w:t>
            </w:r>
          </w:p>
        </w:tc>
        <w:tc>
          <w:tcPr>
            <w:tcW w:w="7900" w:type="dxa"/>
            <w:vAlign w:val="bottom"/>
          </w:tcPr>
          <w:p>
            <w:pPr>
              <w:ind w:left="260"/>
              <w:spacing w:after="0"/>
              <w:rPr>
                <w:sz w:val="20"/>
                <w:szCs w:val="20"/>
                <w:color w:val="auto"/>
              </w:rPr>
            </w:pPr>
            <w:r>
              <w:rPr>
                <w:rFonts w:ascii="Arial" w:cs="Arial" w:eastAsia="Arial" w:hAnsi="Arial"/>
                <w:sz w:val="18"/>
                <w:szCs w:val="18"/>
                <w:color w:val="auto"/>
              </w:rPr>
              <w:t>Deposit of Moneys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2.16</w:t>
            </w:r>
          </w:p>
        </w:tc>
        <w:tc>
          <w:tcPr>
            <w:tcW w:w="7900" w:type="dxa"/>
            <w:vAlign w:val="bottom"/>
          </w:tcPr>
          <w:p>
            <w:pPr>
              <w:ind w:left="260"/>
              <w:spacing w:after="0"/>
              <w:rPr>
                <w:sz w:val="20"/>
                <w:szCs w:val="20"/>
                <w:color w:val="auto"/>
              </w:rPr>
            </w:pPr>
            <w:r>
              <w:rPr>
                <w:rFonts w:ascii="Arial" w:cs="Arial" w:eastAsia="Arial" w:hAnsi="Arial"/>
                <w:sz w:val="18"/>
                <w:szCs w:val="18"/>
                <w:color w:val="auto"/>
              </w:rPr>
              <w:t>Book-Entry Provisions for Global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2.17</w:t>
            </w:r>
          </w:p>
        </w:tc>
        <w:tc>
          <w:tcPr>
            <w:tcW w:w="7900" w:type="dxa"/>
            <w:vAlign w:val="bottom"/>
          </w:tcPr>
          <w:p>
            <w:pPr>
              <w:ind w:left="260"/>
              <w:spacing w:after="0"/>
              <w:rPr>
                <w:sz w:val="20"/>
                <w:szCs w:val="20"/>
                <w:color w:val="auto"/>
              </w:rPr>
            </w:pPr>
            <w:r>
              <w:rPr>
                <w:rFonts w:ascii="Arial" w:cs="Arial" w:eastAsia="Arial" w:hAnsi="Arial"/>
                <w:sz w:val="18"/>
                <w:szCs w:val="18"/>
                <w:color w:val="auto"/>
              </w:rPr>
              <w:t>Special Transfer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2.18</w:t>
            </w:r>
          </w:p>
        </w:tc>
        <w:tc>
          <w:tcPr>
            <w:tcW w:w="7900" w:type="dxa"/>
            <w:vAlign w:val="bottom"/>
          </w:tcPr>
          <w:p>
            <w:pPr>
              <w:ind w:left="260"/>
              <w:spacing w:after="0"/>
              <w:rPr>
                <w:sz w:val="20"/>
                <w:szCs w:val="20"/>
                <w:color w:val="auto"/>
              </w:rPr>
            </w:pPr>
            <w:r>
              <w:rPr>
                <w:rFonts w:ascii="Arial" w:cs="Arial" w:eastAsia="Arial" w:hAnsi="Arial"/>
                <w:sz w:val="18"/>
                <w:szCs w:val="18"/>
                <w:color w:val="auto"/>
              </w:rPr>
              <w:t>Computation of Interest</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1140" w:type="dxa"/>
            <w:vAlign w:val="bottom"/>
          </w:tcPr>
          <w:p>
            <w:pPr>
              <w:spacing w:after="0"/>
              <w:rPr>
                <w:sz w:val="24"/>
                <w:szCs w:val="24"/>
                <w:color w:val="auto"/>
              </w:rPr>
            </w:pPr>
          </w:p>
        </w:tc>
        <w:tc>
          <w:tcPr>
            <w:tcW w:w="7900" w:type="dxa"/>
            <w:vAlign w:val="bottom"/>
          </w:tcPr>
          <w:p>
            <w:pPr>
              <w:ind w:left="4340"/>
              <w:spacing w:after="0"/>
              <w:rPr>
                <w:sz w:val="20"/>
                <w:szCs w:val="20"/>
                <w:color w:val="auto"/>
              </w:rPr>
            </w:pPr>
            <w:r>
              <w:rPr>
                <w:rFonts w:ascii="Arial" w:cs="Arial" w:eastAsia="Arial" w:hAnsi="Arial"/>
                <w:sz w:val="18"/>
                <w:szCs w:val="18"/>
                <w:color w:val="auto"/>
              </w:rPr>
              <w:t>i</w:t>
            </w: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4" w:name="page205"/>
    <w:bookmarkEnd w:id="204"/>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2.19</w:t>
            </w:r>
          </w:p>
        </w:tc>
        <w:tc>
          <w:tcPr>
            <w:tcW w:w="8880" w:type="dxa"/>
            <w:vAlign w:val="bottom"/>
          </w:tcPr>
          <w:p>
            <w:pPr>
              <w:ind w:left="200"/>
              <w:spacing w:after="0"/>
              <w:rPr>
                <w:sz w:val="20"/>
                <w:szCs w:val="20"/>
                <w:color w:val="auto"/>
              </w:rPr>
            </w:pPr>
            <w:r>
              <w:rPr>
                <w:rFonts w:ascii="Arial" w:cs="Arial" w:eastAsia="Arial" w:hAnsi="Arial"/>
                <w:sz w:val="18"/>
                <w:szCs w:val="18"/>
                <w:color w:val="auto"/>
                <w:w w:val="99"/>
              </w:rPr>
              <w:t>Additional Responsibilities of the Paying Agent regarding Notes issued under the New Safekeeping Structure</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100" w:type="dxa"/>
            <w:vAlign w:val="bottom"/>
          </w:tcPr>
          <w:p>
            <w:pPr>
              <w:spacing w:after="0"/>
              <w:rPr>
                <w:sz w:val="24"/>
                <w:szCs w:val="24"/>
                <w:color w:val="auto"/>
              </w:rPr>
            </w:pPr>
          </w:p>
        </w:tc>
        <w:tc>
          <w:tcPr>
            <w:tcW w:w="8880" w:type="dxa"/>
            <w:vAlign w:val="bottom"/>
          </w:tcPr>
          <w:p>
            <w:pPr>
              <w:jc w:val="center"/>
              <w:ind w:right="330"/>
              <w:spacing w:after="0"/>
              <w:rPr>
                <w:sz w:val="20"/>
                <w:szCs w:val="20"/>
                <w:color w:val="auto"/>
              </w:rPr>
            </w:pPr>
            <w:r>
              <w:rPr>
                <w:rFonts w:ascii="Arial" w:cs="Arial" w:eastAsia="Arial" w:hAnsi="Arial"/>
                <w:sz w:val="18"/>
                <w:szCs w:val="18"/>
                <w:color w:val="auto"/>
              </w:rPr>
              <w:t>ARTICLE III</w:t>
            </w:r>
          </w:p>
        </w:tc>
        <w:tc>
          <w:tcPr>
            <w:tcW w:w="9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880" w:type="dxa"/>
            <w:vAlign w:val="bottom"/>
          </w:tcPr>
          <w:p>
            <w:pPr>
              <w:jc w:val="center"/>
              <w:ind w:right="330"/>
              <w:spacing w:after="0"/>
              <w:rPr>
                <w:sz w:val="20"/>
                <w:szCs w:val="20"/>
                <w:color w:val="auto"/>
              </w:rPr>
            </w:pPr>
            <w:r>
              <w:rPr>
                <w:rFonts w:ascii="Arial" w:cs="Arial" w:eastAsia="Arial" w:hAnsi="Arial"/>
                <w:sz w:val="18"/>
                <w:szCs w:val="18"/>
                <w:color w:val="auto"/>
                <w:w w:val="96"/>
              </w:rPr>
              <w:t>REDEMPTION AND PREPAYMENT</w:t>
            </w:r>
          </w:p>
        </w:tc>
        <w:tc>
          <w:tcPr>
            <w:tcW w:w="960" w:type="dxa"/>
            <w:vAlign w:val="bottom"/>
          </w:tcPr>
          <w:p>
            <w:pPr>
              <w:spacing w:after="0"/>
              <w:rPr>
                <w:sz w:val="20"/>
                <w:szCs w:val="20"/>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3.01</w:t>
            </w:r>
          </w:p>
        </w:tc>
        <w:tc>
          <w:tcPr>
            <w:tcW w:w="8880" w:type="dxa"/>
            <w:vAlign w:val="bottom"/>
          </w:tcPr>
          <w:p>
            <w:pPr>
              <w:ind w:left="200"/>
              <w:spacing w:after="0"/>
              <w:rPr>
                <w:sz w:val="20"/>
                <w:szCs w:val="20"/>
                <w:color w:val="auto"/>
              </w:rPr>
            </w:pPr>
            <w:r>
              <w:rPr>
                <w:rFonts w:ascii="Arial" w:cs="Arial" w:eastAsia="Arial" w:hAnsi="Arial"/>
                <w:sz w:val="18"/>
                <w:szCs w:val="18"/>
                <w:color w:val="auto"/>
              </w:rPr>
              <w:t>Election To Redeem; Notices to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3.02</w:t>
            </w:r>
          </w:p>
        </w:tc>
        <w:tc>
          <w:tcPr>
            <w:tcW w:w="8880" w:type="dxa"/>
            <w:vAlign w:val="bottom"/>
          </w:tcPr>
          <w:p>
            <w:pPr>
              <w:ind w:left="200"/>
              <w:spacing w:after="0"/>
              <w:rPr>
                <w:sz w:val="20"/>
                <w:szCs w:val="20"/>
                <w:color w:val="auto"/>
              </w:rPr>
            </w:pPr>
            <w:r>
              <w:rPr>
                <w:rFonts w:ascii="Arial" w:cs="Arial" w:eastAsia="Arial" w:hAnsi="Arial"/>
                <w:sz w:val="18"/>
                <w:szCs w:val="18"/>
                <w:color w:val="auto"/>
              </w:rPr>
              <w:t>Selection by Trustee of Notes To Be Redeemed</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3.03</w:t>
            </w:r>
          </w:p>
        </w:tc>
        <w:tc>
          <w:tcPr>
            <w:tcW w:w="8880" w:type="dxa"/>
            <w:vAlign w:val="bottom"/>
          </w:tcPr>
          <w:p>
            <w:pPr>
              <w:ind w:left="200"/>
              <w:spacing w:after="0"/>
              <w:rPr>
                <w:sz w:val="20"/>
                <w:szCs w:val="20"/>
                <w:color w:val="auto"/>
              </w:rPr>
            </w:pPr>
            <w:r>
              <w:rPr>
                <w:rFonts w:ascii="Arial" w:cs="Arial" w:eastAsia="Arial" w:hAnsi="Arial"/>
                <w:sz w:val="18"/>
                <w:szCs w:val="18"/>
                <w:color w:val="auto"/>
              </w:rPr>
              <w:t>Notice of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3.04</w:t>
            </w:r>
          </w:p>
        </w:tc>
        <w:tc>
          <w:tcPr>
            <w:tcW w:w="8880" w:type="dxa"/>
            <w:vAlign w:val="bottom"/>
          </w:tcPr>
          <w:p>
            <w:pPr>
              <w:ind w:left="200"/>
              <w:spacing w:after="0"/>
              <w:rPr>
                <w:sz w:val="20"/>
                <w:szCs w:val="20"/>
                <w:color w:val="auto"/>
              </w:rPr>
            </w:pPr>
            <w:r>
              <w:rPr>
                <w:rFonts w:ascii="Arial" w:cs="Arial" w:eastAsia="Arial" w:hAnsi="Arial"/>
                <w:sz w:val="18"/>
                <w:szCs w:val="18"/>
                <w:color w:val="auto"/>
              </w:rPr>
              <w:t>Effect of Notice of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3.05</w:t>
            </w:r>
          </w:p>
        </w:tc>
        <w:tc>
          <w:tcPr>
            <w:tcW w:w="8880" w:type="dxa"/>
            <w:vAlign w:val="bottom"/>
          </w:tcPr>
          <w:p>
            <w:pPr>
              <w:ind w:left="200"/>
              <w:spacing w:after="0"/>
              <w:rPr>
                <w:sz w:val="20"/>
                <w:szCs w:val="20"/>
                <w:color w:val="auto"/>
              </w:rPr>
            </w:pPr>
            <w:r>
              <w:rPr>
                <w:rFonts w:ascii="Arial" w:cs="Arial" w:eastAsia="Arial" w:hAnsi="Arial"/>
                <w:sz w:val="18"/>
                <w:szCs w:val="18"/>
                <w:color w:val="auto"/>
              </w:rPr>
              <w:t>Deposit of Redemption Price</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3.06</w:t>
            </w:r>
          </w:p>
        </w:tc>
        <w:tc>
          <w:tcPr>
            <w:tcW w:w="8880" w:type="dxa"/>
            <w:vAlign w:val="bottom"/>
          </w:tcPr>
          <w:p>
            <w:pPr>
              <w:ind w:left="200"/>
              <w:spacing w:after="0"/>
              <w:rPr>
                <w:sz w:val="20"/>
                <w:szCs w:val="20"/>
                <w:color w:val="auto"/>
              </w:rPr>
            </w:pPr>
            <w:r>
              <w:rPr>
                <w:rFonts w:ascii="Arial" w:cs="Arial" w:eastAsia="Arial" w:hAnsi="Arial"/>
                <w:sz w:val="18"/>
                <w:szCs w:val="18"/>
                <w:color w:val="auto"/>
              </w:rPr>
              <w:t>Notes Redeemed in Part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3.07</w:t>
            </w:r>
          </w:p>
        </w:tc>
        <w:tc>
          <w:tcPr>
            <w:tcW w:w="888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3.08</w:t>
            </w:r>
          </w:p>
        </w:tc>
        <w:tc>
          <w:tcPr>
            <w:tcW w:w="8880" w:type="dxa"/>
            <w:vAlign w:val="bottom"/>
          </w:tcPr>
          <w:p>
            <w:pPr>
              <w:ind w:left="200"/>
              <w:spacing w:after="0"/>
              <w:rPr>
                <w:sz w:val="20"/>
                <w:szCs w:val="20"/>
                <w:color w:val="auto"/>
              </w:rPr>
            </w:pPr>
            <w:r>
              <w:rPr>
                <w:rFonts w:ascii="Arial" w:cs="Arial" w:eastAsia="Arial" w:hAnsi="Arial"/>
                <w:sz w:val="18"/>
                <w:szCs w:val="18"/>
                <w:color w:val="auto"/>
              </w:rPr>
              <w:t>Special Mandatory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3.09</w:t>
            </w:r>
          </w:p>
        </w:tc>
        <w:tc>
          <w:tcPr>
            <w:tcW w:w="8880" w:type="dxa"/>
            <w:vAlign w:val="bottom"/>
          </w:tcPr>
          <w:p>
            <w:pPr>
              <w:ind w:left="200"/>
              <w:spacing w:after="0"/>
              <w:rPr>
                <w:sz w:val="20"/>
                <w:szCs w:val="20"/>
                <w:color w:val="auto"/>
              </w:rPr>
            </w:pPr>
            <w:r>
              <w:rPr>
                <w:rFonts w:ascii="Arial" w:cs="Arial" w:eastAsia="Arial" w:hAnsi="Arial"/>
                <w:sz w:val="18"/>
                <w:szCs w:val="18"/>
                <w:color w:val="auto"/>
              </w:rPr>
              <w:t>Tax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100" w:type="dxa"/>
            <w:vAlign w:val="bottom"/>
          </w:tcPr>
          <w:p>
            <w:pPr>
              <w:spacing w:after="0"/>
              <w:rPr>
                <w:sz w:val="24"/>
                <w:szCs w:val="24"/>
                <w:color w:val="auto"/>
              </w:rPr>
            </w:pPr>
          </w:p>
        </w:tc>
        <w:tc>
          <w:tcPr>
            <w:tcW w:w="8880" w:type="dxa"/>
            <w:vAlign w:val="bottom"/>
          </w:tcPr>
          <w:p>
            <w:pPr>
              <w:jc w:val="center"/>
              <w:ind w:right="330"/>
              <w:spacing w:after="0"/>
              <w:rPr>
                <w:sz w:val="20"/>
                <w:szCs w:val="20"/>
                <w:color w:val="auto"/>
              </w:rPr>
            </w:pPr>
            <w:r>
              <w:rPr>
                <w:rFonts w:ascii="Arial" w:cs="Arial" w:eastAsia="Arial" w:hAnsi="Arial"/>
                <w:sz w:val="18"/>
                <w:szCs w:val="18"/>
                <w:color w:val="auto"/>
                <w:w w:val="99"/>
              </w:rPr>
              <w:t>ARTICLE IV</w:t>
            </w:r>
          </w:p>
        </w:tc>
        <w:tc>
          <w:tcPr>
            <w:tcW w:w="9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880" w:type="dxa"/>
            <w:vAlign w:val="bottom"/>
          </w:tcPr>
          <w:p>
            <w:pPr>
              <w:jc w:val="center"/>
              <w:ind w:right="330"/>
              <w:spacing w:after="0"/>
              <w:rPr>
                <w:sz w:val="20"/>
                <w:szCs w:val="20"/>
                <w:color w:val="auto"/>
              </w:rPr>
            </w:pPr>
            <w:r>
              <w:rPr>
                <w:rFonts w:ascii="Arial" w:cs="Arial" w:eastAsia="Arial" w:hAnsi="Arial"/>
                <w:sz w:val="18"/>
                <w:szCs w:val="18"/>
                <w:color w:val="auto"/>
                <w:w w:val="98"/>
              </w:rPr>
              <w:t>COVENANTS</w:t>
            </w:r>
          </w:p>
        </w:tc>
        <w:tc>
          <w:tcPr>
            <w:tcW w:w="960" w:type="dxa"/>
            <w:vAlign w:val="bottom"/>
          </w:tcPr>
          <w:p>
            <w:pPr>
              <w:spacing w:after="0"/>
              <w:rPr>
                <w:sz w:val="20"/>
                <w:szCs w:val="20"/>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4.01</w:t>
            </w:r>
          </w:p>
        </w:tc>
        <w:tc>
          <w:tcPr>
            <w:tcW w:w="8880" w:type="dxa"/>
            <w:vAlign w:val="bottom"/>
          </w:tcPr>
          <w:p>
            <w:pPr>
              <w:ind w:left="200"/>
              <w:spacing w:after="0"/>
              <w:rPr>
                <w:sz w:val="20"/>
                <w:szCs w:val="20"/>
                <w:color w:val="auto"/>
              </w:rPr>
            </w:pPr>
            <w:r>
              <w:rPr>
                <w:rFonts w:ascii="Arial" w:cs="Arial" w:eastAsia="Arial" w:hAnsi="Arial"/>
                <w:sz w:val="18"/>
                <w:szCs w:val="18"/>
                <w:color w:val="auto"/>
              </w:rPr>
              <w:t>Payment of Principal, Premium and Interest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4.02</w:t>
            </w:r>
          </w:p>
        </w:tc>
        <w:tc>
          <w:tcPr>
            <w:tcW w:w="888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4.03</w:t>
            </w:r>
          </w:p>
        </w:tc>
        <w:tc>
          <w:tcPr>
            <w:tcW w:w="8880" w:type="dxa"/>
            <w:vAlign w:val="bottom"/>
          </w:tcPr>
          <w:p>
            <w:pPr>
              <w:ind w:left="200"/>
              <w:spacing w:after="0"/>
              <w:rPr>
                <w:sz w:val="20"/>
                <w:szCs w:val="20"/>
                <w:color w:val="auto"/>
              </w:rPr>
            </w:pPr>
            <w:r>
              <w:rPr>
                <w:rFonts w:ascii="Arial" w:cs="Arial" w:eastAsia="Arial" w:hAnsi="Arial"/>
                <w:sz w:val="18"/>
                <w:szCs w:val="18"/>
                <w:color w:val="auto"/>
              </w:rPr>
              <w:t>Reports to Holders</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4.04</w:t>
            </w:r>
          </w:p>
        </w:tc>
        <w:tc>
          <w:tcPr>
            <w:tcW w:w="8880" w:type="dxa"/>
            <w:vAlign w:val="bottom"/>
          </w:tcPr>
          <w:p>
            <w:pPr>
              <w:ind w:left="200"/>
              <w:spacing w:after="0"/>
              <w:rPr>
                <w:sz w:val="20"/>
                <w:szCs w:val="20"/>
                <w:color w:val="auto"/>
              </w:rPr>
            </w:pPr>
            <w:r>
              <w:rPr>
                <w:rFonts w:ascii="Arial" w:cs="Arial" w:eastAsia="Arial" w:hAnsi="Arial"/>
                <w:sz w:val="18"/>
                <w:szCs w:val="18"/>
                <w:color w:val="auto"/>
              </w:rPr>
              <w:t>Corporate Existence</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4.05</w:t>
            </w:r>
          </w:p>
        </w:tc>
        <w:tc>
          <w:tcPr>
            <w:tcW w:w="8880" w:type="dxa"/>
            <w:vAlign w:val="bottom"/>
          </w:tcPr>
          <w:p>
            <w:pPr>
              <w:ind w:left="200"/>
              <w:spacing w:after="0"/>
              <w:rPr>
                <w:sz w:val="20"/>
                <w:szCs w:val="20"/>
                <w:color w:val="auto"/>
              </w:rPr>
            </w:pPr>
            <w:r>
              <w:rPr>
                <w:rFonts w:ascii="Arial" w:cs="Arial" w:eastAsia="Arial" w:hAnsi="Arial"/>
                <w:sz w:val="18"/>
                <w:szCs w:val="18"/>
                <w:color w:val="auto"/>
              </w:rPr>
              <w:t>Money for Notes Payments To Be Held in Trust</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4.06</w:t>
            </w:r>
          </w:p>
        </w:tc>
        <w:tc>
          <w:tcPr>
            <w:tcW w:w="8880" w:type="dxa"/>
            <w:vAlign w:val="bottom"/>
          </w:tcPr>
          <w:p>
            <w:pPr>
              <w:ind w:left="200"/>
              <w:spacing w:after="0"/>
              <w:rPr>
                <w:sz w:val="20"/>
                <w:szCs w:val="20"/>
                <w:color w:val="auto"/>
              </w:rPr>
            </w:pPr>
            <w:r>
              <w:rPr>
                <w:rFonts w:ascii="Arial" w:cs="Arial" w:eastAsia="Arial" w:hAnsi="Arial"/>
                <w:sz w:val="18"/>
                <w:szCs w:val="18"/>
                <w:color w:val="auto"/>
              </w:rPr>
              <w:t>Payment of Taxes and Other Claims</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4.07</w:t>
            </w:r>
          </w:p>
        </w:tc>
        <w:tc>
          <w:tcPr>
            <w:tcW w:w="8880" w:type="dxa"/>
            <w:vAlign w:val="bottom"/>
          </w:tcPr>
          <w:p>
            <w:pPr>
              <w:ind w:left="200"/>
              <w:spacing w:after="0"/>
              <w:rPr>
                <w:sz w:val="20"/>
                <w:szCs w:val="20"/>
                <w:color w:val="auto"/>
              </w:rPr>
            </w:pPr>
            <w:r>
              <w:rPr>
                <w:rFonts w:ascii="Arial" w:cs="Arial" w:eastAsia="Arial" w:hAnsi="Arial"/>
                <w:sz w:val="18"/>
                <w:szCs w:val="18"/>
                <w:color w:val="auto"/>
              </w:rPr>
              <w:t>Limitation on Liens</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4.08</w:t>
            </w:r>
          </w:p>
        </w:tc>
        <w:tc>
          <w:tcPr>
            <w:tcW w:w="8880" w:type="dxa"/>
            <w:vAlign w:val="bottom"/>
          </w:tcPr>
          <w:p>
            <w:pPr>
              <w:ind w:left="200"/>
              <w:spacing w:after="0"/>
              <w:rPr>
                <w:sz w:val="20"/>
                <w:szCs w:val="20"/>
                <w:color w:val="auto"/>
              </w:rPr>
            </w:pPr>
            <w:r>
              <w:rPr>
                <w:rFonts w:ascii="Arial" w:cs="Arial" w:eastAsia="Arial" w:hAnsi="Arial"/>
                <w:sz w:val="18"/>
                <w:szCs w:val="18"/>
                <w:color w:val="auto"/>
              </w:rPr>
              <w:t>Purchase of Notes Upon a Change of Control Repurchase Event</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4.09</w:t>
            </w:r>
          </w:p>
        </w:tc>
        <w:tc>
          <w:tcPr>
            <w:tcW w:w="8880" w:type="dxa"/>
            <w:vAlign w:val="bottom"/>
          </w:tcPr>
          <w:p>
            <w:pPr>
              <w:ind w:left="200"/>
              <w:spacing w:after="0"/>
              <w:rPr>
                <w:sz w:val="20"/>
                <w:szCs w:val="20"/>
                <w:color w:val="auto"/>
              </w:rPr>
            </w:pPr>
            <w:r>
              <w:rPr>
                <w:rFonts w:ascii="Arial" w:cs="Arial" w:eastAsia="Arial" w:hAnsi="Arial"/>
                <w:sz w:val="18"/>
                <w:szCs w:val="18"/>
                <w:color w:val="auto"/>
              </w:rPr>
              <w:t>Restrictions on Sale Leaseback Transactions</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4.10</w:t>
            </w:r>
          </w:p>
        </w:tc>
        <w:tc>
          <w:tcPr>
            <w:tcW w:w="8880" w:type="dxa"/>
            <w:vAlign w:val="bottom"/>
          </w:tcPr>
          <w:p>
            <w:pPr>
              <w:ind w:left="200"/>
              <w:spacing w:after="0"/>
              <w:rPr>
                <w:sz w:val="20"/>
                <w:szCs w:val="20"/>
                <w:color w:val="auto"/>
              </w:rPr>
            </w:pPr>
            <w:r>
              <w:rPr>
                <w:rFonts w:ascii="Arial" w:cs="Arial" w:eastAsia="Arial" w:hAnsi="Arial"/>
                <w:sz w:val="18"/>
                <w:szCs w:val="18"/>
                <w:color w:val="auto"/>
              </w:rPr>
              <w:t>Mylan Guarantees</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4.11</w:t>
            </w:r>
          </w:p>
        </w:tc>
        <w:tc>
          <w:tcPr>
            <w:tcW w:w="8880" w:type="dxa"/>
            <w:vAlign w:val="bottom"/>
          </w:tcPr>
          <w:p>
            <w:pPr>
              <w:ind w:left="200"/>
              <w:spacing w:after="0"/>
              <w:rPr>
                <w:sz w:val="20"/>
                <w:szCs w:val="20"/>
                <w:color w:val="auto"/>
              </w:rPr>
            </w:pPr>
            <w:r>
              <w:rPr>
                <w:rFonts w:ascii="Arial" w:cs="Arial" w:eastAsia="Arial" w:hAnsi="Arial"/>
                <w:sz w:val="18"/>
                <w:szCs w:val="18"/>
                <w:color w:val="auto"/>
              </w:rPr>
              <w:t>Additional Guarantees</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4.12</w:t>
            </w:r>
          </w:p>
        </w:tc>
        <w:tc>
          <w:tcPr>
            <w:tcW w:w="8880" w:type="dxa"/>
            <w:vAlign w:val="bottom"/>
          </w:tcPr>
          <w:p>
            <w:pPr>
              <w:ind w:left="200"/>
              <w:spacing w:after="0"/>
              <w:rPr>
                <w:sz w:val="20"/>
                <w:szCs w:val="20"/>
                <w:color w:val="auto"/>
              </w:rPr>
            </w:pPr>
            <w:r>
              <w:rPr>
                <w:rFonts w:ascii="Arial" w:cs="Arial" w:eastAsia="Arial" w:hAnsi="Arial"/>
                <w:sz w:val="18"/>
                <w:szCs w:val="18"/>
                <w:color w:val="auto"/>
              </w:rPr>
              <w:t>Limitations on the Issuer Acquiring and Holding Assets</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4.13</w:t>
            </w:r>
          </w:p>
        </w:tc>
        <w:tc>
          <w:tcPr>
            <w:tcW w:w="8880" w:type="dxa"/>
            <w:vAlign w:val="bottom"/>
          </w:tcPr>
          <w:p>
            <w:pPr>
              <w:ind w:left="200"/>
              <w:spacing w:after="0"/>
              <w:rPr>
                <w:sz w:val="20"/>
                <w:szCs w:val="20"/>
                <w:color w:val="auto"/>
              </w:rPr>
            </w:pPr>
            <w:r>
              <w:rPr>
                <w:rFonts w:ascii="Arial" w:cs="Arial" w:eastAsia="Arial" w:hAnsi="Arial"/>
                <w:sz w:val="18"/>
                <w:szCs w:val="18"/>
                <w:color w:val="auto"/>
              </w:rPr>
              <w:t>Compliance Certificate</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5"/>
        </w:trPr>
        <w:tc>
          <w:tcPr>
            <w:tcW w:w="1100" w:type="dxa"/>
            <w:vAlign w:val="bottom"/>
          </w:tcPr>
          <w:p>
            <w:pPr>
              <w:spacing w:after="0"/>
              <w:rPr>
                <w:sz w:val="24"/>
                <w:szCs w:val="24"/>
                <w:color w:val="auto"/>
              </w:rPr>
            </w:pPr>
          </w:p>
        </w:tc>
        <w:tc>
          <w:tcPr>
            <w:tcW w:w="8880" w:type="dxa"/>
            <w:vAlign w:val="bottom"/>
          </w:tcPr>
          <w:p>
            <w:pPr>
              <w:ind w:left="4360"/>
              <w:spacing w:after="0"/>
              <w:rPr>
                <w:sz w:val="20"/>
                <w:szCs w:val="20"/>
                <w:color w:val="auto"/>
              </w:rPr>
            </w:pPr>
            <w:r>
              <w:rPr>
                <w:rFonts w:ascii="Arial" w:cs="Arial" w:eastAsia="Arial" w:hAnsi="Arial"/>
                <w:sz w:val="18"/>
                <w:szCs w:val="18"/>
                <w:color w:val="auto"/>
              </w:rPr>
              <w:t>ii</w:t>
            </w:r>
          </w:p>
        </w:tc>
        <w:tc>
          <w:tcPr>
            <w:tcW w:w="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40" w:top="382"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5" w:name="page206"/>
    <w:bookmarkEnd w:id="205"/>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4.14</w:t>
            </w:r>
          </w:p>
        </w:tc>
        <w:tc>
          <w:tcPr>
            <w:tcW w:w="7500" w:type="dxa"/>
            <w:vAlign w:val="bottom"/>
          </w:tcPr>
          <w:p>
            <w:pPr>
              <w:ind w:left="200"/>
              <w:spacing w:after="0"/>
              <w:rPr>
                <w:sz w:val="20"/>
                <w:szCs w:val="20"/>
                <w:color w:val="auto"/>
              </w:rPr>
            </w:pPr>
            <w:r>
              <w:rPr>
                <w:rFonts w:ascii="Arial" w:cs="Arial" w:eastAsia="Arial" w:hAnsi="Arial"/>
                <w:sz w:val="18"/>
                <w:szCs w:val="18"/>
                <w:color w:val="auto"/>
              </w:rPr>
              <w:t>Stay, Extension and Usury Laws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4.15</w:t>
            </w:r>
          </w:p>
        </w:tc>
        <w:tc>
          <w:tcPr>
            <w:tcW w:w="750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4.16</w:t>
            </w:r>
          </w:p>
        </w:tc>
        <w:tc>
          <w:tcPr>
            <w:tcW w:w="7500" w:type="dxa"/>
            <w:vAlign w:val="bottom"/>
          </w:tcPr>
          <w:p>
            <w:pPr>
              <w:ind w:left="200"/>
              <w:spacing w:after="0"/>
              <w:rPr>
                <w:sz w:val="20"/>
                <w:szCs w:val="20"/>
                <w:color w:val="auto"/>
              </w:rPr>
            </w:pPr>
            <w:r>
              <w:rPr>
                <w:rFonts w:ascii="Arial" w:cs="Arial" w:eastAsia="Arial" w:hAnsi="Arial"/>
                <w:sz w:val="18"/>
                <w:szCs w:val="18"/>
                <w:color w:val="auto"/>
              </w:rPr>
              <w:t>No Limitations on RMT Transactions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4.17</w:t>
            </w:r>
          </w:p>
        </w:tc>
        <w:tc>
          <w:tcPr>
            <w:tcW w:w="7500" w:type="dxa"/>
            <w:vAlign w:val="bottom"/>
          </w:tcPr>
          <w:p>
            <w:pPr>
              <w:ind w:left="200"/>
              <w:spacing w:after="0"/>
              <w:rPr>
                <w:sz w:val="20"/>
                <w:szCs w:val="20"/>
                <w:color w:val="auto"/>
              </w:rPr>
            </w:pPr>
            <w:r>
              <w:rPr>
                <w:rFonts w:ascii="Arial" w:cs="Arial" w:eastAsia="Arial" w:hAnsi="Arial"/>
                <w:sz w:val="18"/>
                <w:szCs w:val="18"/>
                <w:color w:val="auto"/>
              </w:rPr>
              <w:t>Payments of Additional Amounts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4.18</w:t>
            </w:r>
          </w:p>
        </w:tc>
        <w:tc>
          <w:tcPr>
            <w:tcW w:w="7500" w:type="dxa"/>
            <w:vAlign w:val="bottom"/>
          </w:tcPr>
          <w:p>
            <w:pPr>
              <w:ind w:left="200"/>
              <w:spacing w:after="0"/>
              <w:rPr>
                <w:sz w:val="20"/>
                <w:szCs w:val="20"/>
                <w:color w:val="auto"/>
              </w:rPr>
            </w:pPr>
            <w:r>
              <w:rPr>
                <w:rFonts w:ascii="Arial" w:cs="Arial" w:eastAsia="Arial" w:hAnsi="Arial"/>
                <w:sz w:val="18"/>
                <w:szCs w:val="18"/>
                <w:color w:val="auto"/>
              </w:rPr>
              <w:t>Listing</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100" w:type="dxa"/>
            <w:vAlign w:val="bottom"/>
          </w:tcPr>
          <w:p>
            <w:pPr>
              <w:spacing w:after="0"/>
              <w:rPr>
                <w:sz w:val="24"/>
                <w:szCs w:val="24"/>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w w:val="98"/>
              </w:rPr>
              <w:t>ARTICLE V</w:t>
            </w:r>
          </w:p>
        </w:tc>
        <w:tc>
          <w:tcPr>
            <w:tcW w:w="23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w w:val="88"/>
              </w:rPr>
              <w:t>SUCCESSORS</w:t>
            </w:r>
          </w:p>
        </w:tc>
        <w:tc>
          <w:tcPr>
            <w:tcW w:w="2360" w:type="dxa"/>
            <w:vAlign w:val="bottom"/>
          </w:tcPr>
          <w:p>
            <w:pPr>
              <w:spacing w:after="0"/>
              <w:rPr>
                <w:sz w:val="20"/>
                <w:szCs w:val="20"/>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5.01</w:t>
            </w:r>
          </w:p>
        </w:tc>
        <w:tc>
          <w:tcPr>
            <w:tcW w:w="7500" w:type="dxa"/>
            <w:vAlign w:val="bottom"/>
          </w:tcPr>
          <w:p>
            <w:pPr>
              <w:ind w:left="200"/>
              <w:spacing w:after="0"/>
              <w:rPr>
                <w:sz w:val="20"/>
                <w:szCs w:val="20"/>
                <w:color w:val="auto"/>
              </w:rPr>
            </w:pPr>
            <w:r>
              <w:rPr>
                <w:rFonts w:ascii="Arial" w:cs="Arial" w:eastAsia="Arial" w:hAnsi="Arial"/>
                <w:sz w:val="18"/>
                <w:szCs w:val="18"/>
                <w:color w:val="auto"/>
              </w:rPr>
              <w:t>Consolidation, Merger and Sale of Assets</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100" w:type="dxa"/>
            <w:vAlign w:val="bottom"/>
          </w:tcPr>
          <w:p>
            <w:pPr>
              <w:spacing w:after="0"/>
              <w:rPr>
                <w:sz w:val="24"/>
                <w:szCs w:val="24"/>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rPr>
              <w:t>ARTICLE VI</w:t>
            </w:r>
          </w:p>
        </w:tc>
        <w:tc>
          <w:tcPr>
            <w:tcW w:w="23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w w:val="96"/>
              </w:rPr>
              <w:t>DEFAULTS AND REMEDIES</w:t>
            </w:r>
          </w:p>
        </w:tc>
        <w:tc>
          <w:tcPr>
            <w:tcW w:w="236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6.01</w:t>
            </w:r>
          </w:p>
        </w:tc>
        <w:tc>
          <w:tcPr>
            <w:tcW w:w="750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6.02</w:t>
            </w:r>
          </w:p>
        </w:tc>
        <w:tc>
          <w:tcPr>
            <w:tcW w:w="7500" w:type="dxa"/>
            <w:vAlign w:val="bottom"/>
          </w:tcPr>
          <w:p>
            <w:pPr>
              <w:ind w:left="200"/>
              <w:spacing w:after="0"/>
              <w:rPr>
                <w:sz w:val="20"/>
                <w:szCs w:val="20"/>
                <w:color w:val="auto"/>
              </w:rPr>
            </w:pPr>
            <w:r>
              <w:rPr>
                <w:rFonts w:ascii="Arial" w:cs="Arial" w:eastAsia="Arial" w:hAnsi="Arial"/>
                <w:sz w:val="18"/>
                <w:szCs w:val="18"/>
                <w:color w:val="auto"/>
              </w:rPr>
              <w:t>Acceleration of Maturity; Rescission</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6.03</w:t>
            </w:r>
          </w:p>
        </w:tc>
        <w:tc>
          <w:tcPr>
            <w:tcW w:w="7500" w:type="dxa"/>
            <w:vAlign w:val="bottom"/>
          </w:tcPr>
          <w:p>
            <w:pPr>
              <w:ind w:left="200"/>
              <w:spacing w:after="0"/>
              <w:rPr>
                <w:sz w:val="20"/>
                <w:szCs w:val="20"/>
                <w:color w:val="auto"/>
              </w:rPr>
            </w:pPr>
            <w:r>
              <w:rPr>
                <w:rFonts w:ascii="Arial" w:cs="Arial" w:eastAsia="Arial" w:hAnsi="Arial"/>
                <w:sz w:val="18"/>
                <w:szCs w:val="18"/>
                <w:color w:val="auto"/>
              </w:rPr>
              <w:t>Other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6.04</w:t>
            </w:r>
          </w:p>
        </w:tc>
        <w:tc>
          <w:tcPr>
            <w:tcW w:w="7500" w:type="dxa"/>
            <w:vAlign w:val="bottom"/>
          </w:tcPr>
          <w:p>
            <w:pPr>
              <w:ind w:left="200"/>
              <w:spacing w:after="0"/>
              <w:rPr>
                <w:sz w:val="20"/>
                <w:szCs w:val="20"/>
                <w:color w:val="auto"/>
              </w:rPr>
            </w:pPr>
            <w:r>
              <w:rPr>
                <w:rFonts w:ascii="Arial" w:cs="Arial" w:eastAsia="Arial" w:hAnsi="Arial"/>
                <w:sz w:val="18"/>
                <w:szCs w:val="18"/>
                <w:color w:val="auto"/>
              </w:rPr>
              <w:t>Waiver of Past Defaults and 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6.05</w:t>
            </w:r>
          </w:p>
        </w:tc>
        <w:tc>
          <w:tcPr>
            <w:tcW w:w="7500" w:type="dxa"/>
            <w:vAlign w:val="bottom"/>
          </w:tcPr>
          <w:p>
            <w:pPr>
              <w:ind w:left="200"/>
              <w:spacing w:after="0"/>
              <w:rPr>
                <w:sz w:val="20"/>
                <w:szCs w:val="20"/>
                <w:color w:val="auto"/>
              </w:rPr>
            </w:pPr>
            <w:r>
              <w:rPr>
                <w:rFonts w:ascii="Arial" w:cs="Arial" w:eastAsia="Arial" w:hAnsi="Arial"/>
                <w:sz w:val="18"/>
                <w:szCs w:val="18"/>
                <w:color w:val="auto"/>
              </w:rPr>
              <w:t>Control by Majority</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6.06</w:t>
            </w:r>
          </w:p>
        </w:tc>
        <w:tc>
          <w:tcPr>
            <w:tcW w:w="7500" w:type="dxa"/>
            <w:vAlign w:val="bottom"/>
          </w:tcPr>
          <w:p>
            <w:pPr>
              <w:ind w:left="200"/>
              <w:spacing w:after="0"/>
              <w:rPr>
                <w:sz w:val="20"/>
                <w:szCs w:val="20"/>
                <w:color w:val="auto"/>
              </w:rPr>
            </w:pPr>
            <w:r>
              <w:rPr>
                <w:rFonts w:ascii="Arial" w:cs="Arial" w:eastAsia="Arial" w:hAnsi="Arial"/>
                <w:sz w:val="18"/>
                <w:szCs w:val="18"/>
                <w:color w:val="auto"/>
              </w:rPr>
              <w:t>Limitation on Suits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6.07</w:t>
            </w:r>
          </w:p>
        </w:tc>
        <w:tc>
          <w:tcPr>
            <w:tcW w:w="7500" w:type="dxa"/>
            <w:vAlign w:val="bottom"/>
          </w:tcPr>
          <w:p>
            <w:pPr>
              <w:ind w:left="200"/>
              <w:spacing w:after="0"/>
              <w:rPr>
                <w:sz w:val="20"/>
                <w:szCs w:val="20"/>
                <w:color w:val="auto"/>
              </w:rPr>
            </w:pPr>
            <w:r>
              <w:rPr>
                <w:rFonts w:ascii="Arial" w:cs="Arial" w:eastAsia="Arial" w:hAnsi="Arial"/>
                <w:sz w:val="18"/>
                <w:szCs w:val="18"/>
                <w:color w:val="auto"/>
              </w:rPr>
              <w:t>Rights of Holders To Receive Payment</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6.08</w:t>
            </w:r>
          </w:p>
        </w:tc>
        <w:tc>
          <w:tcPr>
            <w:tcW w:w="7500" w:type="dxa"/>
            <w:vAlign w:val="bottom"/>
          </w:tcPr>
          <w:p>
            <w:pPr>
              <w:ind w:left="200"/>
              <w:spacing w:after="0"/>
              <w:rPr>
                <w:sz w:val="20"/>
                <w:szCs w:val="20"/>
                <w:color w:val="auto"/>
              </w:rPr>
            </w:pPr>
            <w:r>
              <w:rPr>
                <w:rFonts w:ascii="Arial" w:cs="Arial" w:eastAsia="Arial" w:hAnsi="Arial"/>
                <w:sz w:val="18"/>
                <w:szCs w:val="18"/>
                <w:color w:val="auto"/>
              </w:rPr>
              <w:t>Collection Suit by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6.09</w:t>
            </w:r>
          </w:p>
        </w:tc>
        <w:tc>
          <w:tcPr>
            <w:tcW w:w="7500" w:type="dxa"/>
            <w:vAlign w:val="bottom"/>
          </w:tcPr>
          <w:p>
            <w:pPr>
              <w:ind w:left="200"/>
              <w:spacing w:after="0"/>
              <w:rPr>
                <w:sz w:val="20"/>
                <w:szCs w:val="20"/>
                <w:color w:val="auto"/>
              </w:rPr>
            </w:pPr>
            <w:r>
              <w:rPr>
                <w:rFonts w:ascii="Arial" w:cs="Arial" w:eastAsia="Arial" w:hAnsi="Arial"/>
                <w:sz w:val="18"/>
                <w:szCs w:val="18"/>
                <w:color w:val="auto"/>
              </w:rPr>
              <w:t>Trustee May File Proofs of Claim</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6.10</w:t>
            </w:r>
          </w:p>
        </w:tc>
        <w:tc>
          <w:tcPr>
            <w:tcW w:w="7500" w:type="dxa"/>
            <w:vAlign w:val="bottom"/>
          </w:tcPr>
          <w:p>
            <w:pPr>
              <w:ind w:left="200"/>
              <w:spacing w:after="0"/>
              <w:rPr>
                <w:sz w:val="20"/>
                <w:szCs w:val="20"/>
                <w:color w:val="auto"/>
              </w:rPr>
            </w:pPr>
            <w:r>
              <w:rPr>
                <w:rFonts w:ascii="Arial" w:cs="Arial" w:eastAsia="Arial" w:hAnsi="Arial"/>
                <w:sz w:val="18"/>
                <w:szCs w:val="18"/>
                <w:color w:val="auto"/>
              </w:rPr>
              <w:t>Priorities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6.11</w:t>
            </w:r>
          </w:p>
        </w:tc>
        <w:tc>
          <w:tcPr>
            <w:tcW w:w="750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6.12</w:t>
            </w:r>
          </w:p>
        </w:tc>
        <w:tc>
          <w:tcPr>
            <w:tcW w:w="7500" w:type="dxa"/>
            <w:vAlign w:val="bottom"/>
          </w:tcPr>
          <w:p>
            <w:pPr>
              <w:ind w:left="200"/>
              <w:spacing w:after="0"/>
              <w:rPr>
                <w:sz w:val="20"/>
                <w:szCs w:val="20"/>
                <w:color w:val="auto"/>
              </w:rPr>
            </w:pPr>
            <w:r>
              <w:rPr>
                <w:rFonts w:ascii="Arial" w:cs="Arial" w:eastAsia="Arial" w:hAnsi="Arial"/>
                <w:sz w:val="18"/>
                <w:szCs w:val="18"/>
                <w:color w:val="auto"/>
              </w:rPr>
              <w:t>Delay or Omission Not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100" w:type="dxa"/>
            <w:vAlign w:val="bottom"/>
          </w:tcPr>
          <w:p>
            <w:pPr>
              <w:spacing w:after="0"/>
              <w:rPr>
                <w:sz w:val="24"/>
                <w:szCs w:val="24"/>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rPr>
              <w:t>ARTICLE VII</w:t>
            </w:r>
          </w:p>
        </w:tc>
        <w:tc>
          <w:tcPr>
            <w:tcW w:w="23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w w:val="95"/>
              </w:rPr>
              <w:t>TRUSTEE</w:t>
            </w:r>
          </w:p>
        </w:tc>
        <w:tc>
          <w:tcPr>
            <w:tcW w:w="236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7.01</w:t>
            </w:r>
          </w:p>
        </w:tc>
        <w:tc>
          <w:tcPr>
            <w:tcW w:w="7500" w:type="dxa"/>
            <w:vAlign w:val="bottom"/>
          </w:tcPr>
          <w:p>
            <w:pPr>
              <w:ind w:left="200"/>
              <w:spacing w:after="0"/>
              <w:rPr>
                <w:sz w:val="20"/>
                <w:szCs w:val="20"/>
                <w:color w:val="auto"/>
              </w:rPr>
            </w:pPr>
            <w:r>
              <w:rPr>
                <w:rFonts w:ascii="Arial" w:cs="Arial" w:eastAsia="Arial" w:hAnsi="Arial"/>
                <w:sz w:val="18"/>
                <w:szCs w:val="18"/>
                <w:color w:val="auto"/>
              </w:rPr>
              <w:t>Duties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7.02</w:t>
            </w:r>
          </w:p>
        </w:tc>
        <w:tc>
          <w:tcPr>
            <w:tcW w:w="7500" w:type="dxa"/>
            <w:vAlign w:val="bottom"/>
          </w:tcPr>
          <w:p>
            <w:pPr>
              <w:ind w:left="200"/>
              <w:spacing w:after="0"/>
              <w:rPr>
                <w:sz w:val="20"/>
                <w:szCs w:val="20"/>
                <w:color w:val="auto"/>
              </w:rPr>
            </w:pPr>
            <w:r>
              <w:rPr>
                <w:rFonts w:ascii="Arial" w:cs="Arial" w:eastAsia="Arial" w:hAnsi="Arial"/>
                <w:sz w:val="18"/>
                <w:szCs w:val="18"/>
                <w:color w:val="auto"/>
              </w:rPr>
              <w:t>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7.03</w:t>
            </w:r>
          </w:p>
        </w:tc>
        <w:tc>
          <w:tcPr>
            <w:tcW w:w="7500" w:type="dxa"/>
            <w:vAlign w:val="bottom"/>
          </w:tcPr>
          <w:p>
            <w:pPr>
              <w:ind w:left="200"/>
              <w:spacing w:after="0"/>
              <w:rPr>
                <w:sz w:val="20"/>
                <w:szCs w:val="20"/>
                <w:color w:val="auto"/>
              </w:rPr>
            </w:pPr>
            <w:r>
              <w:rPr>
                <w:rFonts w:ascii="Arial" w:cs="Arial" w:eastAsia="Arial" w:hAnsi="Arial"/>
                <w:sz w:val="18"/>
                <w:szCs w:val="18"/>
                <w:color w:val="auto"/>
              </w:rPr>
              <w:t>Individual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7.04</w:t>
            </w:r>
          </w:p>
        </w:tc>
        <w:tc>
          <w:tcPr>
            <w:tcW w:w="7500" w:type="dxa"/>
            <w:vAlign w:val="bottom"/>
          </w:tcPr>
          <w:p>
            <w:pPr>
              <w:ind w:left="200"/>
              <w:spacing w:after="0"/>
              <w:rPr>
                <w:sz w:val="20"/>
                <w:szCs w:val="20"/>
                <w:color w:val="auto"/>
              </w:rPr>
            </w:pPr>
            <w:r>
              <w:rPr>
                <w:rFonts w:ascii="Arial" w:cs="Arial" w:eastAsia="Arial" w:hAnsi="Arial"/>
                <w:sz w:val="18"/>
                <w:szCs w:val="18"/>
                <w:color w:val="auto"/>
              </w:rPr>
              <w:t>Trustee’s Disclaimer</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382" w:right="49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884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8840" w:type="dxa"/>
            <w:vAlign w:val="bottom"/>
          </w:tcPr>
          <w:p>
            <w:pPr>
              <w:ind w:left="200"/>
              <w:spacing w:after="0"/>
              <w:rPr>
                <w:sz w:val="20"/>
                <w:szCs w:val="20"/>
                <w:color w:val="auto"/>
              </w:rPr>
            </w:pPr>
            <w:r>
              <w:rPr>
                <w:rFonts w:ascii="Arial" w:cs="Arial" w:eastAsia="Arial" w:hAnsi="Arial"/>
                <w:sz w:val="18"/>
                <w:szCs w:val="18"/>
                <w:color w:val="auto"/>
              </w:rPr>
              <w:t>Compensation and Indemnity</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7.07</w:t>
            </w:r>
          </w:p>
        </w:tc>
        <w:tc>
          <w:tcPr>
            <w:tcW w:w="8840" w:type="dxa"/>
            <w:vAlign w:val="bottom"/>
          </w:tcPr>
          <w:p>
            <w:pPr>
              <w:ind w:left="200"/>
              <w:spacing w:after="0"/>
              <w:rPr>
                <w:sz w:val="20"/>
                <w:szCs w:val="20"/>
                <w:color w:val="auto"/>
              </w:rPr>
            </w:pPr>
            <w:r>
              <w:rPr>
                <w:rFonts w:ascii="Arial" w:cs="Arial" w:eastAsia="Arial" w:hAnsi="Arial"/>
                <w:sz w:val="18"/>
                <w:szCs w:val="18"/>
                <w:color w:val="auto"/>
              </w:rPr>
              <w:t>Replacement of Trustee</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8840" w:type="dxa"/>
            <w:vAlign w:val="bottom"/>
          </w:tcPr>
          <w:p>
            <w:pPr>
              <w:ind w:left="200"/>
              <w:spacing w:after="0"/>
              <w:rPr>
                <w:sz w:val="20"/>
                <w:szCs w:val="20"/>
                <w:color w:val="auto"/>
              </w:rPr>
            </w:pPr>
            <w:r>
              <w:rPr>
                <w:rFonts w:ascii="Arial" w:cs="Arial" w:eastAsia="Arial" w:hAnsi="Arial"/>
                <w:sz w:val="18"/>
                <w:szCs w:val="18"/>
                <w:color w:val="auto"/>
              </w:rPr>
              <w:t>Successor Trustee by Consolidation, Merger, etc.</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8840" w:type="dxa"/>
            <w:vAlign w:val="bottom"/>
          </w:tcPr>
          <w:p>
            <w:pPr>
              <w:ind w:left="200"/>
              <w:spacing w:after="0"/>
              <w:rPr>
                <w:sz w:val="20"/>
                <w:szCs w:val="20"/>
                <w:color w:val="auto"/>
              </w:rPr>
            </w:pPr>
            <w:r>
              <w:rPr>
                <w:rFonts w:ascii="Arial" w:cs="Arial" w:eastAsia="Arial" w:hAnsi="Arial"/>
                <w:sz w:val="18"/>
                <w:szCs w:val="18"/>
                <w:color w:val="auto"/>
              </w:rPr>
              <w:t>Eligibility; Disqualification</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200" w:type="dxa"/>
            <w:vAlign w:val="bottom"/>
          </w:tcPr>
          <w:p>
            <w:pPr>
              <w:spacing w:after="0"/>
              <w:rPr>
                <w:sz w:val="24"/>
                <w:szCs w:val="24"/>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rPr>
              <w:t>ARTICLE VIII</w:t>
            </w:r>
          </w:p>
        </w:tc>
        <w:tc>
          <w:tcPr>
            <w:tcW w:w="9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w w:val="98"/>
              </w:rPr>
              <w:t>AMENDMENT, SUPPLEMENT AND WAIVER</w:t>
            </w:r>
          </w:p>
        </w:tc>
        <w:tc>
          <w:tcPr>
            <w:tcW w:w="920" w:type="dxa"/>
            <w:vAlign w:val="bottom"/>
          </w:tcPr>
          <w:p>
            <w:pPr>
              <w:spacing w:after="0"/>
              <w:rPr>
                <w:sz w:val="20"/>
                <w:szCs w:val="20"/>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8.01</w:t>
            </w:r>
          </w:p>
        </w:tc>
        <w:tc>
          <w:tcPr>
            <w:tcW w:w="8840" w:type="dxa"/>
            <w:vAlign w:val="bottom"/>
          </w:tcPr>
          <w:p>
            <w:pPr>
              <w:ind w:left="200"/>
              <w:spacing w:after="0"/>
              <w:rPr>
                <w:sz w:val="20"/>
                <w:szCs w:val="20"/>
                <w:color w:val="auto"/>
              </w:rPr>
            </w:pPr>
            <w:r>
              <w:rPr>
                <w:rFonts w:ascii="Arial" w:cs="Arial" w:eastAsia="Arial" w:hAnsi="Arial"/>
                <w:sz w:val="18"/>
                <w:szCs w:val="18"/>
                <w:color w:val="auto"/>
              </w:rPr>
              <w:t>Without Consent of 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8.02</w:t>
            </w:r>
          </w:p>
        </w:tc>
        <w:tc>
          <w:tcPr>
            <w:tcW w:w="8840" w:type="dxa"/>
            <w:vAlign w:val="bottom"/>
          </w:tcPr>
          <w:p>
            <w:pPr>
              <w:ind w:left="200"/>
              <w:spacing w:after="0"/>
              <w:rPr>
                <w:sz w:val="20"/>
                <w:szCs w:val="20"/>
                <w:color w:val="auto"/>
              </w:rPr>
            </w:pPr>
            <w:r>
              <w:rPr>
                <w:rFonts w:ascii="Arial" w:cs="Arial" w:eastAsia="Arial" w:hAnsi="Arial"/>
                <w:sz w:val="18"/>
                <w:szCs w:val="18"/>
                <w:color w:val="auto"/>
              </w:rPr>
              <w:t>With Consent of 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8840" w:type="dxa"/>
            <w:vAlign w:val="bottom"/>
          </w:tcPr>
          <w:p>
            <w:pPr>
              <w:ind w:left="200"/>
              <w:spacing w:after="0"/>
              <w:rPr>
                <w:sz w:val="20"/>
                <w:szCs w:val="20"/>
                <w:color w:val="auto"/>
              </w:rPr>
            </w:pPr>
            <w:r>
              <w:rPr>
                <w:rFonts w:ascii="Arial" w:cs="Arial" w:eastAsia="Arial" w:hAnsi="Arial"/>
                <w:sz w:val="18"/>
                <w:szCs w:val="18"/>
                <w:color w:val="auto"/>
              </w:rPr>
              <w:t>Revocation and Effect of Consents</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8840" w:type="dxa"/>
            <w:vAlign w:val="bottom"/>
          </w:tcPr>
          <w:p>
            <w:pPr>
              <w:ind w:left="200"/>
              <w:spacing w:after="0"/>
              <w:rPr>
                <w:sz w:val="20"/>
                <w:szCs w:val="20"/>
                <w:color w:val="auto"/>
              </w:rPr>
            </w:pPr>
            <w:r>
              <w:rPr>
                <w:rFonts w:ascii="Arial" w:cs="Arial" w:eastAsia="Arial" w:hAnsi="Arial"/>
                <w:sz w:val="18"/>
                <w:szCs w:val="18"/>
                <w:color w:val="auto"/>
              </w:rPr>
              <w:t>Notation on or Exchange of Notes</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8.05</w:t>
            </w:r>
          </w:p>
        </w:tc>
        <w:tc>
          <w:tcPr>
            <w:tcW w:w="8840" w:type="dxa"/>
            <w:vAlign w:val="bottom"/>
          </w:tcPr>
          <w:p>
            <w:pPr>
              <w:ind w:left="200"/>
              <w:spacing w:after="0"/>
              <w:rPr>
                <w:sz w:val="20"/>
                <w:szCs w:val="20"/>
                <w:color w:val="auto"/>
              </w:rPr>
            </w:pPr>
            <w:r>
              <w:rPr>
                <w:rFonts w:ascii="Arial" w:cs="Arial" w:eastAsia="Arial" w:hAnsi="Arial"/>
                <w:sz w:val="18"/>
                <w:szCs w:val="18"/>
                <w:color w:val="auto"/>
              </w:rPr>
              <w:t>Trustee To Sign Amendments, etc.</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200" w:type="dxa"/>
            <w:vAlign w:val="bottom"/>
          </w:tcPr>
          <w:p>
            <w:pPr>
              <w:spacing w:after="0"/>
              <w:rPr>
                <w:sz w:val="24"/>
                <w:szCs w:val="24"/>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rPr>
              <w:t>ARTICLE IX</w:t>
            </w:r>
          </w:p>
        </w:tc>
        <w:tc>
          <w:tcPr>
            <w:tcW w:w="9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w w:val="96"/>
              </w:rPr>
              <w:t>SATISFACTION AND DISCHARGE OF INDENTURE; DEFEASANCE</w:t>
            </w:r>
          </w:p>
        </w:tc>
        <w:tc>
          <w:tcPr>
            <w:tcW w:w="920" w:type="dxa"/>
            <w:vAlign w:val="bottom"/>
          </w:tcPr>
          <w:p>
            <w:pPr>
              <w:spacing w:after="0"/>
              <w:rPr>
                <w:sz w:val="20"/>
                <w:szCs w:val="20"/>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9.01</w:t>
            </w:r>
          </w:p>
        </w:tc>
        <w:tc>
          <w:tcPr>
            <w:tcW w:w="8840" w:type="dxa"/>
            <w:vAlign w:val="bottom"/>
          </w:tcPr>
          <w:p>
            <w:pPr>
              <w:ind w:left="200"/>
              <w:spacing w:after="0"/>
              <w:rPr>
                <w:sz w:val="20"/>
                <w:szCs w:val="20"/>
                <w:color w:val="auto"/>
              </w:rPr>
            </w:pPr>
            <w:r>
              <w:rPr>
                <w:rFonts w:ascii="Arial" w:cs="Arial" w:eastAsia="Arial" w:hAnsi="Arial"/>
                <w:sz w:val="18"/>
                <w:szCs w:val="18"/>
                <w:color w:val="auto"/>
              </w:rPr>
              <w:t>Satisfaction and Discharge of Liability on Notes; Defeasance</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9.02</w:t>
            </w:r>
          </w:p>
        </w:tc>
        <w:tc>
          <w:tcPr>
            <w:tcW w:w="8840" w:type="dxa"/>
            <w:vAlign w:val="bottom"/>
          </w:tcPr>
          <w:p>
            <w:pPr>
              <w:ind w:left="200"/>
              <w:spacing w:after="0"/>
              <w:rPr>
                <w:sz w:val="20"/>
                <w:szCs w:val="20"/>
                <w:color w:val="auto"/>
              </w:rPr>
            </w:pPr>
            <w:r>
              <w:rPr>
                <w:rFonts w:ascii="Arial" w:cs="Arial" w:eastAsia="Arial" w:hAnsi="Arial"/>
                <w:sz w:val="18"/>
                <w:szCs w:val="18"/>
                <w:color w:val="auto"/>
              </w:rPr>
              <w:t>Conditions to Defeasance</w:t>
            </w: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9.03</w:t>
            </w:r>
          </w:p>
        </w:tc>
        <w:tc>
          <w:tcPr>
            <w:tcW w:w="8840" w:type="dxa"/>
            <w:vAlign w:val="bottom"/>
          </w:tcPr>
          <w:p>
            <w:pPr>
              <w:ind w:left="200"/>
              <w:spacing w:after="0"/>
              <w:rPr>
                <w:sz w:val="20"/>
                <w:szCs w:val="20"/>
                <w:color w:val="auto"/>
              </w:rPr>
            </w:pPr>
            <w:r>
              <w:rPr>
                <w:rFonts w:ascii="Arial" w:cs="Arial" w:eastAsia="Arial" w:hAnsi="Arial"/>
                <w:sz w:val="18"/>
                <w:szCs w:val="18"/>
                <w:color w:val="auto"/>
                <w:w w:val="99"/>
              </w:rPr>
              <w:t>Deposited Money and German Government Obligations To Be Held in Trust; Other Miscellaneous Provisions</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9.04</w:t>
            </w:r>
          </w:p>
        </w:tc>
        <w:tc>
          <w:tcPr>
            <w:tcW w:w="8840" w:type="dxa"/>
            <w:vAlign w:val="bottom"/>
          </w:tcPr>
          <w:p>
            <w:pPr>
              <w:ind w:left="200"/>
              <w:spacing w:after="0"/>
              <w:rPr>
                <w:sz w:val="20"/>
                <w:szCs w:val="20"/>
                <w:color w:val="auto"/>
              </w:rPr>
            </w:pPr>
            <w:r>
              <w:rPr>
                <w:rFonts w:ascii="Arial" w:cs="Arial" w:eastAsia="Arial" w:hAnsi="Arial"/>
                <w:sz w:val="18"/>
                <w:szCs w:val="18"/>
                <w:color w:val="auto"/>
              </w:rPr>
              <w:t>Reinstatement</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9.05</w:t>
            </w:r>
          </w:p>
        </w:tc>
        <w:tc>
          <w:tcPr>
            <w:tcW w:w="8840" w:type="dxa"/>
            <w:vAlign w:val="bottom"/>
          </w:tcPr>
          <w:p>
            <w:pPr>
              <w:ind w:left="200"/>
              <w:spacing w:after="0"/>
              <w:rPr>
                <w:sz w:val="20"/>
                <w:szCs w:val="20"/>
                <w:color w:val="auto"/>
              </w:rPr>
            </w:pPr>
            <w:r>
              <w:rPr>
                <w:rFonts w:ascii="Arial" w:cs="Arial" w:eastAsia="Arial" w:hAnsi="Arial"/>
                <w:sz w:val="18"/>
                <w:szCs w:val="18"/>
                <w:color w:val="auto"/>
              </w:rPr>
              <w:t>Moneys Held by Paying Agent</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9.06</w:t>
            </w:r>
          </w:p>
        </w:tc>
        <w:tc>
          <w:tcPr>
            <w:tcW w:w="8840" w:type="dxa"/>
            <w:vAlign w:val="bottom"/>
          </w:tcPr>
          <w:p>
            <w:pPr>
              <w:ind w:left="200"/>
              <w:spacing w:after="0"/>
              <w:rPr>
                <w:sz w:val="20"/>
                <w:szCs w:val="20"/>
                <w:color w:val="auto"/>
              </w:rPr>
            </w:pPr>
            <w:r>
              <w:rPr>
                <w:rFonts w:ascii="Arial" w:cs="Arial" w:eastAsia="Arial" w:hAnsi="Arial"/>
                <w:sz w:val="18"/>
                <w:szCs w:val="18"/>
                <w:color w:val="auto"/>
              </w:rPr>
              <w:t>Moneys Held by Trustee</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200" w:type="dxa"/>
            <w:vAlign w:val="bottom"/>
          </w:tcPr>
          <w:p>
            <w:pPr>
              <w:spacing w:after="0"/>
              <w:rPr>
                <w:sz w:val="24"/>
                <w:szCs w:val="24"/>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w w:val="98"/>
              </w:rPr>
              <w:t>ARTICLE X</w:t>
            </w:r>
          </w:p>
        </w:tc>
        <w:tc>
          <w:tcPr>
            <w:tcW w:w="9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w w:val="96"/>
              </w:rPr>
              <w:t>GUARANTEES</w:t>
            </w:r>
          </w:p>
        </w:tc>
        <w:tc>
          <w:tcPr>
            <w:tcW w:w="920" w:type="dxa"/>
            <w:vAlign w:val="bottom"/>
          </w:tcPr>
          <w:p>
            <w:pPr>
              <w:spacing w:after="0"/>
              <w:rPr>
                <w:sz w:val="20"/>
                <w:szCs w:val="20"/>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10.01</w:t>
            </w:r>
          </w:p>
        </w:tc>
        <w:tc>
          <w:tcPr>
            <w:tcW w:w="8840" w:type="dxa"/>
            <w:vAlign w:val="bottom"/>
          </w:tcPr>
          <w:p>
            <w:pPr>
              <w:ind w:left="200"/>
              <w:spacing w:after="0"/>
              <w:rPr>
                <w:sz w:val="20"/>
                <w:szCs w:val="20"/>
                <w:color w:val="auto"/>
              </w:rPr>
            </w:pPr>
            <w:r>
              <w:rPr>
                <w:rFonts w:ascii="Arial" w:cs="Arial" w:eastAsia="Arial" w:hAnsi="Arial"/>
                <w:sz w:val="18"/>
                <w:szCs w:val="18"/>
                <w:color w:val="auto"/>
              </w:rPr>
              <w:t>Guarantee</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10.02</w:t>
            </w:r>
          </w:p>
        </w:tc>
        <w:tc>
          <w:tcPr>
            <w:tcW w:w="884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10.03</w:t>
            </w:r>
          </w:p>
        </w:tc>
        <w:tc>
          <w:tcPr>
            <w:tcW w:w="8840" w:type="dxa"/>
            <w:vAlign w:val="bottom"/>
          </w:tcPr>
          <w:p>
            <w:pPr>
              <w:ind w:left="200"/>
              <w:spacing w:after="0"/>
              <w:rPr>
                <w:sz w:val="20"/>
                <w:szCs w:val="20"/>
                <w:color w:val="auto"/>
              </w:rPr>
            </w:pPr>
            <w:r>
              <w:rPr>
                <w:rFonts w:ascii="Arial" w:cs="Arial" w:eastAsia="Arial" w:hAnsi="Arial"/>
                <w:sz w:val="18"/>
                <w:szCs w:val="18"/>
                <w:color w:val="auto"/>
              </w:rPr>
              <w:t>Limitation of 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8840" w:type="dxa"/>
            <w:vAlign w:val="bottom"/>
          </w:tcPr>
          <w:p>
            <w:pPr>
              <w:ind w:left="200"/>
              <w:spacing w:after="0"/>
              <w:rPr>
                <w:sz w:val="20"/>
                <w:szCs w:val="20"/>
                <w:color w:val="auto"/>
              </w:rPr>
            </w:pPr>
            <w:r>
              <w:rPr>
                <w:rFonts w:ascii="Arial" w:cs="Arial" w:eastAsia="Arial" w:hAnsi="Arial"/>
                <w:sz w:val="18"/>
                <w:szCs w:val="18"/>
                <w:color w:val="auto"/>
              </w:rPr>
              <w:t>Contribution</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10.05</w:t>
            </w:r>
          </w:p>
        </w:tc>
        <w:tc>
          <w:tcPr>
            <w:tcW w:w="8840" w:type="dxa"/>
            <w:vAlign w:val="bottom"/>
          </w:tcPr>
          <w:p>
            <w:pPr>
              <w:ind w:left="200"/>
              <w:spacing w:after="0"/>
              <w:rPr>
                <w:sz w:val="20"/>
                <w:szCs w:val="20"/>
                <w:color w:val="auto"/>
              </w:rPr>
            </w:pPr>
            <w:r>
              <w:rPr>
                <w:rFonts w:ascii="Arial" w:cs="Arial" w:eastAsia="Arial" w:hAnsi="Arial"/>
                <w:sz w:val="18"/>
                <w:szCs w:val="18"/>
                <w:color w:val="auto"/>
              </w:rPr>
              <w:t>Subrogation</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10.06</w:t>
            </w:r>
          </w:p>
        </w:tc>
        <w:tc>
          <w:tcPr>
            <w:tcW w:w="8840" w:type="dxa"/>
            <w:vAlign w:val="bottom"/>
          </w:tcPr>
          <w:p>
            <w:pPr>
              <w:ind w:left="200"/>
              <w:spacing w:after="0"/>
              <w:rPr>
                <w:sz w:val="20"/>
                <w:szCs w:val="20"/>
                <w:color w:val="auto"/>
              </w:rPr>
            </w:pPr>
            <w:r>
              <w:rPr>
                <w:rFonts w:ascii="Arial" w:cs="Arial" w:eastAsia="Arial" w:hAnsi="Arial"/>
                <w:sz w:val="18"/>
                <w:szCs w:val="18"/>
                <w:color w:val="auto"/>
              </w:rPr>
              <w:t>Reinstatement</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65"/>
        </w:trPr>
        <w:tc>
          <w:tcPr>
            <w:tcW w:w="1200" w:type="dxa"/>
            <w:vAlign w:val="bottom"/>
          </w:tcPr>
          <w:p>
            <w:pPr>
              <w:spacing w:after="0"/>
              <w:rPr>
                <w:sz w:val="24"/>
                <w:szCs w:val="24"/>
                <w:color w:val="auto"/>
              </w:rPr>
            </w:pPr>
          </w:p>
        </w:tc>
        <w:tc>
          <w:tcPr>
            <w:tcW w:w="8840" w:type="dxa"/>
            <w:vAlign w:val="bottom"/>
          </w:tcPr>
          <w:p>
            <w:pPr>
              <w:ind w:left="4240"/>
              <w:spacing w:after="0"/>
              <w:rPr>
                <w:sz w:val="20"/>
                <w:szCs w:val="20"/>
                <w:color w:val="auto"/>
              </w:rPr>
            </w:pPr>
            <w:r>
              <w:rPr>
                <w:rFonts w:ascii="Arial" w:cs="Arial" w:eastAsia="Arial" w:hAnsi="Arial"/>
                <w:sz w:val="18"/>
                <w:szCs w:val="18"/>
                <w:color w:val="auto"/>
              </w:rPr>
              <w:t>iv</w:t>
            </w:r>
          </w:p>
        </w:tc>
        <w:tc>
          <w:tcPr>
            <w:tcW w:w="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7" w:name="page208"/>
    <w:bookmarkEnd w:id="207"/>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10.07</w:t>
            </w:r>
          </w:p>
        </w:tc>
        <w:tc>
          <w:tcPr>
            <w:tcW w:w="7540" w:type="dxa"/>
            <w:vAlign w:val="bottom"/>
          </w:tcPr>
          <w:p>
            <w:pPr>
              <w:ind w:left="200"/>
              <w:spacing w:after="0"/>
              <w:rPr>
                <w:sz w:val="20"/>
                <w:szCs w:val="20"/>
                <w:color w:val="auto"/>
              </w:rPr>
            </w:pPr>
            <w:r>
              <w:rPr>
                <w:rFonts w:ascii="Arial" w:cs="Arial" w:eastAsia="Arial" w:hAnsi="Arial"/>
                <w:sz w:val="18"/>
                <w:szCs w:val="18"/>
                <w:color w:val="auto"/>
              </w:rPr>
              <w:t>Release of a Guarantor</w:t>
            </w:r>
          </w:p>
        </w:tc>
        <w:tc>
          <w:tcPr>
            <w:tcW w:w="2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10.08</w:t>
            </w:r>
          </w:p>
        </w:tc>
        <w:tc>
          <w:tcPr>
            <w:tcW w:w="7540" w:type="dxa"/>
            <w:vAlign w:val="bottom"/>
          </w:tcPr>
          <w:p>
            <w:pPr>
              <w:ind w:left="200"/>
              <w:spacing w:after="0"/>
              <w:rPr>
                <w:sz w:val="20"/>
                <w:szCs w:val="20"/>
                <w:color w:val="auto"/>
              </w:rPr>
            </w:pPr>
            <w:r>
              <w:rPr>
                <w:rFonts w:ascii="Arial" w:cs="Arial" w:eastAsia="Arial" w:hAnsi="Arial"/>
                <w:sz w:val="18"/>
                <w:szCs w:val="18"/>
                <w:color w:val="auto"/>
              </w:rPr>
              <w:t>Benefits Acknowledged</w:t>
            </w:r>
          </w:p>
        </w:tc>
        <w:tc>
          <w:tcPr>
            <w:tcW w:w="2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1200" w:type="dxa"/>
            <w:vAlign w:val="bottom"/>
          </w:tcPr>
          <w:p>
            <w:pPr>
              <w:spacing w:after="0"/>
              <w:rPr>
                <w:sz w:val="24"/>
                <w:szCs w:val="24"/>
                <w:color w:val="auto"/>
              </w:rPr>
            </w:pPr>
          </w:p>
        </w:tc>
        <w:tc>
          <w:tcPr>
            <w:tcW w:w="7540" w:type="dxa"/>
            <w:vAlign w:val="bottom"/>
          </w:tcPr>
          <w:p>
            <w:pPr>
              <w:ind w:left="3600"/>
              <w:spacing w:after="0"/>
              <w:rPr>
                <w:sz w:val="20"/>
                <w:szCs w:val="20"/>
                <w:color w:val="auto"/>
              </w:rPr>
            </w:pPr>
            <w:r>
              <w:rPr>
                <w:rFonts w:ascii="Arial" w:cs="Arial" w:eastAsia="Arial" w:hAnsi="Arial"/>
                <w:sz w:val="18"/>
                <w:szCs w:val="18"/>
                <w:color w:val="auto"/>
              </w:rPr>
              <w:t>ARTICLE XI</w:t>
            </w:r>
          </w:p>
        </w:tc>
        <w:tc>
          <w:tcPr>
            <w:tcW w:w="22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7540" w:type="dxa"/>
            <w:vAlign w:val="bottom"/>
          </w:tcPr>
          <w:p>
            <w:pPr>
              <w:ind w:left="3360"/>
              <w:spacing w:after="0"/>
              <w:rPr>
                <w:sz w:val="20"/>
                <w:szCs w:val="20"/>
                <w:color w:val="auto"/>
              </w:rPr>
            </w:pPr>
            <w:r>
              <w:rPr>
                <w:rFonts w:ascii="Arial" w:cs="Arial" w:eastAsia="Arial" w:hAnsi="Arial"/>
                <w:sz w:val="18"/>
                <w:szCs w:val="18"/>
                <w:color w:val="auto"/>
              </w:rPr>
              <w:t>MISCELLANEOUS</w:t>
            </w:r>
          </w:p>
        </w:tc>
        <w:tc>
          <w:tcPr>
            <w:tcW w:w="2220" w:type="dxa"/>
            <w:vAlign w:val="bottom"/>
          </w:tcPr>
          <w:p>
            <w:pPr>
              <w:spacing w:after="0"/>
              <w:rPr>
                <w:sz w:val="20"/>
                <w:szCs w:val="20"/>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7540" w:type="dxa"/>
            <w:vAlign w:val="bottom"/>
          </w:tcPr>
          <w:p>
            <w:pPr>
              <w:ind w:left="200"/>
              <w:spacing w:after="0"/>
              <w:rPr>
                <w:sz w:val="20"/>
                <w:szCs w:val="20"/>
                <w:color w:val="auto"/>
              </w:rPr>
            </w:pPr>
            <w:r>
              <w:rPr>
                <w:rFonts w:ascii="Arial" w:cs="Arial" w:eastAsia="Arial" w:hAnsi="Arial"/>
                <w:sz w:val="18"/>
                <w:szCs w:val="18"/>
                <w:color w:val="auto"/>
              </w:rPr>
              <w:t>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11.02</w:t>
            </w:r>
          </w:p>
        </w:tc>
        <w:tc>
          <w:tcPr>
            <w:tcW w:w="7540" w:type="dxa"/>
            <w:vAlign w:val="bottom"/>
          </w:tcPr>
          <w:p>
            <w:pPr>
              <w:ind w:left="200"/>
              <w:spacing w:after="0"/>
              <w:rPr>
                <w:sz w:val="20"/>
                <w:szCs w:val="20"/>
                <w:color w:val="auto"/>
              </w:rPr>
            </w:pPr>
            <w:r>
              <w:rPr>
                <w:rFonts w:ascii="Arial" w:cs="Arial" w:eastAsia="Arial" w:hAnsi="Arial"/>
                <w:sz w:val="18"/>
                <w:szCs w:val="18"/>
                <w:color w:val="auto"/>
              </w:rPr>
              <w:t>Certificate and Opinion as to Conditions Precedent</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11.03</w:t>
            </w:r>
          </w:p>
        </w:tc>
        <w:tc>
          <w:tcPr>
            <w:tcW w:w="7540" w:type="dxa"/>
            <w:vAlign w:val="bottom"/>
          </w:tcPr>
          <w:p>
            <w:pPr>
              <w:ind w:left="200"/>
              <w:spacing w:after="0"/>
              <w:rPr>
                <w:sz w:val="20"/>
                <w:szCs w:val="20"/>
                <w:color w:val="auto"/>
              </w:rPr>
            </w:pPr>
            <w:r>
              <w:rPr>
                <w:rFonts w:ascii="Arial" w:cs="Arial" w:eastAsia="Arial" w:hAnsi="Arial"/>
                <w:sz w:val="18"/>
                <w:szCs w:val="18"/>
                <w:color w:val="auto"/>
              </w:rPr>
              <w:t>Statements Required in Certificate and Opinion</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11.04</w:t>
            </w:r>
          </w:p>
        </w:tc>
        <w:tc>
          <w:tcPr>
            <w:tcW w:w="7540" w:type="dxa"/>
            <w:vAlign w:val="bottom"/>
          </w:tcPr>
          <w:p>
            <w:pPr>
              <w:ind w:left="200"/>
              <w:spacing w:after="0"/>
              <w:rPr>
                <w:sz w:val="20"/>
                <w:szCs w:val="20"/>
                <w:color w:val="auto"/>
              </w:rPr>
            </w:pPr>
            <w:r>
              <w:rPr>
                <w:rFonts w:ascii="Arial" w:cs="Arial" w:eastAsia="Arial" w:hAnsi="Arial"/>
                <w:sz w:val="18"/>
                <w:szCs w:val="18"/>
                <w:color w:val="auto"/>
              </w:rPr>
              <w:t>Rules by Trustee and Agents</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11.05</w:t>
            </w:r>
          </w:p>
        </w:tc>
        <w:tc>
          <w:tcPr>
            <w:tcW w:w="7540" w:type="dxa"/>
            <w:vAlign w:val="bottom"/>
          </w:tcPr>
          <w:p>
            <w:pPr>
              <w:ind w:left="20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11.06</w:t>
            </w:r>
          </w:p>
        </w:tc>
        <w:tc>
          <w:tcPr>
            <w:tcW w:w="7540" w:type="dxa"/>
            <w:vAlign w:val="bottom"/>
          </w:tcPr>
          <w:p>
            <w:pPr>
              <w:ind w:left="200"/>
              <w:spacing w:after="0"/>
              <w:rPr>
                <w:sz w:val="20"/>
                <w:szCs w:val="20"/>
                <w:color w:val="auto"/>
              </w:rPr>
            </w:pPr>
            <w:r>
              <w:rPr>
                <w:rFonts w:ascii="Arial" w:cs="Arial" w:eastAsia="Arial" w:hAnsi="Arial"/>
                <w:sz w:val="18"/>
                <w:szCs w:val="18"/>
                <w:color w:val="auto"/>
              </w:rPr>
              <w:t>Governing Law; Waiver of Jury Trial; Jurisdiction</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11.07</w:t>
            </w:r>
          </w:p>
        </w:tc>
        <w:tc>
          <w:tcPr>
            <w:tcW w:w="7540" w:type="dxa"/>
            <w:vAlign w:val="bottom"/>
          </w:tcPr>
          <w:p>
            <w:pPr>
              <w:ind w:left="200"/>
              <w:spacing w:after="0"/>
              <w:rPr>
                <w:sz w:val="20"/>
                <w:szCs w:val="20"/>
                <w:color w:val="auto"/>
              </w:rPr>
            </w:pPr>
            <w:r>
              <w:rPr>
                <w:rFonts w:ascii="Arial" w:cs="Arial" w:eastAsia="Arial" w:hAnsi="Arial"/>
                <w:sz w:val="18"/>
                <w:szCs w:val="18"/>
                <w:color w:val="auto"/>
              </w:rPr>
              <w:t>No Adverse Interpretation of Other Agreements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11.08</w:t>
            </w:r>
          </w:p>
        </w:tc>
        <w:tc>
          <w:tcPr>
            <w:tcW w:w="7540" w:type="dxa"/>
            <w:vAlign w:val="bottom"/>
          </w:tcPr>
          <w:p>
            <w:pPr>
              <w:ind w:left="200"/>
              <w:spacing w:after="0"/>
              <w:rPr>
                <w:sz w:val="20"/>
                <w:szCs w:val="20"/>
                <w:color w:val="auto"/>
              </w:rPr>
            </w:pPr>
            <w:r>
              <w:rPr>
                <w:rFonts w:ascii="Arial" w:cs="Arial" w:eastAsia="Arial" w:hAnsi="Arial"/>
                <w:sz w:val="18"/>
                <w:szCs w:val="18"/>
                <w:color w:val="auto"/>
              </w:rPr>
              <w:t>Successors</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11.09</w:t>
            </w:r>
          </w:p>
        </w:tc>
        <w:tc>
          <w:tcPr>
            <w:tcW w:w="7540" w:type="dxa"/>
            <w:vAlign w:val="bottom"/>
          </w:tcPr>
          <w:p>
            <w:pPr>
              <w:ind w:left="200"/>
              <w:spacing w:after="0"/>
              <w:rPr>
                <w:sz w:val="20"/>
                <w:szCs w:val="20"/>
                <w:color w:val="auto"/>
              </w:rPr>
            </w:pPr>
            <w:r>
              <w:rPr>
                <w:rFonts w:ascii="Arial" w:cs="Arial" w:eastAsia="Arial" w:hAnsi="Arial"/>
                <w:sz w:val="18"/>
                <w:szCs w:val="18"/>
                <w:color w:val="auto"/>
              </w:rPr>
              <w:t>Separability</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11.10</w:t>
            </w:r>
          </w:p>
        </w:tc>
        <w:tc>
          <w:tcPr>
            <w:tcW w:w="7540" w:type="dxa"/>
            <w:vAlign w:val="bottom"/>
          </w:tcPr>
          <w:p>
            <w:pPr>
              <w:ind w:left="200"/>
              <w:spacing w:after="0"/>
              <w:rPr>
                <w:sz w:val="20"/>
                <w:szCs w:val="20"/>
                <w:color w:val="auto"/>
              </w:rPr>
            </w:pPr>
            <w:r>
              <w:rPr>
                <w:rFonts w:ascii="Arial" w:cs="Arial" w:eastAsia="Arial" w:hAnsi="Arial"/>
                <w:sz w:val="18"/>
                <w:szCs w:val="18"/>
                <w:color w:val="auto"/>
              </w:rPr>
              <w:t>Counterpart Originals</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11.11</w:t>
            </w:r>
          </w:p>
        </w:tc>
        <w:tc>
          <w:tcPr>
            <w:tcW w:w="7540" w:type="dxa"/>
            <w:vAlign w:val="bottom"/>
          </w:tcPr>
          <w:p>
            <w:pPr>
              <w:ind w:left="200"/>
              <w:spacing w:after="0"/>
              <w:rPr>
                <w:sz w:val="20"/>
                <w:szCs w:val="20"/>
                <w:color w:val="auto"/>
              </w:rPr>
            </w:pPr>
            <w:r>
              <w:rPr>
                <w:rFonts w:ascii="Arial" w:cs="Arial" w:eastAsia="Arial" w:hAnsi="Arial"/>
                <w:sz w:val="18"/>
                <w:szCs w:val="18"/>
                <w:color w:val="auto"/>
              </w:rPr>
              <w:t>Table of Contents, Headings, etc.</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11.12</w:t>
            </w:r>
          </w:p>
        </w:tc>
        <w:tc>
          <w:tcPr>
            <w:tcW w:w="7540" w:type="dxa"/>
            <w:vAlign w:val="bottom"/>
          </w:tcPr>
          <w:p>
            <w:pPr>
              <w:ind w:left="200"/>
              <w:spacing w:after="0"/>
              <w:rPr>
                <w:sz w:val="20"/>
                <w:szCs w:val="20"/>
                <w:color w:val="auto"/>
              </w:rPr>
            </w:pPr>
            <w:r>
              <w:rPr>
                <w:rFonts w:ascii="Arial" w:cs="Arial" w:eastAsia="Arial" w:hAnsi="Arial"/>
                <w:sz w:val="18"/>
                <w:szCs w:val="18"/>
                <w:color w:val="auto"/>
              </w:rPr>
              <w:t>Benefits of Indenture</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11.13</w:t>
            </w:r>
          </w:p>
        </w:tc>
        <w:tc>
          <w:tcPr>
            <w:tcW w:w="7540" w:type="dxa"/>
            <w:vAlign w:val="bottom"/>
          </w:tcPr>
          <w:p>
            <w:pPr>
              <w:ind w:left="200"/>
              <w:spacing w:after="0"/>
              <w:rPr>
                <w:sz w:val="20"/>
                <w:szCs w:val="20"/>
                <w:color w:val="auto"/>
              </w:rPr>
            </w:pPr>
            <w:r>
              <w:rPr>
                <w:rFonts w:ascii="Arial" w:cs="Arial" w:eastAsia="Arial" w:hAnsi="Arial"/>
                <w:sz w:val="18"/>
                <w:szCs w:val="18"/>
                <w:color w:val="auto"/>
              </w:rPr>
              <w:t>Appointment of Agent for Service</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11.14</w:t>
            </w:r>
          </w:p>
        </w:tc>
        <w:tc>
          <w:tcPr>
            <w:tcW w:w="7540" w:type="dxa"/>
            <w:vAlign w:val="bottom"/>
          </w:tcPr>
          <w:p>
            <w:pPr>
              <w:ind w:left="200"/>
              <w:spacing w:after="0"/>
              <w:rPr>
                <w:sz w:val="20"/>
                <w:szCs w:val="20"/>
                <w:color w:val="auto"/>
              </w:rPr>
            </w:pPr>
            <w:r>
              <w:rPr>
                <w:rFonts w:ascii="Arial" w:cs="Arial" w:eastAsia="Arial" w:hAnsi="Arial"/>
                <w:sz w:val="18"/>
                <w:szCs w:val="18"/>
                <w:color w:val="auto"/>
              </w:rPr>
              <w:t>Electronic Delivery</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4" w:right="499" w:bottom="1440" w:gutter="0" w:footer="0" w:header="0"/>
        </w:sectPr>
      </w:pPr>
    </w:p>
    <w:bookmarkStart w:id="208" w:name="page209"/>
    <w:bookmarkEnd w:id="208"/>
    <w:p>
      <w:pPr>
        <w:jc w:val="center"/>
        <w:ind w:right="-1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EXHIBITS</w:t>
      </w:r>
    </w:p>
    <w:p>
      <w:pPr>
        <w:sectPr>
          <w:pgSz w:w="11900" w:h="16838" w:orient="portrait"/>
          <w:cols w:equalWidth="0" w:num="1">
            <w:col w:w="10860"/>
          </w:cols>
          <w:pgMar w:left="440" w:top="274" w:right="599" w:bottom="1440" w:gutter="0" w:footer="0" w:header="0"/>
        </w:sectPr>
      </w:pPr>
    </w:p>
    <w:p>
      <w:pPr>
        <w:spacing w:after="0" w:line="372" w:lineRule="exact"/>
        <w:rPr>
          <w:sz w:val="20"/>
          <w:szCs w:val="20"/>
          <w:color w:val="auto"/>
        </w:rPr>
      </w:pPr>
    </w:p>
    <w:p>
      <w:pPr>
        <w:ind w:right="80"/>
        <w:spacing w:after="0" w:line="402" w:lineRule="auto"/>
        <w:rPr>
          <w:sz w:val="20"/>
          <w:szCs w:val="20"/>
          <w:color w:val="auto"/>
        </w:rPr>
      </w:pPr>
      <w:r>
        <w:rPr>
          <w:rFonts w:ascii="Arial" w:cs="Arial" w:eastAsia="Arial" w:hAnsi="Arial"/>
          <w:sz w:val="17"/>
          <w:szCs w:val="17"/>
          <w:color w:val="auto"/>
        </w:rPr>
        <w:t>Exhibit A-1 Exhibit A-2 Exhibit A-3 Exhibit A-4 Exhibit B Exhibit C Exhibit D Exhibit E Exhibit F Exhibit G</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FORM OF 0.816% SENIOR NOTES DUE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1.023% SENIOR NOTES DUE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1.362% SENIOR NOTES DUE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1.908% SENIOR NOTES DUE 2032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LEGEND AND ASSIGNMENT FOR REGULATION S NOTE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LEGEND FOR GLOBAL NOTE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FORM OF CERTIFICATE TO BE DELIVERED IN CONNECTION WITH TRANSFERS PURSUANT TO REGULATION 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FORM OF NOTATION OF GUARANTEE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MYLAN GUARANTORS SUPPLEMENTAL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ADDITIONAL GUARANTORS SUPPLEMENTAL INDENTURE</w:t>
      </w:r>
    </w:p>
    <w:p>
      <w:pPr>
        <w:spacing w:after="0" w:line="351" w:lineRule="exact"/>
        <w:rPr>
          <w:sz w:val="20"/>
          <w:szCs w:val="20"/>
          <w:color w:val="auto"/>
        </w:rPr>
      </w:pPr>
    </w:p>
    <w:p>
      <w:pPr>
        <w:sectPr>
          <w:pgSz w:w="11900" w:h="16838" w:orient="portrait"/>
          <w:cols w:equalWidth="0" w:num="2">
            <w:col w:w="940" w:space="720"/>
            <w:col w:w="9200"/>
          </w:cols>
          <w:pgMar w:left="440" w:top="274" w:right="599" w:bottom="1440" w:gutter="0" w:footer="0" w:header="0"/>
          <w:type w:val="continuous"/>
        </w:sectPr>
      </w:pP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860"/>
          </w:cols>
          <w:pgMar w:left="440" w:top="274" w:right="599" w:bottom="1440" w:gutter="0" w:footer="0" w:header="0"/>
          <w:type w:val="continuous"/>
        </w:sectPr>
      </w:pPr>
    </w:p>
    <w:bookmarkStart w:id="209" w:name="page210"/>
    <w:bookmarkEnd w:id="209"/>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June 23, 2020, between Upjohn Finance B.V., a private limited liability company (</w:t>
      </w:r>
      <w:r>
        <w:rPr>
          <w:rFonts w:ascii="Arial" w:cs="Arial" w:eastAsia="Arial" w:hAnsi="Arial"/>
          <w:sz w:val="18"/>
          <w:szCs w:val="18"/>
          <w:i w:val="1"/>
          <w:iCs w:val="1"/>
          <w:color w:val="auto"/>
        </w:rPr>
        <w:t>besloten vennootschap met beperkte</w:t>
      </w:r>
      <w:r>
        <w:rPr>
          <w:rFonts w:ascii="Arial" w:cs="Arial" w:eastAsia="Arial" w:hAnsi="Arial"/>
          <w:sz w:val="18"/>
          <w:szCs w:val="18"/>
          <w:color w:val="auto"/>
        </w:rPr>
        <w:t xml:space="preserve"> </w:t>
      </w:r>
      <w:r>
        <w:rPr>
          <w:rFonts w:ascii="Arial" w:cs="Arial" w:eastAsia="Arial" w:hAnsi="Arial"/>
          <w:sz w:val="18"/>
          <w:szCs w:val="18"/>
          <w:i w:val="1"/>
          <w:iCs w:val="1"/>
          <w:color w:val="auto"/>
        </w:rPr>
        <w:t>aansprakelijkheid</w:t>
      </w:r>
      <w:r>
        <w:rPr>
          <w:rFonts w:ascii="Arial" w:cs="Arial" w:eastAsia="Arial" w:hAnsi="Arial"/>
          <w:sz w:val="18"/>
          <w:szCs w:val="18"/>
          <w:color w:val="auto"/>
        </w:rPr>
        <w:t>) incorporated and existing under the laws of the Netherlands, as issuer, Upjohn Inc., a Delaware corporation, as guarantor, and</w:t>
      </w:r>
      <w:r>
        <w:rPr>
          <w:rFonts w:ascii="Arial" w:cs="Arial" w:eastAsia="Arial" w:hAnsi="Arial"/>
          <w:sz w:val="18"/>
          <w:szCs w:val="18"/>
          <w:i w:val="1"/>
          <w:iCs w:val="1"/>
          <w:color w:val="auto"/>
        </w:rPr>
        <w:t xml:space="preserve"> </w:t>
      </w:r>
      <w:r>
        <w:rPr>
          <w:rFonts w:ascii="Arial" w:cs="Arial" w:eastAsia="Arial" w:hAnsi="Arial"/>
          <w:sz w:val="18"/>
          <w:szCs w:val="18"/>
          <w:color w:val="auto"/>
        </w:rPr>
        <w:t>Citibank, N.A., London Branch, as trustee.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1.01 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2022 Notes</w:t>
      </w:r>
      <w:r>
        <w:rPr>
          <w:rFonts w:ascii="Arial" w:cs="Arial" w:eastAsia="Arial" w:hAnsi="Arial"/>
          <w:sz w:val="18"/>
          <w:szCs w:val="18"/>
          <w:color w:val="auto"/>
        </w:rPr>
        <w:t>” means the Initial 2022 Notes and the Additional 2022 Notes, if any, issued by the Issuer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2024 Notes</w:t>
      </w:r>
      <w:r>
        <w:rPr>
          <w:rFonts w:ascii="Arial" w:cs="Arial" w:eastAsia="Arial" w:hAnsi="Arial"/>
          <w:sz w:val="18"/>
          <w:szCs w:val="18"/>
          <w:color w:val="auto"/>
        </w:rPr>
        <w:t>” means the Initial 2024 Notes and the Additional 2024 Notes, if any, issued by the Issuer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2027 Notes</w:t>
      </w:r>
      <w:r>
        <w:rPr>
          <w:rFonts w:ascii="Arial" w:cs="Arial" w:eastAsia="Arial" w:hAnsi="Arial"/>
          <w:sz w:val="18"/>
          <w:szCs w:val="18"/>
          <w:color w:val="auto"/>
        </w:rPr>
        <w:t>” means the Initial 2027 Notes and the Additional 2027 Notes, if any, issued by the Issuer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2032 Notes</w:t>
      </w:r>
      <w:r>
        <w:rPr>
          <w:rFonts w:ascii="Arial" w:cs="Arial" w:eastAsia="Arial" w:hAnsi="Arial"/>
          <w:sz w:val="18"/>
          <w:szCs w:val="18"/>
          <w:color w:val="auto"/>
        </w:rPr>
        <w:t>” means the Initial 2032 Notes and the Additional 2032 Notes, if any, issued by the Issuer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Guarantors Supplemental Indenture</w:t>
      </w:r>
      <w:r>
        <w:rPr>
          <w:rFonts w:ascii="Arial" w:cs="Arial" w:eastAsia="Arial" w:hAnsi="Arial"/>
          <w:sz w:val="17"/>
          <w:szCs w:val="17"/>
          <w:color w:val="auto"/>
        </w:rPr>
        <w:t xml:space="preserve">” means a supplemental indenture substantially in the form attached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w:t>
      </w:r>
    </w:p>
    <w:p>
      <w:pPr>
        <w:spacing w:after="0" w:line="23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Newco or any Subsidiary of Newco) in whom a Receivables Entity makes an Investment in connection with a Qualified Receivables Transaction will be deemed to be an Affiliate of Newco or any of its Subsidiaries solely by reason of such Investment.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or Paying Agent.</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amend, modify, supplement, restate or amend and restate, including successively; and “</w:t>
      </w:r>
      <w:r>
        <w:rPr>
          <w:rFonts w:ascii="Arial" w:cs="Arial" w:eastAsia="Arial" w:hAnsi="Arial"/>
          <w:sz w:val="18"/>
          <w:szCs w:val="18"/>
          <w:i w:val="1"/>
          <w:iCs w:val="1"/>
          <w:color w:val="auto"/>
        </w:rPr>
        <w:t>amending</w:t>
      </w:r>
      <w:r>
        <w:rPr>
          <w:rFonts w:ascii="Arial" w:cs="Arial" w:eastAsia="Arial" w:hAnsi="Arial"/>
          <w:sz w:val="18"/>
          <w:szCs w:val="18"/>
          <w:color w:val="auto"/>
        </w:rPr>
        <w:t>” and “</w:t>
      </w:r>
      <w:r>
        <w:rPr>
          <w:rFonts w:ascii="Arial" w:cs="Arial" w:eastAsia="Arial" w:hAnsi="Arial"/>
          <w:sz w:val="18"/>
          <w:szCs w:val="18"/>
          <w:i w:val="1"/>
          <w:iCs w:val="1"/>
          <w:color w:val="auto"/>
        </w:rPr>
        <w:t>amended</w:t>
      </w:r>
      <w:r>
        <w:rPr>
          <w:rFonts w:ascii="Arial" w:cs="Arial" w:eastAsia="Arial" w:hAnsi="Arial"/>
          <w:sz w:val="18"/>
          <w:szCs w:val="18"/>
          <w:color w:val="auto"/>
        </w:rPr>
        <w:t>”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Par Call Date</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the 2024 Notes, the date that is 1 month prior to the maturity date for the 2024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the 2027 Notes, the date that is 2 months prior to the maturity date for the 2027 Notes,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the 2032 Notes, the date that is 3 months prior to the maturity date for the 2032 Notes.</w:t>
      </w:r>
    </w:p>
    <w:p>
      <w:pPr>
        <w:sectPr>
          <w:pgSz w:w="11900" w:h="16838" w:orient="portrait"/>
          <w:cols w:equalWidth="0" w:num="1">
            <w:col w:w="10980"/>
          </w:cols>
          <w:pgMar w:left="440" w:top="274" w:right="479" w:bottom="1440" w:gutter="0" w:footer="0" w:header="0"/>
        </w:sectPr>
      </w:pPr>
    </w:p>
    <w:bookmarkStart w:id="210" w:name="page211"/>
    <w:bookmarkEnd w:id="210"/>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Attributable Debt</w:t>
      </w:r>
      <w:r>
        <w:rPr>
          <w:rFonts w:ascii="Arial" w:cs="Arial" w:eastAsia="Arial" w:hAnsi="Arial"/>
          <w:sz w:val="18"/>
          <w:szCs w:val="18"/>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Sale Leaseback Transaction results in a Capital Lease Obligation, the amount of Indebtedness represented thereby will be determined in accordance with the definition of “Capital Lease Obligations.”</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Receivables Indebtedness</w:t>
      </w:r>
      <w:r>
        <w:rPr>
          <w:rFonts w:ascii="Arial" w:cs="Arial" w:eastAsia="Arial" w:hAnsi="Arial"/>
          <w:sz w:val="18"/>
          <w:szCs w:val="18"/>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law, the Netherlands Bankruptcy Act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Faillissementswet</w:t>
      </w:r>
      <w:r>
        <w:rPr>
          <w:rFonts w:ascii="Arial" w:cs="Arial" w:eastAsia="Arial" w:hAnsi="Arial"/>
          <w:sz w:val="17"/>
          <w:szCs w:val="17"/>
          <w:color w:val="auto"/>
        </w:rPr>
        <w:t>) or law of any other jurisdiction relating to bankruptcy, insolvency, winding-up, liquidation, reorganization or relief of debtors.</w:t>
      </w:r>
    </w:p>
    <w:p>
      <w:pPr>
        <w:spacing w:after="0" w:line="22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Below Investment Grade Rating Event</w:t>
      </w:r>
      <w:r>
        <w:rPr>
          <w:rFonts w:ascii="Arial" w:cs="Arial" w:eastAsia="Arial" w:hAnsi="Arial"/>
          <w:sz w:val="16"/>
          <w:szCs w:val="16"/>
          <w:color w:val="auto"/>
        </w:rPr>
        <w:t xml:space="preserve">” means, with respect to the Notes of a series, the rating on such series of Notes is lowered in respect of a Change of Control and such series of Notes is rated below an Investment Grade Rating by each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Issuer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Issuer shall request the Rating Agencies to make such confirmation in connection with any Change of Control and shall promptly certify to the Trustee as to whether or not such confirmation has been received or denied.</w:t>
      </w:r>
    </w:p>
    <w:p>
      <w:pPr>
        <w:spacing w:after="0" w:line="16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(i) the board of directors of Newco or any duly authorized committee thereof or (ii) the board of directors (</w:t>
      </w:r>
      <w:r>
        <w:rPr>
          <w:rFonts w:ascii="Arial" w:cs="Arial" w:eastAsia="Arial" w:hAnsi="Arial"/>
          <w:sz w:val="18"/>
          <w:szCs w:val="18"/>
          <w:i w:val="1"/>
          <w:iCs w:val="1"/>
          <w:color w:val="auto"/>
        </w:rPr>
        <w:t>bestuur</w:t>
      </w:r>
      <w:r>
        <w:rPr>
          <w:rFonts w:ascii="Arial" w:cs="Arial" w:eastAsia="Arial" w:hAnsi="Arial"/>
          <w:sz w:val="18"/>
          <w:szCs w:val="18"/>
          <w:color w:val="auto"/>
        </w:rPr>
        <w:t>) of the Issuer or any duly authorized committee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Bund Rate</w:t>
      </w:r>
      <w:r>
        <w:rPr>
          <w:rFonts w:ascii="Arial" w:cs="Arial" w:eastAsia="Arial" w:hAnsi="Arial"/>
          <w:sz w:val="18"/>
          <w:szCs w:val="18"/>
          <w:color w:val="auto"/>
        </w:rPr>
        <w:t>” means, as of any Redemption Date, the rate per annum equal to the equivalent yield to maturity as of such Redemption Date of the Comparable German Bund Issue, assuming a price for the Comparable German Bund Issue (expressed as a percentage of its principal amount) equal to the Comparable German Bund Price for such relevant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means the Business Combination Agreement, dated as of July 29, 2019, among Pfizer, Newco, Mylan N.V.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certain of their affiliates, as amended on May 29, 2020, and as further amended, restated or modified from time to time.</w:t>
      </w:r>
    </w:p>
    <w:p>
      <w:pPr>
        <w:spacing w:after="0" w:line="21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each Monday, Tuesday, Wednesday, Thursday and Friday which is not a (a) day on which banking institutions in the place of payment for a series of Notes are authorized or obligated by law or executive order to close; or (b) day on which the Trans-European Automated Real-time Gross Settlement Express Transfer system (the TARGET2 system), or any successor thereto, is closed.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11" w:name="page212"/>
    <w:bookmarkEnd w:id="211"/>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i w:val="1"/>
          <w:iCs w:val="1"/>
          <w:color w:val="auto"/>
        </w:rPr>
        <w:t>Capital Lease Obligations</w:t>
      </w:r>
      <w:r>
        <w:rPr>
          <w:rFonts w:ascii="Arial" w:cs="Arial" w:eastAsia="Arial" w:hAnsi="Arial"/>
          <w:sz w:val="17"/>
          <w:szCs w:val="17"/>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spacing w:after="0" w:line="17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92"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Payment to Pfizer</w:t>
      </w:r>
      <w:r>
        <w:rPr>
          <w:rFonts w:ascii="Arial" w:cs="Arial" w:eastAsia="Arial" w:hAnsi="Arial"/>
          <w:sz w:val="18"/>
          <w:szCs w:val="18"/>
          <w:color w:val="auto"/>
        </w:rPr>
        <w:t>” means the cash payment by Newco of $12 billion to Pfizer as partial consideration for Pfizer’s contribution of the Upjohn Business to Newco.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 following the consummation of the Combination:</w:t>
      </w:r>
    </w:p>
    <w:p>
      <w:pPr>
        <w:spacing w:after="0" w:line="117" w:lineRule="exact"/>
        <w:rPr>
          <w:sz w:val="20"/>
          <w:szCs w:val="20"/>
          <w:color w:val="auto"/>
        </w:rPr>
      </w:pPr>
    </w:p>
    <w:p>
      <w:pPr>
        <w:ind w:left="440" w:right="160" w:firstLine="419"/>
        <w:spacing w:after="0" w:line="279" w:lineRule="auto"/>
        <w:tabs>
          <w:tab w:leader="none" w:pos="111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Newco (other than a Wholly Owned Subsidiary);</w:t>
      </w:r>
    </w:p>
    <w:p>
      <w:pPr>
        <w:spacing w:after="0" w:line="63" w:lineRule="exact"/>
        <w:rPr>
          <w:rFonts w:ascii="Arial" w:cs="Arial" w:eastAsia="Arial" w:hAnsi="Arial"/>
          <w:sz w:val="17"/>
          <w:szCs w:val="17"/>
          <w:color w:val="auto"/>
        </w:rPr>
      </w:pPr>
    </w:p>
    <w:p>
      <w:pPr>
        <w:ind w:left="440" w:right="240" w:firstLine="419"/>
        <w:spacing w:after="0" w:line="259" w:lineRule="auto"/>
        <w:tabs>
          <w:tab w:leader="none" w:pos="111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Newco consolidates with or merges with or into any Person or sells, assigns, conveys, transfers, leases or otherwise disposes of all or substantially all of its assets to any Person (other than a Wholly Owned Subsidiary), or any Person consolidates with or merges with or into Newco, in any such event pursuant to a transaction in which the outstanding Voting Stock of Newco is converted into or exchanged for cash, securities or other property, other than any such transaction where:</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outstanding Voting Stock of Newco is changed into or exchanged for Voting Stock of the surviving corporation, and</w:t>
      </w:r>
    </w:p>
    <w:p>
      <w:pPr>
        <w:spacing w:after="0" w:line="128" w:lineRule="exact"/>
        <w:rPr>
          <w:rFonts w:ascii="Arial" w:cs="Arial" w:eastAsia="Arial" w:hAnsi="Arial"/>
          <w:sz w:val="17"/>
          <w:szCs w:val="17"/>
          <w:color w:val="auto"/>
        </w:rPr>
      </w:pPr>
    </w:p>
    <w:p>
      <w:pPr>
        <w:ind w:left="980" w:right="400" w:firstLine="408"/>
        <w:spacing w:after="0" w:line="263" w:lineRule="auto"/>
        <w:tabs>
          <w:tab w:leader="none" w:pos="163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holders of the Voting Stock of Newco immediately prior to such transaction own, directly or indirectly, not less than a majority of the Voting Stock of Newco, or the surviving corporation immediately after such transaction and in substantially the same proportion as before the transaction, or</w:t>
      </w:r>
    </w:p>
    <w:p>
      <w:pPr>
        <w:spacing w:after="0" w:line="75" w:lineRule="exact"/>
        <w:rPr>
          <w:rFonts w:ascii="Arial" w:cs="Arial" w:eastAsia="Arial" w:hAnsi="Arial"/>
          <w:sz w:val="18"/>
          <w:szCs w:val="18"/>
          <w:color w:val="auto"/>
        </w:rPr>
      </w:pPr>
    </w:p>
    <w:p>
      <w:pPr>
        <w:ind w:left="440" w:right="500" w:firstLine="419"/>
        <w:spacing w:after="0" w:line="277" w:lineRule="auto"/>
        <w:tabs>
          <w:tab w:leader="none" w:pos="111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Newco is liquidated or dissolved or adopts a plan of liquidation or dissolution other than in a transaction which complies with the provisions described in Section 5.01;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none of the RMT Transactions shall constitute a Change of Control.</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with respect to a series of Notes, the occurrence of a Change of Control together with a Below Investment Grade Rating Event with respect to such series of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means Clearstream Banking S.A.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212" w:name="page213"/>
    <w:bookmarkEnd w:id="2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Combination</w:t>
      </w:r>
      <w:r>
        <w:rPr>
          <w:rFonts w:ascii="Arial" w:cs="Arial" w:eastAsia="Arial" w:hAnsi="Arial"/>
          <w:sz w:val="18"/>
          <w:szCs w:val="18"/>
          <w:color w:val="auto"/>
        </w:rPr>
        <w:t>” means the combination of the Upjohn Business and Mylan N.V. pursuant to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Combination Termination Event</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Price Protection Agreement</w:t>
      </w:r>
      <w:r>
        <w:rPr>
          <w:rFonts w:ascii="Arial" w:cs="Arial" w:eastAsia="Arial" w:hAnsi="Arial"/>
          <w:sz w:val="18"/>
          <w:szCs w:val="18"/>
          <w:color w:val="auto"/>
        </w:rPr>
        <w:t>” means any forward contract, commodity swap, commodity option or other similar financial agreement or arrangement relating to, or the value of which is dependent upon, fluctuations in commodity prices.</w:t>
      </w:r>
    </w:p>
    <w:p>
      <w:pPr>
        <w:spacing w:after="0" w:line="170"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Safekeeper</w:t>
      </w:r>
      <w:r>
        <w:rPr>
          <w:rFonts w:ascii="Arial" w:cs="Arial" w:eastAsia="Arial" w:hAnsi="Arial"/>
          <w:sz w:val="18"/>
          <w:szCs w:val="18"/>
          <w:color w:val="auto"/>
        </w:rPr>
        <w:t>” means, with respect to the Notes issued in the form of one or more Global Notes under the New Safekeeping Structure, Euroclear Bank SA/NV or Clearstream Banking S.A. or another Person designated as Common Safekeeper by Euroclear Bank SA/NV or Clearstream Banking S.A.</w:t>
      </w:r>
    </w:p>
    <w:p>
      <w:pPr>
        <w:spacing w:after="0" w:line="184"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Service Provider</w:t>
      </w:r>
      <w:r>
        <w:rPr>
          <w:rFonts w:ascii="Arial" w:cs="Arial" w:eastAsia="Arial" w:hAnsi="Arial"/>
          <w:sz w:val="16"/>
          <w:szCs w:val="16"/>
          <w:color w:val="auto"/>
        </w:rPr>
        <w:t>” means, with respect to the Notes issued in the form of one or more Global Notes under the New Safekeeping Structure, initially, Citibank Europe plc at 1 North Wall Quay, Dublin, Ireland and any subsequent Person appointed by ICSDs to service such Notes.</w:t>
      </w:r>
    </w:p>
    <w:p>
      <w:pPr>
        <w:spacing w:after="0" w:line="12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German Bund Issue</w:t>
      </w:r>
      <w:r>
        <w:rPr>
          <w:rFonts w:ascii="Arial" w:cs="Arial" w:eastAsia="Arial" w:hAnsi="Arial"/>
          <w:sz w:val="18"/>
          <w:szCs w:val="18"/>
          <w:color w:val="auto"/>
        </w:rPr>
        <w:t xml:space="preserve">” means the German Bundesanleihe security selected by any Reference German Bund Dealer as having a fixed maturity most nearly equal to the period from such Redemption Date to the remaining term of the Notes being redeemed (assuming that such Notes matured on the Applicable Par Call Date applicable thereto) that would be utilized, at the time of selection and in accordance with customary financial practice, in pricing new issues of euro-denominated corporate debt securities in a principal amount approximately equal to the then outstanding principal amount of the Notes of the applicable series and of a maturity most nearly equal to the remaining term of the Notes of such series (assuming such Notes matured on the Applicable Par Call Date applicable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such Redemption Date to the remaining term of the Notes of such series (assuming that such Notes matured on the Applicable Par Call Date applicable thereto) is less than one year, a fixed maturity of one year shall be used.</w:t>
      </w:r>
    </w:p>
    <w:p>
      <w:pPr>
        <w:spacing w:after="0" w:line="19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German Bund Price</w:t>
      </w:r>
      <w:r>
        <w:rPr>
          <w:rFonts w:ascii="Arial" w:cs="Arial" w:eastAsia="Arial" w:hAnsi="Arial"/>
          <w:sz w:val="18"/>
          <w:szCs w:val="18"/>
          <w:color w:val="auto"/>
        </w:rPr>
        <w:t>”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Reference German Bund Dealer Quotations for the Redemption Date so obtained.</w:t>
      </w:r>
    </w:p>
    <w:p>
      <w:pPr>
        <w:spacing w:after="0" w:line="187"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with respect to Newco, the total amount of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Newco and its Subsidiaries.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Contribution</w:t>
      </w:r>
      <w:r>
        <w:rPr>
          <w:rFonts w:ascii="Arial" w:cs="Arial" w:eastAsia="Arial" w:hAnsi="Arial"/>
          <w:sz w:val="18"/>
          <w:szCs w:val="18"/>
          <w:color w:val="auto"/>
        </w:rPr>
        <w:t>” means the contribution of the Upjohn Business to Newco pursuant to the Separation and Distribution Agreement.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in London shall be principally administered, which office as of the date of this Indenture is located at Citibank, N.A., London Branch, Citigroup Centre, Canada Square, Canary Wharf, London, E14 5LB, United Kingdom, or, in the case of any of such offices or agency, such other address as the Trustee may designate from time to time by notice to the Holders and Newco.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13" w:name="page214"/>
    <w:bookmarkEnd w:id="213"/>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corporation</w:t>
      </w:r>
      <w:r>
        <w:rPr>
          <w:rFonts w:ascii="Arial" w:cs="Arial" w:eastAsia="Arial" w:hAnsi="Arial"/>
          <w:sz w:val="16"/>
          <w:szCs w:val="16"/>
          <w:color w:val="auto"/>
        </w:rPr>
        <w:t>” includes corporations, associations, companies (including any limited liability company), business trusts and limited partnerships.</w:t>
      </w:r>
    </w:p>
    <w:p>
      <w:pPr>
        <w:spacing w:after="0" w:line="248"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8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xml:space="preserve">” means any receiver, interim receiver, receiver and manager, trustee, assignee, liquidator, custodian, </w:t>
      </w:r>
      <w:r>
        <w:rPr>
          <w:rFonts w:ascii="Arial" w:cs="Arial" w:eastAsia="Arial" w:hAnsi="Arial"/>
          <w:sz w:val="18"/>
          <w:szCs w:val="18"/>
          <w:i w:val="1"/>
          <w:iCs w:val="1"/>
          <w:color w:val="auto"/>
        </w:rPr>
        <w:t>curator</w:t>
      </w:r>
      <w:r>
        <w:rPr>
          <w:rFonts w:ascii="Arial" w:cs="Arial" w:eastAsia="Arial" w:hAnsi="Arial"/>
          <w:sz w:val="18"/>
          <w:szCs w:val="18"/>
          <w:color w:val="auto"/>
        </w:rPr>
        <w:t xml:space="preserve"> or similar official under any Bankruptcy Law.</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means the distribution by Pfizer to its stockholders of its shares of Newco’s common stock, by way of either, at Pfizer’s option, a spin-off or a split-off, pursuant to the Separation and Distribution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Distribution Compliance Period</w:t>
      </w:r>
      <w:r>
        <w:rPr>
          <w:rFonts w:ascii="Arial" w:cs="Arial" w:eastAsia="Arial" w:hAnsi="Arial"/>
          <w:sz w:val="17"/>
          <w:szCs w:val="17"/>
          <w:color w:val="auto"/>
        </w:rPr>
        <w:t>”, with respect to any Note, means the period of 40 consecutive days beginning on and including the later of</w:t>
      </w:r>
    </w:p>
    <w:p>
      <w:pPr>
        <w:spacing w:after="0" w:line="35" w:lineRule="exact"/>
        <w:rPr>
          <w:sz w:val="20"/>
          <w:szCs w:val="20"/>
          <w:color w:val="auto"/>
        </w:rPr>
      </w:pPr>
    </w:p>
    <w:p>
      <w:pPr>
        <w:ind w:left="4" w:right="60" w:hanging="4"/>
        <w:spacing w:after="0" w:line="260" w:lineRule="auto"/>
        <w:tabs>
          <w:tab w:leader="none" w:pos="21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day on which such Note is first offered to persons other than distributors (as defined in Regulation S) in reliance on Regulation S and (ii) the date of issuance with respect to such Note or any predecessor of such Note.</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by the Commission thereunder.</w:t>
      </w:r>
    </w:p>
    <w:p>
      <w:pPr>
        <w:spacing w:after="0" w:line="17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Taxes payable as a result of or arising out of the disposition of such asset or property. Fair Market Value shall be determined in good faith by Newco or the Issuer, as applicable.</w:t>
      </w:r>
    </w:p>
    <w:p>
      <w:pPr>
        <w:spacing w:after="0" w:line="18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8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German Government Obligations</w:t>
      </w:r>
      <w:r>
        <w:rPr>
          <w:rFonts w:ascii="Arial" w:cs="Arial" w:eastAsia="Arial" w:hAnsi="Arial"/>
          <w:sz w:val="18"/>
          <w:szCs w:val="18"/>
          <w:color w:val="auto"/>
        </w:rPr>
        <w:t>” means securities that are (i) direct obligations of Germany for the payment of which its full faith and credit is pledged or (ii) obligations of a person controlled or supervised by and acting as an agency or an instrumentality of Germany, the timely payment of which is unconditionally guaranteed as a full faith and credit obligation by Germany, that, in either case, are not callable or redeemable at the action of the issuer thereof, and shall also include a depositary receipt issued by a bank or trust company as custodian with respect to any such German Government Obligation or a specific payment of interest on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14" w:name="page215"/>
    <w:bookmarkEnd w:id="2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principal of any such German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German Government Obligation or the specific payment of interest on or principal of the German Government Obligation evidenced by such depositary receipt.</w:t>
      </w:r>
    </w:p>
    <w:p>
      <w:pPr>
        <w:spacing w:after="0" w:line="187"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any obligation, contingent or otherwise, of any Person directly or indirectly guaranteeing any Indebtedness of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 and any obligation, direct or indirect, contingent or otherwise, of such Person:</w:t>
      </w:r>
    </w:p>
    <w:p>
      <w:pPr>
        <w:spacing w:after="0" w:line="103" w:lineRule="exact"/>
        <w:rPr>
          <w:sz w:val="20"/>
          <w:szCs w:val="20"/>
          <w:color w:val="auto"/>
        </w:rPr>
      </w:pPr>
    </w:p>
    <w:p>
      <w:pPr>
        <w:ind w:left="440" w:right="40" w:firstLine="419"/>
        <w:spacing w:after="0" w:line="263" w:lineRule="auto"/>
        <w:tabs>
          <w:tab w:leader="none" w:pos="11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entered into for the purpose of assuring in any other manner the obligee against loss in respect thereof (in whole or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term “Guarantee” shall not include:</w:t>
      </w:r>
    </w:p>
    <w:p>
      <w:pPr>
        <w:spacing w:after="0" w:line="117" w:lineRule="exact"/>
        <w:rPr>
          <w:sz w:val="20"/>
          <w:szCs w:val="20"/>
          <w:color w:val="auto"/>
        </w:rPr>
      </w:pPr>
    </w:p>
    <w:p>
      <w:pPr>
        <w:ind w:left="1120" w:hanging="261"/>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contractual commitment by one Person to invest in another Person.</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Guarantee</w:t>
      </w:r>
      <w:r>
        <w:rPr>
          <w:rFonts w:ascii="Arial" w:cs="Arial" w:eastAsia="Arial" w:hAnsi="Arial"/>
          <w:sz w:val="17"/>
          <w:szCs w:val="17"/>
          <w:color w:val="auto"/>
        </w:rPr>
        <w:t>” used as a verb has a corresponding meaning. The term “</w:t>
      </w:r>
      <w:r>
        <w:rPr>
          <w:rFonts w:ascii="Arial" w:cs="Arial" w:eastAsia="Arial" w:hAnsi="Arial"/>
          <w:sz w:val="17"/>
          <w:szCs w:val="17"/>
          <w:i w:val="1"/>
          <w:iCs w:val="1"/>
          <w:color w:val="auto"/>
        </w:rPr>
        <w:t>Guarantor</w:t>
      </w:r>
      <w:r>
        <w:rPr>
          <w:rFonts w:ascii="Arial" w:cs="Arial" w:eastAsia="Arial" w:hAnsi="Arial"/>
          <w:sz w:val="17"/>
          <w:szCs w:val="17"/>
          <w:color w:val="auto"/>
        </w:rPr>
        <w:t>” means Pfizer, Newco, the Mylan Guarantors and any other Subsidiary of Newco that Guarantees the Issuer’s Indenture Obligations from time to time, in each case during such periods that such entity Guarantees the Issuer’s Indenture Obligations in accordance with the terms of this Indenture and the Guarantee Agreement, as applicable.</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Agreement</w:t>
      </w:r>
      <w:r>
        <w:rPr>
          <w:rFonts w:ascii="Arial" w:cs="Arial" w:eastAsia="Arial" w:hAnsi="Arial"/>
          <w:sz w:val="18"/>
          <w:szCs w:val="18"/>
          <w:color w:val="auto"/>
        </w:rPr>
        <w:t>” means the guarantee agreement of Pfizer in favor of the Trustee and the Holders of each series of the Notes, dated as of the date hereof.</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pursuant to any Interest Rate Agreement, Currency Agreement, Commodity Price Protection Agreement or any other similar agreement or arrangement.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Note is registered on the Note register.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ICSDs</w:t>
      </w:r>
      <w:r>
        <w:rPr>
          <w:rFonts w:ascii="Arial" w:cs="Arial" w:eastAsia="Arial" w:hAnsi="Arial"/>
          <w:sz w:val="18"/>
          <w:szCs w:val="18"/>
          <w:color w:val="auto"/>
        </w:rPr>
        <w:t>” means Euroclear and Clearstream.</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means issue, assume, Guarantee, incur or otherwise become liable for. The term “</w:t>
      </w:r>
      <w:r>
        <w:rPr>
          <w:rFonts w:ascii="Arial" w:cs="Arial" w:eastAsia="Arial" w:hAnsi="Arial"/>
          <w:sz w:val="18"/>
          <w:szCs w:val="18"/>
          <w:i w:val="1"/>
          <w:iCs w:val="1"/>
          <w:color w:val="auto"/>
        </w:rPr>
        <w:t>Incurrence</w:t>
      </w:r>
      <w:r>
        <w:rPr>
          <w:rFonts w:ascii="Arial" w:cs="Arial" w:eastAsia="Arial" w:hAnsi="Arial"/>
          <w:sz w:val="18"/>
          <w:szCs w:val="18"/>
          <w:color w:val="auto"/>
        </w:rPr>
        <w:t>” when used as a noun has a correlative meaning.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on any date of determination (without duplication):</w:t>
      </w:r>
    </w:p>
    <w:p>
      <w:pPr>
        <w:spacing w:after="0" w:line="117" w:lineRule="exact"/>
        <w:rPr>
          <w:sz w:val="20"/>
          <w:szCs w:val="20"/>
          <w:color w:val="auto"/>
        </w:rPr>
      </w:pPr>
    </w:p>
    <w:p>
      <w:pPr>
        <w:jc w:val="both"/>
        <w:ind w:left="440" w:right="180" w:firstLine="419"/>
        <w:spacing w:after="0" w:line="263" w:lineRule="auto"/>
        <w:tabs>
          <w:tab w:leader="none" w:pos="111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215" w:name="page216"/>
    <w:bookmarkEnd w:id="215"/>
    <w:p>
      <w:pPr>
        <w:ind w:left="1120" w:hanging="261"/>
        <w:spacing w:after="0"/>
        <w:tabs>
          <w:tab w:leader="none" w:pos="11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Capital Lease Obligations of such Person and all Attributable Debt in respect of Sale Leaseback Transactions entered into by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jc w:val="both"/>
        <w:ind w:left="440" w:right="480" w:firstLine="419"/>
        <w:spacing w:after="0" w:line="263"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75" w:lineRule="exact"/>
        <w:rPr>
          <w:rFonts w:ascii="Arial" w:cs="Arial" w:eastAsia="Arial" w:hAnsi="Arial"/>
          <w:sz w:val="18"/>
          <w:szCs w:val="18"/>
          <w:color w:val="auto"/>
        </w:rPr>
      </w:pPr>
    </w:p>
    <w:p>
      <w:pPr>
        <w:ind w:left="440" w:right="80" w:firstLine="419"/>
        <w:spacing w:after="0" w:line="279" w:lineRule="auto"/>
        <w:tabs>
          <w:tab w:leader="none" w:pos="111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Hedging Obligations of such Person;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Attributable Receivables Indebtedness;</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75" w:lineRule="exact"/>
        <w:rPr>
          <w:rFonts w:ascii="Arial" w:cs="Arial" w:eastAsia="Arial" w:hAnsi="Arial"/>
          <w:sz w:val="18"/>
          <w:szCs w:val="18"/>
          <w:color w:val="auto"/>
        </w:rPr>
      </w:pPr>
    </w:p>
    <w:p>
      <w:pPr>
        <w:jc w:val="both"/>
        <w:ind w:left="440" w:right="140" w:firstLine="419"/>
        <w:spacing w:after="0" w:line="263"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Notwithstanding the foregoing, in connection with the purchase by Newco or any Subsidiary of Newco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of closing, the amount of any such payment is not determinable and, to the extent such payment thereafter becomes fixed and determined, the amount is paid within 60 days thereafter.</w:t>
      </w:r>
    </w:p>
    <w:p>
      <w:pPr>
        <w:spacing w:after="0" w:line="17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The amount of Indebtedness of any Person at any date shall be the outstanding balance at such date of all obligations as described above;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Indebtedness sold at a discount, the amount of such Indebtedness at any time will be the accreted value thereof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in accordance with its terms.</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2022 Notes</w:t>
      </w:r>
      <w:r>
        <w:rPr>
          <w:rFonts w:ascii="Arial" w:cs="Arial" w:eastAsia="Arial" w:hAnsi="Arial"/>
          <w:sz w:val="18"/>
          <w:szCs w:val="18"/>
          <w:color w:val="auto"/>
        </w:rPr>
        <w:t>” means the €750,000,000 aggregate principal amount of the 0.816% Senior Notes due 2022 of the Issuer issued under this Indenture on the Issue Date.</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2024 Notes</w:t>
      </w:r>
      <w:r>
        <w:rPr>
          <w:rFonts w:ascii="Arial" w:cs="Arial" w:eastAsia="Arial" w:hAnsi="Arial"/>
          <w:sz w:val="18"/>
          <w:szCs w:val="18"/>
          <w:color w:val="auto"/>
        </w:rPr>
        <w:t>” means the €750,000,000 aggregate principal amount of the 1.023% Senior Notes due 2024 of the Issuer issued under this Indenture on the Issue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16" w:name="page217"/>
    <w:bookmarkEnd w:id="216"/>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Initial 2027 Notes</w:t>
      </w:r>
      <w:r>
        <w:rPr>
          <w:rFonts w:ascii="Arial" w:cs="Arial" w:eastAsia="Arial" w:hAnsi="Arial"/>
          <w:sz w:val="18"/>
          <w:szCs w:val="18"/>
          <w:color w:val="auto"/>
        </w:rPr>
        <w:t>” means the €850,000,000 aggregate principal amount of the 1.362% Senior Notes due 2027 of the Issuer issued under this Indenture on the Issue Date.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2032 Notes</w:t>
      </w:r>
      <w:r>
        <w:rPr>
          <w:rFonts w:ascii="Arial" w:cs="Arial" w:eastAsia="Arial" w:hAnsi="Arial"/>
          <w:sz w:val="18"/>
          <w:szCs w:val="18"/>
          <w:color w:val="auto"/>
        </w:rPr>
        <w:t>” means the €1,250,000,000 aggregate principal amount of the 1.908% Senior Notes due 2032 of the Issuer issued under this Indenture on the Issue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collectively, the Initial 2022 Notes, the Initial 2024 Notes, the Initial 2027 Notes and Initial 2032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June 23 of each year, as applicable.</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 Agreement</w:t>
      </w:r>
      <w:r>
        <w:rPr>
          <w:rFonts w:ascii="Arial" w:cs="Arial" w:eastAsia="Arial" w:hAnsi="Arial"/>
          <w:sz w:val="18"/>
          <w:szCs w:val="18"/>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w:t>
      </w:r>
      <w:r>
        <w:rPr>
          <w:rFonts w:ascii="Arial" w:cs="Arial" w:eastAsia="Arial" w:hAnsi="Arial"/>
          <w:sz w:val="18"/>
          <w:szCs w:val="18"/>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88" w:lineRule="exact"/>
        <w:rPr>
          <w:sz w:val="20"/>
          <w:szCs w:val="20"/>
          <w:color w:val="auto"/>
        </w:rPr>
      </w:pPr>
    </w:p>
    <w:p>
      <w:pPr>
        <w:jc w:val="both"/>
        <w:ind w:right="2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(i) with respect to Moody’s, a rating equal to or higher than Baa3 (or the equivalent), and (ii) with respect to S&amp;P, a rating equal to or higher than BBB- (or the equivalent) (or, in each case, if such Rating Agency ceases to rate the Notes for reasons outside of Newco’s control, the equivalent investment grade credit rating from any Rating Agency selected by Newco as a replacement Rating Agency).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Initial Notes are initially issued.</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until a successor replaces it in accordance with the applicable provisions of this Indenture and thereafter means the successor serving hereunder and any and all successors thereto hereunder.</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 Indebtedness</w:t>
      </w:r>
      <w:r>
        <w:rPr>
          <w:rFonts w:ascii="Arial" w:cs="Arial" w:eastAsia="Arial" w:hAnsi="Arial"/>
          <w:sz w:val="18"/>
          <w:szCs w:val="18"/>
          <w:color w:val="auto"/>
        </w:rPr>
        <w:t>” means Indebtedness of the Issuer owed to a Person, other than Newco or any Subsidiary of Newco, that has an aggregate principal amount or committed amount in excess of $500.0 million.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 Order</w:t>
      </w:r>
      <w:r>
        <w:rPr>
          <w:rFonts w:ascii="Arial" w:cs="Arial" w:eastAsia="Arial" w:hAnsi="Arial"/>
          <w:sz w:val="18"/>
          <w:szCs w:val="18"/>
          <w:color w:val="auto"/>
        </w:rPr>
        <w:t>” means a written request or order signed in the name of the Issuer by one or more members of its Board of Directors authorized to represent the Issuer, its chief executive officer or chief financial officer, its president or a vice president, its treasurer, an assistant treasurer, its controller, an assistant controller, its secretary or an assistant secretary, and delivered to the Trustee.</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 Indenture Obligations</w:t>
      </w:r>
      <w:r>
        <w:rPr>
          <w:rFonts w:ascii="Arial" w:cs="Arial" w:eastAsia="Arial" w:hAnsi="Arial"/>
          <w:sz w:val="18"/>
          <w:szCs w:val="18"/>
          <w:color w:val="auto"/>
        </w:rPr>
        <w:t>” means, with respect to a series of the Notes, the Obligations with respect to the Notes of such series of the Issuer and any other obligor under this Indenture or under the Notes of such series to pay principal of, premium, if any, and interest when due and payable, and all other amounts due or to become due, under or in connection with this Indenture and the Notes of such series, and the performance of all other Obligations with respect to the Notes of such series, to the Trustee and to the Holders of the Notes of such series under this Indenture and the Notes of such series, in each case according to the respective terms thereof.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17" w:name="page218"/>
    <w:bookmarkEnd w:id="217"/>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when used with respect to any Note, means the date on which the principal amount of such Note becomes due and payable as therein or herein provided.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Guarantors</w:t>
      </w:r>
      <w:r>
        <w:rPr>
          <w:rFonts w:ascii="Arial" w:cs="Arial" w:eastAsia="Arial" w:hAnsi="Arial"/>
          <w:sz w:val="18"/>
          <w:szCs w:val="18"/>
          <w:color w:val="auto"/>
        </w:rPr>
        <w:t>” means each Subsidiary of Newco, including Mylan Inc., that, following the assumption of the obligations of Mylan N.V., as issuer or guarantor of the Mylan Notes, as applicable, by one or more Subsidiaries of Newco, as successor to Mylan N.V. for purposes of such Mylan Notes, is an issuer or guarantor of any Mylan Notes.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Guarantors Supplemental Indenture</w:t>
      </w:r>
      <w:r>
        <w:rPr>
          <w:rFonts w:ascii="Arial" w:cs="Arial" w:eastAsia="Arial" w:hAnsi="Arial"/>
          <w:sz w:val="18"/>
          <w:szCs w:val="18"/>
          <w:color w:val="auto"/>
        </w:rPr>
        <w:t xml:space="preserve">” means one or more supplemental indentures, substantially in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pursuant to which the Mylan Guarantors will become Guarantors of the Issuer’s Indenture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Inc.</w:t>
      </w:r>
      <w:r>
        <w:rPr>
          <w:rFonts w:ascii="Arial" w:cs="Arial" w:eastAsia="Arial" w:hAnsi="Arial"/>
          <w:sz w:val="18"/>
          <w:szCs w:val="18"/>
          <w:color w:val="auto"/>
        </w:rPr>
        <w:t>” means Mylan Inc., a Pennsylvania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Indentures</w:t>
      </w:r>
      <w:r>
        <w:rPr>
          <w:rFonts w:ascii="Arial" w:cs="Arial" w:eastAsia="Arial" w:hAnsi="Arial"/>
          <w:sz w:val="18"/>
          <w:szCs w:val="18"/>
          <w:color w:val="auto"/>
        </w:rPr>
        <w:t>” means the following:</w:t>
      </w:r>
    </w:p>
    <w:p>
      <w:pPr>
        <w:spacing w:after="0" w:line="117" w:lineRule="exact"/>
        <w:rPr>
          <w:sz w:val="20"/>
          <w:szCs w:val="20"/>
          <w:color w:val="auto"/>
        </w:rPr>
      </w:pPr>
    </w:p>
    <w:p>
      <w:pPr>
        <w:ind w:left="440" w:right="48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Indenture dated as of December 21, 2012, among Mylan Inc., as issuer, the subsidiaries party thereto, and The Bank of New York Mellon, as trustee;</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128" w:lineRule="exact"/>
        <w:rPr>
          <w:rFonts w:ascii="Arial" w:cs="Arial" w:eastAsia="Arial" w:hAnsi="Arial"/>
          <w:sz w:val="17"/>
          <w:szCs w:val="17"/>
          <w:color w:val="auto"/>
        </w:rPr>
      </w:pPr>
    </w:p>
    <w:p>
      <w:pPr>
        <w:ind w:left="44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Indenture dated as of December 9, 2015, among Mylan N.V., as issuer, Mylan Inc., as guarantor, and The Bank of New York Mellon, as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Indenture dated as of June 9, 2016, among Mylan N.V., as issuer, Mylan Inc., as guarantor, and The Bank of New York Mellon, as</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218" w:name="page219"/>
    <w:bookmarkEnd w:id="218"/>
    <w:p>
      <w:pPr>
        <w:ind w:left="1200" w:hanging="341"/>
        <w:spacing w:after="0"/>
        <w:tabs>
          <w:tab w:leader="none" w:pos="12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November 22, 2016, among Mylan N.V., as issuer, Mylan Inc., as guarantor, and Citibank, N.A., London Branch,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as trustee;</w:t>
      </w:r>
    </w:p>
    <w:p>
      <w:pPr>
        <w:spacing w:after="0" w:line="102" w:lineRule="exact"/>
        <w:rPr>
          <w:rFonts w:ascii="Arial" w:cs="Arial" w:eastAsia="Arial" w:hAnsi="Arial"/>
          <w:sz w:val="16"/>
          <w:szCs w:val="16"/>
          <w:color w:val="auto"/>
        </w:rPr>
      </w:pPr>
    </w:p>
    <w:p>
      <w:pPr>
        <w:ind w:left="440" w:right="560" w:firstLine="419"/>
        <w:spacing w:after="0" w:line="277" w:lineRule="auto"/>
        <w:tabs>
          <w:tab w:leader="none" w:pos="120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Indenture dated as of April 9, 2018, by and between Mylan Inc., as issuer, Mylan N.V., as guarantor, and The Bank of New York Mellon, as trustee; and</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20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Indenture dated as of May 23, 2018, by and between Mylan Inc., as issuer, Mylan N.V., as guarantor, and Citibank, N.A., London Branch, as trustee.</w:t>
      </w:r>
    </w:p>
    <w:p>
      <w:pPr>
        <w:spacing w:after="0" w:line="170"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Notes</w:t>
      </w:r>
      <w:r>
        <w:rPr>
          <w:rFonts w:ascii="Arial" w:cs="Arial" w:eastAsia="Arial" w:hAnsi="Arial"/>
          <w:sz w:val="18"/>
          <w:szCs w:val="18"/>
          <w:color w:val="auto"/>
        </w:rPr>
        <w:t>” means any senior notes issued by Mylan N.V. and Mylan Inc., as applicable, under the Mylan Indentures and that remain outstanding upon the consummation of the Combination.</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N.V.</w:t>
      </w:r>
      <w:r>
        <w:rPr>
          <w:rFonts w:ascii="Arial" w:cs="Arial" w:eastAsia="Arial" w:hAnsi="Arial"/>
          <w:sz w:val="18"/>
          <w:szCs w:val="18"/>
          <w:color w:val="auto"/>
        </w:rPr>
        <w:t>” means Mylan N.V.,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incorporated and existing under the laws of the Netherlands.</w:t>
      </w:r>
    </w:p>
    <w:p>
      <w:pPr>
        <w:spacing w:after="0" w:line="170" w:lineRule="exact"/>
        <w:rPr>
          <w:sz w:val="20"/>
          <w:szCs w:val="20"/>
          <w:color w:val="auto"/>
        </w:rPr>
      </w:pPr>
    </w:p>
    <w:p>
      <w:pPr>
        <w:jc w:val="both"/>
        <w:ind w:right="6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Safekeeping Structure</w:t>
      </w:r>
      <w:r>
        <w:rPr>
          <w:rFonts w:ascii="Arial" w:cs="Arial" w:eastAsia="Arial" w:hAnsi="Arial"/>
          <w:sz w:val="16"/>
          <w:szCs w:val="16"/>
          <w:color w:val="auto"/>
        </w:rPr>
        <w:t>” means the structure under which registered Global Notes intended to be recognized as eligible collateral for Eurosystem monetary policy and intra-day credit operations by the Eurosystem must be issued. Registered Global Notes issued under the New Safekeeping Structure must be registered in the name of a nominee of the Common Safekeeper and safekept by the Common Safekeeper.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Newco</w:t>
      </w:r>
      <w:r>
        <w:rPr>
          <w:rFonts w:ascii="Arial" w:cs="Arial" w:eastAsia="Arial" w:hAnsi="Arial"/>
          <w:sz w:val="18"/>
          <w:szCs w:val="18"/>
          <w:color w:val="auto"/>
        </w:rPr>
        <w:t>” means Upjohn Inc., a Delaware corporation.</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Newco Revolving Credit Agreement</w:t>
      </w:r>
      <w:r>
        <w:rPr>
          <w:rFonts w:ascii="Arial" w:cs="Arial" w:eastAsia="Arial" w:hAnsi="Arial"/>
          <w:sz w:val="17"/>
          <w:szCs w:val="17"/>
          <w:color w:val="auto"/>
        </w:rPr>
        <w:t>” means the Revolving Credit Agreement, dated as of June 16, 2020, among Newco, the guarantors from time to time party thereto, the lenders and issuing banks from time to time party thereto and Bank of America, N.A., as administrative agent, in whole or in part, in one or more instances, as such agreement may be amended, renewed, extended, substituted, refinanced, restructured, replaced (whether or not upon termination, and whether with the original lenders or otherwise), supplemented or otherwise modified from time to time (including, in each case, by means of one or more credit agreements, note purchase agreements or sales of debt securities to institutional investors whether with the original agents and lenders or otherwise and including, without limitation, any successive renewals, extensions, substitutions, refinancings, restructurings, replacements, supplementations or other modifications of the foregoing).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Notation of Guarantee</w:t>
      </w:r>
      <w:r>
        <w:rPr>
          <w:rFonts w:ascii="Arial" w:cs="Arial" w:eastAsia="Arial" w:hAnsi="Arial"/>
          <w:sz w:val="18"/>
          <w:szCs w:val="18"/>
          <w:color w:val="auto"/>
        </w:rPr>
        <w:t xml:space="preserve">” means a notation of guarantee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collectively, the 2022 Notes, the 2024 Notes, the 2027 Notes and the 2032 Notes (which, in the case of Notes issued in the form of Global Notes under the New Safekeeping Structure, are effectuated by the Common Safekeeper).</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of the Issuer, dated June 17, 2020, related to the offering of the Notes and related Guarantees.</w:t>
      </w:r>
    </w:p>
    <w:p>
      <w:pPr>
        <w:spacing w:after="0" w:line="170"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w:t>
      </w:r>
      <w:r>
        <w:rPr>
          <w:rFonts w:ascii="Arial" w:cs="Arial" w:eastAsia="Arial" w:hAnsi="Arial"/>
          <w:sz w:val="17"/>
          <w:szCs w:val="17"/>
          <w:color w:val="auto"/>
        </w:rPr>
        <w:t>” means the chief executive officer, the president, the chief financial officer or any vice president, the treasurer or the secretary of the specified Person or, with respect to the Issuer, one or more members of its Board of Directors authorized to represent the Issuer.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9" w:name="page220"/>
    <w:bookmarkEnd w:id="219"/>
    <w:p>
      <w:pPr>
        <w:jc w:val="both"/>
        <w:ind w:right="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Officer’s Certificate</w:t>
      </w:r>
      <w:r>
        <w:rPr>
          <w:rFonts w:ascii="Arial" w:cs="Arial" w:eastAsia="Arial" w:hAnsi="Arial"/>
          <w:sz w:val="16"/>
          <w:szCs w:val="16"/>
          <w:color w:val="auto"/>
        </w:rPr>
        <w:t>” means a certificate signed by the chairman of the Board of Directors, the chief executive officer, the chief financial officer, the president or a vice president, a treasurer, an assistant treasurer, the controller, the secretary or an assistant secretary of Newco or, with respect to the Issuer, one or more members of its Board of Directors authorized to represent the Issuer, as applicable, and delivered to the Trustee.</w:t>
      </w:r>
    </w:p>
    <w:p>
      <w:pPr>
        <w:spacing w:after="0" w:line="14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delivered to the Trustee. The counsel may be an employee of or counsel to Newco, any Subsidiary of Newco or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40" w:firstLine="419"/>
        <w:spacing w:after="0" w:line="275" w:lineRule="auto"/>
        <w:tabs>
          <w:tab w:leader="none" w:pos="111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w:t>
      </w:r>
    </w:p>
    <w:p>
      <w:pPr>
        <w:spacing w:after="0" w:line="68" w:lineRule="exact"/>
        <w:rPr>
          <w:rFonts w:ascii="Arial" w:cs="Arial" w:eastAsia="Arial" w:hAnsi="Arial"/>
          <w:sz w:val="17"/>
          <w:szCs w:val="17"/>
          <w:color w:val="auto"/>
        </w:rPr>
      </w:pPr>
    </w:p>
    <w:p>
      <w:pPr>
        <w:ind w:left="440" w:right="120" w:firstLine="419"/>
        <w:spacing w:after="0" w:line="291" w:lineRule="auto"/>
        <w:tabs>
          <w:tab w:leader="none" w:pos="111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deposit account is not a dedicated cash collateral account and is not subject to restrictions against access by Newco in excess of those set forth by regulations promulgated by the Federal Reserve Board and (B) such deposit account is not intended by Newco or any Subsidiary of Newco to provide collateral to the depositary institution;</w:t>
      </w:r>
    </w:p>
    <w:p>
      <w:pPr>
        <w:spacing w:after="0" w:line="58" w:lineRule="exact"/>
        <w:rPr>
          <w:rFonts w:ascii="Arial" w:cs="Arial" w:eastAsia="Arial" w:hAnsi="Arial"/>
          <w:sz w:val="16"/>
          <w:szCs w:val="16"/>
          <w:color w:val="auto"/>
        </w:rPr>
      </w:pPr>
    </w:p>
    <w:p>
      <w:pPr>
        <w:ind w:left="440" w:right="60" w:firstLine="419"/>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claims, in each case not yet subject to penalties for non-payment or which are being contested in good faith by appropriate proceedings;</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in favor of issuers of performance and surety bonds or bid bonds or letters of credit issued pursuant to the request of and for the account of such Person in the ordinary course of its business;</w:t>
      </w:r>
    </w:p>
    <w:p>
      <w:pPr>
        <w:spacing w:after="0" w:line="62" w:lineRule="exact"/>
        <w:rPr>
          <w:rFonts w:ascii="Arial" w:cs="Arial" w:eastAsia="Arial" w:hAnsi="Arial"/>
          <w:sz w:val="18"/>
          <w:szCs w:val="18"/>
          <w:color w:val="auto"/>
        </w:rPr>
      </w:pPr>
    </w:p>
    <w:p>
      <w:pPr>
        <w:ind w:left="440" w:right="420" w:firstLine="419"/>
        <w:spacing w:after="0" w:line="25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w:t>
      </w:r>
    </w:p>
    <w:p>
      <w:pPr>
        <w:spacing w:after="0" w:line="79"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securing Indebtedness Incurred after the Issue Date in respect of Purchase Money Indebtedness and refinancing Indebtedness in respect thereof;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0" w:name="page221"/>
    <w:bookmarkEnd w:id="220"/>
    <w:p>
      <w:pPr>
        <w:ind w:right="360" w:firstLine="419"/>
        <w:spacing w:after="0" w:line="263" w:lineRule="auto"/>
        <w:tabs>
          <w:tab w:leader="none" w:pos="678"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Liens on property or shares of Capital Stock of another Person at the time such other Person becomes a Subsidiary of such Person;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Liens may not extend to any other property owned by such Person or any of its Subsidiaries (other than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affixed or appurtenant thereto);</w:t>
      </w:r>
    </w:p>
    <w:p>
      <w:pPr>
        <w:spacing w:after="0" w:line="75" w:lineRule="exact"/>
        <w:rPr>
          <w:rFonts w:ascii="Arial" w:cs="Arial" w:eastAsia="Arial" w:hAnsi="Arial"/>
          <w:sz w:val="18"/>
          <w:szCs w:val="18"/>
          <w:color w:val="auto"/>
        </w:rPr>
      </w:pPr>
    </w:p>
    <w:p>
      <w:pPr>
        <w:ind w:firstLine="419"/>
        <w:spacing w:after="0" w:line="286" w:lineRule="auto"/>
        <w:tabs>
          <w:tab w:leader="none" w:pos="67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Liens on property at the time such Person or any of its Subsidiaries acquires the property, including any acquisition by means of a merger or consolidation with or into such Person or a Subsidiary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Liens may not extend to any other property owned by such Person or any of its Subsidiaries (other than assets and property affixed or appurtenant thereto);</w:t>
      </w:r>
    </w:p>
    <w:p>
      <w:pPr>
        <w:spacing w:after="0" w:line="57" w:lineRule="exact"/>
        <w:rPr>
          <w:rFonts w:ascii="Arial" w:cs="Arial" w:eastAsia="Arial" w:hAnsi="Arial"/>
          <w:sz w:val="17"/>
          <w:szCs w:val="17"/>
          <w:color w:val="auto"/>
        </w:rPr>
      </w:pPr>
    </w:p>
    <w:p>
      <w:pPr>
        <w:ind w:right="10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Subsidiary of such Person owing to such Person or a wholly-owned subsidiary of such Person;</w:t>
      </w:r>
    </w:p>
    <w:p>
      <w:pPr>
        <w:spacing w:after="0" w:line="62" w:lineRule="exact"/>
        <w:rPr>
          <w:rFonts w:ascii="Arial" w:cs="Arial" w:eastAsia="Arial" w:hAnsi="Arial"/>
          <w:sz w:val="18"/>
          <w:szCs w:val="18"/>
          <w:color w:val="auto"/>
        </w:rPr>
      </w:pPr>
    </w:p>
    <w:p>
      <w:pPr>
        <w:ind w:right="80" w:firstLine="419"/>
        <w:spacing w:after="0" w:line="263" w:lineRule="auto"/>
        <w:tabs>
          <w:tab w:leader="none" w:pos="76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securing Hedging Obligations so long as such Hedging Obligations are not entered into for speculative purposes, it being understood that any Hedging Obligations entered into in connection with the issuance of Newco’s or any of its Subsidiaries’ outstanding or future Indebtedness shall not be considered speculative;</w:t>
      </w:r>
    </w:p>
    <w:p>
      <w:pPr>
        <w:spacing w:after="0" w:line="75" w:lineRule="exact"/>
        <w:rPr>
          <w:rFonts w:ascii="Arial" w:cs="Arial" w:eastAsia="Arial" w:hAnsi="Arial"/>
          <w:sz w:val="18"/>
          <w:szCs w:val="18"/>
          <w:color w:val="auto"/>
        </w:rPr>
      </w:pPr>
    </w:p>
    <w:p>
      <w:pPr>
        <w:ind w:right="52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Lien on accounts receivable and related assets of the types specified in the definition of “Qualified Receivables Transaction” incurred in connection with a Qualified Receivables Transaction;</w:t>
      </w:r>
    </w:p>
    <w:p>
      <w:pPr>
        <w:spacing w:after="0" w:line="62" w:lineRule="exact"/>
        <w:rPr>
          <w:rFonts w:ascii="Arial" w:cs="Arial" w:eastAsia="Arial" w:hAnsi="Arial"/>
          <w:sz w:val="18"/>
          <w:szCs w:val="18"/>
          <w:color w:val="auto"/>
        </w:rPr>
      </w:pPr>
    </w:p>
    <w:p>
      <w:pPr>
        <w:ind w:right="60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Liens in favor of the Issuer or any Guarantor and (b) Liens on the property of any Subsidiary of Newco in favor of any other Subsidiary of Newco;</w:t>
      </w:r>
    </w:p>
    <w:p>
      <w:pPr>
        <w:spacing w:after="0" w:line="62" w:lineRule="exact"/>
        <w:rPr>
          <w:rFonts w:ascii="Arial" w:cs="Arial" w:eastAsia="Arial" w:hAnsi="Arial"/>
          <w:sz w:val="18"/>
          <w:szCs w:val="18"/>
          <w:color w:val="auto"/>
        </w:rPr>
      </w:pPr>
    </w:p>
    <w:p>
      <w:pPr>
        <w:ind w:right="80" w:firstLine="419"/>
        <w:spacing w:after="0" w:line="308" w:lineRule="auto"/>
        <w:tabs>
          <w:tab w:leader="none" w:pos="76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leases, subleases, licenses or sublicenses granted to third parties entered into in the ordinary course of business which do not materially interfere with the conduct of the business of Newco and its Subsidiaries and which do not secure any Indebtedness;</w:t>
      </w:r>
    </w:p>
    <w:p>
      <w:pPr>
        <w:spacing w:after="0" w:line="38" w:lineRule="exact"/>
        <w:rPr>
          <w:rFonts w:ascii="Arial" w:cs="Arial" w:eastAsia="Arial" w:hAnsi="Arial"/>
          <w:sz w:val="17"/>
          <w:szCs w:val="17"/>
          <w:color w:val="auto"/>
        </w:rPr>
      </w:pPr>
    </w:p>
    <w:p>
      <w:pPr>
        <w:ind w:right="60" w:firstLine="419"/>
        <w:spacing w:after="0" w:line="311" w:lineRule="auto"/>
        <w:tabs>
          <w:tab w:leader="none" w:pos="76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Liens securing judgments, decrees, orders or awards for the payment of money not constituting an Event of Default in respect of which Newco or any of its Subsidiaries shall in good faith be prosecuting an appeal or proceedings for review, which appeal or proceedings shall not have been finally terminated, or in respect of which the period within which such appeal or proceedings may be initiated shall not have expired;</w:t>
      </w:r>
    </w:p>
    <w:p>
      <w:pPr>
        <w:spacing w:after="0" w:line="40" w:lineRule="exact"/>
        <w:rPr>
          <w:rFonts w:ascii="Arial" w:cs="Arial" w:eastAsia="Arial" w:hAnsi="Arial"/>
          <w:sz w:val="16"/>
          <w:szCs w:val="16"/>
          <w:color w:val="auto"/>
        </w:rPr>
      </w:pPr>
    </w:p>
    <w:p>
      <w:pPr>
        <w:ind w:left="760" w:hanging="341"/>
        <w:spacing w:after="0"/>
        <w:tabs>
          <w:tab w:leader="none" w:pos="7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with respect to the Notes of any series, Liens created for the benefit of (or to secure) the Notes of such series (or the Guarantees);</w:t>
      </w:r>
    </w:p>
    <w:p>
      <w:pPr>
        <w:spacing w:after="0" w:line="128" w:lineRule="exact"/>
        <w:rPr>
          <w:rFonts w:ascii="Arial" w:cs="Arial" w:eastAsia="Arial" w:hAnsi="Arial"/>
          <w:sz w:val="17"/>
          <w:szCs w:val="17"/>
          <w:color w:val="auto"/>
        </w:rPr>
      </w:pPr>
    </w:p>
    <w:p>
      <w:pPr>
        <w:ind w:right="320" w:firstLine="419"/>
        <w:spacing w:after="0" w:line="263"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right="28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Newco or any Subsidiary of Newco in the ordinary course of business;</w:t>
      </w:r>
    </w:p>
    <w:p>
      <w:pPr>
        <w:spacing w:after="0" w:line="62" w:lineRule="exact"/>
        <w:rPr>
          <w:rFonts w:ascii="Arial" w:cs="Arial" w:eastAsia="Arial" w:hAnsi="Arial"/>
          <w:sz w:val="18"/>
          <w:szCs w:val="18"/>
          <w:color w:val="auto"/>
        </w:rPr>
      </w:pPr>
    </w:p>
    <w:p>
      <w:pPr>
        <w:ind w:right="6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right="120" w:firstLine="419"/>
        <w:spacing w:after="0" w:line="263"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New York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221" w:name="page222"/>
    <w:bookmarkEnd w:id="221"/>
    <w:p>
      <w:pPr>
        <w:ind w:left="760" w:hanging="341"/>
        <w:spacing w:after="0"/>
        <w:tabs>
          <w:tab w:leader="none" w:pos="7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pledges or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right="14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equipment of Newco or any Subsidiary of Newco granted in the ordinary course of business to Newco’s or such Subsidiary’s supplier at which such equipment is located;</w:t>
      </w:r>
    </w:p>
    <w:p>
      <w:pPr>
        <w:spacing w:after="0" w:line="62" w:lineRule="exact"/>
        <w:rPr>
          <w:rFonts w:ascii="Arial" w:cs="Arial" w:eastAsia="Arial" w:hAnsi="Arial"/>
          <w:sz w:val="18"/>
          <w:szCs w:val="18"/>
          <w:color w:val="auto"/>
        </w:rPr>
      </w:pPr>
    </w:p>
    <w:p>
      <w:pPr>
        <w:ind w:right="20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Newco and its Subsidiaries in the ordinary course of business;</w:t>
      </w:r>
    </w:p>
    <w:p>
      <w:pPr>
        <w:spacing w:after="0" w:line="62" w:lineRule="exact"/>
        <w:rPr>
          <w:rFonts w:ascii="Arial" w:cs="Arial" w:eastAsia="Arial" w:hAnsi="Arial"/>
          <w:sz w:val="18"/>
          <w:szCs w:val="18"/>
          <w:color w:val="auto"/>
        </w:rPr>
      </w:pPr>
    </w:p>
    <w:p>
      <w:pPr>
        <w:ind w:right="50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incurred to secure cash management services or to implement cash pooling or sweep arrangements to permit satisfaction of overdraft or similar obligations in the ordinary course of business;</w:t>
      </w:r>
    </w:p>
    <w:p>
      <w:pPr>
        <w:spacing w:after="0" w:line="62" w:lineRule="exact"/>
        <w:rPr>
          <w:rFonts w:ascii="Arial" w:cs="Arial" w:eastAsia="Arial" w:hAnsi="Arial"/>
          <w:sz w:val="18"/>
          <w:szCs w:val="18"/>
          <w:color w:val="auto"/>
        </w:rPr>
      </w:pPr>
    </w:p>
    <w:p>
      <w:pPr>
        <w:ind w:right="140" w:firstLine="419"/>
        <w:spacing w:after="0" w:line="263"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w:t>
      </w:r>
    </w:p>
    <w:p>
      <w:pPr>
        <w:spacing w:after="0" w:line="75" w:lineRule="exact"/>
        <w:rPr>
          <w:rFonts w:ascii="Arial" w:cs="Arial" w:eastAsia="Arial" w:hAnsi="Arial"/>
          <w:sz w:val="18"/>
          <w:szCs w:val="18"/>
          <w:color w:val="auto"/>
        </w:rPr>
      </w:pPr>
    </w:p>
    <w:p>
      <w:pPr>
        <w:ind w:right="50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securities that are the subject of repurchase agreements;</w:t>
      </w:r>
    </w:p>
    <w:p>
      <w:pPr>
        <w:spacing w:after="0" w:line="117" w:lineRule="exact"/>
        <w:rPr>
          <w:rFonts w:ascii="Arial" w:cs="Arial" w:eastAsia="Arial" w:hAnsi="Arial"/>
          <w:sz w:val="18"/>
          <w:szCs w:val="18"/>
          <w:color w:val="auto"/>
        </w:rPr>
      </w:pPr>
    </w:p>
    <w:p>
      <w:pPr>
        <w:ind w:right="14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limited to the applicable unearned insurance premiums;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arising solely from precautionary Uniform Commercial Code financing statements or similar filings;</w:t>
      </w:r>
    </w:p>
    <w:p>
      <w:pPr>
        <w:spacing w:after="0" w:line="117" w:lineRule="exact"/>
        <w:rPr>
          <w:rFonts w:ascii="Arial" w:cs="Arial" w:eastAsia="Arial" w:hAnsi="Arial"/>
          <w:sz w:val="18"/>
          <w:szCs w:val="18"/>
          <w:color w:val="auto"/>
        </w:rPr>
      </w:pPr>
    </w:p>
    <w:p>
      <w:pPr>
        <w:ind w:right="160" w:firstLine="419"/>
        <w:spacing w:after="0" w:line="342" w:lineRule="auto"/>
        <w:tabs>
          <w:tab w:leader="none" w:pos="76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Newco or any of its Subsidiaries are located and other Liens affecting the interest of any landlord (and any underlying landlord) of any real property leased by Newco or any Subsidiary of Newco;</w:t>
      </w:r>
    </w:p>
    <w:p>
      <w:pPr>
        <w:spacing w:after="0" w:line="15" w:lineRule="exact"/>
        <w:rPr>
          <w:rFonts w:ascii="Arial" w:cs="Arial" w:eastAsia="Arial" w:hAnsi="Arial"/>
          <w:sz w:val="16"/>
          <w:szCs w:val="16"/>
          <w:color w:val="auto"/>
        </w:rPr>
      </w:pPr>
    </w:p>
    <w:p>
      <w:pPr>
        <w:ind w:right="16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Liens to secure any Refinancing (or successive Refinancings) as a whole, or in part, of any Indebtedness secured by any Lien referred to in the foregoing clauses (7), (8), (9), (10), (11), (12) or (14);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540" w:right="180" w:firstLine="408"/>
        <w:spacing w:after="0" w:line="263" w:lineRule="auto"/>
        <w:tabs>
          <w:tab w:leader="none" w:pos="1236" w:val="left"/>
        </w:tabs>
        <w:numPr>
          <w:ilvl w:val="2"/>
          <w:numId w:val="178"/>
        </w:numPr>
        <w:rPr>
          <w:rFonts w:ascii="Arial" w:cs="Arial" w:eastAsia="Arial" w:hAnsi="Arial"/>
          <w:sz w:val="18"/>
          <w:szCs w:val="18"/>
          <w:color w:val="auto"/>
        </w:rPr>
      </w:pPr>
      <w:r>
        <w:rPr>
          <w:rFonts w:ascii="Arial" w:cs="Arial" w:eastAsia="Arial" w:hAnsi="Arial"/>
          <w:sz w:val="18"/>
          <w:szCs w:val="18"/>
          <w:color w:val="auto"/>
        </w:rPr>
        <w:t>such new Lien shall be limited to all or part of the same property (plus improvements on such property) and assets that secured or, under the written agreements pursuant to which the original Lien arose, could secure the original Lien (</w:t>
      </w:r>
      <w:r>
        <w:rPr>
          <w:rFonts w:ascii="Arial" w:cs="Arial" w:eastAsia="Arial" w:hAnsi="Arial"/>
          <w:sz w:val="18"/>
          <w:szCs w:val="18"/>
          <w:i w:val="1"/>
          <w:iCs w:val="1"/>
          <w:color w:val="auto"/>
        </w:rPr>
        <w:t>plus</w:t>
      </w:r>
      <w:r>
        <w:rPr>
          <w:rFonts w:ascii="Arial" w:cs="Arial" w:eastAsia="Arial" w:hAnsi="Arial"/>
          <w:sz w:val="18"/>
          <w:szCs w:val="18"/>
          <w:color w:val="auto"/>
        </w:rPr>
        <w:t xml:space="preserve"> improvements and accessions to, such property or proceeds or distributions thereof); and</w:t>
      </w:r>
    </w:p>
    <w:p>
      <w:pPr>
        <w:spacing w:after="0" w:line="75" w:lineRule="exact"/>
        <w:rPr>
          <w:rFonts w:ascii="Arial" w:cs="Arial" w:eastAsia="Arial" w:hAnsi="Arial"/>
          <w:sz w:val="18"/>
          <w:szCs w:val="18"/>
          <w:color w:val="auto"/>
        </w:rPr>
      </w:pPr>
    </w:p>
    <w:p>
      <w:pPr>
        <w:ind w:left="540" w:firstLine="408"/>
        <w:spacing w:after="0" w:line="291" w:lineRule="auto"/>
        <w:tabs>
          <w:tab w:leader="none" w:pos="1226" w:val="left"/>
        </w:tabs>
        <w:numPr>
          <w:ilvl w:val="2"/>
          <w:numId w:val="178"/>
        </w:numPr>
        <w:rPr>
          <w:rFonts w:ascii="Arial" w:cs="Arial" w:eastAsia="Arial" w:hAnsi="Arial"/>
          <w:sz w:val="16"/>
          <w:szCs w:val="16"/>
          <w:color w:val="auto"/>
        </w:rPr>
      </w:pPr>
      <w:r>
        <w:rPr>
          <w:rFonts w:ascii="Arial" w:cs="Arial" w:eastAsia="Arial" w:hAnsi="Arial"/>
          <w:sz w:val="16"/>
          <w:szCs w:val="16"/>
          <w:color w:val="auto"/>
        </w:rPr>
        <w:t>the Indebtedness secured by such Lien at such time is not increased to any amount greater than the sum of (i) the outstanding principal amount or, if greater, committed amount of the Indebtedness described under the foregoing clauses (7), (8), (9), (10), (11), (12) or</w:t>
      </w:r>
    </w:p>
    <w:p>
      <w:pPr>
        <w:ind w:left="540" w:firstLine="7"/>
        <w:spacing w:after="0" w:line="260" w:lineRule="auto"/>
        <w:tabs>
          <w:tab w:leader="none" w:pos="88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at the time the original Lien became a Permitted Lien and (ii) an amount necessary to pay any fees and expenses, including premiums, related to such refinancing, refunding, extension, renewal or replacement;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222" w:name="page223"/>
    <w:bookmarkEnd w:id="222"/>
    <w:p>
      <w:pPr>
        <w:ind w:left="440" w:right="320" w:firstLine="419"/>
        <w:spacing w:after="0" w:line="277"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incurred in the ordinary course of business by any Subsidiary of Newco, so long as such Subsidiary is maintained as a special purpose self- insurance Subsidiary of Newco;</w:t>
      </w:r>
    </w:p>
    <w:p>
      <w:pPr>
        <w:spacing w:after="0" w:line="62" w:lineRule="exact"/>
        <w:rPr>
          <w:rFonts w:ascii="Arial" w:cs="Arial" w:eastAsia="Arial" w:hAnsi="Arial"/>
          <w:sz w:val="18"/>
          <w:szCs w:val="18"/>
          <w:color w:val="auto"/>
        </w:rPr>
      </w:pPr>
    </w:p>
    <w:p>
      <w:pPr>
        <w:ind w:left="440" w:firstLine="419"/>
        <w:spacing w:after="0" w:line="286" w:lineRule="auto"/>
        <w:tabs>
          <w:tab w:leader="none" w:pos="12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Liens on equity interests of any Person formed for the purposes of engaging in activities in the renewable energy sector (including refined coal) that qualify for federal tax benefits allocable to Newco and its Subsidiaries in which Newco or any Subsidiary of Newco has made an investment and Liens on the rights of Newco and its Subsidiaries under any agreement relating to any such investment;</w:t>
      </w:r>
    </w:p>
    <w:p>
      <w:pPr>
        <w:spacing w:after="0" w:line="57" w:lineRule="exact"/>
        <w:rPr>
          <w:rFonts w:ascii="Arial" w:cs="Arial" w:eastAsia="Arial" w:hAnsi="Arial"/>
          <w:sz w:val="17"/>
          <w:szCs w:val="17"/>
          <w:color w:val="auto"/>
        </w:rPr>
      </w:pPr>
    </w:p>
    <w:p>
      <w:pPr>
        <w:ind w:left="440" w:right="240" w:firstLine="419"/>
        <w:spacing w:after="0" w:line="263"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Lien arising under Article 24, 25 or 26 of the general terms and conditions (</w:t>
      </w:r>
      <w:r>
        <w:rPr>
          <w:rFonts w:ascii="Arial" w:cs="Arial" w:eastAsia="Arial" w:hAnsi="Arial"/>
          <w:sz w:val="18"/>
          <w:szCs w:val="18"/>
          <w:i w:val="1"/>
          <w:iCs w:val="1"/>
          <w:color w:val="auto"/>
        </w:rPr>
        <w:t>Algemene Bank 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 or any similar term applied by a financial institution in the Netherlands pursuant to its general terms and conditions;</w:t>
      </w:r>
    </w:p>
    <w:p>
      <w:pPr>
        <w:spacing w:after="0" w:line="75" w:lineRule="exact"/>
        <w:rPr>
          <w:rFonts w:ascii="Arial" w:cs="Arial" w:eastAsia="Arial" w:hAnsi="Arial"/>
          <w:sz w:val="18"/>
          <w:szCs w:val="18"/>
          <w:color w:val="auto"/>
        </w:rPr>
      </w:pPr>
    </w:p>
    <w:p>
      <w:pPr>
        <w:ind w:left="440" w:right="940" w:firstLine="419"/>
        <w:spacing w:after="0" w:line="277"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Newco or any Subsidiary of Newco in the ordinary course of its banking arrangements for the purpose of netting debt and credit balances;</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Lien, including any netting or set-off, arising by operation of law as a result of the existence of a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any Subsidiary of Newco is or has been a member;</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on cash and cash equivalents deposited as cash collateral on letters of credit as contemplated by the Newco Revolving Credit Agreement;</w:t>
      </w:r>
    </w:p>
    <w:p>
      <w:pPr>
        <w:spacing w:after="0" w:line="62" w:lineRule="exact"/>
        <w:rPr>
          <w:rFonts w:ascii="Arial" w:cs="Arial" w:eastAsia="Arial" w:hAnsi="Arial"/>
          <w:sz w:val="18"/>
          <w:szCs w:val="18"/>
          <w:color w:val="auto"/>
        </w:rPr>
      </w:pPr>
    </w:p>
    <w:p>
      <w:pPr>
        <w:ind w:left="440" w:right="220" w:firstLine="419"/>
        <w:spacing w:after="0" w:line="308" w:lineRule="auto"/>
        <w:tabs>
          <w:tab w:leader="none" w:pos="12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Liens on “earnest money” or similar deposits or other cash advances in connection with acquisitions or consisting of an agreement to dispose of any property in a disposition, including customary rights and restrictions contained in such agreements; and</w:t>
      </w:r>
    </w:p>
    <w:p>
      <w:pPr>
        <w:spacing w:after="0" w:line="38" w:lineRule="exact"/>
        <w:rPr>
          <w:rFonts w:ascii="Arial" w:cs="Arial" w:eastAsia="Arial" w:hAnsi="Arial"/>
          <w:sz w:val="17"/>
          <w:szCs w:val="17"/>
          <w:color w:val="auto"/>
        </w:rPr>
      </w:pPr>
    </w:p>
    <w:p>
      <w:pPr>
        <w:ind w:left="440" w:right="80" w:firstLine="419"/>
        <w:spacing w:after="0" w:line="308" w:lineRule="auto"/>
        <w:tabs>
          <w:tab w:leader="none" w:pos="12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other Liens securing Indebtedness in an aggregate principal amount for Newco and its Subsidiaries not exceeding at the time such Lien is created or assumed the greater of $1,300 million or 15% of Consolidated Net Tangible Assets, at any one time outstanding.</w:t>
      </w:r>
    </w:p>
    <w:p>
      <w:pPr>
        <w:spacing w:after="0" w:line="146"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Issuer may, in its sole discretion, classify or reclassify such item of Permitted Liens (or any portion thereof) in any manner that complies with this definition and the Issuer may divide and classify a Lien in more than one of the types of Permitted Liens in one of the above clauses.</w:t>
      </w:r>
    </w:p>
    <w:p>
      <w:pPr>
        <w:spacing w:after="0" w:line="18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w:t>
      </w:r>
      <w:r>
        <w:rPr>
          <w:rFonts w:ascii="Arial" w:cs="Arial" w:eastAsia="Arial" w:hAnsi="Arial"/>
          <w:sz w:val="18"/>
          <w:szCs w:val="18"/>
          <w:color w:val="auto"/>
        </w:rPr>
        <w:t>” means Pfizer Inc., a Delaware corporation.</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 Guarantee</w:t>
      </w:r>
      <w:r>
        <w:rPr>
          <w:rFonts w:ascii="Arial" w:cs="Arial" w:eastAsia="Arial" w:hAnsi="Arial"/>
          <w:sz w:val="18"/>
          <w:szCs w:val="18"/>
          <w:color w:val="auto"/>
        </w:rPr>
        <w:t>” means the Guarantee of the Issuer’s Indenture Obligations by Pfizer, fully and unconditionally and on a senior unsecured basis, pursuant to and on the terms and conditions set forth in the Guarantee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23" w:name="page224"/>
    <w:bookmarkEnd w:id="223"/>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Physical Notes</w:t>
      </w:r>
      <w:r>
        <w:rPr>
          <w:rFonts w:ascii="Arial" w:cs="Arial" w:eastAsia="Arial" w:hAnsi="Arial"/>
          <w:sz w:val="18"/>
          <w:szCs w:val="18"/>
          <w:color w:val="auto"/>
        </w:rPr>
        <w:t xml:space="preserve">” means certificated 2022 Notes, 2024 Notes, 2027 Notes and 2032 Notes (other than Global Notes) in registered form in substantially the form set forth in </w:t>
      </w:r>
      <w:r>
        <w:rPr>
          <w:rFonts w:ascii="Arial" w:cs="Arial" w:eastAsia="Arial" w:hAnsi="Arial"/>
          <w:sz w:val="18"/>
          <w:szCs w:val="18"/>
          <w:u w:val="single" w:color="auto"/>
          <w:color w:val="auto"/>
        </w:rPr>
        <w:t>Exhibit A-1, Exhibit A-2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A-4</w:t>
      </w:r>
      <w:r>
        <w:rPr>
          <w:rFonts w:ascii="Arial" w:cs="Arial" w:eastAsia="Arial" w:hAnsi="Arial"/>
          <w:sz w:val="18"/>
          <w:szCs w:val="18"/>
          <w:color w:val="auto"/>
        </w:rPr>
        <w:t>, respectively.</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when used with respect to the Notes, means the place or places where the principal of (and premium, if any) and interest on the Notes are payable as specified as contemplated by Section 4.02.</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Incurred to finance the acquisition, development, construction or lease by Newco or a Subsidiary of Newco of Property, including additions and improvements thereto, where the maturity of such Indebtedness does not exceed the anticipated useful life of the Property being financed;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within 270 days after the completion of the acquisition, development, construction or lease of such Property by Newco or such Subsidiary.</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Receivables Transaction</w:t>
      </w:r>
      <w:r>
        <w:rPr>
          <w:rFonts w:ascii="Arial" w:cs="Arial" w:eastAsia="Arial" w:hAnsi="Arial"/>
          <w:sz w:val="18"/>
          <w:szCs w:val="18"/>
          <w:color w:val="auto"/>
        </w:rPr>
        <w:t>” means any transaction or series of transactions that may be entered into by Newco or any of its Subsidiaries pursuant to which Newco or any of its Subsidiaries may sell, convey or otherwise transfer to:</w:t>
      </w:r>
    </w:p>
    <w:p>
      <w:pPr>
        <w:spacing w:after="0" w:line="62" w:lineRule="exact"/>
        <w:rPr>
          <w:sz w:val="20"/>
          <w:szCs w:val="20"/>
          <w:color w:val="auto"/>
        </w:rPr>
      </w:pPr>
    </w:p>
    <w:p>
      <w:pPr>
        <w:ind w:left="1120" w:hanging="261"/>
        <w:spacing w:after="0"/>
        <w:tabs>
          <w:tab w:leader="none" w:pos="11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Receivables Entity (in the case of a transfer by Newco or any of its Subsidiaries)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Person (in the case of a transfer by a Receivables Entity),</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or may grant a security interest in, any accounts receivable (whether now existing or arising in the future) of Newco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financing terms, covenants, termination events and other provisions thereof shall be market terms (as determined in good faith by the chief financial officer of Newco).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S&amp;P;</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Moody’s; or</w:t>
      </w:r>
    </w:p>
    <w:p>
      <w:pPr>
        <w:spacing w:after="0" w:line="117" w:lineRule="exact"/>
        <w:rPr>
          <w:rFonts w:ascii="Arial" w:cs="Arial" w:eastAsia="Arial" w:hAnsi="Arial"/>
          <w:sz w:val="18"/>
          <w:szCs w:val="18"/>
          <w:color w:val="auto"/>
        </w:rPr>
      </w:pPr>
    </w:p>
    <w:p>
      <w:pPr>
        <w:ind w:left="440" w:right="60" w:firstLine="419"/>
        <w:spacing w:after="0" w:line="263" w:lineRule="auto"/>
        <w:tabs>
          <w:tab w:leader="none" w:pos="111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S&amp;P or Moody’s or both shall not make a rating of the Notes publicly available, a “nationally recognized statistical rating organization” within the meaning of Section 3(a)(62) of the Exchange Act, selected by Newco, which shall be substituted for S&amp;P or Moody’s or both, as the case may be.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Entity</w:t>
      </w:r>
      <w:r>
        <w:rPr>
          <w:rFonts w:ascii="Arial" w:cs="Arial" w:eastAsia="Arial" w:hAnsi="Arial"/>
          <w:sz w:val="18"/>
          <w:szCs w:val="18"/>
          <w:color w:val="auto"/>
        </w:rPr>
        <w:t>” means (a) a Wholly Owned Subsidiary of Newco that is designated pursuant to an Officer’s Certificate (as provided below) as a Receivables Entity or (b) another Person engaging in a Qualified Receivables Transaction with Newco, which Person engages in the business of the financing of accounts receivable, and in the case of either of clause (a) or (b):</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24" w:name="page225"/>
    <w:bookmarkEnd w:id="224"/>
    <w:p>
      <w:pPr>
        <w:ind w:left="1120" w:hanging="261"/>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portion of the Indebtedness or any other obligations (contingent or otherwise) of such entity:</w:t>
      </w:r>
    </w:p>
    <w:p>
      <w:pPr>
        <w:spacing w:after="0" w:line="117" w:lineRule="exact"/>
        <w:rPr>
          <w:rFonts w:ascii="Arial" w:cs="Arial" w:eastAsia="Arial" w:hAnsi="Arial"/>
          <w:sz w:val="18"/>
          <w:szCs w:val="18"/>
          <w:color w:val="auto"/>
        </w:rPr>
      </w:pPr>
    </w:p>
    <w:p>
      <w:pPr>
        <w:ind w:left="980" w:right="420" w:firstLine="408"/>
        <w:spacing w:after="0" w:line="277" w:lineRule="auto"/>
        <w:tabs>
          <w:tab w:leader="none" w:pos="167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is Guaranteed by Newco or any Subsidiary of Newco (excluding Guarantees of obligations (other than the principal of, and interest on, Indebtedness) pursuant to Standard Securitization Undertakings),</w:t>
      </w:r>
    </w:p>
    <w:p>
      <w:pPr>
        <w:spacing w:after="0" w:line="62" w:lineRule="exact"/>
        <w:rPr>
          <w:rFonts w:ascii="Arial" w:cs="Arial" w:eastAsia="Arial" w:hAnsi="Arial"/>
          <w:sz w:val="18"/>
          <w:szCs w:val="18"/>
          <w:color w:val="auto"/>
        </w:rPr>
      </w:pPr>
    </w:p>
    <w:p>
      <w:pPr>
        <w:ind w:left="980" w:right="600" w:firstLine="408"/>
        <w:spacing w:after="0" w:line="277" w:lineRule="auto"/>
        <w:tabs>
          <w:tab w:leader="none" w:pos="166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is recourse to or obligates Newco or any Subsidiary of Newco in any way (other than pursuant to Standard Securitization Undertakings), or</w:t>
      </w:r>
    </w:p>
    <w:p>
      <w:pPr>
        <w:spacing w:after="0" w:line="62" w:lineRule="exact"/>
        <w:rPr>
          <w:rFonts w:ascii="Arial" w:cs="Arial" w:eastAsia="Arial" w:hAnsi="Arial"/>
          <w:sz w:val="18"/>
          <w:szCs w:val="18"/>
          <w:color w:val="auto"/>
        </w:rPr>
      </w:pPr>
    </w:p>
    <w:p>
      <w:pPr>
        <w:ind w:left="980" w:right="380" w:firstLine="408"/>
        <w:spacing w:after="0" w:line="277" w:lineRule="auto"/>
        <w:tabs>
          <w:tab w:leader="none" w:pos="166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subjects any property or asset of Newco or any Subsidiary of Newco, directly or indirectly, contingently or otherwise, to the satisfaction thereof (other than pursuant to Standard Securitization Undertakings);</w:t>
      </w:r>
    </w:p>
    <w:p>
      <w:pPr>
        <w:spacing w:after="0" w:line="62"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entity is not an Affiliate of Newco or is an entity with which neither Newco nor any Subsidiary of Newco has any material contract, agreement, arrangement or understanding other than on terms that Newco reasonably believes to be no less favorable to Newco or such Subsidiary than those that might be obtained at the time from Persons that are not Affiliates of Newco; and</w:t>
      </w:r>
    </w:p>
    <w:p>
      <w:pPr>
        <w:spacing w:after="0" w:line="75"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is an entity to which neither Newco nor any Subsidiary of Newco has any obligation to maintain or preserve such entity’s financial condition or cause such entity to achieve certain levels of operating results.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Any such designation shall be evidenced to the Trustee by filing with the Trustee an Officer’s Certificate giving effect to such designation and certifying that such designation complied with the foregoing conditions.</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 when used with respect to any Note to be redeemed pursuant to Article III of this Indenture, means the date fixed for such redemption pursuant to the terms of such Article III.</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this Indenture.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German Bund Dealer</w:t>
      </w:r>
      <w:r>
        <w:rPr>
          <w:rFonts w:ascii="Arial" w:cs="Arial" w:eastAsia="Arial" w:hAnsi="Arial"/>
          <w:sz w:val="18"/>
          <w:szCs w:val="18"/>
          <w:color w:val="auto"/>
        </w:rPr>
        <w:t>” means any dealer of German Bundesanleihe securities appointed by the Issuer in good faith.</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German Bund Dealer Quotations</w:t>
      </w:r>
      <w:r>
        <w:rPr>
          <w:rFonts w:ascii="Arial" w:cs="Arial" w:eastAsia="Arial" w:hAnsi="Arial"/>
          <w:sz w:val="18"/>
          <w:szCs w:val="18"/>
          <w:color w:val="auto"/>
        </w:rPr>
        <w:t>” means, with respect to a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approximately 3:30 p.m., Frankfurt, Germany time, on the third Business Day preceding the relevant date.</w:t>
      </w:r>
    </w:p>
    <w:p>
      <w:pPr>
        <w:spacing w:after="0" w:line="18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Refinance</w:t>
      </w:r>
      <w:r>
        <w:rPr>
          <w:rFonts w:ascii="Arial" w:cs="Arial" w:eastAsia="Arial" w:hAnsi="Arial"/>
          <w:sz w:val="16"/>
          <w:szCs w:val="16"/>
          <w:color w:val="auto"/>
        </w:rPr>
        <w:t>” means, in respect of any Indebtedness, to refinance, extend, renew, refund, repay, prepay, purchase, redeem, defease or retire, or to issue other Indebtedness in exchange or replacement for, such Indebtedness. “</w:t>
      </w:r>
      <w:r>
        <w:rPr>
          <w:rFonts w:ascii="Arial" w:cs="Arial" w:eastAsia="Arial" w:hAnsi="Arial"/>
          <w:sz w:val="16"/>
          <w:szCs w:val="16"/>
          <w:i w:val="1"/>
          <w:iCs w:val="1"/>
          <w:color w:val="auto"/>
        </w:rPr>
        <w:t>Refinanced</w:t>
      </w:r>
      <w:r>
        <w:rPr>
          <w:rFonts w:ascii="Arial" w:cs="Arial" w:eastAsia="Arial" w:hAnsi="Arial"/>
          <w:sz w:val="16"/>
          <w:szCs w:val="16"/>
          <w:color w:val="auto"/>
        </w:rPr>
        <w:t>” and “</w:t>
      </w:r>
      <w:r>
        <w:rPr>
          <w:rFonts w:ascii="Arial" w:cs="Arial" w:eastAsia="Arial" w:hAnsi="Arial"/>
          <w:sz w:val="16"/>
          <w:szCs w:val="16"/>
          <w:i w:val="1"/>
          <w:iCs w:val="1"/>
          <w:color w:val="auto"/>
        </w:rPr>
        <w:t>Refinancing</w:t>
      </w:r>
      <w:r>
        <w:rPr>
          <w:rFonts w:ascii="Arial" w:cs="Arial" w:eastAsia="Arial" w:hAnsi="Arial"/>
          <w:sz w:val="16"/>
          <w:szCs w:val="16"/>
          <w:color w:val="auto"/>
        </w:rPr>
        <w:t>” have correlative meanings.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25" w:name="page226"/>
    <w:bookmarkEnd w:id="225"/>
    <w:p>
      <w:pPr>
        <w:ind w:right="1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when used with respect to the Trustee, any officer of the Trustee within the Corporate Trust Division Corporate Finance Unit (or any successor unit) of the Trustee located at the Corporate Trust Office who has direct responsibility for the administration of this Indenture and, for the purposes of Section 7.01(c)(2) and the second sentence of Section 7.05 shall also mean any other officer of the Trustee to whom any corporate trust matter is referred because of such officer’s knowledge of and familiarity with the particular subject.</w:t>
      </w:r>
    </w:p>
    <w:p>
      <w:pPr>
        <w:spacing w:after="0" w:line="15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RMT Transactions</w:t>
      </w:r>
      <w:r>
        <w:rPr>
          <w:rFonts w:ascii="Arial" w:cs="Arial" w:eastAsia="Arial" w:hAnsi="Arial"/>
          <w:sz w:val="18"/>
          <w:szCs w:val="18"/>
          <w:color w:val="auto"/>
        </w:rPr>
        <w:t>” means, collectively, the Separation, the Distribution, the Combination, the Cash Payment to Pfizer and the other transactions contemplated by the Business Combination Agreement or the Separation and Distribution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Companies, Inc., or any successor to the rating agency business thereof.</w:t>
      </w:r>
    </w:p>
    <w:p>
      <w:pPr>
        <w:spacing w:after="0" w:line="170"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Leaseback Transaction</w:t>
      </w:r>
      <w:r>
        <w:rPr>
          <w:rFonts w:ascii="Arial" w:cs="Arial" w:eastAsia="Arial" w:hAnsi="Arial"/>
          <w:sz w:val="16"/>
          <w:szCs w:val="16"/>
          <w:color w:val="auto"/>
        </w:rPr>
        <w:t>” means the leasing by Newco or any Domestic Subsidiary of Newco of any property, whether owned on the Issue Date or acquired after the Issue Date (except for temporary leases for a term, including any renewal term, of up to three years and except for leases between Newco and any Domestic Subsidiary of Newco or between Domestic Subsidiaries of Newco), which property has been or is to be sold or transferred by Newco or such Domestic Subsidiary to any party with the intention of taking back a lease of such property.</w:t>
      </w:r>
    </w:p>
    <w:p>
      <w:pPr>
        <w:spacing w:after="0" w:line="15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or any successor statute, and the rules and regulations promulgated by the Commission thereunder.</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means the separation of the Upjohn Business from the remainder of Pfizer’s businesses, including the contribution by Pfizer of the Upjohn Business to Newco, pursuant to the Separation and Distribution Agreement.</w:t>
      </w:r>
    </w:p>
    <w:p>
      <w:pPr>
        <w:spacing w:after="0" w:line="170"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Separation and Distribution Agreement</w:t>
      </w:r>
      <w:r>
        <w:rPr>
          <w:rFonts w:ascii="Arial" w:cs="Arial" w:eastAsia="Arial" w:hAnsi="Arial"/>
          <w:sz w:val="16"/>
          <w:szCs w:val="16"/>
          <w:color w:val="auto"/>
        </w:rPr>
        <w:t>” means the Separation and Distribution Agreement, dated as of July 29, 2019, between Pfizer and Newco, as amended on February 18, 2020 and on May 29, 2020, and as further amended, restated or modified from time to time.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w:t>
      </w:r>
      <w:r>
        <w:rPr>
          <w:rFonts w:ascii="Arial" w:cs="Arial" w:eastAsia="Arial" w:hAnsi="Arial"/>
          <w:sz w:val="16"/>
          <w:szCs w:val="16"/>
          <w:color w:val="auto"/>
        </w:rPr>
        <w:t>” refers to the 2022 Notes, the 2024 Notes, the 2027 Notes or the 2032 Notes, each as a separate series of Notes under this Indenture.</w:t>
      </w:r>
    </w:p>
    <w:p>
      <w:pPr>
        <w:spacing w:after="0" w:line="24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Newco that would be a “significant subsidiary” of Newco within the meaning of Rule 1-02 under Regulation S-X promulgated by the Commission, as such Regulation is in effect on the Issue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 Date</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 Price</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and indemnities entered into by Newco or any Subsidiary of Newco that, taken as a whole, are customary in an accounts receivable transaction.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26" w:name="page227"/>
    <w:bookmarkEnd w:id="226"/>
    <w:p>
      <w:pPr>
        <w:ind w:right="5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firstLine="419"/>
        <w:spacing w:after="0" w:line="257" w:lineRule="auto"/>
        <w:tabs>
          <w:tab w:leader="none" w:pos="111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Supplemental Indenture</w:t>
      </w:r>
      <w:r>
        <w:rPr>
          <w:rFonts w:ascii="Arial" w:cs="Arial" w:eastAsia="Arial" w:hAnsi="Arial"/>
          <w:sz w:val="16"/>
          <w:szCs w:val="16"/>
          <w:color w:val="auto"/>
        </w:rPr>
        <w:t>” means an Additional Guarantors Supplemental Indenture or a Mylan Guarantors Supplemental Indenture, as applicable.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has the meaning set forth in Section 4.17.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Transfer Restricted Note</w:t>
      </w:r>
      <w:r>
        <w:rPr>
          <w:rFonts w:ascii="Arial" w:cs="Arial" w:eastAsia="Arial" w:hAnsi="Arial"/>
          <w:sz w:val="17"/>
          <w:szCs w:val="17"/>
          <w:color w:val="auto"/>
        </w:rPr>
        <w:t>” means any Global Note and any Physical Note that bear or are required to bear the Transfer Restriction Legend.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Restriction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Indebtedness</w:t>
      </w:r>
      <w:r>
        <w:rPr>
          <w:rFonts w:ascii="Arial" w:cs="Arial" w:eastAsia="Arial" w:hAnsi="Arial"/>
          <w:sz w:val="18"/>
          <w:szCs w:val="18"/>
          <w:color w:val="auto"/>
        </w:rPr>
        <w:t>” means Indebtedness of Newco owed to a Person, other than Newco or any Subsidiary of Newco, that has an aggregate principal amount or committed amount in excess of $500.0 million.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Citibank, N.A., London Branch,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Upjohn Business</w:t>
      </w:r>
      <w:r>
        <w:rPr>
          <w:rFonts w:ascii="Arial" w:cs="Arial" w:eastAsia="Arial" w:hAnsi="Arial"/>
          <w:sz w:val="18"/>
          <w:szCs w:val="18"/>
          <w:color w:val="auto"/>
        </w:rPr>
        <w:t>” means Pfizer’s global, primarily off-patent branded and generic established medicines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3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means a Subsidiary of Newco of which Newco owns all of the Capital Stock, directly or indirectly, other than directors’ qualifying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7" w:name="page228"/>
    <w:bookmarkEnd w:id="227"/>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1.02 Other Definitions.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Defined</w:t>
            </w:r>
          </w:p>
        </w:tc>
        <w:tc>
          <w:tcPr>
            <w:tcW w:w="0" w:type="dxa"/>
            <w:vAlign w:val="bottom"/>
          </w:tcPr>
          <w:p>
            <w:pPr>
              <w:spacing w:after="0"/>
              <w:rPr>
                <w:sz w:val="1"/>
                <w:szCs w:val="1"/>
                <w:color w:val="auto"/>
              </w:rPr>
            </w:pPr>
          </w:p>
        </w:tc>
      </w:tr>
      <w:tr>
        <w:trPr>
          <w:trHeight w:val="148"/>
        </w:trPr>
        <w:tc>
          <w:tcPr>
            <w:tcW w:w="10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w:t>
            </w: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8"/>
        </w:trPr>
        <w:tc>
          <w:tcPr>
            <w:tcW w:w="10480" w:type="dxa"/>
            <w:vAlign w:val="bottom"/>
            <w:gridSpan w:val="2"/>
            <w:vMerge w:val="continue"/>
          </w:tcPr>
          <w:p>
            <w:pPr>
              <w:spacing w:after="0"/>
              <w:rPr>
                <w:sz w:val="15"/>
                <w:szCs w:val="15"/>
                <w:color w:val="auto"/>
              </w:rPr>
            </w:pPr>
          </w:p>
        </w:tc>
        <w:tc>
          <w:tcPr>
            <w:tcW w:w="50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3"/>
              </w:rPr>
              <w:t>“2022</w:t>
            </w:r>
          </w:p>
        </w:tc>
        <w:tc>
          <w:tcPr>
            <w:tcW w:w="10140" w:type="dxa"/>
            <w:vAlign w:val="bottom"/>
          </w:tcPr>
          <w:p>
            <w:pPr>
              <w:ind w:left="140"/>
              <w:spacing w:after="0" w:line="189" w:lineRule="exact"/>
              <w:rPr>
                <w:sz w:val="20"/>
                <w:szCs w:val="20"/>
                <w:color w:val="auto"/>
              </w:rPr>
            </w:pPr>
            <w:r>
              <w:rPr>
                <w:rFonts w:ascii="Arial" w:cs="Arial" w:eastAsia="Arial" w:hAnsi="Arial"/>
                <w:sz w:val="18"/>
                <w:szCs w:val="18"/>
                <w:color w:val="auto"/>
              </w:rPr>
              <w:t>Regulation S Global Notes”</w:t>
            </w:r>
          </w:p>
        </w:tc>
        <w:tc>
          <w:tcPr>
            <w:tcW w:w="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“2024 Regulation S 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“2027 Regulation S 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“2032 Regulation S 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“2022 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“2024 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“2027 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“2032 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Amounts”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2022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2024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2027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2032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“Agent Members”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“Change of Control Offer”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“Change of Control Purchase Date”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“Change of Control Purchase Price”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“Code”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“Initial Lien”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“IOA”</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“Issuer Successor Company”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“Newco Successor Company”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“Payor”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“Regulation S 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sz w:val="20"/>
                <w:szCs w:val="20"/>
                <w:color w:val="auto"/>
              </w:rPr>
            </w:pPr>
            <w:r>
              <w:rPr>
                <w:rFonts w:ascii="Arial" w:cs="Arial" w:eastAsia="Arial" w:hAnsi="Arial"/>
                <w:sz w:val="18"/>
                <w:szCs w:val="18"/>
                <w:color w:val="auto"/>
              </w:rPr>
              <w:t>“Relevant Jurisdiction”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1.03 Rules of Construction.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term has the meaning assigned to it herein, whether defined expressly or by reference;</w:t>
      </w:r>
    </w:p>
    <w:p>
      <w:pPr>
        <w:spacing w:after="0" w:line="117" w:lineRule="exact"/>
        <w:rPr>
          <w:rFonts w:ascii="Arial" w:cs="Arial" w:eastAsia="Arial" w:hAnsi="Arial"/>
          <w:sz w:val="18"/>
          <w:szCs w:val="18"/>
          <w:color w:val="auto"/>
        </w:rPr>
      </w:pPr>
    </w:p>
    <w:p>
      <w:pPr>
        <w:ind w:left="440" w:right="40" w:firstLine="419"/>
        <w:spacing w:after="0" w:line="308" w:lineRule="auto"/>
        <w:tabs>
          <w:tab w:leader="none" w:pos="111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28" w:name="page229"/>
    <w:bookmarkEnd w:id="228"/>
    <w:p>
      <w:pPr>
        <w:ind w:left="1120" w:hanging="261"/>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shall be interpreted to express a command;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both genders;</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“herein,” “hereof,” “hereunder” and other words of similar import refer to this Indenture as a whole and not to any particular Article, Section or other subsection;</w:t>
      </w:r>
    </w:p>
    <w:p>
      <w:pPr>
        <w:spacing w:after="0" w:line="62" w:lineRule="exact"/>
        <w:rPr>
          <w:rFonts w:ascii="Arial" w:cs="Arial" w:eastAsia="Arial" w:hAnsi="Arial"/>
          <w:sz w:val="18"/>
          <w:szCs w:val="18"/>
          <w:color w:val="auto"/>
        </w:rPr>
      </w:pPr>
    </w:p>
    <w:p>
      <w:pPr>
        <w:jc w:val="both"/>
        <w:ind w:left="440" w:right="60" w:firstLine="419"/>
        <w:spacing w:after="0" w:line="259" w:lineRule="auto"/>
        <w:tabs>
          <w:tab w:leader="none" w:pos="111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“U.S. Dollars” and “United States Dollars” each refer to United States dollars, or such other money of the United States that at the time of payment is legal tender for payment of public and private debts, and “euro” and “€” each refer to the currency of the European Economic and Monetary Union or such other money of the European Economic and Monetary Union that at the time of payment is legal tender for payment of public and private debts;</w:t>
      </w:r>
    </w:p>
    <w:p>
      <w:pPr>
        <w:spacing w:after="0" w:line="78"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Commission from time to time; and</w:t>
      </w:r>
    </w:p>
    <w:p>
      <w:pPr>
        <w:spacing w:after="0" w:line="62" w:lineRule="exact"/>
        <w:rPr>
          <w:rFonts w:ascii="Arial" w:cs="Arial" w:eastAsia="Arial" w:hAnsi="Arial"/>
          <w:sz w:val="18"/>
          <w:szCs w:val="18"/>
          <w:color w:val="auto"/>
        </w:rPr>
      </w:pPr>
    </w:p>
    <w:p>
      <w:pPr>
        <w:ind w:left="440" w:right="620" w:firstLine="419"/>
        <w:spacing w:after="0" w:line="277" w:lineRule="auto"/>
        <w:tabs>
          <w:tab w:leader="none" w:pos="12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references to Sections, Articles or Exhibits are references to Sections, Articles or Exhibits of or to this Indenture unless context otherwise requires.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NOTES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2.01 Amount of Notes.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Trustee shall initially authenticate the Initial Notes for original issue on the Issue Date upon a written order of the Issuer (and, if such Initial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are issued in the form of Global Notes under the New Safekeeping Structure and such written order of the Issuer so specifies, shall instruct,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the Paying Agent to instruct, the Common Safekeeper to effectuate such Initial Notes). The Trustee shall authenticate additional 2022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2022 Notes</w:t>
      </w:r>
      <w:r>
        <w:rPr>
          <w:rFonts w:ascii="Arial" w:cs="Arial" w:eastAsia="Arial" w:hAnsi="Arial"/>
          <w:sz w:val="17"/>
          <w:szCs w:val="17"/>
          <w:color w:val="auto"/>
        </w:rPr>
        <w:t>”), additional 2024 Notes (“</w:t>
      </w:r>
      <w:r>
        <w:rPr>
          <w:rFonts w:ascii="Arial" w:cs="Arial" w:eastAsia="Arial" w:hAnsi="Arial"/>
          <w:sz w:val="17"/>
          <w:szCs w:val="17"/>
          <w:i w:val="1"/>
          <w:iCs w:val="1"/>
          <w:color w:val="auto"/>
        </w:rPr>
        <w:t>Additional 2024 Notes</w:t>
      </w:r>
      <w:r>
        <w:rPr>
          <w:rFonts w:ascii="Arial" w:cs="Arial" w:eastAsia="Arial" w:hAnsi="Arial"/>
          <w:sz w:val="17"/>
          <w:szCs w:val="17"/>
          <w:color w:val="auto"/>
        </w:rPr>
        <w:t>”), additional 2027 Notes (“</w:t>
      </w:r>
      <w:r>
        <w:rPr>
          <w:rFonts w:ascii="Arial" w:cs="Arial" w:eastAsia="Arial" w:hAnsi="Arial"/>
          <w:sz w:val="17"/>
          <w:szCs w:val="17"/>
          <w:i w:val="1"/>
          <w:iCs w:val="1"/>
          <w:color w:val="auto"/>
        </w:rPr>
        <w:t>Additional 2027 Notes</w:t>
      </w:r>
      <w:r>
        <w:rPr>
          <w:rFonts w:ascii="Arial" w:cs="Arial" w:eastAsia="Arial" w:hAnsi="Arial"/>
          <w:sz w:val="17"/>
          <w:szCs w:val="17"/>
          <w:color w:val="auto"/>
        </w:rPr>
        <w:t>”) and additional 2032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Notes (“</w:t>
      </w:r>
      <w:r>
        <w:rPr>
          <w:rFonts w:ascii="Arial" w:cs="Arial" w:eastAsia="Arial" w:hAnsi="Arial"/>
          <w:sz w:val="17"/>
          <w:szCs w:val="17"/>
          <w:i w:val="1"/>
          <w:iCs w:val="1"/>
          <w:color w:val="auto"/>
        </w:rPr>
        <w:t>Additional 2032 Notes</w:t>
      </w:r>
      <w:r>
        <w:rPr>
          <w:rFonts w:ascii="Arial" w:cs="Arial" w:eastAsia="Arial" w:hAnsi="Arial"/>
          <w:sz w:val="17"/>
          <w:szCs w:val="17"/>
          <w:color w:val="auto"/>
        </w:rPr>
        <w:t>” and, together with the Additional 2022 Notes, the Additional 2024 Notes and the Additional 2027 Notes,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Notes</w:t>
      </w:r>
      <w:r>
        <w:rPr>
          <w:rFonts w:ascii="Arial" w:cs="Arial" w:eastAsia="Arial" w:hAnsi="Arial"/>
          <w:sz w:val="16"/>
          <w:szCs w:val="16"/>
          <w:color w:val="auto"/>
        </w:rPr>
        <w:t>”) thereafter in unlimited aggregate principal amount (so long as permitted by the terms of this Indenture) for original issue upon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written order of the Issuer in the form of an Issuer Order in aggregate principal amount as specified in such order (other than as provided in</w:t>
      </w:r>
    </w:p>
    <w:p>
      <w:pPr>
        <w:spacing w:after="0" w:line="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Section 2.08). Each such written order shall specify the amount of Additional Notes to be authenticated and the date on which the Additional Notes are to be authenticated (and, if such Additional Notes are issued in the form of Global Notes under the New Safekeeping Structure and such written order of the Issuer so specifies, shall instruct, or cause the Paying Agent to instruct, the Common Safekeeper to effectuate such Additional Notes).</w:t>
      </w:r>
    </w:p>
    <w:p>
      <w:pPr>
        <w:spacing w:after="0" w:line="155"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Notwithstanding anything else in this Indenture to the contrary, at the Issuer’s option, Additional Notes may be issued with the same CUSIP, ISIN or other identifying number as the Initial Notes and without the Transfer Restriction Legend,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has furnished an Opinion of Counsel to the Trustee confirming such issuance would not conflict with federal and state securities laws and the rules and regulations of the Commission. The Additional Notes of any series will have substantially the same terms as the Initial Notes of such series in all respects and will be treated as a single class for all purposes under this Indenture, including, without limitation, waivers, amendments, redemptions and offers to purchase;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Additional Notes that are issued upon or following the consummation of the Combination shall not have the benefit of the Pfizer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Guarantee and shall not be subject to Section 3.08;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Additional Notes that have the same CUSIP, ISIN or other identifying number as the outstanding Notes of a series must be fungible with the outstanding Notes of that series for U.S. federal income tax purposes.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29" w:name="page230"/>
    <w:bookmarkEnd w:id="229"/>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2.02 Form and Dating.</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2022 Notes and the Trustee’s certificate of authentication with respect thereto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2024 Notes and the Trustee’s certificate of authentication with respect thereto shall be substantially in the form set forth in </w:t>
      </w:r>
      <w:r>
        <w:rPr>
          <w:rFonts w:ascii="Arial" w:cs="Arial" w:eastAsia="Arial" w:hAnsi="Arial"/>
          <w:sz w:val="18"/>
          <w:szCs w:val="18"/>
          <w:u w:val="single" w:color="auto"/>
          <w:color w:val="auto"/>
        </w:rPr>
        <w:t>Exhibit A-2</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2027 Notes and the Trustee’s certificate of authentication with respect thereto shall be substantially in the form set forth in </w:t>
      </w:r>
      <w:r>
        <w:rPr>
          <w:rFonts w:ascii="Arial" w:cs="Arial" w:eastAsia="Arial" w:hAnsi="Arial"/>
          <w:sz w:val="18"/>
          <w:szCs w:val="18"/>
          <w:u w:val="single" w:color="auto"/>
          <w:color w:val="auto"/>
        </w:rPr>
        <w:t>Exhibit A-3</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2032 Notes and the Trustee’s certificate of authentication with respect thereto shall be substantially in the form set forth in </w:t>
      </w:r>
      <w:r>
        <w:rPr>
          <w:rFonts w:ascii="Arial" w:cs="Arial" w:eastAsia="Arial" w:hAnsi="Arial"/>
          <w:sz w:val="18"/>
          <w:szCs w:val="18"/>
          <w:u w:val="single" w:color="auto"/>
          <w:color w:val="auto"/>
        </w:rPr>
        <w:t>Exhibit A-4</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Notes may have notations, legends or endorsements required by law, rule or usage to which the Issuer is subject. Without limiting the generality of the foregoing, except as permitted by Section 2.17(b), the 2022 Notes offered and sold in offshore transactions in reliance on Regulation S (“</w:t>
      </w:r>
      <w:r>
        <w:rPr>
          <w:rFonts w:ascii="Arial" w:cs="Arial" w:eastAsia="Arial" w:hAnsi="Arial"/>
          <w:sz w:val="17"/>
          <w:szCs w:val="17"/>
          <w:i w:val="1"/>
          <w:iCs w:val="1"/>
          <w:color w:val="auto"/>
        </w:rPr>
        <w:t>2022 Regulation S Notes</w:t>
      </w:r>
      <w:r>
        <w:rPr>
          <w:rFonts w:ascii="Arial" w:cs="Arial" w:eastAsia="Arial" w:hAnsi="Arial"/>
          <w:sz w:val="17"/>
          <w:szCs w:val="17"/>
          <w:color w:val="auto"/>
        </w:rPr>
        <w:t>”), the 2024 Notes offered and sold in offshore transactions in reliance on Regulation S (“</w:t>
      </w:r>
      <w:r>
        <w:rPr>
          <w:rFonts w:ascii="Arial" w:cs="Arial" w:eastAsia="Arial" w:hAnsi="Arial"/>
          <w:sz w:val="17"/>
          <w:szCs w:val="17"/>
          <w:i w:val="1"/>
          <w:iCs w:val="1"/>
          <w:color w:val="auto"/>
        </w:rPr>
        <w:t>2024 Regulation S Notes</w:t>
      </w:r>
      <w:r>
        <w:rPr>
          <w:rFonts w:ascii="Arial" w:cs="Arial" w:eastAsia="Arial" w:hAnsi="Arial"/>
          <w:sz w:val="17"/>
          <w:szCs w:val="17"/>
          <w:color w:val="auto"/>
        </w:rPr>
        <w:t>”), the 2027 Notes offered and sold in offshore transactions in reliance on Regulation S (“</w:t>
      </w:r>
      <w:r>
        <w:rPr>
          <w:rFonts w:ascii="Arial" w:cs="Arial" w:eastAsia="Arial" w:hAnsi="Arial"/>
          <w:sz w:val="17"/>
          <w:szCs w:val="17"/>
          <w:i w:val="1"/>
          <w:iCs w:val="1"/>
          <w:color w:val="auto"/>
        </w:rPr>
        <w:t>2027 Regulation S Notes</w:t>
      </w:r>
      <w:r>
        <w:rPr>
          <w:rFonts w:ascii="Arial" w:cs="Arial" w:eastAsia="Arial" w:hAnsi="Arial"/>
          <w:sz w:val="17"/>
          <w:szCs w:val="17"/>
          <w:color w:val="auto"/>
        </w:rPr>
        <w:t>”) and the 2032 Notes offered and sold in offshore transactions in reliance on Regulation S (“</w:t>
      </w:r>
      <w:r>
        <w:rPr>
          <w:rFonts w:ascii="Arial" w:cs="Arial" w:eastAsia="Arial" w:hAnsi="Arial"/>
          <w:sz w:val="17"/>
          <w:szCs w:val="17"/>
          <w:i w:val="1"/>
          <w:iCs w:val="1"/>
          <w:color w:val="auto"/>
        </w:rPr>
        <w:t>2032 Regulation S Notes</w:t>
      </w:r>
      <w:r>
        <w:rPr>
          <w:rFonts w:ascii="Arial" w:cs="Arial" w:eastAsia="Arial" w:hAnsi="Arial"/>
          <w:sz w:val="17"/>
          <w:szCs w:val="17"/>
          <w:color w:val="auto"/>
        </w:rPr>
        <w:t>” and, together with the 2022 Regulation S Notes, the 2024 Regulation S Notes and the 2027 Regulation S Notes, the “</w:t>
      </w:r>
      <w:r>
        <w:rPr>
          <w:rFonts w:ascii="Arial" w:cs="Arial" w:eastAsia="Arial" w:hAnsi="Arial"/>
          <w:sz w:val="17"/>
          <w:szCs w:val="17"/>
          <w:i w:val="1"/>
          <w:iCs w:val="1"/>
          <w:color w:val="auto"/>
        </w:rPr>
        <w:t>Regulation S Notes</w:t>
      </w:r>
      <w:r>
        <w:rPr>
          <w:rFonts w:ascii="Arial" w:cs="Arial" w:eastAsia="Arial" w:hAnsi="Arial"/>
          <w:sz w:val="17"/>
          <w:szCs w:val="17"/>
          <w:color w:val="auto"/>
        </w:rPr>
        <w:t xml:space="preserve">”) shall bear the Transfer Restriction Legend and include the form of assignment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Each Note shall be dated the date of its authentication.</w:t>
      </w:r>
    </w:p>
    <w:p>
      <w:pPr>
        <w:spacing w:after="0" w:line="17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 However, to the extent any provision of any Note conflicts with the express provisions of this Indenture, the provisions of this Indenture shall control and be binding.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may be presented for registration of transfer and exchange at the offices of the Registrar.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2.03 Execution and Authentication.</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Notes shall be executed on behalf of the Issuer by its Chairman of the Board, Chief Executive Officer, Chief Financial Officer, President, any Vice President or one or more members of its Board of Directors authorized to represent the Issuer, as applicable. The signature of any of these officers on the Notes may be manual or facsimile.</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70"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No Note shall be entitled to any benefit under this Indenture or be valid or obligatory for any purpose unless there appears on such Note a certificate of authentication substantially in the form provided for herein executed by the Trustee (and, in the case of Notes issued in the form of Global Notes under the New Safekeeping Structure, by the Paying Agent) by manual signature (and, in the case of Notes issued in the form of Global Notes under the New Safekeeping Structure, effectuated by the Common Safekeeper by the manual signature of an authorized signatory thereof),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30" w:name="page231"/>
    <w:bookmarkEnd w:id="230"/>
    <w:p>
      <w:pPr>
        <w:jc w:val="both"/>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Notes shall be issuable only in fully registered form (and, in the case of Notes issued in the form of Global Notes under the New Safekeeping Structure, effectuated by the Common Safekeeper) without coupons in denominations of €100,000 and any integral multiple of €1,000 in excess thereof.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2.04 Registrar and Paying Agent.</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Issuer shall maintain one or more paying agents (each, a “</w:t>
      </w:r>
      <w:r>
        <w:rPr>
          <w:rFonts w:ascii="Arial" w:cs="Arial" w:eastAsia="Arial" w:hAnsi="Arial"/>
          <w:sz w:val="18"/>
          <w:szCs w:val="18"/>
          <w:i w:val="1"/>
          <w:iCs w:val="1"/>
          <w:color w:val="auto"/>
        </w:rPr>
        <w:t>Paying Agent</w:t>
      </w:r>
      <w:r>
        <w:rPr>
          <w:rFonts w:ascii="Arial" w:cs="Arial" w:eastAsia="Arial" w:hAnsi="Arial"/>
          <w:sz w:val="18"/>
          <w:szCs w:val="18"/>
          <w:color w:val="auto"/>
        </w:rPr>
        <w:t>”) for the Notes, including one in the United Kingdom, for so long as the Notes are listed on the Official List of Euronext Dublin and admitted for trading on the Global Exchange Market. Citibank, N.A., London Branch in the United Kingdom shall act as the initial Paying Agent for the Notes.</w:t>
      </w:r>
    </w:p>
    <w:p>
      <w:pPr>
        <w:spacing w:after="0" w:line="184"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The Issuer shall also maintain one or more registrars (each, a “</w:t>
      </w:r>
      <w:r>
        <w:rPr>
          <w:rFonts w:ascii="Arial" w:cs="Arial" w:eastAsia="Arial" w:hAnsi="Arial"/>
          <w:sz w:val="16"/>
          <w:szCs w:val="16"/>
          <w:i w:val="1"/>
          <w:iCs w:val="1"/>
          <w:color w:val="auto"/>
        </w:rPr>
        <w:t>Registrar</w:t>
      </w:r>
      <w:r>
        <w:rPr>
          <w:rFonts w:ascii="Arial" w:cs="Arial" w:eastAsia="Arial" w:hAnsi="Arial"/>
          <w:sz w:val="16"/>
          <w:szCs w:val="16"/>
          <w:color w:val="auto"/>
        </w:rPr>
        <w:t>”) and a transfer agent. Citibank, N.A., London Branch in the United Kingdom will act as the initial registrar and transfer agent for the Notes. The registrar and transfer agent will maintain a register reflecting ownership of definitive registered Notes outstanding from time to time and will effect payments on and facilitate transfer of definitive registered Notes on our behalf.</w:t>
      </w:r>
    </w:p>
    <w:p>
      <w:pPr>
        <w:spacing w:after="0" w:line="149"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The Issuer may change any Paying Agent, registrar or transfer agent without prior notice to the Holders of the Notes. For so long as the Notes are listed on the Official List of Euronext Dublin and admitted for trading on the Global Exchange Market and the rules of Euronext Dublin so require, the Issuer will publish a notice of any change of Paying Agent, registrar or transfer agent to the extent and in the manner permitted by such rules, posted on the official website of Euronext Dublin (www.ise.ie).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2.05 Paying Agent To Hold Money for the Benefit of the Holders.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Each Paying Agent shall hold for the benefit of the Holders or the Trustee all money held by the Paying Agent for the payment of principal of, premium, if any, or interest on the Notes (whether such money has been paid to it by the Issuer or any other obligor on the Notes), and the Issuer and the Paying Agent shall notify the Trustee of any default by the Issuer (or any other obligor on the Notes) in making any such payment. Money held for the benefit of the Holders by the Paying Agent need not be segregated except as required by law and in no event shall the Paying Agent be liable for any interest on any money received by it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Issuer or an Affiliate thereof acts as Paying Agent, it shall segregate the money held by it as Paying Agent and hold such money in a separate fund for the benefit of the Holders. The Issuer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 disbursed. Upon making such payment, the Paying Agent shall have no further liability for the money delivered to the Trustee.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2.06 Holder Lists.</w:t>
      </w:r>
    </w:p>
    <w:p>
      <w:pPr>
        <w:spacing w:after="0" w:line="11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The Trustee shall preserve in as current a form as is reasonably practicable the most recent list available to it of the names and addresses of the Holders of each series of Notes.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long as the Trustee is the Registrar, no such list need be furnished.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2.07 Transfer and Exchange.</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Subject to Sections 2.16 and 2.17, when Notes are presented to the Registrar with a request from the Holder of such Notes to register a transfer or to exchange them for an equal principal amount of Notes of other authorized denominations of the same series, the Registrar shall register the transfer as requested (and, in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31" w:name="page232"/>
    <w:bookmarkEnd w:id="231"/>
    <w:p>
      <w:pPr>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case of Notes issued in the form of Global Notes under the New Safekeeping Structure, the Trustee shall instruct, or cause the Paying Agent to instruct, the Common Safekeeper to effectuate the Global Notes reflecting such transfer, and such Global Notes shall have been effectuated by the Common Safekeeper). Every Note presented or surrendered for registration of transfer or exchange shall be duly endorsed or be accompanied by a written instrument of transfer in form satisfactory to the Issuer and the Registrar, duly executed by the Holder thereof or its attorney duly authorized in writing. To permit registrations of transfers and exchanges, the Issuer shall issue and execute, and the Trustee shall authenticate, new Notes evidencing such transfer or exchange at the Registrar’s request (and, in the case of Notes issued in the form of Global Notes under the New Safekeeping Structure, the Trustee shall instruct, or cause the Paying Agent to instruct, the Common Safekeeper to effectuate the Global Notes evidencing such transfer or exchange and such Global Notes shall have been effectuated by the Common Safekeeper). No service charge shall be made to the Holder for any registration of transfer or exchange. The Issuer may require from the Holder payment of a sum sufficient to cover any transfer taxes or other governmental charge that may be imposed in relation to a transfer or exchange, but this provision shall not apply to any exchange pursuant to Section 2.11, 3.06 or 8.04 (in which events the Issuer shall be responsible for the payment of such taxes). The Registrar shall not be required to exchange or register a transfer of any Note of any series for a period of 15 days immediately preceding the redemption of Notes of such series, except the unredeemed portion of any Note being redeemed in part.</w:t>
      </w:r>
    </w:p>
    <w:p>
      <w:pPr>
        <w:spacing w:after="0" w:line="186"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system.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2.08 Replacement Notes.</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If a mutilated Note of any series is surrendered to the Registrar or the Trustee, or if the Holder of a Note of any series claims that the Note has been lost, destroyed or wrongfully taken, the Issuer shall issue and the Trustee shall authenticate a replacement Note of such series (and, in the case of Notes issued in the form of Global Notes under the New Safekeeping Structure, the Trustee shall instruct, or cause the Paying Agent to instruct, the Common Safekeeper to effectuate the Global Notes and such Global Notes shall have been effectuated by the Common Safekeeper)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Trustee or any Paying Agent from any loss that any of them may suffer if such Note is replaced. The Issuer may charge such Holder for the Issuer’s reasonable out-of-pocket expenses in replacing such Note and the Trustee may charge the Issuer for the Trustee’s expenses (including, without limitation, attorneys’ fees and disbursements) in replacing such Note. Every replacement Note shall constitute a contractual obligation of the Issuer.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2.09 Outstanding Notes.</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Notes outstanding at any time are all Notes that have been authenticated by the Trustee (and, in the case of Notes issued in the form of one or more Global Notes under the New Safekeeping Structure, effectuated by the Common Safekeeper), except for (a) those canceled by it (and, in the case of Notes issued in the form of one or more Global Notes under the New Safekeeping Structure, canceled by the Common Safekeeper), (b) those delivered to it for cancellation, (c) to the extent set forth in Sections 9.01 and 9.02, on or after the date on which the conditions set forth in Section 9.01 or 9.02 have been satisfied, those Notes theretofore authenticated and delivered by the Trustee hereunder and (d) those described in this Section 2.09 as not outstanding. Subject to Section 2.10, a Note does not cease to be outstanding because the Issuer or one of its Affiliates holds the Note.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32" w:name="page233"/>
    <w:bookmarkEnd w:id="232"/>
    <w:p>
      <w:pPr>
        <w:jc w:val="both"/>
        <w:ind w:right="1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Note is replaced pursuant to Section 2.08, it ceases to be outstanding unless the Trustee receives proof satisfactory to it that the replaced Note is held by a bona fide purchaser in whose hands such Note is a legal, valid and binding obligation of the Issuer (and, in the case of a Note issued in the form of a Global Note under the New Safekeeping Structure, effectuated by the Common Safekeeper).</w:t>
      </w:r>
    </w:p>
    <w:p>
      <w:pPr>
        <w:spacing w:after="0" w:line="16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If the Paying Agent holds, in its capacity as such, on any Maturity Date, money sufficient to pay all accrued interest and principal with respect to the Notes payable on that date and is not prohibited from paying such money to the Holders thereof pursuant to the terms of this Indenture, then on and after that date such Notes cease to be outstanding and interest on them ceases to accrue.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2.10 Treasury Notes.</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determining whether the Holders of the required principal amount of Notes of a series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any other obligor on the Notes or any of their respective Affiliates.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2.11 Temporary Notes.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Until definitive Notes are prepared and ready for delivery, the Issuer may prepare and the Trustee shall authenticate temporary Notes (and, in the case of Notes issued in the form of Global Notes under the New Safekeeping Structure, the Trustee shall instruct, or cause the Paying Agent to instruct, the Common Safekeeper to effectuate the Global Notes and such Global Notes shall have been effectuated by the Common Safekeeper). Temporary Notes shall be substantially in the form of definitive Notes but may have variations that the Issuer considers appropriate for temporary Notes (and, in the case of temporary Notes issued in the form of Global Notes under the New Safekeeping Structure, such temporary Notes shall be effectuated by the Common Safekeeper). Without unreasonable delay, the Issuer shall prepare and the Trustee shall authenticate definitive Notes in exchange for temporary Notes (and, in the case of temporary Notes issued in the form of Global Notes under the New Safekeeping Structure, the Trustee shall instruct, or cause the Paying Agent to instruct, the Common Safekeeper to effectuate, in exchange for such temporary Notes, an equal aggregate amount of definitive Notes). Until such exchange, temporary Notes shall be entitled to the same rights, benefits and privileges as definitive Notes.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2.12 Cancellation.</w:t>
      </w:r>
    </w:p>
    <w:p>
      <w:pPr>
        <w:spacing w:after="0" w:line="11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Issuer at any time may deliver Notes to the Trustee for cancellation along with an Issuer Order directing the cancellation thereof. The Registrar and the Paying Agent shall forward to the Trustee any Notes surrendered to them for registration of transfer, exchange or payment. The Trustee shall cancel all Notes surrendered for registration of transfer, exchange, payment, replacement or cancellation and shall deliver such canceled Notes to the Issuer (and, in the case of a Note issued in the form of a Global Note under the New Safekeeping Structure, the Trustee and the Paying Agent shall direct the Common Safekeeper to cancel such Note). The Issuer may not reissue or resell, or issue new Notes to replace Notes that the Issuer has redeemed or paid, or that have been delivered to the Trustee for cancellation (other than in accordance with this Indenture).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33" w:name="page234"/>
    <w:bookmarkEnd w:id="23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2.13 Defaulted Interest.</w:t>
      </w:r>
    </w:p>
    <w:p>
      <w:pPr>
        <w:spacing w:after="0" w:line="11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If the Issuer defaults on a payment of interest on the Notes, it shall pay the defaulted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(to the extent permitted by law) any interest payable on the defaulted interest, in accordance with the terms hereof, to the Persons who are Holders on a subsequent special record date, which date shall be at least five Business Days prior to the payment date. The Issuer shall fix such special record date and payment date in a manner satisfactory to the Trustee. At least 10 days before such special record date, the Issuer shall deliver in accordance with the procedures of the relevant depositary (or in the case of a Note issued in the form of a Global Note under the New Safekeeping Structure, the applicable procedures of the Common Safekeeper) to each 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2.14 Identifying Number.</w:t>
      </w:r>
    </w:p>
    <w:p>
      <w:pPr>
        <w:spacing w:after="0" w:line="117"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7"/>
          <w:szCs w:val="17"/>
          <w:color w:val="auto"/>
        </w:rPr>
        <w:t xml:space="preserve">The Issuer in issuing the Notes may use a “CUSIP,” “ISIN” or other similar number, and if so, such CUSIP, ISIN or other similar number shall be included in notices of redemption or exchange as a convenience to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notice may state that no representation is made as to the correctness or accuracy of the CUSIP, ISIN or other similar number printed in the notice or on the Notes, and that reliance may be placed only on the other identification numbers printed on the Notes. The Issuer shall promptly notify the Trustee of any such CUSIP, ISIN or other similar number used by the Issuer in connection with the issuance of the Notes and of any change in the CUSIP, ISIN or other similar number.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2.15 Deposit of Moneys.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Prior to 11:00 a.m., London time, on each Interest Payment Date and Maturity Date, the Issuer shall have deposited with the Paying Agent in immediately available funds money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Note shall be payable to the ICSD of such Global Note or its nominee, as the case may be, as the sole registered owner and the sole Holder of the Notes represented thereby. The principal and interest on Physical Notes shall be payable, either in person or by mail, at the office of the Paying Agent.</w:t>
      </w:r>
    </w:p>
    <w:p>
      <w:pPr>
        <w:spacing w:after="0" w:line="19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All payments of principal of, the Redemption Price (if any), and interest and additional amounts (if any), on the Notes, will be payable in euros; provided that, if the euro is unavailable to the Issuer due to the imposition of exchange controls or other circumstances beyond the Issuer’s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the Issuer or so used. If the euro is unavailable to the Issuer, the amount payable on any date in euros will be converted into U.S. Dollars at the rate mandated by the Board of Governors of the Federal Reserve System as of the close of business on the second Business Day prior to the relevant payment date or, in the event the Board of Governors of the Federal Reserve System has not mandated a rate of conversion, on the basis of the most recent U.S. Dollar/ euro exchange rate published in The Wall Street Journal on or prior to the second Business Day prior to the relevant payment date or, in the event The Wall Street Journal has not published such exchange rate, at such rate as will be determined in the Issuer’s sole discretion on the basis of the most recently available market exchange rate for the euro. Any payment in respect of the Notes so made in U.S. Dollars will not constitute an event of default under the Notes or this Indenture. Neither the Trustee nor the Paying Agent shall have any responsibility for any calculation or conversion in connection with the foregoing.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34" w:name="page235"/>
    <w:bookmarkEnd w:id="23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2.16 Book-Entry Provisions for Global Notes.</w:t>
      </w:r>
    </w:p>
    <w:p>
      <w:pPr>
        <w:spacing w:after="0" w:line="117" w:lineRule="exact"/>
        <w:rPr>
          <w:sz w:val="20"/>
          <w:szCs w:val="20"/>
          <w:color w:val="auto"/>
        </w:rPr>
      </w:pPr>
    </w:p>
    <w:p>
      <w:pPr>
        <w:ind w:firstLine="436"/>
        <w:spacing w:after="0" w:line="269" w:lineRule="auto"/>
        <w:tabs>
          <w:tab w:leader="none" w:pos="68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2022 Regulation S Notes initially shall be represented by one or more Notes of the same series in registered, global form without interest coupons (collectively, the “</w:t>
      </w:r>
      <w:r>
        <w:rPr>
          <w:rFonts w:ascii="Arial" w:cs="Arial" w:eastAsia="Arial" w:hAnsi="Arial"/>
          <w:sz w:val="17"/>
          <w:szCs w:val="17"/>
          <w:i w:val="1"/>
          <w:iCs w:val="1"/>
          <w:color w:val="auto"/>
        </w:rPr>
        <w:t>2022 Regulation S Global Notes</w:t>
      </w:r>
      <w:r>
        <w:rPr>
          <w:rFonts w:ascii="Arial" w:cs="Arial" w:eastAsia="Arial" w:hAnsi="Arial"/>
          <w:sz w:val="17"/>
          <w:szCs w:val="17"/>
          <w:color w:val="auto"/>
        </w:rPr>
        <w:t>”). The 2024 Regulation S Notes initially shall be represented by one or more Notes of the same series in registered, global form without interest coupons (collectively, the “</w:t>
      </w:r>
      <w:r>
        <w:rPr>
          <w:rFonts w:ascii="Arial" w:cs="Arial" w:eastAsia="Arial" w:hAnsi="Arial"/>
          <w:sz w:val="17"/>
          <w:szCs w:val="17"/>
          <w:i w:val="1"/>
          <w:iCs w:val="1"/>
          <w:color w:val="auto"/>
        </w:rPr>
        <w:t>2024 Regulation S Global Notes</w:t>
      </w:r>
      <w:r>
        <w:rPr>
          <w:rFonts w:ascii="Arial" w:cs="Arial" w:eastAsia="Arial" w:hAnsi="Arial"/>
          <w:sz w:val="17"/>
          <w:szCs w:val="17"/>
          <w:color w:val="auto"/>
        </w:rPr>
        <w:t>”). The 2027 Regulation S Notes initially shall be represented by one or more Notes of the same series in registered, global form without interest coupons (collectively, the “</w:t>
      </w:r>
      <w:r>
        <w:rPr>
          <w:rFonts w:ascii="Arial" w:cs="Arial" w:eastAsia="Arial" w:hAnsi="Arial"/>
          <w:sz w:val="17"/>
          <w:szCs w:val="17"/>
          <w:i w:val="1"/>
          <w:iCs w:val="1"/>
          <w:color w:val="auto"/>
        </w:rPr>
        <w:t>2027</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S Global Notes</w:t>
      </w:r>
      <w:r>
        <w:rPr>
          <w:rFonts w:ascii="Arial" w:cs="Arial" w:eastAsia="Arial" w:hAnsi="Arial"/>
          <w:sz w:val="17"/>
          <w:szCs w:val="17"/>
          <w:color w:val="auto"/>
        </w:rPr>
        <w:t>”). The 2032 Regulation S Notes initially shall be represented by one or more Notes of the same series in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form without interest coupons (collectively, the “</w:t>
      </w:r>
      <w:r>
        <w:rPr>
          <w:rFonts w:ascii="Arial" w:cs="Arial" w:eastAsia="Arial" w:hAnsi="Arial"/>
          <w:sz w:val="17"/>
          <w:szCs w:val="17"/>
          <w:i w:val="1"/>
          <w:iCs w:val="1"/>
          <w:color w:val="auto"/>
        </w:rPr>
        <w:t>2032 Regulation S Global Notes</w:t>
      </w:r>
      <w:r>
        <w:rPr>
          <w:rFonts w:ascii="Arial" w:cs="Arial" w:eastAsia="Arial" w:hAnsi="Arial"/>
          <w:sz w:val="17"/>
          <w:szCs w:val="17"/>
          <w:color w:val="auto"/>
        </w:rPr>
        <w:t>” and, together with the 2022 Regulation S Global Notes, the 2024 Regulation S Global Notes and the 2027 Regulation S Global Notes, the “</w:t>
      </w:r>
      <w:r>
        <w:rPr>
          <w:rFonts w:ascii="Arial" w:cs="Arial" w:eastAsia="Arial" w:hAnsi="Arial"/>
          <w:sz w:val="17"/>
          <w:szCs w:val="17"/>
          <w:i w:val="1"/>
          <w:iCs w:val="1"/>
          <w:color w:val="auto"/>
        </w:rPr>
        <w:t>Regulation S Global Notes</w:t>
      </w:r>
      <w:r>
        <w:rPr>
          <w:rFonts w:ascii="Arial" w:cs="Arial" w:eastAsia="Arial" w:hAnsi="Arial"/>
          <w:sz w:val="17"/>
          <w:szCs w:val="17"/>
          <w:color w:val="auto"/>
        </w:rPr>
        <w:t>”). The Regulation S Global Notes and any other global notes representing the Notes (collectively, the “</w:t>
      </w:r>
      <w:r>
        <w:rPr>
          <w:rFonts w:ascii="Arial" w:cs="Arial" w:eastAsia="Arial" w:hAnsi="Arial"/>
          <w:sz w:val="17"/>
          <w:szCs w:val="17"/>
          <w:i w:val="1"/>
          <w:iCs w:val="1"/>
          <w:color w:val="auto"/>
        </w:rPr>
        <w:t>Global Notes</w:t>
      </w:r>
      <w:r>
        <w:rPr>
          <w:rFonts w:ascii="Arial" w:cs="Arial" w:eastAsia="Arial" w:hAnsi="Arial"/>
          <w:sz w:val="17"/>
          <w:szCs w:val="17"/>
          <w:color w:val="auto"/>
        </w:rPr>
        <w:t xml:space="preserve">”) shall bear legends as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The Global Notes initially shall (i) be registered in the name of the Common Safekeeper or the nominee of such Common Safekeeper, in each case for credit to an account of an Agent Member, (ii) be delivered to Citibank, N.A., London Branch, as custodian for such Common Safekeeper and (iii) except as permitted by Section 2.17(b), bear the Transfer Restriction Legend with respect to a Regulation S Global Note.</w:t>
      </w:r>
    </w:p>
    <w:p>
      <w:pPr>
        <w:spacing w:after="0" w:line="182"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Members of, or direct or indirect participants in, the ICSDs (“</w:t>
      </w:r>
      <w:r>
        <w:rPr>
          <w:rFonts w:ascii="Arial" w:cs="Arial" w:eastAsia="Arial" w:hAnsi="Arial"/>
          <w:sz w:val="18"/>
          <w:szCs w:val="18"/>
          <w:i w:val="1"/>
          <w:iCs w:val="1"/>
          <w:color w:val="auto"/>
        </w:rPr>
        <w:t>Agent Members</w:t>
      </w:r>
      <w:r>
        <w:rPr>
          <w:rFonts w:ascii="Arial" w:cs="Arial" w:eastAsia="Arial" w:hAnsi="Arial"/>
          <w:sz w:val="18"/>
          <w:szCs w:val="18"/>
          <w:color w:val="auto"/>
        </w:rPr>
        <w:t>”) shall have no rights under this Indenture with respect to any Global Note held on their behalf by the ICSDs, the Common Safekeeper or the Trustee, or under the Global Notes, and the ICSDs or the Common Safekeeper, as applicable, may be treated by the Issuer, the Trustee and any agent of the Issuer or the Trustee as the absolute owner of the Global Note for all purposes whatsoever. Notwithstanding the foregoing, nothing herein shall prevent the Issuer, the Trustee or any agent of the Issuer or the Trustee from giving effect to any written certification, proxy or other authorization (which may be in electronic form) furnished by the ICSDs or the Common Safekeeper or impair, as between the ICSDs and their Agent Members, the operation of customary practices governing the exercise of the rights of a Holder of any Note.</w:t>
      </w:r>
    </w:p>
    <w:p>
      <w:pPr>
        <w:spacing w:after="0" w:line="19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None of the Issuer, any Guarantor, the Trustee, the Registrar, any Paying Agent or any agent of any of them shall have any responsibility or liability for any aspect of the records relating to or payments made on account of beneficial ownership interests in the Notes, for maintaining, supervising or reviewing any records relating to such beneficial owner interests, or for any acts or omissions of any of the ICSDs or the Common Safekeeper or for any transactions between any of the ICSDs or the Common Safekeeper and any beneficial owner or between or among beneficial owners. No owner of a beneficial interest in the Notes shall have any rights under this Indenture, and the ICSDs or any Common Safekeeper shall be deemed and treated by the Issuer, any Guarantor, the Trustee, the Registrar, any Paying Agent or any agent of any of them as the absolute owner and holder of such Notes for all purposes whatsoever. Notwithstanding the foregoing, nothing herein shall prevent the Issuer, any Guarantor, the Trustee, the Registrar, any Paying Agent or any agent of any of them from giving effect to any written certification, proxy or other authorization furnished by ICSDs or the Common Safekeeper, or any of its members and any other Person on whose behalf such member may act, the operation of customary practices of such Persons governing the exercise of the rights of a beneficial owner of any Notes.</w:t>
      </w:r>
    </w:p>
    <w:p>
      <w:pPr>
        <w:spacing w:after="0" w:line="77" w:lineRule="exact"/>
        <w:rPr>
          <w:sz w:val="20"/>
          <w:szCs w:val="20"/>
          <w:color w:val="auto"/>
        </w:rPr>
      </w:pPr>
    </w:p>
    <w:p>
      <w:pPr>
        <w:ind w:right="80" w:firstLine="436"/>
        <w:spacing w:after="0" w:line="255"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Transfers and exchanges pursuant to this Section 2.16 and Section 2.17 may only be made between Notes of the same series. Transfers of Global Notes shall be limited to transfers in whole, but not in part, to the ICSDs or any Common Safekeeper, their respective successors or respective nominees. Interests of beneficial owners in the Global Notes may be transferred or exchanged for Physical Notes in accordance with the rules and procedures of the ICSDs and the provisions of Section 2.17. In addition, a Global Note shall be exchangeable for Physical Notes if (i) each of Euroclear or Clearstream notifies the Issuer that it is unwilling or unable to continue to act as depositary for such Global Note and a successor depositary is not appointed by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35" w:name="page236"/>
    <w:bookmarkEnd w:id="23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within 90 days, (ii) the Issuer, at its option, notifies the Trustee in writing that it elects to exchange in whole, but not in part, the Global Notes for Physical Notes or (iii) the owner of an interest in a Global Note requests such exchange in writing to Euroclear or Clearstream following an Event of Default with respect to the Notes. In all cases, Physical Notes delivered in exchange for any Global Note or beneficial interests therein shall be registered in the names, and issued in any approved denominations, requested by or on behalf of the ICSDs (in accordance with their customary procedures).</w:t>
      </w:r>
    </w:p>
    <w:p>
      <w:pPr>
        <w:spacing w:after="0" w:line="80" w:lineRule="exact"/>
        <w:rPr>
          <w:sz w:val="20"/>
          <w:szCs w:val="20"/>
          <w:color w:val="auto"/>
        </w:rPr>
      </w:pPr>
    </w:p>
    <w:p>
      <w:pPr>
        <w:ind w:right="340" w:firstLine="436"/>
        <w:spacing w:after="0" w:line="257"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connection with any transfer or exchange of a portion of the beneficial interest in any Global Note to beneficial owners pursuant to paragraph (b) of this Section 2.16, the Registrar shall (if one or more Physical Notes are to be issued) reflect on its books and records the date and a decrease in the principal amount of the Global Note in an amount equal to the principal amount of the beneficial interest in the Global Note to be transferred, and the Issuer shall execute, and the Trustee shall upon receipt of a written order from the Issuer authenticate and make available for delivery, one or more Physical Notes of like tenor and amount.</w:t>
      </w:r>
    </w:p>
    <w:p>
      <w:pPr>
        <w:spacing w:after="0" w:line="79" w:lineRule="exact"/>
        <w:rPr>
          <w:rFonts w:ascii="Arial" w:cs="Arial" w:eastAsia="Arial" w:hAnsi="Arial"/>
          <w:sz w:val="18"/>
          <w:szCs w:val="18"/>
          <w:color w:val="auto"/>
        </w:rPr>
      </w:pPr>
    </w:p>
    <w:p>
      <w:pPr>
        <w:jc w:val="both"/>
        <w:ind w:right="20" w:firstLine="436"/>
        <w:spacing w:after="0" w:line="259"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connection with the transfer of Global Notes as an entirety to beneficial owners pursuant to paragraph (b) of this Section 2.16, the Global Notes shall be deemed to be surrendered to the Trustee for cancellation, and the Issuer shall execute, and the Trustee shall authenticate and deliver, to each beneficial owner identified by the ICSDs or the Common Safekeeper in writing in exchange for its beneficial interest in the Global Notes, an equal aggregate principal amount of Physical Notes of authorized denominations.</w:t>
      </w:r>
    </w:p>
    <w:p>
      <w:pPr>
        <w:spacing w:after="0" w:line="78" w:lineRule="exact"/>
        <w:rPr>
          <w:rFonts w:ascii="Arial" w:cs="Arial" w:eastAsia="Arial" w:hAnsi="Arial"/>
          <w:sz w:val="18"/>
          <w:szCs w:val="18"/>
          <w:color w:val="auto"/>
        </w:rPr>
      </w:pPr>
    </w:p>
    <w:p>
      <w:pPr>
        <w:ind w:right="300" w:firstLine="436"/>
        <w:spacing w:after="0" w:line="342" w:lineRule="auto"/>
        <w:tabs>
          <w:tab w:leader="none" w:pos="68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Physical Note constituting a Transfer Restricted Note delivered in exchange for an interest in a Global Note shall, except as otherwise provided by Section 2.17(b), the Transfer Restriction Legend, unless the Issuer determines otherwise in compliance with applicable law.</w:t>
      </w:r>
    </w:p>
    <w:p>
      <w:pPr>
        <w:spacing w:after="0" w:line="15" w:lineRule="exact"/>
        <w:rPr>
          <w:rFonts w:ascii="Arial" w:cs="Arial" w:eastAsia="Arial" w:hAnsi="Arial"/>
          <w:sz w:val="16"/>
          <w:szCs w:val="16"/>
          <w:color w:val="auto"/>
        </w:rPr>
      </w:pPr>
    </w:p>
    <w:p>
      <w:pPr>
        <w:jc w:val="both"/>
        <w:ind w:right="20" w:firstLine="436"/>
        <w:spacing w:after="0" w:line="259" w:lineRule="auto"/>
        <w:tabs>
          <w:tab w:leader="none" w:pos="6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beneficial interest in one of the Global Notes that is transferred to a Person who takes delivery in the form of an interest in another Global Note shall, upon transfer, cease to be an interest in such Global Note and become an interest in such other Global Note and, accordingly, shall thereafter be subject to all transfer restrictions and other procedures applicable to beneficial interests in such other Global Note for as long as it remains such an interest.</w:t>
      </w:r>
    </w:p>
    <w:p>
      <w:pPr>
        <w:spacing w:after="0" w:line="78"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2.17 Special Transfer Provisions.</w:t>
      </w:r>
    </w:p>
    <w:p>
      <w:pPr>
        <w:spacing w:after="0" w:line="117" w:lineRule="exact"/>
        <w:rPr>
          <w:sz w:val="20"/>
          <w:szCs w:val="20"/>
          <w:color w:val="auto"/>
        </w:rPr>
      </w:pPr>
    </w:p>
    <w:p>
      <w:pPr>
        <w:ind w:left="680" w:hanging="244"/>
        <w:spacing w:after="0"/>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following provisions shall apply with respect to the registration of any proposed transfer of a Transfer Restricted Note:</w:t>
      </w:r>
    </w:p>
    <w:p>
      <w:pPr>
        <w:spacing w:after="0" w:line="117" w:lineRule="exact"/>
        <w:rPr>
          <w:rFonts w:ascii="Arial" w:cs="Arial" w:eastAsia="Arial" w:hAnsi="Arial"/>
          <w:sz w:val="18"/>
          <w:szCs w:val="18"/>
          <w:color w:val="auto"/>
        </w:rPr>
      </w:pPr>
    </w:p>
    <w:p>
      <w:pPr>
        <w:ind w:left="440" w:right="620" w:firstLine="419"/>
        <w:spacing w:after="0" w:line="277" w:lineRule="auto"/>
        <w:tabs>
          <w:tab w:leader="none" w:pos="111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the Registrar shall register the transfer of any Transfer Restricted Note if the proposed transferor has delivered to the Registrar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and</w:t>
      </w:r>
    </w:p>
    <w:p>
      <w:pPr>
        <w:spacing w:after="0" w:line="62" w:lineRule="exact"/>
        <w:rPr>
          <w:rFonts w:ascii="Arial" w:cs="Arial" w:eastAsia="Arial" w:hAnsi="Arial"/>
          <w:sz w:val="18"/>
          <w:szCs w:val="18"/>
          <w:color w:val="auto"/>
        </w:rPr>
      </w:pPr>
    </w:p>
    <w:p>
      <w:pPr>
        <w:ind w:left="440" w:right="80" w:firstLine="419"/>
        <w:spacing w:after="0" w:line="255" w:lineRule="auto"/>
        <w:tabs>
          <w:tab w:leader="none" w:pos="111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the proposed transferor is an Agent Member holding a beneficial interest in the Global Note, upon receipt by the Registrar of (x) the certificate required by this Section 2.17 and (y) written instructions given in accordance with the ICSDs’ and the Registrar’s procedures; whereupon (a) the Registrar shall reflect on its books and records the date and (if the transfer does not involve a transfer of outstanding Physical Notes) a decrease in the principal amount of such Global Note in an amount equal to the principal amount of the beneficial interest in the Global Note to be transferred and (b) the Issuer shall execute and the Trustee shall authenticate and deliver, one or more Physical Notes of like tenor and amount; and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236" w:name="page237"/>
    <w:bookmarkEnd w:id="236"/>
    <w:p>
      <w:pPr>
        <w:ind w:left="440" w:right="20" w:firstLine="419"/>
        <w:spacing w:after="0" w:line="257" w:lineRule="auto"/>
        <w:tabs>
          <w:tab w:leader="none" w:pos="1118" w:val="left"/>
        </w:tabs>
        <w:numPr>
          <w:ilvl w:val="1"/>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proposed transferee is an Agent Member, and the Notes to be transferred consist of Physical Notes, which after transfer are to be evidenced by an interest in a Regulation S Global Note, upon receipt by the Registrar of written instructions given in accordance with the ICSDs’ and the Registrar’s procedures, the Registrar shall reflect on its books and records the date and an increase in the principal amount of such Regulation S Global Note in an amount equal to the principal amount of Physical Notes to be transferred, and the Trustee shall cancel the Physical Notes so transferred.</w:t>
      </w:r>
    </w:p>
    <w:p>
      <w:pPr>
        <w:spacing w:after="0" w:line="79" w:lineRule="exact"/>
        <w:rPr>
          <w:rFonts w:ascii="Arial" w:cs="Arial" w:eastAsia="Arial" w:hAnsi="Arial"/>
          <w:sz w:val="18"/>
          <w:szCs w:val="18"/>
          <w:color w:val="auto"/>
        </w:rPr>
      </w:pPr>
    </w:p>
    <w:p>
      <w:pPr>
        <w:ind w:right="40" w:firstLine="436"/>
        <w:spacing w:after="0" w:line="271" w:lineRule="auto"/>
        <w:tabs>
          <w:tab w:leader="none" w:pos="695"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Transfer Restriction Legend</w:t>
      </w:r>
      <w:r>
        <w:rPr>
          <w:rFonts w:ascii="Arial" w:cs="Arial" w:eastAsia="Arial" w:hAnsi="Arial"/>
          <w:sz w:val="17"/>
          <w:szCs w:val="17"/>
          <w:color w:val="auto"/>
        </w:rPr>
        <w:t>. Upon the registration of transfer, exchange or replacement of Notes not bearing the Transfer Restriction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Registrar shall deliver Notes that do not bear the Transfer Restriction Legend. Upon the registration of transfer, exchange or replacement of Notes bearing the Transfer Restriction Legend, the Registrar shall deliver only Notes that bear the Transfer Restriction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(ii) such Note has been sold pursuant to an effective registration statement under the Securities Act and the Registrar has received an Officer’s Certificate from the Issuer to such effect or (iii) the requested transfer is after the expiration of the Distribution Compliance Period and the proposed transferor has delivered to the Registrar a certificate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70" w:lineRule="exact"/>
        <w:rPr>
          <w:rFonts w:ascii="Arial" w:cs="Arial" w:eastAsia="Arial" w:hAnsi="Arial"/>
          <w:sz w:val="17"/>
          <w:szCs w:val="17"/>
          <w:color w:val="auto"/>
        </w:rPr>
      </w:pPr>
    </w:p>
    <w:p>
      <w:pPr>
        <w:ind w:right="120" w:firstLine="436"/>
        <w:spacing w:after="0" w:line="263"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By its acceptance of any Note bearing the Transfer Restriction Legend, each Holder of such Note acknowledges the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such Note set forth in this Indenture and in the Transfer Restriction Legend and agrees that it will transfer such Note only as provided in this Indenture.</w:t>
      </w:r>
    </w:p>
    <w:p>
      <w:pPr>
        <w:spacing w:after="0" w:line="18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Concurrently with the issuance of such Notes, the Trustee will cause the aggregate principal amount of the applicable Global Notes bearing the Transfer Restriction Legend to be reduced accordingly, and the Issuer will execute and the Trustee will authenticate and deliver to the Persons designated by the Holders of Physical Notes so accepted Physical Notes not bearing the Transfer Restriction Legend in the appropriate principal amount.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2.18 Computation of Interest.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the Notes shall be computed in accordance with the terms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2.19 Additional Responsibilities of the Paying Agent regarding Notes issued under the New Safekeeping Structure.</w:t>
      </w:r>
    </w:p>
    <w:p>
      <w:pPr>
        <w:spacing w:after="0" w:line="117" w:lineRule="exact"/>
        <w:rPr>
          <w:sz w:val="20"/>
          <w:szCs w:val="20"/>
          <w:color w:val="auto"/>
        </w:rPr>
      </w:pPr>
    </w:p>
    <w:p>
      <w:pPr>
        <w:ind w:right="80" w:firstLine="436"/>
        <w:spacing w:after="0" w:line="263" w:lineRule="auto"/>
        <w:tabs>
          <w:tab w:leader="none" w:pos="6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Paying Agent will inform the ICSDs (through the Common Service Provider) appointed by the ICSDs to service the Notes issued in the form of Global Notes under the New Safekeeping Structure of the initial issue outstanding amount (“</w:t>
      </w:r>
      <w:r>
        <w:rPr>
          <w:rFonts w:ascii="Arial" w:cs="Arial" w:eastAsia="Arial" w:hAnsi="Arial"/>
          <w:sz w:val="18"/>
          <w:szCs w:val="18"/>
          <w:i w:val="1"/>
          <w:iCs w:val="1"/>
          <w:color w:val="auto"/>
        </w:rPr>
        <w:t>IOA</w:t>
      </w:r>
      <w:r>
        <w:rPr>
          <w:rFonts w:ascii="Arial" w:cs="Arial" w:eastAsia="Arial" w:hAnsi="Arial"/>
          <w:sz w:val="18"/>
          <w:szCs w:val="18"/>
          <w:color w:val="auto"/>
        </w:rPr>
        <w:t>”) of such Notes on or prior to the closing date applicable to such Notes.</w:t>
      </w:r>
    </w:p>
    <w:p>
      <w:pPr>
        <w:spacing w:after="0" w:line="75" w:lineRule="exact"/>
        <w:rPr>
          <w:rFonts w:ascii="Arial" w:cs="Arial" w:eastAsia="Arial" w:hAnsi="Arial"/>
          <w:sz w:val="18"/>
          <w:szCs w:val="18"/>
          <w:color w:val="auto"/>
        </w:rPr>
      </w:pPr>
    </w:p>
    <w:p>
      <w:pPr>
        <w:jc w:val="both"/>
        <w:ind w:right="100" w:firstLine="436"/>
        <w:spacing w:after="0" w:line="311" w:lineRule="auto"/>
        <w:tabs>
          <w:tab w:leader="none" w:pos="69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any event occurs that requires a markup or markdown of the records that an ICSD holds for its customers to reflect such customers’ interest in any Note issued in the form of a Global Note under the New Safekeeping Structure, the Paying Agent will promptly provide details of the amount of such markup or markdown, together with a description of the event that requires it, to the ICSDs (through the Common Service Provider).</w:t>
      </w:r>
    </w:p>
    <w:p>
      <w:pPr>
        <w:spacing w:after="0" w:line="40" w:lineRule="exact"/>
        <w:rPr>
          <w:rFonts w:ascii="Arial" w:cs="Arial" w:eastAsia="Arial" w:hAnsi="Arial"/>
          <w:sz w:val="16"/>
          <w:szCs w:val="16"/>
          <w:color w:val="auto"/>
        </w:rPr>
      </w:pPr>
    </w:p>
    <w:p>
      <w:pPr>
        <w:ind w:right="60" w:firstLine="436"/>
        <w:spacing w:after="0" w:line="259" w:lineRule="auto"/>
        <w:tabs>
          <w:tab w:leader="none" w:pos="6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Paying Agent will, prior to each payment on any Note issued in the form of a Global Note under the New Safekeeping Structure, compare its records of the IOA of any such Note with the information received from the ICSDs (through the Common Service Provider) with respect to the records reflecting the IOA maintained by the ICSDs for such Note and will promptly inform the ICSDs (through the Common Service Provider) of any discrepancies.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37" w:name="page238"/>
    <w:bookmarkEnd w:id="237"/>
    <w:p>
      <w:pPr>
        <w:ind w:right="500" w:firstLine="436"/>
        <w:spacing w:after="0" w:line="277"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Paying Agent will promptly assist the ICSDs (through the Common Service Provider) in resolving any discrepancy identified in the records reflecting the IOA of any Note issued in the form of a Global Note under the New Safekeeping Structure.</w:t>
      </w:r>
    </w:p>
    <w:p>
      <w:pPr>
        <w:spacing w:after="0" w:line="62" w:lineRule="exact"/>
        <w:rPr>
          <w:rFonts w:ascii="Arial" w:cs="Arial" w:eastAsia="Arial" w:hAnsi="Arial"/>
          <w:sz w:val="18"/>
          <w:szCs w:val="18"/>
          <w:color w:val="auto"/>
        </w:rPr>
      </w:pPr>
    </w:p>
    <w:p>
      <w:pPr>
        <w:jc w:val="both"/>
        <w:ind w:right="320" w:firstLine="436"/>
        <w:spacing w:after="0" w:line="263" w:lineRule="auto"/>
        <w:tabs>
          <w:tab w:leader="none" w:pos="6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Paying Agent will promptly provide to the ICSDs (through the Common Service Provider) details of all amounts paid under any Note issued in the form of a Global Note under the New Safekeeping Structure (or, where such Note provides for delivery of assets other than cash, of the assets so delivered).</w:t>
      </w:r>
    </w:p>
    <w:p>
      <w:pPr>
        <w:spacing w:after="0" w:line="75" w:lineRule="exact"/>
        <w:rPr>
          <w:rFonts w:ascii="Arial" w:cs="Arial" w:eastAsia="Arial" w:hAnsi="Arial"/>
          <w:sz w:val="18"/>
          <w:szCs w:val="18"/>
          <w:color w:val="auto"/>
        </w:rPr>
      </w:pPr>
    </w:p>
    <w:p>
      <w:pPr>
        <w:ind w:right="140" w:firstLine="436"/>
        <w:spacing w:after="0" w:line="263" w:lineRule="auto"/>
        <w:tabs>
          <w:tab w:leader="none" w:pos="6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Paying Agent will promptly provide to the ICSDs (through the Common Service Provider) notice of any changes to any Global Note issued under the New Safekeeping Structure known to the Paying Agent that will affect the amount of, or date for, any payment due under such Global Note issued under the New Safekeeping Structure.</w:t>
      </w:r>
    </w:p>
    <w:p>
      <w:pPr>
        <w:spacing w:after="0" w:line="75" w:lineRule="exact"/>
        <w:rPr>
          <w:rFonts w:ascii="Arial" w:cs="Arial" w:eastAsia="Arial" w:hAnsi="Arial"/>
          <w:sz w:val="18"/>
          <w:szCs w:val="18"/>
          <w:color w:val="auto"/>
        </w:rPr>
      </w:pPr>
    </w:p>
    <w:p>
      <w:pPr>
        <w:ind w:right="180" w:firstLine="436"/>
        <w:spacing w:after="0" w:line="308" w:lineRule="auto"/>
        <w:tabs>
          <w:tab w:leader="none" w:pos="69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Paying Agent will promptly provide to the ICSDs (through the Common Service Provider) copies of all notices in its possession that are given by or on behalf of the Issuer to the holders of any Note issued in the form of a Global Note under the New Safekeeping Structure.</w:t>
      </w:r>
    </w:p>
    <w:p>
      <w:pPr>
        <w:spacing w:after="0" w:line="38" w:lineRule="exact"/>
        <w:rPr>
          <w:rFonts w:ascii="Arial" w:cs="Arial" w:eastAsia="Arial" w:hAnsi="Arial"/>
          <w:sz w:val="17"/>
          <w:szCs w:val="17"/>
          <w:color w:val="auto"/>
        </w:rPr>
      </w:pPr>
    </w:p>
    <w:p>
      <w:pPr>
        <w:jc w:val="both"/>
        <w:ind w:right="80" w:firstLine="436"/>
        <w:spacing w:after="0" w:line="263"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Paying Agent will promptly pass on to the Issuer all communications it receives from the ICSDs directly or through the Common Service Provider relating to any Global Note issued under the New Safekeeping Structure. Any such notice shall be deemed to have been conclusively given by being sent to the Issuer in accordance with Section 11.01.</w:t>
      </w:r>
    </w:p>
    <w:p>
      <w:pPr>
        <w:spacing w:after="0" w:line="75" w:lineRule="exact"/>
        <w:rPr>
          <w:rFonts w:ascii="Arial" w:cs="Arial" w:eastAsia="Arial" w:hAnsi="Arial"/>
          <w:sz w:val="18"/>
          <w:szCs w:val="18"/>
          <w:color w:val="auto"/>
        </w:rPr>
      </w:pPr>
    </w:p>
    <w:p>
      <w:pPr>
        <w:ind w:right="20" w:firstLine="436"/>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Paying Agent will promptly notify the ICSDs (through the Common Service Provider) of any failure by the Issuer to make any payment or delivery due under any issuance of Notes issued in the form of Global Notes under the New Safekeeping Structure when due.</w:t>
      </w:r>
    </w:p>
    <w:p>
      <w:pPr>
        <w:spacing w:after="0" w:line="62" w:lineRule="exact"/>
        <w:rPr>
          <w:rFonts w:ascii="Arial" w:cs="Arial" w:eastAsia="Arial" w:hAnsi="Arial"/>
          <w:sz w:val="18"/>
          <w:szCs w:val="18"/>
          <w:color w:val="auto"/>
        </w:rPr>
      </w:pPr>
    </w:p>
    <w:p>
      <w:pPr>
        <w:ind w:firstLine="436"/>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Paying Agent shall perform its duties under this Section 2.19 in accordance with the applicable procedures agreed between the Paying Agent and the ICSDs.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3.01 Election To Redeem; Notices to Trustee.</w:t>
      </w:r>
    </w:p>
    <w:p>
      <w:pPr>
        <w:spacing w:after="0" w:line="11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If the Issuer elects to redeem any Notes pursuant to Section 3.07, at least 10 days prior to the Redemption Date (unless a shorter notice shall be agreed to in writing by the Trustee) but not more than 60 days before the Redemption Date, the Issuer shall notify the Trustee in writing of the series of Notes to be redeemed, the Redemption Date and the principal amount of such Notes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3.01 may, at the Issuer’s discretion, be subject to the satisfaction or waiver of one or more conditions precedent.</w:t>
      </w:r>
    </w:p>
    <w:p>
      <w:pPr>
        <w:spacing w:after="0" w:line="178"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In addition, (i) for any redemption of Notes pursuant to Section 3.07 or Section 3.09, at least five Business Days (unless a shorter notice shall be agreed to in writing by the Trustee) prior to the Issuer sending any notice of redemption to the Trustee pursuant to Section 3.03, the Issuer shall notify the Trustee in writing of the planned redemption and (ii) for any redemption of Notes pursuant to Section 3.08, at least two Business Days (unless a shorter notice shall be agreed to in writing by the Trustee) prior to the Issuer sending any notice of redemption to the Trustee pursuant to Section 3.08, the Issuer shall notify the Trustee in writing of the planned redemption.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38" w:name="page239"/>
    <w:bookmarkEnd w:id="23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3.02 Selection by Trustee of Notes To Be Redeemed.</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If the Issuer elects to redeem less than all of the Notes of any series at any time, in the case of Notes issued in definitive form, the Trustee will select Notes of such series by lot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Trustee shall promptly notify the Issuer of the Notes selected for redemption and, in the case of any partial redemption, the principal amount thereof to be redeemed.</w:t>
      </w:r>
    </w:p>
    <w:p>
      <w:pPr>
        <w:spacing w:after="0" w:line="170" w:lineRule="exact"/>
        <w:rPr>
          <w:sz w:val="20"/>
          <w:szCs w:val="20"/>
          <w:color w:val="auto"/>
        </w:rPr>
      </w:pPr>
    </w:p>
    <w:p>
      <w:pPr>
        <w:ind w:right="600" w:firstLine="440"/>
        <w:spacing w:after="0" w:line="342" w:lineRule="auto"/>
        <w:rPr>
          <w:sz w:val="20"/>
          <w:szCs w:val="20"/>
          <w:color w:val="auto"/>
        </w:rPr>
      </w:pPr>
      <w:r>
        <w:rPr>
          <w:rFonts w:ascii="Arial" w:cs="Arial" w:eastAsia="Arial" w:hAnsi="Arial"/>
          <w:sz w:val="16"/>
          <w:szCs w:val="16"/>
          <w:color w:val="auto"/>
        </w:rPr>
        <w:t>The Issuer will redeem Notes of €100,000 or less in whole and not in part. For all purposes of this Indenture, unless the context otherwise requires, provisions of this Indenture that apply to Notes called for redemption also apply to portions of Notes called for redemption.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3.03 Notice of Redemption.</w:t>
      </w:r>
    </w:p>
    <w:p>
      <w:pPr>
        <w:spacing w:after="0" w:line="11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Subject to Section 3.08, the Issuer will cause notices of redemption to be sent to the Trustee not less than 10 nor more than 60 days prior to the Redemption Date, and the Trustee will then promptly forward (at the Issuer’s sole expense) such notice by first-class mail (or otherwise delivered in accordance with the procedures of the relevant depositary or, in the case of a Note issued in the form of a Global Note under the New Safekeeping Structure, the applicable procedures of the Common Safekeeper) to each Holder of Notes to be redeemed at its registered address. The Issuer may provide in the notice that payment of the Redemption Price and performance of the Issuer’s obligations with respect to the redemption or purchase may be performed by another Person. Any notice may, at the Issuer’s discretion, be subject to the satisfaction or waiver of one or more conditions precedent.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notice shall identify the Notes to be redeemed (including the series and the CUSIP, ISIN or other identifying numbers thereof) and shall state:</w:t>
      </w:r>
    </w:p>
    <w:p>
      <w:pPr>
        <w:spacing w:after="0" w:line="140" w:lineRule="exact"/>
        <w:rPr>
          <w:sz w:val="20"/>
          <w:szCs w:val="20"/>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11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fewer than all outstanding Notes of a series are to be redeemed, the portion of the principal amount of such Note to be redeemed and that, after the Redemption Date and upon surrender of such Note, a new Note or Notes of the applicable series in principal amount equal to the unredeemed portion will be issued;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Redemption Price, interest on Notes called for redemption ceases to accrue on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such notice is conditioned upon the occurrence of one or more conditions precedent, the nature of such conditions precedent;</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aggregate principal amount of Notes of such series that are being redeemed;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74" w:right="519" w:bottom="1440" w:gutter="0" w:footer="0" w:header="0"/>
        </w:sectPr>
      </w:pPr>
    </w:p>
    <w:bookmarkStart w:id="239" w:name="page240"/>
    <w:bookmarkEnd w:id="239"/>
    <w:p>
      <w:pPr>
        <w:ind w:left="1120" w:hanging="261"/>
        <w:spacing w:after="0"/>
        <w:tabs>
          <w:tab w:leader="none" w:pos="11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paragraph of the Notes and/or Section of this Indenture pursuant to which the Notes called for redemption are being redeemed; and</w:t>
      </w:r>
    </w:p>
    <w:p>
      <w:pPr>
        <w:spacing w:after="0" w:line="140" w:lineRule="exact"/>
        <w:rPr>
          <w:rFonts w:ascii="Arial" w:cs="Arial" w:eastAsia="Arial" w:hAnsi="Arial"/>
          <w:sz w:val="16"/>
          <w:szCs w:val="16"/>
          <w:color w:val="auto"/>
        </w:rPr>
      </w:pPr>
    </w:p>
    <w:p>
      <w:pPr>
        <w:ind w:left="440" w:right="280" w:firstLine="419"/>
        <w:spacing w:after="0" w:line="277" w:lineRule="auto"/>
        <w:tabs>
          <w:tab w:leader="none" w:pos="12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other identifying number, if any, listed in such notice or printed on the Notes.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the Redemption Price is not ascertainable on the date in which the notice of redemption is delivered, the Issuer shall send to the Trustee, at least one Business Day prior to the Redemption Date, the Redemption Price.</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For Notes which are represented by global certificates held on behalf of Euroclear and/or Clearstream, notices may be given by delivery of the relevant notices to Euroclear and/or Clearstream for communication to entitled account holders in substitution for the notification method set out above. If and for so long as any Notes are listed on the Official List of Euronext Dublin and admitted for trading on the Global Exchange Market and the rules of Euronext Dublin so require, any such notice to the Holders of the relevant Notes shall also be published to the extent and in the manner permitted by such rules, posted on the official website of Euronext Dublin (www.ise.ie) and, in connection with any redemption, the Issuer will notify Euronext Dublin of any change in the principal amount of Notes outstanding.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3.04 Effect of Notice of Redemption.</w:t>
      </w:r>
    </w:p>
    <w:p>
      <w:pPr>
        <w:spacing w:after="0" w:line="11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Once the notice of redemption described in Section 3.03 is delivered, except as provided in the last sentence of the first paragraph of Section 3.03, Notes called for redemption become irrevocably due and payable on the Redemption Date and at the Redemption Price, including any premium, plus accrued and unpaid interest thereon, if any, to, but excluding, the Redemption Date. Upon surrender to the Paying Agent, such Notes shall be paid at the Redemption Price, including any premium, plus accrued and unpaid interest thereon, if any, to, but excluding,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the Redemption Date is on or after a regular record date and on or before the related Interest Payment Date, the accrued and unpaid interest thereon, if any, shall be paid to the Holder in whose name the Note is registered at the close of business on such regular record date, and no additional interest will be payable to holders whose Notes are subject to redemption by the Issuer; and (b) if a Redemption Date is not a Business Day, payment shall be made on the next succeeding Business Day and no interest shall accrue for the period from such Redemption Date to such succeeding Business Day. Such notice, if delivered in the manner provided in Section 3.03, shall be conclusively presumed to have been given whether or not the Holder receives such notice.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3.05 Deposit of Redemption Price.</w:t>
      </w:r>
    </w:p>
    <w:p>
      <w:pPr>
        <w:spacing w:after="0" w:line="117"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On or prior to 11:00 A.M., London time, on each Redemption Date, the Issuer shall deposit with the Paying Agent in immediately available funds money sufficient to pay the Redemption Price of, including premium, if any, and accrued and unpaid interest, if any, on all Notes to be redeemed on that date other than Notes or portions thereof called for redemption on that date which have been delivered by the Issuer to the Trustee for cancellation.</w:t>
      </w:r>
    </w:p>
    <w:p>
      <w:pPr>
        <w:spacing w:after="0" w:line="14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On and after any Redemption Date, if money sufficient to pay the Redemption Price of, including premium, if any, and accrued and unpaid interest, if any, on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Section 3.04, accrued and unpaid interest on such Notes to, but excluding,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240" w:name="page241"/>
    <w:bookmarkEnd w:id="24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3.06 Notes Redeemed in Part.</w:t>
      </w:r>
    </w:p>
    <w:p>
      <w:pPr>
        <w:spacing w:after="0" w:line="11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thereof that is to be redeemed. The Issuer will issue a new Note of the applicable series in a principal amount equal to the unredeemed portion of the original Note in the name of the Holder upon cancellation of the original Note (and, in the case the original Note is in the form of a Global Note under the New Safekeeping Structure, the Trustee shall instruct, or cause the Paying Agent to instruct, the Common Safekeeper to effectuate such new Note and such Note shall have been effectuated by the Common Safekeeper to reflect such redemption). Notes called for redemption become due on the date fixed for redemption. Unless the Issuer defaults in payment of the Redemption Price, interest will cease to accrue on the Notes or portions thereof called for such redemption on the Redemption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3.07 Optional Redemption.</w:t>
      </w:r>
    </w:p>
    <w:p>
      <w:pPr>
        <w:spacing w:after="0" w:line="117" w:lineRule="exact"/>
        <w:rPr>
          <w:sz w:val="20"/>
          <w:szCs w:val="20"/>
          <w:color w:val="auto"/>
        </w:rPr>
      </w:pPr>
    </w:p>
    <w:p>
      <w:pPr>
        <w:ind w:right="160" w:firstLine="436"/>
        <w:spacing w:after="0" w:line="277" w:lineRule="auto"/>
        <w:tabs>
          <w:tab w:leader="none" w:pos="685"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2022 Notes</w:t>
      </w:r>
      <w:r>
        <w:rPr>
          <w:rFonts w:ascii="Arial" w:cs="Arial" w:eastAsia="Arial" w:hAnsi="Arial"/>
          <w:sz w:val="18"/>
          <w:szCs w:val="18"/>
          <w:color w:val="auto"/>
        </w:rPr>
        <w:t>. At any time and from time to time, the Issuer may redeem some or all of the 2022 Notes, upon not less than 10 nor more than 60</w:t>
      </w:r>
      <w:r>
        <w:rPr>
          <w:rFonts w:ascii="Arial" w:cs="Arial" w:eastAsia="Arial" w:hAnsi="Arial"/>
          <w:sz w:val="18"/>
          <w:szCs w:val="18"/>
          <w:i w:val="1"/>
          <w:iCs w:val="1"/>
          <w:color w:val="auto"/>
        </w:rPr>
        <w:t xml:space="preserve"> </w:t>
      </w:r>
      <w:r>
        <w:rPr>
          <w:rFonts w:ascii="Arial" w:cs="Arial" w:eastAsia="Arial" w:hAnsi="Arial"/>
          <w:sz w:val="18"/>
          <w:szCs w:val="18"/>
          <w:color w:val="auto"/>
        </w:rPr>
        <w:t>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100% of the aggregate principal amount of the 2022 Notes being redeemed, and</w:t>
      </w:r>
    </w:p>
    <w:p>
      <w:pPr>
        <w:spacing w:after="0" w:line="117" w:lineRule="exact"/>
        <w:rPr>
          <w:rFonts w:ascii="Arial" w:cs="Arial" w:eastAsia="Arial" w:hAnsi="Arial"/>
          <w:sz w:val="18"/>
          <w:szCs w:val="18"/>
          <w:color w:val="auto"/>
        </w:rPr>
      </w:pPr>
    </w:p>
    <w:p>
      <w:pPr>
        <w:ind w:left="440" w:right="180" w:firstLine="419"/>
        <w:spacing w:after="0" w:line="279" w:lineRule="auto"/>
        <w:tabs>
          <w:tab w:leader="none" w:pos="111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2022 Notes being redeemed that would be due if the 2022 Notes matured on the Maturity Date, not including accrued and unpaid interest thereon, if any, to, but excluding, the Redemption Date, discounted to the Redemption Date on an annual basis (ACTUAL/ACTUAL (ICMA) as defined in the rulebook of the International Capital Market Association) at the Bund Rate plus 25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left="680" w:hanging="244"/>
        <w:spacing w:after="0"/>
        <w:tabs>
          <w:tab w:leader="none" w:pos="680"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2024 Notes, 2027 Notes and 2032 Notes</w:t>
      </w:r>
      <w:r>
        <w:rPr>
          <w:rFonts w:ascii="Arial" w:cs="Arial" w:eastAsia="Arial" w:hAnsi="Arial"/>
          <w:sz w:val="17"/>
          <w:szCs w:val="17"/>
          <w:color w:val="auto"/>
        </w:rPr>
        <w:t>. At any time and from time to time prior to the Applicable Par Call Date for the Notes of the</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applicable series, the Issuer may redeem some or all of the 2024 Notes, the 2027 Notes or the 2032 Notes, upon not less than 10 nor more than 60 days’ prior written notice, at a price equal to the greater of:</w:t>
      </w:r>
    </w:p>
    <w:p>
      <w:pPr>
        <w:spacing w:after="0" w:line="77" w:lineRule="exact"/>
        <w:rPr>
          <w:rFonts w:ascii="Arial" w:cs="Arial" w:eastAsia="Arial" w:hAnsi="Arial"/>
          <w:sz w:val="17"/>
          <w:szCs w:val="17"/>
          <w:color w:val="auto"/>
        </w:rPr>
      </w:pPr>
    </w:p>
    <w:p>
      <w:pPr>
        <w:ind w:left="1240" w:hanging="253"/>
        <w:spacing w:after="0"/>
        <w:tabs>
          <w:tab w:leader="none" w:pos="12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of such series being redeemed, and</w:t>
      </w:r>
    </w:p>
    <w:p>
      <w:pPr>
        <w:spacing w:after="0" w:line="117" w:lineRule="exact"/>
        <w:rPr>
          <w:rFonts w:ascii="Arial" w:cs="Arial" w:eastAsia="Arial" w:hAnsi="Arial"/>
          <w:sz w:val="18"/>
          <w:szCs w:val="18"/>
          <w:color w:val="auto"/>
        </w:rPr>
      </w:pPr>
    </w:p>
    <w:p>
      <w:pPr>
        <w:ind w:left="980" w:firstLine="7"/>
        <w:spacing w:after="0" w:line="301" w:lineRule="auto"/>
        <w:tabs>
          <w:tab w:leader="none" w:pos="123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sum of the present values, as calculated by the Issuer, of the remaining scheduled payments of principal and interest on the Notes of such series being redeemed that would be due if the Notes of such series matured on the Applicable Par Call Date, not including accrued and unpaid interest thereon, if any, to, but excluding, the Redemption Date, discounted to the Redemption Date on an annual basis (ACTUAL/ACTUAL (ICMA) as defined in the rulebook of the International Capital Market Association) at the Bund Rate plus,</w:t>
      </w:r>
    </w:p>
    <w:p>
      <w:pPr>
        <w:spacing w:after="0" w:line="49" w:lineRule="exact"/>
        <w:rPr>
          <w:rFonts w:ascii="Arial" w:cs="Arial" w:eastAsia="Arial" w:hAnsi="Arial"/>
          <w:sz w:val="16"/>
          <w:szCs w:val="16"/>
          <w:color w:val="auto"/>
        </w:rPr>
      </w:pPr>
    </w:p>
    <w:p>
      <w:pPr>
        <w:ind w:left="1720" w:hanging="292"/>
        <w:spacing w:after="0"/>
        <w:tabs>
          <w:tab w:leader="none" w:pos="17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in the case of any 2024 Notes being redeemed, 25 basis points,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in the case of any 2027 Notes being redeemed, 30 basis points,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41" w:name="page242"/>
    <w:bookmarkEnd w:id="241"/>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in the case of any 2032 Notes being redeemed, 35 basis points,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left="4" w:right="80" w:firstLine="440"/>
        <w:spacing w:after="0" w:line="311" w:lineRule="auto"/>
        <w:rPr>
          <w:sz w:val="20"/>
          <w:szCs w:val="20"/>
          <w:color w:val="auto"/>
        </w:rPr>
      </w:pPr>
      <w:r>
        <w:rPr>
          <w:rFonts w:ascii="Arial" w:cs="Arial" w:eastAsia="Arial" w:hAnsi="Arial"/>
          <w:sz w:val="16"/>
          <w:szCs w:val="16"/>
          <w:color w:val="auto"/>
        </w:rPr>
        <w:t>On or after the Applicable Par Call Date, the 2024 Notes, the 2027 Notes or the 2032 Notes will be redeemable in whole at any time or in part, from time to time, at the option of the Issuer, upon not less than 10 nor more than 60 days’ prior written notice, at a price equal to 100% of the principal amount of the Notes of such series to be redeemed plus accrued and unpaid interest thereon to, but excluding, the Redemption Date.</w:t>
      </w:r>
    </w:p>
    <w:p>
      <w:pPr>
        <w:spacing w:after="0" w:line="149"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Any redemption pursuant to this Section 3.07 shall be made pursuant to the provisions of Sections 3.01 through 3.06.</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3.08 Special Mandatory Redemption</w:t>
      </w:r>
    </w:p>
    <w:p>
      <w:pPr>
        <w:spacing w:after="0" w:line="117" w:lineRule="exact"/>
        <w:rPr>
          <w:sz w:val="20"/>
          <w:szCs w:val="20"/>
          <w:color w:val="auto"/>
        </w:rPr>
      </w:pPr>
    </w:p>
    <w:p>
      <w:pPr>
        <w:ind w:left="4" w:right="40" w:firstLine="436"/>
        <w:spacing w:after="0" w:line="283" w:lineRule="auto"/>
        <w:tabs>
          <w:tab w:leader="none" w:pos="689"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If the Contribution, the Distribution and the Combination are not consummated on or before February 1, 2021, or if, prior to such date, a Combination Termination Event occurs, the Issuer shall be required to redeem each series of the Notes (the “</w:t>
      </w:r>
      <w:r>
        <w:rPr>
          <w:rFonts w:ascii="Arial" w:cs="Arial" w:eastAsia="Arial" w:hAnsi="Arial"/>
          <w:sz w:val="16"/>
          <w:szCs w:val="16"/>
          <w:i w:val="1"/>
          <w:iCs w:val="1"/>
          <w:color w:val="auto"/>
        </w:rPr>
        <w:t>Special Mandatory Redemption</w:t>
      </w:r>
      <w:r>
        <w:rPr>
          <w:rFonts w:ascii="Arial" w:cs="Arial" w:eastAsia="Arial" w:hAnsi="Arial"/>
          <w:sz w:val="16"/>
          <w:szCs w:val="16"/>
          <w:color w:val="auto"/>
        </w:rPr>
        <w:t>”) on the Special Mandatory Redemption Date at the redemption price (the “</w:t>
      </w:r>
      <w:r>
        <w:rPr>
          <w:rFonts w:ascii="Arial" w:cs="Arial" w:eastAsia="Arial" w:hAnsi="Arial"/>
          <w:sz w:val="16"/>
          <w:szCs w:val="16"/>
          <w:i w:val="1"/>
          <w:iCs w:val="1"/>
          <w:color w:val="auto"/>
        </w:rPr>
        <w:t>Special Mandatory Redemption Price</w:t>
      </w:r>
      <w:r>
        <w:rPr>
          <w:rFonts w:ascii="Arial" w:cs="Arial" w:eastAsia="Arial" w:hAnsi="Arial"/>
          <w:sz w:val="16"/>
          <w:szCs w:val="16"/>
          <w:color w:val="auto"/>
        </w:rPr>
        <w:t>”) equal to 101% of their respective principal amounts, plus accrued and unpaid interest thereon, if any, to, but excluding, the Special Mandatory Redemption Date. If the Special Mandatory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 The term “</w:t>
      </w:r>
      <w:r>
        <w:rPr>
          <w:rFonts w:ascii="Arial" w:cs="Arial" w:eastAsia="Arial" w:hAnsi="Arial"/>
          <w:sz w:val="16"/>
          <w:szCs w:val="16"/>
          <w:i w:val="1"/>
          <w:iCs w:val="1"/>
          <w:color w:val="auto"/>
        </w:rPr>
        <w:t>Special Mandatory Redemption Date</w:t>
      </w:r>
      <w:r>
        <w:rPr>
          <w:rFonts w:ascii="Arial" w:cs="Arial" w:eastAsia="Arial" w:hAnsi="Arial"/>
          <w:sz w:val="16"/>
          <w:szCs w:val="16"/>
          <w:color w:val="auto"/>
        </w:rPr>
        <w:t>” means the date specified by the Issuer in the notice to Holders described in Section 3.08(b) that is not less than 5 days nor more than 20 Business Days following the date of the notice to Holders described in Section 3.08(b). The term “</w:t>
      </w:r>
      <w:r>
        <w:rPr>
          <w:rFonts w:ascii="Arial" w:cs="Arial" w:eastAsia="Arial" w:hAnsi="Arial"/>
          <w:sz w:val="16"/>
          <w:szCs w:val="16"/>
          <w:i w:val="1"/>
          <w:iCs w:val="1"/>
          <w:color w:val="auto"/>
        </w:rPr>
        <w:t>Combination Termination Event</w:t>
      </w:r>
      <w:r>
        <w:rPr>
          <w:rFonts w:ascii="Arial" w:cs="Arial" w:eastAsia="Arial" w:hAnsi="Arial"/>
          <w:sz w:val="16"/>
          <w:szCs w:val="16"/>
          <w:color w:val="auto"/>
        </w:rPr>
        <w:t>” means notification by Newco and Mylan N.V. to the Trustee that (i) the Business Combination Agreement has terminated in accordance with its terms prior to the consummation of the Combination or</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Combination will otherwise not be pursued.</w:t>
      </w:r>
    </w:p>
    <w:p>
      <w:pPr>
        <w:spacing w:after="0" w:line="102" w:lineRule="exact"/>
        <w:rPr>
          <w:rFonts w:ascii="Arial" w:cs="Arial" w:eastAsia="Arial" w:hAnsi="Arial"/>
          <w:sz w:val="18"/>
          <w:szCs w:val="18"/>
          <w:color w:val="auto"/>
        </w:rPr>
      </w:pPr>
    </w:p>
    <w:p>
      <w:pPr>
        <w:jc w:val="both"/>
        <w:ind w:left="4" w:right="40" w:firstLine="436"/>
        <w:spacing w:after="0" w:line="291" w:lineRule="auto"/>
        <w:tabs>
          <w:tab w:leader="none" w:pos="69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III, the Issuer will cause the notice of Special Mandatory Redemption to be distributed to the Trustee within five Business Days after (a) (in the event of a Combination Termination Event) the date of such Combination Termination Event or</w:t>
      </w:r>
    </w:p>
    <w:p>
      <w:pPr>
        <w:ind w:left="4" w:right="100" w:hanging="4"/>
        <w:spacing w:after="0" w:line="255" w:lineRule="auto"/>
        <w:tabs>
          <w:tab w:leader="none" w:pos="25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the Contribution, the Distribution and the Combination are not consummated on or before February 1, 2021) February 1, 2021, and the Trustee will then promptly forward (at the Issuer’s sole expense) such notice by first-class mail (or otherwise delivered in accordance with the procedures of the Depositary) to each Holder of the applicable series of Notes at its registered address.</w:t>
      </w:r>
    </w:p>
    <w:p>
      <w:pPr>
        <w:spacing w:after="0" w:line="81" w:lineRule="exact"/>
        <w:rPr>
          <w:rFonts w:ascii="Arial" w:cs="Arial" w:eastAsia="Arial" w:hAnsi="Arial"/>
          <w:sz w:val="18"/>
          <w:szCs w:val="18"/>
          <w:color w:val="auto"/>
        </w:rPr>
      </w:pPr>
    </w:p>
    <w:p>
      <w:pPr>
        <w:ind w:left="4" w:right="320" w:firstLine="436"/>
        <w:spacing w:after="0" w:line="311" w:lineRule="auto"/>
        <w:tabs>
          <w:tab w:leader="none" w:pos="68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funds sufficient to pay the Special Mandatory Redemption Price of all of any series of Notes to be redeemed on the Special Mandatory Redemption Date are deposited with a Paying Agent or the Trustee on or before such Special Mandatory Redemption Date, such Notes will cease to bear interest and, other than the right to receive the Special Mandatory Redemption Price for such Notes, all rights under such Notes shall terminate.</w:t>
      </w:r>
    </w:p>
    <w:p>
      <w:pPr>
        <w:spacing w:after="0" w:line="40" w:lineRule="exact"/>
        <w:rPr>
          <w:rFonts w:ascii="Arial" w:cs="Arial" w:eastAsia="Arial" w:hAnsi="Arial"/>
          <w:sz w:val="16"/>
          <w:szCs w:val="16"/>
          <w:color w:val="auto"/>
        </w:rPr>
      </w:pPr>
    </w:p>
    <w:p>
      <w:pPr>
        <w:ind w:left="4" w:firstLine="436"/>
        <w:spacing w:after="0" w:line="257" w:lineRule="auto"/>
        <w:tabs>
          <w:tab w:leader="none" w:pos="69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provisions relating to Special Mandatory Redemption, with the exception of the Special Mandatory Redemption Price to be paid to Holders upon a Special Mandatory Redemption, may not be waived or modified for any series of Notes without the written consent of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in principal amount of that series of Notes outstanding. The Special Mandatory Redemption Price to be paid to Holders upon a Special Mandatory Redemption may not be waived or modified for any series of Notes without the written consent of each Holder of Notes of a series affected thereby.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242" w:name="page243"/>
    <w:bookmarkEnd w:id="242"/>
    <w:p>
      <w:pPr>
        <w:ind w:left="4" w:right="260" w:firstLine="436"/>
        <w:spacing w:after="0" w:line="277" w:lineRule="auto"/>
        <w:tabs>
          <w:tab w:leader="none" w:pos="689"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the consummation of the Contribution, the Distribution and the Combination on or before February 1, 2021, the foregoing provisions regarding the Special Mandatory Redemption will cease to apply.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3.09 Tax Redemption.</w:t>
      </w:r>
    </w:p>
    <w:p>
      <w:pPr>
        <w:spacing w:after="0" w:line="117"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If (a) a Payor becomes or will become obligated to pay Additional Amounts with respect to any Notes of a series pursuant to Section 4.17 as a result of any change in, or amendment to, the laws or regulations of a Relevant Jurisdiction, or any change in the official interpretation or application of the laws or regulations of a Relevant Jurisdiction, which change or amendment becomes effective after the date of the Offering Memorandum, and</w:t>
      </w:r>
    </w:p>
    <w:p>
      <w:pPr>
        <w:spacing w:after="0" w:line="2" w:lineRule="exact"/>
        <w:rPr>
          <w:sz w:val="20"/>
          <w:szCs w:val="20"/>
          <w:color w:val="auto"/>
        </w:rPr>
      </w:pPr>
    </w:p>
    <w:p>
      <w:pPr>
        <w:ind w:left="4" w:right="80" w:hanging="4"/>
        <w:spacing w:after="0" w:line="287" w:lineRule="auto"/>
        <w:tabs>
          <w:tab w:leader="none" w:pos="25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such obligation cannot be avoided by the Issuer taking reasonable measures available to it, the Issuer may at its option, upon not less than 10 days’ prior written notice (which notice shall be irrevocable), redeem all, but not a portion of, the Notes of such series at any time at their principal amount plus accrued and unpaid interest thereon, if any, to, but excluding, the Redemption Date, provided that no such notice of redemption shall be given earlier than 30 days prior to the earliest date on which the Issuer would be obliged to pay such Additional Amounts were a payment in respect of the Notes then due. Prior to the publication of any notice of redemption pursuant to this Section 3.09, the Issuer shall deliver to the Trustee (i) a certificate stating that the requirements referred to in (a) and (b) above are satisfied, and (ii) an Opinion of Counsel to the effect that the Issuer has or will become obliged to pay such Additional Amounts as a result of the change or amendment, in each case to be held by the Trustee and made available for viewing at the offices of the Trustee on written request by any Holder of the Notes of such series.</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184"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Notes of a series called for redemption on the applicable Redemption Date.</w:t>
      </w:r>
    </w:p>
    <w:p>
      <w:pPr>
        <w:spacing w:after="0" w:line="170"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For Notes which are represented by global certificates held on behalf of Euroclear and/or Clearstream, notices may be given by delivery of the relevant notices to Euroclear and/or Clearstream for communication to entitled account holders in substitution for the notification method set out above. If and for so long as any Notes are listed on the Official List of Euronext Dublin and admitted for trading on the Global Exchange Market and the rules of Euronext Dublin so require, any such notice to the holders of the relevant Notes shall also be published to the extent and in the manner permitted by such rules, posted on the official website of Euronext Dublin (www.ise.ie) and, in connection with any redemption, the Issuer will notify Euronext Dublin of any change in the principal amount of Notes outstanding.</w:t>
      </w:r>
    </w:p>
    <w:p>
      <w:pPr>
        <w:spacing w:after="0" w:line="200" w:lineRule="exact"/>
        <w:rPr>
          <w:sz w:val="20"/>
          <w:szCs w:val="20"/>
          <w:color w:val="auto"/>
        </w:rPr>
      </w:pPr>
    </w:p>
    <w:p>
      <w:pPr>
        <w:spacing w:after="0" w:line="20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4.01 Payment of Principal, Premium and Interest.</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Issuer covenants and agrees that it will duly and punctually pay the principal of (and premium, if any) and interest on the Notes in accordance with the terms of the Notes and this Indenture.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4"/>
          </w:cols>
          <w:pgMar w:left="436" w:top="274" w:right="499" w:bottom="1440" w:gutter="0" w:footer="0" w:header="0"/>
        </w:sectPr>
      </w:pPr>
    </w:p>
    <w:bookmarkStart w:id="243" w:name="page244"/>
    <w:bookmarkEnd w:id="243"/>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4.02 Maintenance of Office or Agency.</w:t>
      </w:r>
    </w:p>
    <w:p>
      <w:pPr>
        <w:spacing w:after="0" w:line="11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Issuer will maintain in each Place of Payment for Notes an office or agency where Notes may be presented or surrendered for payment, where Notes may be surrendered for registration of transfer or exchange and where notices and demands to or upon the Issuer in respect of the Notes and this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w:t>
      </w:r>
    </w:p>
    <w:p>
      <w:pPr>
        <w:spacing w:after="0" w:line="17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Issuer of its obligation to maintain an office or agency in each Place of Payment for Notes for such purposes. The Issuer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4.03 Reports to Holders.</w:t>
      </w:r>
    </w:p>
    <w:p>
      <w:pPr>
        <w:spacing w:after="0" w:line="117" w:lineRule="exact"/>
        <w:rPr>
          <w:sz w:val="20"/>
          <w:szCs w:val="20"/>
          <w:color w:val="auto"/>
        </w:rPr>
      </w:pPr>
    </w:p>
    <w:p>
      <w:pPr>
        <w:ind w:left="4" w:right="60" w:firstLine="436"/>
        <w:spacing w:after="0" w:line="286" w:lineRule="auto"/>
        <w:tabs>
          <w:tab w:leader="none" w:pos="689"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Notwithstanding that Newco may not be subject to the reporting requirements of Section 13 or 15(d) of the Exchange Act, Newco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Newco will not be required to provide the Trustee with any such information, documents and reports that are filed with the Commission and</w:t>
      </w:r>
    </w:p>
    <w:p>
      <w:pPr>
        <w:spacing w:after="0" w:line="20" w:lineRule="exact"/>
        <w:rPr>
          <w:rFonts w:ascii="Arial" w:cs="Arial" w:eastAsia="Arial" w:hAnsi="Arial"/>
          <w:sz w:val="17"/>
          <w:szCs w:val="17"/>
          <w:color w:val="auto"/>
        </w:rPr>
      </w:pPr>
    </w:p>
    <w:p>
      <w:pPr>
        <w:ind w:left="4" w:hanging="4"/>
        <w:spacing w:after="0" w:line="255" w:lineRule="auto"/>
        <w:tabs>
          <w:tab w:leader="none" w:pos="25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Newco will not be so obligated to file such information, documents and reports with the Commission if the Commission does not permit such filings; </w:t>
      </w:r>
      <w:r>
        <w:rPr>
          <w:rFonts w:ascii="Arial" w:cs="Arial" w:eastAsia="Arial" w:hAnsi="Arial"/>
          <w:sz w:val="18"/>
          <w:szCs w:val="18"/>
          <w:i w:val="1"/>
          <w:iCs w:val="1"/>
          <w:color w:val="auto"/>
        </w:rPr>
        <w:t>provided further</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Commission does not permit such filings, Newco will be required to provide to Holders any such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or reports that are not so filed.</w:t>
      </w:r>
    </w:p>
    <w:p>
      <w:pPr>
        <w:spacing w:after="0" w:line="81" w:lineRule="exact"/>
        <w:rPr>
          <w:rFonts w:ascii="Arial" w:cs="Arial" w:eastAsia="Arial" w:hAnsi="Arial"/>
          <w:sz w:val="18"/>
          <w:szCs w:val="18"/>
          <w:color w:val="auto"/>
        </w:rPr>
      </w:pPr>
    </w:p>
    <w:p>
      <w:pPr>
        <w:ind w:left="4" w:firstLine="436"/>
        <w:spacing w:after="0" w:line="279" w:lineRule="auto"/>
        <w:tabs>
          <w:tab w:leader="none" w:pos="699" w:val="left"/>
        </w:tabs>
        <w:numPr>
          <w:ilvl w:val="1"/>
          <w:numId w:val="205"/>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the event that Newco fails to comply with its obligation to file or provide such information, documents and reports as required hereunder, Newco will be deemed to have cured such Default for purposes of Section 6.01(4) upon the filing or provision of all such information, documents and reports required hereunder prior to the expiration of 120 days after written notice to Newco of such failure from the Trustee or the Holders of at least 25% of the principal amount of the applicable series of Notes.</w:t>
      </w:r>
    </w:p>
    <w:p>
      <w:pPr>
        <w:spacing w:after="0" w:line="63" w:lineRule="exact"/>
        <w:rPr>
          <w:rFonts w:ascii="Arial" w:cs="Arial" w:eastAsia="Arial" w:hAnsi="Arial"/>
          <w:sz w:val="17"/>
          <w:szCs w:val="17"/>
          <w:color w:val="auto"/>
        </w:rPr>
      </w:pPr>
    </w:p>
    <w:p>
      <w:pPr>
        <w:ind w:left="4" w:right="80" w:firstLine="436"/>
        <w:spacing w:after="0" w:line="301" w:lineRule="auto"/>
        <w:tabs>
          <w:tab w:leader="none" w:pos="689" w:val="left"/>
        </w:tabs>
        <w:numPr>
          <w:ilvl w:val="1"/>
          <w:numId w:val="205"/>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information, documents and reports required pursuant to this Indenture may, at the option of Newco, instead be those of any direct or indirect parent entity of Newco so long as such parent entity fully and unconditionally guarantees, by execution of this Indenture or a supplemental indenture, the obligations of the Issuer in respect of the Notes and such parent entity and the Issuer and Newco comply with the requirements of Rule 3-10 and Rule 13-01 of Regulation S-X promulgated by the Commission (or any successor provisions).</w:t>
      </w:r>
    </w:p>
    <w:p>
      <w:pPr>
        <w:spacing w:after="0" w:line="49" w:lineRule="exact"/>
        <w:rPr>
          <w:rFonts w:ascii="Arial" w:cs="Arial" w:eastAsia="Arial" w:hAnsi="Arial"/>
          <w:sz w:val="16"/>
          <w:szCs w:val="16"/>
          <w:color w:val="auto"/>
        </w:rPr>
      </w:pPr>
    </w:p>
    <w:p>
      <w:pPr>
        <w:ind w:left="704" w:hanging="264"/>
        <w:spacing w:after="0"/>
        <w:tabs>
          <w:tab w:leader="none" w:pos="70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This Section 4.03 shall not apply to Newco prior to the consummation of the Combination.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4.04 Corporate Existence.</w:t>
      </w:r>
    </w:p>
    <w:p>
      <w:pPr>
        <w:spacing w:after="0" w:line="117"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Subject to Article V, the Issuer will do or cause to be done all things necessary to preserve and keep in full force and effect its existence as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244" w:name="page245"/>
    <w:bookmarkEnd w:id="244"/>
    <w:p>
      <w:pPr>
        <w:ind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Article V, Newco will do or cause to be done all things necessary to preserve and keep in full force and effect its existence as a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4.05 Money for Notes Payments To Be Held in Trust.</w:t>
      </w:r>
    </w:p>
    <w:p>
      <w:pPr>
        <w:spacing w:after="0" w:line="11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If the Issuer shall at any time act as its own Paying Agent with respect to the Notes, it will, on or before each due date of the principal of (and premium, if any) or interest on any of the Notes,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Whenever the Issuer shall have a Paying Agent for the Notes, it will, prior to 11:00 a.m., London time, on each due date of the principal of (and premium, if any) or interest on the Notes, deposit with the Paying Agent a sum sufficient to pay the principal (and premium, if any) or interest so becoming due, such sum to be held in trust for the benefit of the Persons entitled to such principal, premium or interest, and (unless such Paying Agent is the Trustee) the Issuer will promptly notify the Trustee of its action or failure so to act.</w:t>
      </w:r>
    </w:p>
    <w:p>
      <w:pPr>
        <w:spacing w:after="0" w:line="17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Issuer will cause the Paying Agent, other than the Trustee, to execute and deliver to the Trustee an instrument in which the Paying Agent shall agree with the Trustee, subject to the provisions of this Section, that the Paying Agent will:</w:t>
      </w:r>
    </w:p>
    <w:p>
      <w:pPr>
        <w:spacing w:after="0" w:line="62" w:lineRule="exact"/>
        <w:rPr>
          <w:sz w:val="20"/>
          <w:szCs w:val="20"/>
          <w:color w:val="auto"/>
        </w:rPr>
      </w:pPr>
    </w:p>
    <w:p>
      <w:pPr>
        <w:ind w:left="440" w:right="260" w:firstLine="419"/>
        <w:spacing w:after="0" w:line="277" w:lineRule="auto"/>
        <w:tabs>
          <w:tab w:leader="none" w:pos="110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premium, if any) or interest on the Notes in trust for the benefit of the Persons entitled thereto until such sums shall be paid to such Persons or otherwise disposed of as herein provided;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give the Trustee notice of any default by the Issuer (or any other obligor upon the Notes) in the making of any payment of principal (and premium, if any) or interest on the Notes; and</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0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the Paying Agent.</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Issuer may at any time, for the purpose of obtaining the satisfaction and discharge of this Indenture or for any other purpose, pay, or by Issuer Order direct the Paying Agent to pay, to the Trustee all sums held by the Issuer or the Paying Agent, such sums to be held by the Trustee for the benefit of the Holders; and, upon such payment by the Paying Agent to the Trustee, the Paying Agent shall be released from all further liability with respect to such money.</w:t>
      </w:r>
    </w:p>
    <w:p>
      <w:pPr>
        <w:spacing w:after="0" w:line="187"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Any money deposited with the Trustee or the Paying Agent, or then held by the Issuer, for the benefit of the Holders for the payment of the principal of (and premium, if any) or interest on the Notes and remaining unclaimed for three years after such principal (and premium, if any) or interest has become due and payable shall be paid to the Issuer on Issuer Order, or (if then held by the Issuer) shall be discharged from any obligation to hold such amounts for the benefit of the Holders; and the Holder of such Note shall thereafter, as an unsecured general creditor, look only to the Issuer for payment thereof, and all liability of the Trustee or the Paying Agent with respect to such money held for the benefit of the Holders, and all liability of the Issuer with respect thereto,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or the Paying Agent, before being required to make any such repayment, may at the expense of the Issuer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45" w:name="page246"/>
    <w:bookmarkEnd w:id="245"/>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4.06 Payment of Taxes and Other Claims.</w:t>
      </w:r>
    </w:p>
    <w:p>
      <w:pPr>
        <w:spacing w:after="0" w:line="11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Newco will pay or discharge or cause to be paid or discharged, before the same shall become delinquent, (1) all taxes, assessments and governmental charges levied or imposed upon Newco or any Subsidiary of Newco or upon the income, profits or property of Newco or any Subsidiary of Newco, and (2) all lawful claims against Newco or any Subsidiary of Newco for labor, materials and supplies, which in the case of either clause (1) or</w:t>
      </w:r>
    </w:p>
    <w:p>
      <w:pPr>
        <w:spacing w:after="0" w:line="2" w:lineRule="exact"/>
        <w:rPr>
          <w:sz w:val="20"/>
          <w:szCs w:val="20"/>
          <w:color w:val="auto"/>
        </w:rPr>
      </w:pPr>
    </w:p>
    <w:p>
      <w:pPr>
        <w:ind w:left="4" w:right="80" w:hanging="4"/>
        <w:spacing w:after="0" w:line="255"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of this Section 4.06, if unpaid, might by law become a lien upon a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Newco nor any Subsidiary of Newco shall be required to pay or discharge or cause to be paid or discharged any such tax, assessment, charge or claim whose amount, applicability or validity is being contested in good faith by appropriate proceedings.</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4.07 Limitation on Liens.</w:t>
      </w:r>
    </w:p>
    <w:p>
      <w:pPr>
        <w:spacing w:after="0" w:line="117" w:lineRule="exact"/>
        <w:rPr>
          <w:sz w:val="20"/>
          <w:szCs w:val="20"/>
          <w:color w:val="auto"/>
        </w:rPr>
      </w:pPr>
    </w:p>
    <w:p>
      <w:pPr>
        <w:jc w:val="both"/>
        <w:ind w:left="4" w:right="60" w:firstLine="440"/>
        <w:spacing w:after="0" w:line="279" w:lineRule="auto"/>
        <w:rPr>
          <w:sz w:val="20"/>
          <w:szCs w:val="20"/>
          <w:color w:val="auto"/>
        </w:rPr>
      </w:pPr>
      <w:r>
        <w:rPr>
          <w:rFonts w:ascii="Arial" w:cs="Arial" w:eastAsia="Arial" w:hAnsi="Arial"/>
          <w:sz w:val="17"/>
          <w:szCs w:val="17"/>
          <w:color w:val="auto"/>
        </w:rPr>
        <w:t>Newco will not, and will not permit any Subsidiary of Newco to, directly or indirectly, Incur or permit to exist any Lien (the “</w:t>
      </w:r>
      <w:r>
        <w:rPr>
          <w:rFonts w:ascii="Arial" w:cs="Arial" w:eastAsia="Arial" w:hAnsi="Arial"/>
          <w:sz w:val="17"/>
          <w:szCs w:val="17"/>
          <w:i w:val="1"/>
          <w:iCs w:val="1"/>
          <w:color w:val="auto"/>
        </w:rPr>
        <w:t>Initial Lien</w:t>
      </w:r>
      <w:r>
        <w:rPr>
          <w:rFonts w:ascii="Arial" w:cs="Arial" w:eastAsia="Arial" w:hAnsi="Arial"/>
          <w:sz w:val="17"/>
          <w:szCs w:val="17"/>
          <w:color w:val="auto"/>
        </w:rPr>
        <w:t>”) of any nature whatsoever on any of its properties (including Capital Stock of a Subsidiary of Newco), whether owned on the Issue Date or thereafter acquired, securing any Indebtedness of Newco or a Domestic Subsidiary of Newco, other than Permitted Liens, without effectively providing that the Notes shall be secured equally and ratably with (or prior to) such Indebtedness so secured for so long as such Indebtedness is so secured.</w:t>
      </w:r>
    </w:p>
    <w:p>
      <w:pPr>
        <w:spacing w:after="0" w:line="17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Any Lien created for the benefit of the Holders pursuant to this Section 4.07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4.08 Purchase of Notes Upon a Change of Control Repurchase Event.</w:t>
      </w:r>
    </w:p>
    <w:p>
      <w:pPr>
        <w:spacing w:after="0" w:line="117" w:lineRule="exact"/>
        <w:rPr>
          <w:sz w:val="20"/>
          <w:szCs w:val="20"/>
          <w:color w:val="auto"/>
        </w:rPr>
      </w:pPr>
    </w:p>
    <w:p>
      <w:pPr>
        <w:ind w:left="4" w:right="20" w:firstLine="436"/>
        <w:spacing w:after="0" w:line="270" w:lineRule="auto"/>
        <w:tabs>
          <w:tab w:leader="none" w:pos="68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If a Change of Control Repurchase Event occurs with respect to a series of Notes, each Holder of such series of Notes will have the right to require that Newco or the Issuer purchase all or any part (in denominations of €100,000 and integral multiples of €1,000 in excess thereof) of such Holder’s Notes of such series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this Indenture. In the Change of Control Offer, Newco or the Issuer will offer to purchase all of the Notes of such series at a purchase price (the “</w:t>
      </w:r>
      <w:r>
        <w:rPr>
          <w:rFonts w:ascii="Arial" w:cs="Arial" w:eastAsia="Arial" w:hAnsi="Arial"/>
          <w:sz w:val="17"/>
          <w:szCs w:val="17"/>
          <w:i w:val="1"/>
          <w:iCs w:val="1"/>
          <w:color w:val="auto"/>
        </w:rPr>
        <w:t>Change of Control Purchase Price</w:t>
      </w:r>
      <w:r>
        <w:rPr>
          <w:rFonts w:ascii="Arial" w:cs="Arial" w:eastAsia="Arial" w:hAnsi="Arial"/>
          <w:sz w:val="17"/>
          <w:szCs w:val="17"/>
          <w:color w:val="auto"/>
        </w:rPr>
        <w:t>”) in cash in an amount equal to 101% of the principal amount of such series of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72" w:lineRule="exact"/>
        <w:rPr>
          <w:rFonts w:ascii="Arial" w:cs="Arial" w:eastAsia="Arial" w:hAnsi="Arial"/>
          <w:sz w:val="17"/>
          <w:szCs w:val="17"/>
          <w:color w:val="auto"/>
        </w:rPr>
      </w:pPr>
    </w:p>
    <w:p>
      <w:pPr>
        <w:ind w:left="4" w:right="60" w:firstLine="436"/>
        <w:spacing w:after="0" w:line="273" w:lineRule="auto"/>
        <w:tabs>
          <w:tab w:leader="none" w:pos="69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Within 30 days after any Change of Control Repurchase Event with respect to a series of Notes or, at Newco or the Issuer’s option, prior to such Change of Control but after it is publicly announced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definitive agreement is in place for such Change of Control), Newco or the Issuer must cause written notice of the Change of Control Repurchase Event to be distributed to the Trustee, and the Trustee will then promptly forward (at the Issuer’s sole expense) such notice to each Holder of such series of Notes at its address appearing in the security register or otherwise in accordance with the procedures of the relevant depositary (or in the case of a Note issued in the form of a Global Note under the New Safekeeping Structure, the applicable procedures of the Common Safekeeper). The notice must state, among other things:</w:t>
      </w:r>
    </w:p>
    <w:p>
      <w:pPr>
        <w:spacing w:after="0" w:line="69" w:lineRule="exact"/>
        <w:rPr>
          <w:rFonts w:ascii="Arial" w:cs="Arial" w:eastAsia="Arial" w:hAnsi="Arial"/>
          <w:sz w:val="17"/>
          <w:szCs w:val="17"/>
          <w:color w:val="auto"/>
        </w:rPr>
      </w:pPr>
    </w:p>
    <w:p>
      <w:pPr>
        <w:ind w:left="1124" w:hanging="261"/>
        <w:spacing w:after="0"/>
        <w:tabs>
          <w:tab w:leader="none" w:pos="112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that a Change of Control Repurchase Event has occurred or may occur with respect to such series of Notes and the date of such event;</w:t>
      </w:r>
    </w:p>
    <w:p>
      <w:pPr>
        <w:spacing w:after="0" w:line="140" w:lineRule="exact"/>
        <w:rPr>
          <w:rFonts w:ascii="Arial" w:cs="Arial" w:eastAsia="Arial" w:hAnsi="Arial"/>
          <w:sz w:val="16"/>
          <w:szCs w:val="16"/>
          <w:color w:val="auto"/>
        </w:rPr>
      </w:pPr>
    </w:p>
    <w:p>
      <w:pPr>
        <w:ind w:left="444" w:right="60" w:firstLine="419"/>
        <w:spacing w:after="0" w:line="263" w:lineRule="auto"/>
        <w:tabs>
          <w:tab w:leader="none" w:pos="112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fixed by Newco or the Issuer on a Business Day no earlier than 10 days nor later than 60 days from the date the notice is transmitted, or such later date as is necessary to comply with requirements under the Exchange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purchase date may not occur prior to the Change of Control;</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246" w:name="page247"/>
    <w:bookmarkEnd w:id="246"/>
    <w:p>
      <w:pPr>
        <w:ind w:left="1040" w:hanging="261"/>
        <w:spacing w:after="0"/>
        <w:tabs>
          <w:tab w:leader="none" w:pos="10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any Note of such series not tendered will continue to accrue interest;</w:t>
      </w:r>
    </w:p>
    <w:p>
      <w:pPr>
        <w:spacing w:after="0" w:line="117" w:lineRule="exact"/>
        <w:rPr>
          <w:rFonts w:ascii="Arial" w:cs="Arial" w:eastAsia="Arial" w:hAnsi="Arial"/>
          <w:sz w:val="18"/>
          <w:szCs w:val="18"/>
          <w:color w:val="auto"/>
        </w:rPr>
      </w:pPr>
    </w:p>
    <w:p>
      <w:pPr>
        <w:ind w:left="360" w:right="140" w:firstLine="419"/>
        <w:spacing w:after="0" w:line="263" w:lineRule="auto"/>
        <w:tabs>
          <w:tab w:leader="none" w:pos="103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that, unless Newco or the Issuer defaults in the payment of the Change of Control Purchase Price with respect to a series of Notes, any Notes of such series accepted for payment pursuant to the Change of Control Offer shall cease to accrue interest after the Change of Control Purchase Date; and</w:t>
      </w:r>
    </w:p>
    <w:p>
      <w:pPr>
        <w:spacing w:after="0" w:line="75" w:lineRule="exact"/>
        <w:rPr>
          <w:rFonts w:ascii="Arial" w:cs="Arial" w:eastAsia="Arial" w:hAnsi="Arial"/>
          <w:sz w:val="18"/>
          <w:szCs w:val="18"/>
          <w:color w:val="auto"/>
        </w:rPr>
      </w:pPr>
    </w:p>
    <w:p>
      <w:pPr>
        <w:ind w:left="360" w:firstLine="419"/>
        <w:spacing w:after="0" w:line="277" w:lineRule="auto"/>
        <w:tabs>
          <w:tab w:leader="none" w:pos="103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other procedures that a Holder of Notes of such series must follow to accept a Change of Control Offer or to withdraw acceptance of the Change of Control Offer.</w:t>
      </w:r>
    </w:p>
    <w:p>
      <w:pPr>
        <w:spacing w:after="0" w:line="62" w:lineRule="exact"/>
        <w:rPr>
          <w:rFonts w:ascii="Arial" w:cs="Arial" w:eastAsia="Arial" w:hAnsi="Arial"/>
          <w:sz w:val="18"/>
          <w:szCs w:val="18"/>
          <w:color w:val="auto"/>
        </w:rPr>
      </w:pPr>
    </w:p>
    <w:p>
      <w:pPr>
        <w:ind w:left="-80" w:firstLine="436"/>
        <w:spacing w:after="0" w:line="287" w:lineRule="auto"/>
        <w:tabs>
          <w:tab w:leader="none" w:pos="60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Newco and the Issuer will comply with the applicable tender offer rules, including Rule 14e-l under the Exchange Act, and any other applicable securities laws or regulations in connection with a Change of Control Offer. To the extent that the provisions of any securities laws or regulations conflict with the provisions of this Section 4.08, Newco and the Issuer will comply with the applicable securities laws and regulations and will not be deemed to have breached its obligations under this Section 4.08 by virtue of its compliance with such securities laws or regulations. Neither Newco nor the Issuer will be required to make a Change of Control Offer upon a Change of Control Repurchase Event if (i) a third party makes the Change of Control Offer in the manner, at the times and otherwise in compliance with the requirements described in this Indenture applicable to a Change of Control Offer made by Newco or the Issuer and purchases all Notes validly tendered and not withdrawn under such Change of Control Offer or (ii) the Issuer has exercised the right to redeem all of the Notes of such series pursuant to Section 3.07. For Notes which are represented by global certificates held on behalf of Euroclear and/or Clearstream, notices may be given by delivery of the relevant notices to each of Euroclear and/or Clearstream for communication to entitled account holders. If and for so long as the Notes are listed on the Official List of Euronext Dublin and admitted for trading on the Global Exchange Market and the rules of Euronext Dublin so require, the Issuer will publish notices relating to the Change of Control Offer to the extent and in the manner permitted by such rules, posted on the official website of Euronext Dublin (www.ise.ie).</w:t>
      </w:r>
    </w:p>
    <w:p>
      <w:pPr>
        <w:spacing w:after="0" w:line="59" w:lineRule="exact"/>
        <w:rPr>
          <w:rFonts w:ascii="Arial" w:cs="Arial" w:eastAsia="Arial" w:hAnsi="Arial"/>
          <w:sz w:val="16"/>
          <w:szCs w:val="16"/>
          <w:color w:val="auto"/>
        </w:rPr>
      </w:pPr>
    </w:p>
    <w:p>
      <w:pPr>
        <w:ind w:left="620" w:hanging="264"/>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On the Change of Control Purchase Date, Newco and the Issuer will, to the extent permitted by law:</w:t>
      </w:r>
    </w:p>
    <w:p>
      <w:pPr>
        <w:spacing w:after="0" w:line="117" w:lineRule="exact"/>
        <w:rPr>
          <w:rFonts w:ascii="Arial" w:cs="Arial" w:eastAsia="Arial" w:hAnsi="Arial"/>
          <w:sz w:val="18"/>
          <w:szCs w:val="18"/>
          <w:color w:val="auto"/>
        </w:rPr>
      </w:pPr>
    </w:p>
    <w:p>
      <w:pPr>
        <w:ind w:left="1040" w:hanging="261"/>
        <w:spacing w:after="0"/>
        <w:tabs>
          <w:tab w:leader="none" w:pos="104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accept for payment all Notes of each applicable series or portions thereof properly tendered pursuant to the Change of Control Offer;</w:t>
      </w:r>
    </w:p>
    <w:p>
      <w:pPr>
        <w:spacing w:after="0" w:line="140" w:lineRule="exact"/>
        <w:rPr>
          <w:rFonts w:ascii="Arial" w:cs="Arial" w:eastAsia="Arial" w:hAnsi="Arial"/>
          <w:sz w:val="16"/>
          <w:szCs w:val="16"/>
          <w:color w:val="auto"/>
        </w:rPr>
      </w:pPr>
    </w:p>
    <w:p>
      <w:pPr>
        <w:ind w:left="360" w:right="520" w:firstLine="419"/>
        <w:spacing w:after="0" w:line="277" w:lineRule="auto"/>
        <w:tabs>
          <w:tab w:leader="none" w:pos="103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Purchase Price in respect of all Notes of each applicable series or portions thereof so tendered; and</w:t>
      </w:r>
    </w:p>
    <w:p>
      <w:pPr>
        <w:spacing w:after="0" w:line="62" w:lineRule="exact"/>
        <w:rPr>
          <w:rFonts w:ascii="Arial" w:cs="Arial" w:eastAsia="Arial" w:hAnsi="Arial"/>
          <w:sz w:val="18"/>
          <w:szCs w:val="18"/>
          <w:color w:val="auto"/>
        </w:rPr>
      </w:pPr>
    </w:p>
    <w:p>
      <w:pPr>
        <w:ind w:left="360" w:right="320" w:firstLine="419"/>
        <w:spacing w:after="0" w:line="308" w:lineRule="auto"/>
        <w:tabs>
          <w:tab w:leader="none" w:pos="1038" w:val="left"/>
        </w:tabs>
        <w:numPr>
          <w:ilvl w:val="1"/>
          <w:numId w:val="210"/>
        </w:numPr>
        <w:rPr>
          <w:rFonts w:ascii="Arial" w:cs="Arial" w:eastAsia="Arial" w:hAnsi="Arial"/>
          <w:sz w:val="17"/>
          <w:szCs w:val="17"/>
          <w:color w:val="auto"/>
        </w:rPr>
      </w:pPr>
      <w:r>
        <w:rPr>
          <w:rFonts w:ascii="Arial" w:cs="Arial" w:eastAsia="Arial" w:hAnsi="Arial"/>
          <w:sz w:val="17"/>
          <w:szCs w:val="17"/>
          <w:color w:val="auto"/>
        </w:rPr>
        <w:t>deliver, or cause to be delivered, to the Trustee for cancellation of the Notes so accepted together with an Officer’s Certificate to the Trustee stating that such Notes or portions thereof have been tendered to and purchased by Newco or the Issuer.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Section 4.09 Restrictions on Sale Leaseback Transactions.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Neither Newco nor any Domestic Subsidiary of Newco will enter into any Sale Leaseback Transaction with respect to any property unless:</w:t>
      </w:r>
    </w:p>
    <w:p>
      <w:pPr>
        <w:spacing w:after="0" w:line="129" w:lineRule="exact"/>
        <w:rPr>
          <w:sz w:val="20"/>
          <w:szCs w:val="20"/>
          <w:color w:val="auto"/>
        </w:rPr>
      </w:pPr>
    </w:p>
    <w:p>
      <w:pPr>
        <w:ind w:left="360" w:right="40" w:firstLine="419"/>
        <w:spacing w:after="0" w:line="277" w:lineRule="auto"/>
        <w:tabs>
          <w:tab w:leader="none" w:pos="102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Newco or such Domestic Subsidiary would be entitled to create a Lien on such property securing Attributable Debt without equally and ratably securing the Notes pursuant to Section 4.07;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40"/>
          </w:cols>
          <w:pgMar w:left="520" w:top="274" w:right="539" w:bottom="1440" w:gutter="0" w:footer="0" w:header="0"/>
        </w:sectPr>
      </w:pPr>
    </w:p>
    <w:bookmarkStart w:id="247" w:name="page248"/>
    <w:bookmarkEnd w:id="247"/>
    <w:p>
      <w:pPr>
        <w:ind w:left="440" w:right="360" w:firstLine="419"/>
        <w:spacing w:after="0" w:line="277" w:lineRule="auto"/>
        <w:tabs>
          <w:tab w:leader="none" w:pos="1118"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gross proceeds received by Newco or such Domestic Subsidiary in connection with such Sale Leaseback Transaction are at least equal to the Fair Market Value of such property.</w:t>
      </w:r>
    </w:p>
    <w:p>
      <w:pPr>
        <w:spacing w:after="0" w:line="170"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Notwithstanding the foregoing, Newco or any Domestic Subsidiary of Newco may enter into a Sale Leaseback Transaction if (x) during the twelve months following the effective date of the Sale Leaseback Transaction, Newco or any such Domestic Subsidiary applies an amount equal to the greater of the net proceeds of such sale or transfer and the Fair Market Value of the property that Newco or such Domestic Subsidiary leases in the transaction to (i) the voluntary retirement of the Notes or other Indebtedness of Newco or any Domestic Subsidiary of Newco,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senior to the Notes, or (ii) the acquisition, purchase, construction, development, extension or improvement of any property or assets of Newco or any Domestic Subsidiary of Newco used or to be used by or for the benefit of Newco or any Domestic Subsidiary of Newco in the ordinary course of business, or (y) Newco or such Domestic Subsidiary equally and ratably secures the Notes as described under Section 4.07.</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4.10 Mylan Guarantees.</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Within one Business Day after the consummation of the Combination, Newco shall cause each of the Mylan Guarantors to enter into the Mylan Guarantors Supplemental Indenture, pursuant to which the Mylan Guarantors will Guarantee the Issuer’s Indenture Obligations, fully and unconditionally and on a senior unsecured basis.</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Each Guarantee of a Mylan Guarantor will be limited in amount to an amount not to exceed the maximum amount that can be guaranteed by the applicable Mylan Guarantor without rendering the Guarantee, as it relates to such Mylan Guarantor, voidable under applicable law relating to fraudulent conveyance or fraudulent transfer or similar laws affecting the rights of creditors generally.</w:t>
      </w:r>
    </w:p>
    <w:p>
      <w:pPr>
        <w:spacing w:after="0" w:line="184"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Notwithstanding the foregoing, any Guarantee by any Mylan Guarantor will be automatically and unconditionally terminated and released, without any action on the part of the Trustee, any holder of the Notes or any other person in accordance with Section 10.07.</w:t>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 more than five Business Days after the consummation of the Combination, Newco shall notify the Trustee in writing that the Combination has been consummated.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4.11 Additional Guarantees.</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Following the consummation of the Combination, if any Subsidiary of Newco that is not a Guarantor of the Issuer’s Indenture Obligations (other than the Issuer or a Receivables Entity) becomes a guarantor or an obligor in respect of any Triggering Indebtedness, within 10 Business Days of such event Newco shall cause such Subsidiary to enter into a supplemental indenture pursuant to which such Subsidiary shall agree to Guarantee the Issuer’s Indenture Obligations, fully and unconditionally and on a senior unsecured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 Subsidiary of Newco be required to provide a Guarantee of the Issuer’s Indenture Obligations if Newco reasonably determines that such Guarantee is prohibited by, or would be unduly burdensome under, applicable laws or would result in adverse tax consequences to Newco or any of its Subsidiaries.</w:t>
      </w:r>
    </w:p>
    <w:p>
      <w:pPr>
        <w:spacing w:after="0" w:line="164"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Notwithstanding the foregoing, any Guarantee by any Guarantor (other than Pfizer) shall be automatically and unconditionally terminated and released, without any action on the part of the Trustee, any holder of the Notes or any other person in accordance with Section 10.07.</w:t>
      </w:r>
    </w:p>
    <w:p>
      <w:pPr>
        <w:spacing w:after="0" w:line="12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4.12 Limitations on the Issuer Acquiring and Holding Assets.</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So long as any Issuer Indebtedness remains outstanding, the Issuer shall not acquire and hold any material assets, other than (i) any intercompany notes or receivables or (ii) any proceeds from any Indebtedness issued by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4.13 Compliance Certificate.</w:t>
      </w:r>
    </w:p>
    <w:p>
      <w:pPr>
        <w:spacing w:after="0" w:line="117" w:lineRule="exact"/>
        <w:rPr>
          <w:sz w:val="20"/>
          <w:szCs w:val="20"/>
          <w:color w:val="auto"/>
        </w:rPr>
      </w:pPr>
    </w:p>
    <w:p>
      <w:pPr>
        <w:ind w:firstLine="436"/>
        <w:spacing w:after="0" w:line="289" w:lineRule="auto"/>
        <w:tabs>
          <w:tab w:leader="none" w:pos="68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Issuer and each Guarantor shall deliver to the Trustee, within 120 days after the end of each fiscal year, an Officer’s Certificate stating that a review of the activities of Newco and its Subsidiaries during the preceding fiscal year has been made under the supervision of the signing Officers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premium on, if any, or interest, if any, on, the Notes is prohibited or if such event has occurred, a description of the event and what action the Issuer is taking or proposes to take with respect thereto.</w:t>
      </w:r>
    </w:p>
    <w:p>
      <w:pPr>
        <w:spacing w:after="0" w:line="58" w:lineRule="exact"/>
        <w:rPr>
          <w:rFonts w:ascii="Arial" w:cs="Arial" w:eastAsia="Arial" w:hAnsi="Arial"/>
          <w:sz w:val="16"/>
          <w:szCs w:val="16"/>
          <w:color w:val="auto"/>
        </w:rPr>
      </w:pPr>
    </w:p>
    <w:p>
      <w:pPr>
        <w:ind w:right="180" w:firstLine="436"/>
        <w:spacing w:after="0" w:line="263"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So long as any of the Notes are outstanding, the Issuer will deliver to the Trustee, forthwith upon any Officer becoming aware of any Default or Event of Default, an Officer’s Certificate specifying such Default or Event of Default and what action the Issuer is taking or proposes to take with respect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4.14 Stay, Extension and Usury Laws.</w:t>
      </w:r>
    </w:p>
    <w:p>
      <w:pPr>
        <w:spacing w:after="0" w:line="117"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4.15 Use of Proceeds.</w:t>
      </w:r>
    </w:p>
    <w:p>
      <w:pPr>
        <w:spacing w:after="0" w:line="117"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Newco and the Issuer will use the net proceeds from the offering of the Notes in the manner specified in “Use of Proceeds” contained in the Offering Memorandum, and will not distribute or otherwise transfer such proceeds other than (i) pursuant to an intercompany loan or other transfer, directly or indirectly, to Newco or (ii) in connection with or following the consummation of the Contribution.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4.16 No Limitations on RMT Transactions.</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Notwithstanding anything in this Article IV or elsewhere in this Indenture to the contrary, each of the RMT Transactions will be permitted under this Indenture (and, except as set forth in Section 4.15, in no event shall any of the RMT Transactions be subject to any of the covenants contained in this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4.17 Payments of Additional Amounts.</w:t>
      </w:r>
    </w:p>
    <w:p>
      <w:pPr>
        <w:spacing w:after="0" w:line="11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All payments in respect of the Notes by the Issuer, a Paying Agent, a Guarantor or any other Person on behalf of the Issuer, or any successor thereto (each, a “</w:t>
      </w:r>
      <w:r>
        <w:rPr>
          <w:rFonts w:ascii="Arial" w:cs="Arial" w:eastAsia="Arial" w:hAnsi="Arial"/>
          <w:sz w:val="18"/>
          <w:szCs w:val="18"/>
          <w:i w:val="1"/>
          <w:iCs w:val="1"/>
          <w:color w:val="auto"/>
        </w:rPr>
        <w:t>Payor</w:t>
      </w:r>
      <w:r>
        <w:rPr>
          <w:rFonts w:ascii="Arial" w:cs="Arial" w:eastAsia="Arial" w:hAnsi="Arial"/>
          <w:sz w:val="18"/>
          <w:szCs w:val="18"/>
          <w:color w:val="auto"/>
        </w:rPr>
        <w:t>”) shall be made free and clear of, and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249" w:name="page250"/>
    <w:bookmarkEnd w:id="24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withholding or deduction for, or on account of, any present or future taxes, duties, assessments or governmental charges of whatever nature (collectively, “</w:t>
      </w:r>
      <w:r>
        <w:rPr>
          <w:rFonts w:ascii="Arial" w:cs="Arial" w:eastAsia="Arial" w:hAnsi="Arial"/>
          <w:sz w:val="17"/>
          <w:szCs w:val="17"/>
          <w:i w:val="1"/>
          <w:iCs w:val="1"/>
          <w:color w:val="auto"/>
        </w:rPr>
        <w:t>Taxes</w:t>
      </w:r>
      <w:r>
        <w:rPr>
          <w:rFonts w:ascii="Arial" w:cs="Arial" w:eastAsia="Arial" w:hAnsi="Arial"/>
          <w:sz w:val="17"/>
          <w:szCs w:val="17"/>
          <w:color w:val="auto"/>
        </w:rPr>
        <w:t>”), unless such withholding or deduction is required by applicable law. Where the withholding or deduction of Taxes is imposed, collected, withheld, assessed or levied by or on behalf of any jurisdiction in which the Payor is incorporated or tax resident (and in the case of the Paying Agent, the jurisdiction through which the Paying Agent makes the payments on the Notes), or any Governmental Authority or political subdivision thereof or therein having the power to tax (a “</w:t>
      </w:r>
      <w:r>
        <w:rPr>
          <w:rFonts w:ascii="Arial" w:cs="Arial" w:eastAsia="Arial" w:hAnsi="Arial"/>
          <w:sz w:val="17"/>
          <w:szCs w:val="17"/>
          <w:i w:val="1"/>
          <w:iCs w:val="1"/>
          <w:color w:val="auto"/>
        </w:rPr>
        <w:t>Relevant Jurisdiction</w:t>
      </w:r>
      <w:r>
        <w:rPr>
          <w:rFonts w:ascii="Arial" w:cs="Arial" w:eastAsia="Arial" w:hAnsi="Arial"/>
          <w:sz w:val="17"/>
          <w:szCs w:val="17"/>
          <w:color w:val="auto"/>
        </w:rPr>
        <w:t>”) the Payor will, subject to the exceptions and limitations set forth below, pay as additional interest on the Notes of each series such additional amounts (“</w:t>
      </w:r>
      <w:r>
        <w:rPr>
          <w:rFonts w:ascii="Arial" w:cs="Arial" w:eastAsia="Arial" w:hAnsi="Arial"/>
          <w:sz w:val="17"/>
          <w:szCs w:val="17"/>
          <w:i w:val="1"/>
          <w:iCs w:val="1"/>
          <w:color w:val="auto"/>
        </w:rPr>
        <w:t>Additional Amounts</w:t>
      </w:r>
      <w:r>
        <w:rPr>
          <w:rFonts w:ascii="Arial" w:cs="Arial" w:eastAsia="Arial" w:hAnsi="Arial"/>
          <w:sz w:val="17"/>
          <w:szCs w:val="17"/>
          <w:color w:val="auto"/>
        </w:rPr>
        <w:t>”) as are necessary so that the net payment by the Issuer or a Paying Agent or other Payor of the principal of, premium, if any, and interest on such Notes, after deduction for any Taxes of a Relevant Jurisdiction, imposed by withholding with respect to the payment, will not be less than the amount that would have been payable in respect of such Notes had no withholding or deduction been required. A Payor’s obligation to pay Additional Amounts shall not apply:</w:t>
      </w:r>
    </w:p>
    <w:p>
      <w:pPr>
        <w:spacing w:after="0" w:line="73" w:lineRule="exact"/>
        <w:rPr>
          <w:sz w:val="20"/>
          <w:szCs w:val="20"/>
          <w:color w:val="auto"/>
        </w:rPr>
      </w:pPr>
    </w:p>
    <w:p>
      <w:pPr>
        <w:ind w:left="440" w:right="80" w:firstLine="419"/>
        <w:spacing w:after="0" w:line="263" w:lineRule="auto"/>
        <w:tabs>
          <w:tab w:leader="none" w:pos="11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extent any Taxes are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75" w:lineRule="exact"/>
        <w:rPr>
          <w:rFonts w:ascii="Arial" w:cs="Arial" w:eastAsia="Arial" w:hAnsi="Arial"/>
          <w:sz w:val="18"/>
          <w:szCs w:val="18"/>
          <w:color w:val="auto"/>
        </w:rPr>
      </w:pPr>
    </w:p>
    <w:p>
      <w:pPr>
        <w:ind w:left="980" w:right="880" w:firstLine="408"/>
        <w:spacing w:after="0" w:line="277" w:lineRule="auto"/>
        <w:tabs>
          <w:tab w:leader="none" w:pos="167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Relevant Jurisdiction or having or having had a permanent establishment in the Relevant Jurisdiction;</w:t>
      </w:r>
    </w:p>
    <w:p>
      <w:pPr>
        <w:spacing w:after="0" w:line="62" w:lineRule="exact"/>
        <w:rPr>
          <w:rFonts w:ascii="Arial" w:cs="Arial" w:eastAsia="Arial" w:hAnsi="Arial"/>
          <w:sz w:val="18"/>
          <w:szCs w:val="18"/>
          <w:color w:val="auto"/>
        </w:rPr>
      </w:pPr>
    </w:p>
    <w:p>
      <w:pPr>
        <w:ind w:left="980" w:right="160" w:firstLine="408"/>
        <w:spacing w:after="0" w:line="263" w:lineRule="auto"/>
        <w:tabs>
          <w:tab w:leader="none" w:pos="166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having a current or former connection with the Relevant Jurisdiction (other than a connection arising solely as a result of the ownership of the Notes, the receipt of any payment or the enforcement of any rights hereunder), including being or having been a citizen or resident of the Relevant Jurisdiction;</w:t>
      </w:r>
    </w:p>
    <w:p>
      <w:pPr>
        <w:spacing w:after="0" w:line="75" w:lineRule="exact"/>
        <w:rPr>
          <w:rFonts w:ascii="Arial" w:cs="Arial" w:eastAsia="Arial" w:hAnsi="Arial"/>
          <w:sz w:val="18"/>
          <w:szCs w:val="18"/>
          <w:color w:val="auto"/>
        </w:rPr>
      </w:pPr>
    </w:p>
    <w:p>
      <w:pPr>
        <w:ind w:left="980" w:right="100" w:firstLine="408"/>
        <w:spacing w:after="0" w:line="308" w:lineRule="auto"/>
        <w:tabs>
          <w:tab w:leader="none" w:pos="1666" w:val="left"/>
        </w:tabs>
        <w:numPr>
          <w:ilvl w:val="1"/>
          <w:numId w:val="214"/>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United States income tax purposes or a corporation that has accumulated earnings to avoid U.S. federal income tax;</w:t>
      </w:r>
    </w:p>
    <w:p>
      <w:pPr>
        <w:spacing w:after="0" w:line="38" w:lineRule="exact"/>
        <w:rPr>
          <w:rFonts w:ascii="Arial" w:cs="Arial" w:eastAsia="Arial" w:hAnsi="Arial"/>
          <w:sz w:val="17"/>
          <w:szCs w:val="17"/>
          <w:color w:val="auto"/>
        </w:rPr>
      </w:pPr>
    </w:p>
    <w:p>
      <w:pPr>
        <w:ind w:left="980" w:right="60" w:firstLine="408"/>
        <w:spacing w:after="0" w:line="277" w:lineRule="auto"/>
        <w:tabs>
          <w:tab w:leader="none" w:pos="167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being or having been a “10-percent shareholder” of Newco as defined in section 871(h)(3) of the United States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980" w:right="120" w:firstLine="408"/>
        <w:spacing w:after="0" w:line="277" w:lineRule="auto"/>
        <w:tabs>
          <w:tab w:leader="none" w:pos="165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being or having been a bank receiving payments on an extension of credit made pursuant to a loan agreement entered into in the ordinary course of its trade or business, as described in section 881(c)(3)(A) of the Code;</w:t>
      </w:r>
    </w:p>
    <w:p>
      <w:pPr>
        <w:spacing w:after="0" w:line="62" w:lineRule="exact"/>
        <w:rPr>
          <w:rFonts w:ascii="Arial" w:cs="Arial" w:eastAsia="Arial" w:hAnsi="Arial"/>
          <w:sz w:val="18"/>
          <w:szCs w:val="18"/>
          <w:color w:val="auto"/>
        </w:rPr>
      </w:pPr>
    </w:p>
    <w:p>
      <w:pPr>
        <w:jc w:val="both"/>
        <w:ind w:left="440" w:right="100" w:firstLine="419"/>
        <w:spacing w:after="0" w:line="259" w:lineRule="auto"/>
        <w:tabs>
          <w:tab w:leader="none" w:pos="11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78" w:lineRule="exact"/>
        <w:rPr>
          <w:rFonts w:ascii="Arial" w:cs="Arial" w:eastAsia="Arial" w:hAnsi="Arial"/>
          <w:sz w:val="18"/>
          <w:szCs w:val="18"/>
          <w:color w:val="auto"/>
        </w:rPr>
      </w:pPr>
    </w:p>
    <w:p>
      <w:pPr>
        <w:ind w:left="440" w:right="140" w:firstLine="419"/>
        <w:spacing w:after="0" w:line="301" w:lineRule="auto"/>
        <w:tabs>
          <w:tab w:leader="none" w:pos="111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to any Taxes that are imposed or withheld because the Holder or beneficial owner failed to accurately comply with a request from a Payor to meet certification, identification or information reporting requirements concerning the nationality, residence or identity of the Holder or beneficial owner of the Notes or to satisfy any information or reporting requirement, or to present the relevant note (where presentation is required), if compliance with such action is required as a precondition to exemption from, or reduction in, such Taxes by a Relevant Jurisdiction;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50" w:name="page251"/>
    <w:bookmarkEnd w:id="250"/>
    <w:p>
      <w:pPr>
        <w:ind w:left="1120" w:hanging="261"/>
        <w:spacing w:after="0"/>
        <w:tabs>
          <w:tab w:leader="none" w:pos="11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any Taxes that are imposed other than by withholding or deduction by a Payor from the payment under, or with respect to, a Note;</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personal property or similar Taxes;</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 of January 1, 2021, to any Taxes to the extent such Taxes are imposed or withheld pursuant to the Dutch Withholding Tax Act 2021 (Wet bronbelasting 2021);</w:t>
      </w:r>
    </w:p>
    <w:p>
      <w:pPr>
        <w:spacing w:after="0" w:line="62" w:lineRule="exact"/>
        <w:rPr>
          <w:rFonts w:ascii="Arial" w:cs="Arial" w:eastAsia="Arial" w:hAnsi="Arial"/>
          <w:sz w:val="18"/>
          <w:szCs w:val="18"/>
          <w:color w:val="auto"/>
        </w:rPr>
      </w:pPr>
    </w:p>
    <w:p>
      <w:pPr>
        <w:ind w:left="440" w:right="20" w:firstLine="419"/>
        <w:spacing w:after="0" w:line="286" w:lineRule="auto"/>
        <w:tabs>
          <w:tab w:leader="none" w:pos="111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to any Taxes to the extent such Taxes were imposed as a result of the presentation of a Note for payment (where presentation is required) more than 30 days after the relevant amount is first made available for payment to the Holder (except to the extent that the Holder would have been entitled to Additional Amounts had the Note been presented on the last day of such 30-day period); or</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any combination of the above items.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 addition, any amounts to be paid on the Notes of each series will be paid net of any deduction or withholding imposed or required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and no additional amounts will be required to be paid on account of any such deduction or withholding.</w:t>
      </w:r>
    </w:p>
    <w:p>
      <w:pPr>
        <w:spacing w:after="0" w:line="188"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The Notes are subject in all cases to any tax, fiscal or other law or regulation or administrative or judicial interpretation applicable. Except as specifically provided in this Section 4.17 and in Section 3.09 no Payor is required to make any payment with respect to any Taxes imposed by any Governmental Authority or political subdivision having the power to tax.</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4.18 Listing.</w:t>
      </w:r>
    </w:p>
    <w:p>
      <w:pPr>
        <w:spacing w:after="0" w:line="117"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The Issuer shall use its commercially reasonable efforts to obtain and, for so long as the Notes are outstanding, maintain a listing of the Notes on the Official List of Euronext Dublin and their admission to trading on the Global Exchange Market thereof; provided that if at any time the Issuer determines that it will not obtain or maintain the listing of the Notes on Euronext Dublin, it shall use its commercially reasonable efforts to obtain and thereafter maintain, a listing of such Notes on another market of a stock exchange in the European Union recognized by the European Central Bank as an “acceptable market” under the ECB Guideline on the implementation of the Eurosystem monetary policy (Guideline (EU) 2015/510, as amended).</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5.01 Consolidation, Merger and Sale of Assets.</w:t>
      </w:r>
    </w:p>
    <w:p>
      <w:pPr>
        <w:spacing w:after="0" w:line="117" w:lineRule="exact"/>
        <w:rPr>
          <w:sz w:val="20"/>
          <w:szCs w:val="20"/>
          <w:color w:val="auto"/>
        </w:rPr>
      </w:pPr>
    </w:p>
    <w:p>
      <w:pPr>
        <w:ind w:firstLine="436"/>
        <w:spacing w:after="0" w:line="277" w:lineRule="auto"/>
        <w:tabs>
          <w:tab w:leader="none" w:pos="68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Newco will not consolidate with any other entity or accept a merger of any other entity into Newco or permit Newco to be merged into another Person, or sell or lease all or substantially all the assets of Newco and its Subsidiaries to, any entity, unless:</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11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either Newco shall be the continuing entity or the successor, transferee or lessee entity, if other than Newco (the “</w:t>
      </w:r>
      <w:r>
        <w:rPr>
          <w:rFonts w:ascii="Arial" w:cs="Arial" w:eastAsia="Arial" w:hAnsi="Arial"/>
          <w:sz w:val="18"/>
          <w:szCs w:val="18"/>
          <w:i w:val="1"/>
          <w:iCs w:val="1"/>
          <w:color w:val="auto"/>
        </w:rPr>
        <w:t>Newco 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shall expressly assume, by a supplemental indenture, executed and delivered to the Trustee, in form satisfactory to the Trustee,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Newco under the Notes and this Indenture;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251" w:name="page252"/>
    <w:bookmarkEnd w:id="251"/>
    <w:p>
      <w:pPr>
        <w:ind w:left="1120" w:hanging="261"/>
        <w:spacing w:after="0"/>
        <w:tabs>
          <w:tab w:leader="none" w:pos="11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immediately after such transaction, no Default shall have occurred and be continuing; and</w:t>
      </w:r>
    </w:p>
    <w:p>
      <w:pPr>
        <w:spacing w:after="0" w:line="117" w:lineRule="exact"/>
        <w:rPr>
          <w:rFonts w:ascii="Arial" w:cs="Arial" w:eastAsia="Arial" w:hAnsi="Arial"/>
          <w:sz w:val="18"/>
          <w:szCs w:val="18"/>
          <w:color w:val="auto"/>
        </w:rPr>
      </w:pPr>
    </w:p>
    <w:p>
      <w:pPr>
        <w:ind w:left="440" w:right="480" w:firstLine="419"/>
        <w:spacing w:after="0" w:line="277" w:lineRule="auto"/>
        <w:tabs>
          <w:tab w:leader="none" w:pos="111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Newco shall have delivered to the Trustee an Officer’s Certificate and an Opinion of Counsel, each stating that such consolidation, merger, sale or lease and such supplemental indenture (if any) comply with this Indenture.</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For purposes of this Section 5.01, the sale, lease, conveyance, assignment, transfer or other disposition of all or substantially all of the</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properties and assets or one or more Subsidiaries of Newco, which properties and assets, if held by Newco instead of such Subsidiaries, would constitute all or substantially all of the properties and assets of Newco on a consolidated basis, shall be deemed to be the transfer of all or substantially all of the properties and assets of Newco.</w:t>
      </w:r>
    </w:p>
    <w:p>
      <w:pPr>
        <w:spacing w:after="0" w:line="81" w:lineRule="exact"/>
        <w:rPr>
          <w:rFonts w:ascii="Arial" w:cs="Arial" w:eastAsia="Arial" w:hAnsi="Arial"/>
          <w:sz w:val="17"/>
          <w:szCs w:val="17"/>
          <w:color w:val="auto"/>
        </w:rPr>
      </w:pPr>
    </w:p>
    <w:p>
      <w:pPr>
        <w:ind w:right="100" w:firstLine="436"/>
        <w:spacing w:after="0" w:line="263" w:lineRule="auto"/>
        <w:tabs>
          <w:tab w:leader="none" w:pos="68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Newco Successor Company will be the successor to Newco and shall succeed to, and be substituted for, and may exercise every right and power of, Newco under this Indenture, and Newco, as the predecessor company, except in the case of a lease, shall be released from all obligations under this Indenture and the Notes.</w:t>
      </w:r>
    </w:p>
    <w:p>
      <w:pPr>
        <w:spacing w:after="0" w:line="75"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Issuer will not consolidate with any other entity or accept a merger of any other entity into the Issuer or permit the Issuer to be merged into another entity, unless:</w:t>
      </w:r>
    </w:p>
    <w:p>
      <w:pPr>
        <w:spacing w:after="0" w:line="62" w:lineRule="exact"/>
        <w:rPr>
          <w:rFonts w:ascii="Arial" w:cs="Arial" w:eastAsia="Arial" w:hAnsi="Arial"/>
          <w:sz w:val="18"/>
          <w:szCs w:val="18"/>
          <w:color w:val="auto"/>
        </w:rPr>
      </w:pPr>
    </w:p>
    <w:p>
      <w:pPr>
        <w:jc w:val="both"/>
        <w:ind w:left="440" w:right="300" w:firstLine="419"/>
        <w:spacing w:after="0" w:line="263" w:lineRule="auto"/>
        <w:tabs>
          <w:tab w:leader="none" w:pos="111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either the Issuer shall be the continuing entity or the successor entity, if other than the Issuer (the “</w:t>
      </w:r>
      <w:r>
        <w:rPr>
          <w:rFonts w:ascii="Arial" w:cs="Arial" w:eastAsia="Arial" w:hAnsi="Arial"/>
          <w:sz w:val="18"/>
          <w:szCs w:val="18"/>
          <w:i w:val="1"/>
          <w:iCs w:val="1"/>
          <w:color w:val="auto"/>
        </w:rPr>
        <w:t>Issuer Successor Company</w:t>
      </w:r>
      <w:r>
        <w:rPr>
          <w:rFonts w:ascii="Arial" w:cs="Arial" w:eastAsia="Arial" w:hAnsi="Arial"/>
          <w:sz w:val="18"/>
          <w:szCs w:val="18"/>
          <w:color w:val="auto"/>
        </w:rPr>
        <w:t>”), shall expressly assume, by a supplemental indenture, executed and delivered to the Trustee, all the obligations of the Issuer under the Notes and this Indenture;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immediately after such transaction, no Default shall have occurred and be continuing; and</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consolidation or merger and such supplemental indenture comply with this Indenture.</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Issuer Successor Company will be the successor to the Issuer and shall succeed to, and be substituted for, and may exercise every right and power of, the Issuer under this Indenture, and the Issuer as the predecessor company, shall be released from all obligations under this Indenture and the Notes.</w:t>
      </w:r>
    </w:p>
    <w:p>
      <w:pPr>
        <w:spacing w:after="0" w:line="76" w:lineRule="exact"/>
        <w:rPr>
          <w:sz w:val="20"/>
          <w:szCs w:val="20"/>
          <w:color w:val="auto"/>
        </w:rPr>
      </w:pPr>
    </w:p>
    <w:p>
      <w:pPr>
        <w:ind w:right="240" w:firstLine="436"/>
        <w:spacing w:after="0" w:line="277" w:lineRule="auto"/>
        <w:tabs>
          <w:tab w:leader="none" w:pos="68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of the RMT Transactions will be permitted under this Indenture (and in no event shall any such transactions be subject to this covenant).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6.01 Events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following events shall be an “</w:t>
      </w:r>
      <w:r>
        <w:rPr>
          <w:rFonts w:ascii="Arial" w:cs="Arial" w:eastAsia="Arial" w:hAnsi="Arial"/>
          <w:sz w:val="18"/>
          <w:szCs w:val="18"/>
          <w:i w:val="1"/>
          <w:iCs w:val="1"/>
          <w:color w:val="auto"/>
        </w:rPr>
        <w:t>Event of Default</w:t>
      </w:r>
      <w:r>
        <w:rPr>
          <w:rFonts w:ascii="Arial" w:cs="Arial" w:eastAsia="Arial" w:hAnsi="Arial"/>
          <w:sz w:val="18"/>
          <w:szCs w:val="18"/>
          <w:color w:val="auto"/>
        </w:rPr>
        <w:t>” with respect to the Notes of a series:</w:t>
      </w:r>
    </w:p>
    <w:p>
      <w:pPr>
        <w:spacing w:after="0" w:line="117" w:lineRule="exact"/>
        <w:rPr>
          <w:sz w:val="20"/>
          <w:szCs w:val="20"/>
          <w:color w:val="auto"/>
        </w:rPr>
      </w:pPr>
    </w:p>
    <w:p>
      <w:pPr>
        <w:ind w:left="1120" w:hanging="261"/>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failure to pay interest on the Notes of such series that continues for a period of 30 days after payment is due;</w:t>
      </w:r>
    </w:p>
    <w:p>
      <w:pPr>
        <w:spacing w:after="0" w:line="117" w:lineRule="exact"/>
        <w:rPr>
          <w:rFonts w:ascii="Arial" w:cs="Arial" w:eastAsia="Arial" w:hAnsi="Arial"/>
          <w:sz w:val="18"/>
          <w:szCs w:val="18"/>
          <w:color w:val="auto"/>
        </w:rPr>
      </w:pPr>
    </w:p>
    <w:p>
      <w:pPr>
        <w:ind w:left="440" w:right="600" w:firstLine="419"/>
        <w:spacing w:after="0" w:line="277" w:lineRule="auto"/>
        <w:tabs>
          <w:tab w:leader="none" w:pos="111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failure to pay the principal or premium, if any, on the Notes of such series when due upon maturity, redemption, acceleration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52" w:name="page253"/>
    <w:bookmarkEnd w:id="252"/>
    <w:p>
      <w:pPr>
        <w:ind w:left="1120" w:hanging="261"/>
        <w:spacing w:after="0"/>
        <w:tabs>
          <w:tab w:leader="none" w:pos="11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failure to comply with Section 5.01;</w:t>
      </w:r>
    </w:p>
    <w:p>
      <w:pPr>
        <w:spacing w:after="0" w:line="117" w:lineRule="exact"/>
        <w:rPr>
          <w:rFonts w:ascii="Arial" w:cs="Arial" w:eastAsia="Arial" w:hAnsi="Arial"/>
          <w:sz w:val="18"/>
          <w:szCs w:val="18"/>
          <w:color w:val="auto"/>
        </w:rPr>
      </w:pPr>
    </w:p>
    <w:p>
      <w:pPr>
        <w:ind w:left="440" w:right="120" w:firstLine="419"/>
        <w:spacing w:after="0" w:line="293" w:lineRule="auto"/>
        <w:tabs>
          <w:tab w:leader="none" w:pos="111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failure to comply with (x) any of Newco’s or the Issuer’s other agreements contained in this Indenture and applicable to the Notes of such series (other than (i) a failure that is subject to clause (1), (2) or (3) of this Section 6.01 or (ii) a failure to comply with Section 4.03) for a period of 60 days after receipt by the Issuer of written notice of such failure from the Trustee (or receipt by the Issuer and the Trustee of written notice of such failure from the Holders of at least 25% of the principal amount of the applicable series of Notes) or (y) the requirements set forth in Section 4.03 for a period of 120 days after receipt by the Issuer of written notice of such failure from the Trustee (or receipt by the Issuer and the Trustee of written notice of such failure from the holders of at least 25% of the principal amount of the applicable series of Notes);</w:t>
      </w:r>
    </w:p>
    <w:p>
      <w:pPr>
        <w:spacing w:after="0" w:line="56" w:lineRule="exact"/>
        <w:rPr>
          <w:rFonts w:ascii="Arial" w:cs="Arial" w:eastAsia="Arial" w:hAnsi="Arial"/>
          <w:sz w:val="16"/>
          <w:szCs w:val="16"/>
          <w:color w:val="auto"/>
        </w:rPr>
      </w:pPr>
    </w:p>
    <w:p>
      <w:pPr>
        <w:jc w:val="both"/>
        <w:ind w:left="440" w:firstLine="419"/>
        <w:spacing w:after="0" w:line="275" w:lineRule="auto"/>
        <w:tabs>
          <w:tab w:leader="none" w:pos="111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one or more defaults shall have occurred under any of the agreements, indentures or instruments under which Newco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68" w:lineRule="exact"/>
        <w:rPr>
          <w:rFonts w:ascii="Arial" w:cs="Arial" w:eastAsia="Arial" w:hAnsi="Arial"/>
          <w:sz w:val="17"/>
          <w:szCs w:val="17"/>
          <w:color w:val="auto"/>
        </w:rPr>
      </w:pPr>
    </w:p>
    <w:p>
      <w:pPr>
        <w:ind w:left="440" w:right="120" w:firstLine="419"/>
        <w:spacing w:after="0" w:line="259" w:lineRule="auto"/>
        <w:tabs>
          <w:tab w:leader="none" w:pos="11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one or more judgments or orders that exceed $250.0 million in the aggregate (net of amounts covered by insurance or bonded) for the payment of money have been entered by a court or courts of competent jurisdiction against Newco or any Significant Subsidiary and such judgment or judgments have not been satisfied, stayed, annulled or rescinded within 60 days after such judgment or judgments become final and nonappealable;</w:t>
      </w:r>
    </w:p>
    <w:p>
      <w:pPr>
        <w:spacing w:after="0" w:line="78" w:lineRule="exact"/>
        <w:rPr>
          <w:rFonts w:ascii="Arial" w:cs="Arial" w:eastAsia="Arial" w:hAnsi="Arial"/>
          <w:sz w:val="18"/>
          <w:szCs w:val="18"/>
          <w:color w:val="auto"/>
        </w:rPr>
      </w:pPr>
    </w:p>
    <w:p>
      <w:pPr>
        <w:ind w:left="440" w:right="60" w:firstLine="419"/>
        <w:spacing w:after="0" w:line="257" w:lineRule="auto"/>
        <w:tabs>
          <w:tab w:leader="none" w:pos="11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Guarantee by Newco or a Significant Subsidiary of the Issuer’s Indenture Obligations under the Notes of such series shall for any reason cease to be, or shall for any reason be held in any judicial proceeding not to be, or asserted in writing by Newco or any Significant Subsidiary not to be, in full force and effect and enforceable in accordance with its terms, except to the extent contemplated by this Indenture and any such Guarantee by Newco or such Significant Subsidiary of the Issuer’s Indenture Obligations under the Notes of such series, and any such Default continues for 10 days;</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Issuer, Newco or any Significant Subsidiary: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commences a voluntary insolvency proceeding;</w:t>
      </w:r>
    </w:p>
    <w:p>
      <w:pPr>
        <w:spacing w:after="0" w:line="117" w:lineRule="exact"/>
        <w:rPr>
          <w:rFonts w:ascii="Arial" w:cs="Arial" w:eastAsia="Arial" w:hAnsi="Arial"/>
          <w:sz w:val="18"/>
          <w:szCs w:val="18"/>
          <w:color w:val="auto"/>
        </w:rPr>
      </w:pPr>
    </w:p>
    <w:p>
      <w:pPr>
        <w:ind w:left="980" w:right="360" w:firstLine="408"/>
        <w:spacing w:after="0" w:line="277" w:lineRule="auto"/>
        <w:tabs>
          <w:tab w:leader="none" w:pos="166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insolvency proceeding or consents to its dissolution or winding-up;</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takes any comparable action under any foreign laws relating to insolvency;</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liquidation of any Subsidiary of Newco into Newco or another Subsidiary of Newco, other than as part of a credit</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shall not constitute an Event of Default under this Section 6.01(8);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253" w:name="page254"/>
    <w:bookmarkEnd w:id="253"/>
    <w:p>
      <w:pPr>
        <w:ind w:left="1120" w:hanging="261"/>
        <w:spacing w:after="0"/>
        <w:tabs>
          <w:tab w:leader="none" w:pos="11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is for relief against the Issuer, Newco or any Significant Subsidiary in an involuntary insolvency proceeding;</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appoints a Custodian of the Issuer, Newco or any Significant Subsidiary or for any substantial part of their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orders the winding-up, liquidation or dissolution of the Issuer, Newco or any Significant Subsidiary;</w:t>
      </w:r>
    </w:p>
    <w:p>
      <w:pPr>
        <w:spacing w:after="0" w:line="117" w:lineRule="exact"/>
        <w:rPr>
          <w:rFonts w:ascii="Arial" w:cs="Arial" w:eastAsia="Arial" w:hAnsi="Arial"/>
          <w:sz w:val="18"/>
          <w:szCs w:val="18"/>
          <w:color w:val="auto"/>
        </w:rPr>
      </w:pPr>
    </w:p>
    <w:p>
      <w:pPr>
        <w:ind w:left="980" w:right="560" w:firstLine="408"/>
        <w:spacing w:after="0" w:line="277" w:lineRule="auto"/>
        <w:tabs>
          <w:tab w:leader="none" w:pos="167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orders the presentation of any plan or arrangement, compromise or reorganization of the Issuer, Newco or any Significant Subsidiary; or</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grants any similar relief under any foreign laws; and in each such case the order or decree remains unstayed and in effect for 60</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days.</w:t>
      </w:r>
    </w:p>
    <w:p>
      <w:pPr>
        <w:spacing w:after="0" w:line="102" w:lineRule="exact"/>
        <w:rPr>
          <w:rFonts w:ascii="Arial" w:cs="Arial" w:eastAsia="Arial" w:hAnsi="Arial"/>
          <w:sz w:val="16"/>
          <w:szCs w:val="16"/>
          <w:color w:val="auto"/>
        </w:rPr>
      </w:pPr>
    </w:p>
    <w:p>
      <w:pPr>
        <w:ind w:left="440" w:right="200" w:firstLine="419"/>
        <w:spacing w:after="0" w:line="342" w:lineRule="auto"/>
        <w:tabs>
          <w:tab w:leader="none" w:pos="120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prior to the consummation of the Distribution, the Pfizer Guarantee shall be held in any judicial proceeding not to be in full force and effect and enforceable in accordance with its terms, except to the extent contemplated by this Indenture or the Guarantee Agreement.</w:t>
      </w:r>
    </w:p>
    <w:p>
      <w:pPr>
        <w:spacing w:after="0" w:line="12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6.02 Acceleration of Maturity; Rescission.</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If an Event of Default with respect to the Notes of a series (other than an Event of Default specified in Sections 6.01(8) and 6.01(9) with respect to Newco or the Issuer) shall have occurred and be continuing, the Trustee or the Holders of at least 25% in outstanding principal amount of the Notes of such series, may declare to be immediately due and payable the principal amount of all of the Notes of such series then outstanding, plus accrued but unpaid interest thereon, if any, to the date of acceleration. If an Event of Default specified in Sections 6.01(8) and 6.01(9) with respect to Newco or the Issuer shall occur, such amount with respect to all the Notes shall become automatically due and payable immediately without any further action or notice. However, a notice of Default or notice of continuing Event of Default (including any declaration of acceleration) with respect to the Notes of any series may not be given with respect to any action taken, and reported publicly or to holders of the Notes of such series, more than two years prior to such notice. After any such acceleration, but before a judgment or decree based on acceleration is obtained by the applicable person, the registered Holders of a majority in principal amount of the then outstanding Notes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spacing w:after="0" w:line="172"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Subject to Section 7.01, in case an Event of Default shall occur and be continuing, the Trustee shall be under no obligation to exercise any of its rights or powers under this Indenture at the request or direction of any of the Holders of Notes of any series, unless such Holders have offered to the Trustee reasonable security and/or indemnity to its satisfaction. Subject to Section 7.06, the Holders of a majority in aggregate principal amount of any series of Notes then outstanding will have the right to direct the time, method and place of conducting any proceeding for any remedy available to the Trustee or exercising any trust or power the Trustee holds with respect to the Notes of such series.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54" w:name="page255"/>
    <w:bookmarkEnd w:id="25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6.03 Other Remedies.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 Event of Default occurs and is continuing, the Trustee may pursue any available remedy by proceeding at law or in equity to collect the payment of principal of, or premium, if any, and interest on the Notes of each applicable series or to enforce the performance of any provision of the Notes of each applicable series or this Indenture and may take any necessary action requested of it as Trustee to settle, compromise, adjust or otherwise conclude any proceedings to which it is a party.</w:t>
      </w:r>
    </w:p>
    <w:p>
      <w:pPr>
        <w:spacing w:after="0" w:line="18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Notes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Issuer.</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6.04 Waiver of Past Defaults and Events of Default.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Provided the Notes of a series are not then due and payable by reason of a declaration of acceleration, the Holders of a majority in principal amount of the then outstanding Notes of such series may on behalf of the Holders of all the affected Notes of such series waive any past Default with respect to such series of Notes and its consequences by providing written notice thereof to the Issuer and the Trustee, except a Default (1) in the payment of interest on or the principal of any Note or (2) in respect of a covenant or provision hereof which under this Indenture cannot be modified or amended without the consent of the Holder of each outstanding Note affected. In the case of any such waiver, the Issuer, the Trustee and the Holders of the Notes of the applicable series will be restored to their former positions and rights under this Indenture, respectively;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waiver shall extend to any subsequent or other Default or impair any right consequent thereto.</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6.05 Control by Majority.</w:t>
      </w:r>
    </w:p>
    <w:p>
      <w:pPr>
        <w:spacing w:after="0" w:line="11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Holders of at least a majority in aggregate principal amount of the outstanding Notes of a series may direct the time, method and place of conducting any proceeding for any remedy available to the Trustee or exercising any trust or power conferred on the Trustee with respect to the Notes of such series. However, the Trustee may refuse to follow any direction that conflicts with law or this Indenture, that may involve the Trustee in personal liability, or that the Trustee determines in good faith may be unduly prejudicial to the rights of Holders of the affected Notes not joining in the giving of such direction and may take any other action it deems proper that is not inconsistent with any such direction received from Holders of the Notes.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6.06 Limitation on Suits.</w:t>
      </w:r>
    </w:p>
    <w:p>
      <w:pPr>
        <w:spacing w:after="0" w:line="11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No Holder of the Notes of a series will have any right to institute any proceeding with respect to this Indenture, or for any remedy hereunder, unless:</w:t>
      </w:r>
    </w:p>
    <w:p>
      <w:pPr>
        <w:spacing w:after="0" w:line="62" w:lineRule="exact"/>
        <w:rPr>
          <w:sz w:val="20"/>
          <w:szCs w:val="20"/>
          <w:color w:val="auto"/>
        </w:rPr>
      </w:pPr>
    </w:p>
    <w:p>
      <w:pPr>
        <w:ind w:left="440" w:right="360" w:firstLine="419"/>
        <w:spacing w:after="0" w:line="277" w:lineRule="auto"/>
        <w:tabs>
          <w:tab w:leader="none" w:pos="111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 of such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55" w:name="page256"/>
    <w:bookmarkEnd w:id="255"/>
    <w:p>
      <w:pPr>
        <w:ind w:left="440" w:right="480" w:firstLine="419"/>
        <w:spacing w:after="0" w:line="277" w:lineRule="auto"/>
        <w:tabs>
          <w:tab w:leader="none" w:pos="11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Holders of at least 25% in aggregate principal amount of the outstanding Notes of such series have made a written request, and offered reasonable indemnity, to the Trustee to institute such proceeding as Trustee; and</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of such series a direction that is inconsistent with such request.</w:t>
      </w:r>
    </w:p>
    <w:p>
      <w:pPr>
        <w:spacing w:after="0" w:line="170"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However, the Holder of any Note will have an absolute and unconditional right to receive payment of the principal of, and premium, if any, or interest on, such Note on or after the date or dates they are to be paid as expressed in such Note and to institute suit for the enforcement of any such payment.</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6.07 Rights of Holders To Receive Payment.</w:t>
      </w:r>
    </w:p>
    <w:p>
      <w:pPr>
        <w:spacing w:after="0" w:line="117"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Notwithstanding any other provision of this Indenture, except as otherwise provided in Section 8.02(d), the right of any Holder of a Note to receive payment of the principal of or premium, if any, or interest, if any, on such Note (including in connection with an offer to purchase) or to bring suit for the enforcement of any such payment, on or after the due date expressed in the Notes shall not be impaired or affected without the consent of such Holder. Notwithstanding the foregoing, each Holder of a Note, and each owner of a beneficial interest in a Note, shall be deemed to acknowledge and agree that the release of any Guarantee in accordance with the terms of this Indenture shall not impair the right of such Holder or owner to receive any payment of the principal of or premium, if any, or interest, if any, on such Note, and each such Holder and each such owner, by acquiring any interest in a Note, thereby consents to any such release and waives any and all claims against the Trustee, the Issuer and any Guarantor in connection with such release.</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6.08 Collection Suit by Trustee.</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an Event of Default in payment of principal, premium or interest specified in Section 6.01(1) or (2) occurs and is continuing, the Trustee may recover judgment in its own name and as trustee of an express trust against the Issuer (or any other obligor on the Notes) for the whole amount of unpaid principal and accrued interest remaining unpaid.</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6.09 Trustee May File Proofs of Claim.</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Issuer (or any other obligor upon the Notes),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spacing w:after="0" w:line="18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any plan or reorganization, arrangement, adjustment or composition affecting the Notes or the rights of any Holder thereof, or to authorize the Trustee to vote in respect of the claim of any Holder in any such proceedings. All rights of action and claims under this Indenture or the Notes may be prosecuted and enforced by the Trustee without the possession of any of the Notes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256" w:name="page257"/>
    <w:bookmarkEnd w:id="25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6.10 Priorities.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money or property collected by the Trustee pursuant to this Article VI, and any money or other property distributable in respect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Issuer’s obligations under this Indenture after an Event of Default shall be applied in the following order:</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to the Trustee (including any predecessor Trustee) for amounts due under Section 7.06;</w:t>
      </w:r>
    </w:p>
    <w:p>
      <w:pPr>
        <w:spacing w:after="0" w:line="117" w:lineRule="exact"/>
        <w:rPr>
          <w:sz w:val="20"/>
          <w:szCs w:val="20"/>
          <w:color w:val="auto"/>
        </w:rPr>
      </w:pPr>
    </w:p>
    <w:p>
      <w:pPr>
        <w:ind w:left="440" w:right="460" w:firstLine="423"/>
        <w:spacing w:after="0" w:line="277" w:lineRule="auto"/>
        <w:rPr>
          <w:sz w:val="20"/>
          <w:szCs w:val="20"/>
          <w:color w:val="auto"/>
        </w:rPr>
      </w:pPr>
      <w:r>
        <w:rPr>
          <w:rFonts w:ascii="Arial" w:cs="Arial" w:eastAsia="Arial" w:hAnsi="Arial"/>
          <w:sz w:val="18"/>
          <w:szCs w:val="18"/>
          <w:color w:val="auto"/>
        </w:rPr>
        <w:t>SECOND: to Holders for amounts due and unpaid on the affected Notes for principal, premium, if any, and interest as to each, ratably, without preference or priority of any kind, according to the amounts due and payable on the affected Notes; and</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THIRD: to the Issuer.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6.11 Undertaking for Costs.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Notes of a series then outstanding.</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6.12 Delay or Omission Not Waiver.</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 delay or omission of the Trustee or of any Holder of any Notes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7.01 Duties of Trustee.</w:t>
      </w:r>
    </w:p>
    <w:p>
      <w:pPr>
        <w:spacing w:after="0" w:line="117" w:lineRule="exact"/>
        <w:rPr>
          <w:sz w:val="20"/>
          <w:szCs w:val="20"/>
          <w:color w:val="auto"/>
        </w:rPr>
      </w:pPr>
    </w:p>
    <w:p>
      <w:pPr>
        <w:ind w:right="220" w:firstLine="436"/>
        <w:spacing w:after="0" w:line="263" w:lineRule="auto"/>
        <w:tabs>
          <w:tab w:leader="none" w:pos="6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57" w:name="page258"/>
    <w:bookmarkEnd w:id="257"/>
    <w:p>
      <w:pPr>
        <w:ind w:left="420" w:right="700" w:firstLine="419"/>
        <w:spacing w:after="0" w:line="277" w:lineRule="auto"/>
        <w:tabs>
          <w:tab w:leader="none" w:pos="1098" w:val="left"/>
        </w:tabs>
        <w:numPr>
          <w:ilvl w:val="1"/>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420" w:firstLine="419"/>
        <w:spacing w:after="0" w:line="275" w:lineRule="auto"/>
        <w:tabs>
          <w:tab w:leader="none" w:pos="1098" w:val="left"/>
        </w:tabs>
        <w:numPr>
          <w:ilvl w:val="1"/>
          <w:numId w:val="226"/>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68" w:lineRule="exact"/>
        <w:rPr>
          <w:rFonts w:ascii="Arial" w:cs="Arial" w:eastAsia="Arial" w:hAnsi="Arial"/>
          <w:sz w:val="17"/>
          <w:szCs w:val="17"/>
          <w:color w:val="auto"/>
        </w:rPr>
      </w:pPr>
    </w:p>
    <w:p>
      <w:pPr>
        <w:ind w:left="-20" w:right="160" w:firstLine="436"/>
        <w:spacing w:after="0" w:line="277" w:lineRule="auto"/>
        <w:tabs>
          <w:tab w:leader="none" w:pos="6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00" w:hanging="261"/>
        <w:spacing w:after="0"/>
        <w:tabs>
          <w:tab w:leader="none" w:pos="11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this paragraph does not limit the effect of clause (b) or (d) of this Section 7.01;</w:t>
      </w:r>
    </w:p>
    <w:p>
      <w:pPr>
        <w:spacing w:after="0" w:line="117" w:lineRule="exact"/>
        <w:rPr>
          <w:rFonts w:ascii="Arial" w:cs="Arial" w:eastAsia="Arial" w:hAnsi="Arial"/>
          <w:sz w:val="18"/>
          <w:szCs w:val="18"/>
          <w:color w:val="auto"/>
        </w:rPr>
      </w:pPr>
    </w:p>
    <w:p>
      <w:pPr>
        <w:ind w:left="420" w:right="440" w:firstLine="419"/>
        <w:spacing w:after="0" w:line="277" w:lineRule="auto"/>
        <w:tabs>
          <w:tab w:leader="none" w:pos="109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is proved that the Trustee was negligent in ascertaining the pertinent facts; and</w:t>
      </w:r>
    </w:p>
    <w:p>
      <w:pPr>
        <w:spacing w:after="0" w:line="62" w:lineRule="exact"/>
        <w:rPr>
          <w:rFonts w:ascii="Arial" w:cs="Arial" w:eastAsia="Arial" w:hAnsi="Arial"/>
          <w:sz w:val="18"/>
          <w:szCs w:val="18"/>
          <w:color w:val="auto"/>
        </w:rPr>
      </w:pPr>
    </w:p>
    <w:p>
      <w:pPr>
        <w:ind w:left="420" w:right="260" w:firstLine="419"/>
        <w:spacing w:after="0" w:line="259" w:lineRule="auto"/>
        <w:tabs>
          <w:tab w:leader="none" w:pos="109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of the Holders of a majority in aggregate principal amount of the outstanding Notes of any series, determined as provided herein, relating to the time, method and place of conducting any proceeding for any remedy available to the Trustee, or exercising any trust or power conferred upon the Trustee, under this Indenture with respect to the Notes of such series.</w:t>
      </w:r>
    </w:p>
    <w:p>
      <w:pPr>
        <w:spacing w:after="0" w:line="78" w:lineRule="exact"/>
        <w:rPr>
          <w:rFonts w:ascii="Arial" w:cs="Arial" w:eastAsia="Arial" w:hAnsi="Arial"/>
          <w:sz w:val="18"/>
          <w:szCs w:val="18"/>
          <w:color w:val="auto"/>
        </w:rPr>
      </w:pPr>
    </w:p>
    <w:p>
      <w:pPr>
        <w:jc w:val="both"/>
        <w:ind w:left="-20" w:right="640" w:firstLine="436"/>
        <w:spacing w:after="0" w:line="286" w:lineRule="auto"/>
        <w:tabs>
          <w:tab w:leader="none" w:pos="67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spacing w:after="0" w:line="57" w:lineRule="exact"/>
        <w:rPr>
          <w:rFonts w:ascii="Arial" w:cs="Arial" w:eastAsia="Arial" w:hAnsi="Arial"/>
          <w:sz w:val="17"/>
          <w:szCs w:val="17"/>
          <w:color w:val="auto"/>
        </w:rPr>
      </w:pPr>
    </w:p>
    <w:p>
      <w:pPr>
        <w:ind w:left="-20" w:firstLine="436"/>
        <w:spacing w:after="0" w:line="277" w:lineRule="auto"/>
        <w:tabs>
          <w:tab w:leader="none" w:pos="6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62" w:lineRule="exact"/>
        <w:rPr>
          <w:rFonts w:ascii="Arial" w:cs="Arial" w:eastAsia="Arial" w:hAnsi="Arial"/>
          <w:sz w:val="18"/>
          <w:szCs w:val="18"/>
          <w:color w:val="auto"/>
        </w:rPr>
      </w:pPr>
    </w:p>
    <w:p>
      <w:pPr>
        <w:ind w:left="-20" w:right="140" w:firstLine="436"/>
        <w:spacing w:after="0" w:line="342" w:lineRule="auto"/>
        <w:tabs>
          <w:tab w:leader="none" w:pos="64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Trustee shall not be liable for interest or earnings on any money received by it except as the Trustee may agree in writing with the Issuer. Money held by the Trustee for the benefit of the Holders need not be segregated from other funds except to the extent required by the law.</w:t>
      </w:r>
    </w:p>
    <w:p>
      <w:pPr>
        <w:spacing w:after="0" w:line="15" w:lineRule="exact"/>
        <w:rPr>
          <w:rFonts w:ascii="Arial" w:cs="Arial" w:eastAsia="Arial" w:hAnsi="Arial"/>
          <w:sz w:val="16"/>
          <w:szCs w:val="16"/>
          <w:color w:val="auto"/>
        </w:rPr>
      </w:pPr>
    </w:p>
    <w:p>
      <w:pPr>
        <w:ind w:left="680" w:hanging="264"/>
        <w:spacing w:after="0"/>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Trustee shall not be responsible for the application of any money by any Paying Agent other than the Trustee.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Section 7.02 Rights of Trustee.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Subject to Section 7.01:</w:t>
      </w:r>
    </w:p>
    <w:p>
      <w:pPr>
        <w:spacing w:after="0" w:line="117" w:lineRule="exact"/>
        <w:rPr>
          <w:sz w:val="20"/>
          <w:szCs w:val="20"/>
          <w:color w:val="auto"/>
        </w:rPr>
      </w:pPr>
    </w:p>
    <w:p>
      <w:pPr>
        <w:ind w:left="-20" w:right="120" w:firstLine="436"/>
        <w:spacing w:after="0" w:line="259" w:lineRule="auto"/>
        <w:tabs>
          <w:tab w:leader="none" w:pos="66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in good faith by it to be genuine and to have been signed or presented by the proper person. The Trustee need not investigate any fact or matter stated in the document.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60" w:top="274" w:right="479" w:bottom="1440" w:gutter="0" w:footer="0" w:header="0"/>
        </w:sectPr>
      </w:pPr>
    </w:p>
    <w:bookmarkStart w:id="258" w:name="page259"/>
    <w:bookmarkEnd w:id="258"/>
    <w:p>
      <w:pPr>
        <w:ind w:right="200" w:firstLine="436"/>
        <w:spacing w:after="0" w:line="277"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request or direction of the Issuer mentioned herein shall be sufficiently evidenced by an Issuer Order and any resolution of the Board of Directors may be sufficiently evidenced by a board resolution.</w:t>
      </w:r>
    </w:p>
    <w:p>
      <w:pPr>
        <w:spacing w:after="0" w:line="62" w:lineRule="exact"/>
        <w:rPr>
          <w:rFonts w:ascii="Arial" w:cs="Arial" w:eastAsia="Arial" w:hAnsi="Arial"/>
          <w:sz w:val="18"/>
          <w:szCs w:val="18"/>
          <w:color w:val="auto"/>
        </w:rPr>
      </w:pPr>
    </w:p>
    <w:p>
      <w:pPr>
        <w:ind w:right="220" w:firstLine="436"/>
        <w:spacing w:after="0" w:line="263"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75" w:lineRule="exact"/>
        <w:rPr>
          <w:rFonts w:ascii="Arial" w:cs="Arial" w:eastAsia="Arial" w:hAnsi="Arial"/>
          <w:sz w:val="18"/>
          <w:szCs w:val="18"/>
          <w:color w:val="auto"/>
        </w:rPr>
      </w:pPr>
    </w:p>
    <w:p>
      <w:pPr>
        <w:ind w:right="320" w:firstLine="436"/>
        <w:spacing w:after="0" w:line="342" w:lineRule="auto"/>
        <w:tabs>
          <w:tab w:leader="none" w:pos="69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spacing w:after="0" w:line="15" w:lineRule="exact"/>
        <w:rPr>
          <w:rFonts w:ascii="Arial" w:cs="Arial" w:eastAsia="Arial" w:hAnsi="Arial"/>
          <w:sz w:val="16"/>
          <w:szCs w:val="16"/>
          <w:color w:val="auto"/>
        </w:rPr>
      </w:pPr>
    </w:p>
    <w:p>
      <w:pPr>
        <w:ind w:right="120" w:firstLine="436"/>
        <w:spacing w:after="0" w:line="277"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340" w:firstLine="436"/>
        <w:spacing w:after="0" w:line="342" w:lineRule="auto"/>
        <w:tabs>
          <w:tab w:leader="none" w:pos="66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15" w:lineRule="exact"/>
        <w:rPr>
          <w:rFonts w:ascii="Arial" w:cs="Arial" w:eastAsia="Arial" w:hAnsi="Arial"/>
          <w:sz w:val="16"/>
          <w:szCs w:val="16"/>
          <w:color w:val="auto"/>
        </w:rPr>
      </w:pPr>
    </w:p>
    <w:p>
      <w:pPr>
        <w:ind w:right="120" w:firstLine="436"/>
        <w:spacing w:after="0" w:line="286" w:lineRule="auto"/>
        <w:tabs>
          <w:tab w:leader="none" w:pos="69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right="180" w:firstLine="436"/>
        <w:spacing w:after="0" w:line="259"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No Agent shall be under any fiduciary duty or other obligations towards, or have any relationship of agency or trust for or with any person other than the Issuer.</w:t>
      </w:r>
    </w:p>
    <w:p>
      <w:pPr>
        <w:spacing w:after="0" w:line="78" w:lineRule="exact"/>
        <w:rPr>
          <w:rFonts w:ascii="Arial" w:cs="Arial" w:eastAsia="Arial" w:hAnsi="Arial"/>
          <w:sz w:val="18"/>
          <w:szCs w:val="18"/>
          <w:color w:val="auto"/>
        </w:rPr>
      </w:pPr>
    </w:p>
    <w:p>
      <w:pPr>
        <w:ind w:right="40" w:firstLine="436"/>
        <w:spacing w:after="0" w:line="296" w:lineRule="auto"/>
        <w:tabs>
          <w:tab w:leader="none" w:pos="65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53" w:lineRule="exact"/>
        <w:rPr>
          <w:rFonts w:ascii="Arial" w:cs="Arial" w:eastAsia="Arial" w:hAnsi="Arial"/>
          <w:sz w:val="16"/>
          <w:szCs w:val="16"/>
          <w:color w:val="auto"/>
        </w:rPr>
      </w:pPr>
    </w:p>
    <w:p>
      <w:pPr>
        <w:ind w:right="120" w:firstLine="436"/>
        <w:spacing w:after="0" w:line="263"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Trustee shall not be deemed to have notice or be charged with knowledge of any Default or Event of Default unless written notice of such Default or Event of Default from the Issuer or any Holder is received by a Responsible Officer of the Trustee at the Corporate Trust Office of the Trustee, and such notice references the Notes and this Indenture.</w:t>
      </w:r>
    </w:p>
    <w:p>
      <w:pPr>
        <w:spacing w:after="0" w:line="75" w:lineRule="exact"/>
        <w:rPr>
          <w:rFonts w:ascii="Arial" w:cs="Arial" w:eastAsia="Arial" w:hAnsi="Arial"/>
          <w:sz w:val="18"/>
          <w:szCs w:val="18"/>
          <w:color w:val="auto"/>
        </w:rPr>
      </w:pPr>
    </w:p>
    <w:p>
      <w:pPr>
        <w:jc w:val="both"/>
        <w:ind w:firstLine="436"/>
        <w:spacing w:after="0" w:line="286" w:lineRule="auto"/>
        <w:tabs>
          <w:tab w:leader="none" w:pos="69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57" w:lineRule="exact"/>
        <w:rPr>
          <w:rFonts w:ascii="Arial" w:cs="Arial" w:eastAsia="Arial" w:hAnsi="Arial"/>
          <w:sz w:val="17"/>
          <w:szCs w:val="17"/>
          <w:color w:val="auto"/>
        </w:rPr>
      </w:pPr>
    </w:p>
    <w:p>
      <w:pPr>
        <w:jc w:val="both"/>
        <w:ind w:firstLine="436"/>
        <w:spacing w:after="0" w:line="263"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259" w:name="page260"/>
    <w:bookmarkEnd w:id="259"/>
    <w:p>
      <w:pPr>
        <w:ind w:right="140" w:firstLine="436"/>
        <w:spacing w:after="0" w:line="257" w:lineRule="auto"/>
        <w:tabs>
          <w:tab w:leader="none" w:pos="745"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permissive right of the Trustee to take or refrain from taking action hereunder shall not be construed as a duty.</w:t>
      </w:r>
    </w:p>
    <w:p>
      <w:pPr>
        <w:spacing w:after="0" w:line="117" w:lineRule="exact"/>
        <w:rPr>
          <w:rFonts w:ascii="Arial" w:cs="Arial" w:eastAsia="Arial" w:hAnsi="Arial"/>
          <w:sz w:val="18"/>
          <w:szCs w:val="18"/>
          <w:color w:val="auto"/>
        </w:rPr>
      </w:pPr>
    </w:p>
    <w:p>
      <w:pPr>
        <w:ind w:right="80" w:firstLine="436"/>
        <w:spacing w:after="0" w:line="287" w:lineRule="auto"/>
        <w:tabs>
          <w:tab w:leader="none" w:pos="69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Neither the Trustee nor the Paying Agent shall be liable for any failure on the part of the Common Safekeeper to effectuate any Note issued in the form of a Global Note under the New Safekeeping Structure or for any failure on the part of the Common Safekeeper to do so in a timely manner or for any failure on the part of the Common Safekeeper to take any other action with respect to such Global Notes under the New Safekeeping Structure, in each case unless it shall be proved that the Trustee or the Paying Agent was negligent in instructing the Common Safekeeper to effectuate any such Note in accordance with the applicable provision hereof and the agreed procedures among the Trustee, the Paying Agent and the Common Safekeeper; provided, that the Trustee or the Paying Agent shall not be deemed to have acted with negligence if it shall have given such instructions in the manner and by the time prescribed by the Common Safekeeper; provided further that in the absence of any such prescribed manner or timing, the Trustee or the Paying Agent shall be entitled to give, and shall incur no liability hereunder if it shall give, such instructions by facsimile (without any requirement for telephonic confirmation) to a telephone number provided by the Common Safekeeper for such purpose or by email to an email address provided by the Common Safekeeper for such purpose and shall be protected in giving, and shall incur no liability hereunder in giving, such instructions no later than one Business Day after the applicable Note shall have been delivered to the Trustee for authentication.</w:t>
      </w:r>
    </w:p>
    <w:p>
      <w:pPr>
        <w:spacing w:after="0" w:line="63" w:lineRule="exact"/>
        <w:rPr>
          <w:rFonts w:ascii="Arial" w:cs="Arial" w:eastAsia="Arial" w:hAnsi="Arial"/>
          <w:sz w:val="16"/>
          <w:szCs w:val="16"/>
          <w:color w:val="auto"/>
        </w:rPr>
      </w:pPr>
    </w:p>
    <w:p>
      <w:pPr>
        <w:jc w:val="both"/>
        <w:ind w:right="140" w:firstLine="436"/>
        <w:spacing w:after="0" w:line="279" w:lineRule="auto"/>
        <w:tabs>
          <w:tab w:leader="none" w:pos="69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Notwithstanding anything else herein contained, the Trustee may refrain without liability from doing anything that would or might in its reasonable opinion be contrary to any applicable law of any state or jurisdiction (including but not limited to the United States of America or any jurisdiction forming a part of it and England &amp; Wales) or any applicable directive or regulation of any agency of any such state or jurisdiction and may without liability do anything which is, in its reasonable opinion, necessary to comply with any such law, directive or regulation.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7.03 Individual Rights of Trustee.</w:t>
      </w:r>
    </w:p>
    <w:p>
      <w:pPr>
        <w:spacing w:after="0" w:line="117"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Agent may do the same with like rights. The Trustee is also subject to Section 7.09.</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7.04 Trustee’s Disclaimer.</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recitals contained herein and in the Notes, except the Trustee’s certificates of authentication, shall be taken as the statements of the Issuer, and the Trustee assumes no responsibility for their correctness. The Trustee makes no representations as to the validity, sufficiency or adequacy of this Indenture or of the Notes. The Trustee shall not be accountable for the use or application by the Issuer of the Notes or the proceeds thereof. The Trustee shall not be responsible to make any calculation with respect to any matter under this Indenture. The Trustee represents that it is duly authorized to execute and deliver this Indenture, authenticate the Notes and perform its obligations hereunder. The Trustee shall have no duty to monitor or investigate the Issuer’s compliance with or the breach of, or cause to be performed or observed, any representation, warranty or covenant made in this Indenture.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260" w:name="page261"/>
    <w:bookmarkEnd w:id="26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7.05 Notice of Defaults.</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Within 90 days after the occurrence thereof, and if known to the Trustee pursuant to Section 7.02(j), the Trustee shall give to the Holders of the Notes of a series notice of each Default or Event of Default with respect to the Notes of such series known to the Trustee pursuant to Section 7.02(j), by transmitting such notice to Holders at their addresses as the same shall then appear on the register of the Notes kept by the Registrar, unless such Default shall have been cured or waived before the giving of such notice. Except in the case of a Default or Event of Default in payment of the principal of, premium, if any, or interest on any of the Notes of a series when and as the same shall become payable, or to make any sinking fund payment as to the Notes of a series (including payments pursuant to a redemption or repurchase of the Notes pursuant to the provisions of this Indenture), the Trustee shall be protected in withholding such notice if and so long as a committee of its Responsible Officers in good faith determines that withholding the notice is in the interests of Holders.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7.06 Compensation and Indemnity.</w:t>
      </w:r>
    </w:p>
    <w:p>
      <w:pPr>
        <w:spacing w:after="0" w:line="117" w:lineRule="exact"/>
        <w:rPr>
          <w:sz w:val="20"/>
          <w:szCs w:val="20"/>
          <w:color w:val="auto"/>
        </w:rPr>
      </w:pPr>
    </w:p>
    <w:p>
      <w:pPr>
        <w:ind w:right="180" w:firstLine="436"/>
        <w:spacing w:after="0" w:line="296" w:lineRule="auto"/>
        <w:tabs>
          <w:tab w:leader="none" w:pos="68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Issuer shall pay to the Trustee and Agents from time to time such reasonable compensation for their services hereunder (which compensation shall not be limited by any provision of law in regard to the compensation of a trustee of an express trust) as shall be agreed upon in writing. The Issuer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spacing w:after="0" w:line="53" w:lineRule="exact"/>
        <w:rPr>
          <w:rFonts w:ascii="Arial" w:cs="Arial" w:eastAsia="Arial" w:hAnsi="Arial"/>
          <w:sz w:val="16"/>
          <w:szCs w:val="16"/>
          <w:color w:val="auto"/>
        </w:rPr>
      </w:pPr>
    </w:p>
    <w:p>
      <w:pPr>
        <w:ind w:firstLine="436"/>
        <w:spacing w:after="0" w:line="287"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The Issuer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Issuer, or any Holder or any other Person) or liability in connection with the exercise or performance of any of its powers or duties hereunder (including, without limitation, settlement costs). The Trustee or Agent shall notify the Issuer in writing promptly of any claim of which a Responsible Officer of the Trustee has received written notice at its Corporate Trust Office asserted against the Trustee or Agent for which it may seek indemnity;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by the Trustee or Agent to so notify the Issuer shall not relieve the Issuer of its obligations hereunder, except to the extent that the Issuer has been materially prejudiced thereby. The Issuer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Issuer and the Issuer shall pay the reasonable and documented fees and expenses of such counsel.</w:t>
      </w:r>
    </w:p>
    <w:p>
      <w:pPr>
        <w:spacing w:after="0" w:line="63" w:lineRule="exact"/>
        <w:rPr>
          <w:rFonts w:ascii="Arial" w:cs="Arial" w:eastAsia="Arial" w:hAnsi="Arial"/>
          <w:sz w:val="16"/>
          <w:szCs w:val="16"/>
          <w:color w:val="auto"/>
        </w:rPr>
      </w:pPr>
    </w:p>
    <w:p>
      <w:pPr>
        <w:ind w:right="220" w:firstLine="436"/>
        <w:spacing w:after="0" w:line="277" w:lineRule="auto"/>
        <w:tabs>
          <w:tab w:leader="none" w:pos="68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Notwithstanding the foregoing, the Issuer need not reimburse the Trustee for any expense or indemnify it against any loss or liability to have been incurred by the Trustee through its own willful misconduct or negligence.</w:t>
      </w:r>
    </w:p>
    <w:p>
      <w:pPr>
        <w:spacing w:after="0" w:line="62" w:lineRule="exact"/>
        <w:rPr>
          <w:rFonts w:ascii="Arial" w:cs="Arial" w:eastAsia="Arial" w:hAnsi="Arial"/>
          <w:sz w:val="18"/>
          <w:szCs w:val="18"/>
          <w:color w:val="auto"/>
        </w:rPr>
      </w:pPr>
    </w:p>
    <w:p>
      <w:pPr>
        <w:ind w:right="260" w:firstLine="436"/>
        <w:spacing w:after="0" w:line="308" w:lineRule="auto"/>
        <w:tabs>
          <w:tab w:leader="none" w:pos="69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To secure the payment obligations of the Issuer in this Section 7.06, the Trustee shall have a lien prior to the Notes on all money or property held or collected by the Trustee and such money or property held in trust to pay principal of and interest on particular Notes.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261" w:name="page262"/>
    <w:bookmarkEnd w:id="261"/>
    <w:p>
      <w:pPr>
        <w:ind w:firstLine="436"/>
        <w:spacing w:after="0" w:line="279" w:lineRule="auto"/>
        <w:tabs>
          <w:tab w:leader="none" w:pos="685" w:val="left"/>
        </w:tabs>
        <w:numPr>
          <w:ilvl w:val="0"/>
          <w:numId w:val="2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obligations of the Issuer under this Section 7.06 to compensate and indemnify the Trustee, Agents and each predecessor Trustee and to pay or reimburse the Trustee, Agents and each predecessor Trustee for expenses, disbursements and advances shall be the liability of the Issuer and the lien provided for under this Section 7.06 and shall survive the resignation or removal of the Trustee and the satisfaction, discharge or other termination of this Indenture for any reason, including any termination or rejection hereof under any Bankruptcy Law.</w:t>
      </w:r>
    </w:p>
    <w:p>
      <w:pPr>
        <w:spacing w:after="0" w:line="63" w:lineRule="exact"/>
        <w:rPr>
          <w:rFonts w:ascii="Arial" w:cs="Arial" w:eastAsia="Arial" w:hAnsi="Arial"/>
          <w:sz w:val="17"/>
          <w:szCs w:val="17"/>
          <w:color w:val="auto"/>
        </w:rPr>
      </w:pPr>
    </w:p>
    <w:p>
      <w:pPr>
        <w:ind w:right="20" w:firstLine="436"/>
        <w:spacing w:after="0" w:line="286" w:lineRule="auto"/>
        <w:tabs>
          <w:tab w:leader="none" w:pos="66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spacing w:after="0" w:line="57" w:lineRule="exact"/>
        <w:rPr>
          <w:rFonts w:ascii="Arial" w:cs="Arial" w:eastAsia="Arial" w:hAnsi="Arial"/>
          <w:sz w:val="17"/>
          <w:szCs w:val="17"/>
          <w:color w:val="auto"/>
        </w:rPr>
      </w:pPr>
    </w:p>
    <w:p>
      <w:pPr>
        <w:ind w:right="320" w:firstLine="436"/>
        <w:spacing w:after="0" w:line="277" w:lineRule="auto"/>
        <w:tabs>
          <w:tab w:leader="none" w:pos="69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For purposes of this Section 7.06, the term “Trustee” shall include any predecessor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negligence, willful misconduct or bad faith of any Trustee hereunder shall not affect the rights or any other Trustee hereunder.</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7.07 Replacement of Trustee.</w:t>
      </w:r>
    </w:p>
    <w:p>
      <w:pPr>
        <w:spacing w:after="0" w:line="117" w:lineRule="exact"/>
        <w:rPr>
          <w:sz w:val="20"/>
          <w:szCs w:val="20"/>
          <w:color w:val="auto"/>
        </w:rPr>
      </w:pPr>
    </w:p>
    <w:p>
      <w:pPr>
        <w:ind w:right="520" w:firstLine="436"/>
        <w:spacing w:after="0" w:line="277" w:lineRule="auto"/>
        <w:tabs>
          <w:tab w:leader="none" w:pos="68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7.07.</w:t>
      </w:r>
    </w:p>
    <w:p>
      <w:pPr>
        <w:spacing w:after="0" w:line="62" w:lineRule="exact"/>
        <w:rPr>
          <w:rFonts w:ascii="Arial" w:cs="Arial" w:eastAsia="Arial" w:hAnsi="Arial"/>
          <w:sz w:val="18"/>
          <w:szCs w:val="18"/>
          <w:color w:val="auto"/>
        </w:rPr>
      </w:pPr>
    </w:p>
    <w:p>
      <w:pPr>
        <w:ind w:right="60" w:firstLine="436"/>
        <w:spacing w:after="0" w:line="279" w:lineRule="auto"/>
        <w:tabs>
          <w:tab w:leader="none" w:pos="69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Trustee may resign at any time by so notifying the Issuer in writing no later than 30 calendar days prior to the date of the proposed resignation. The Holders of a majority in principal amount of the outstanding Notes may remove the Trustee by notifying the Issuer and the removed Trustee in writing no later than 30 calendar days prior to the date of the proposed removal and may appoint a successor Trustee with the Issuer’s written consent, which consent shall not be unreasonably withheld. The Issuer may remove the Trustee at its election if:</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Trustee fails to comply with Section 7.09;</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Trustee is adjudged bankrupt or insolvent or an order for relief entered with respect to the Trustee under Bankruptcy Law;</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the Trustee resigns or is removed or if a vacancy exists in the office of Trustee for any reason, the Issuer shall promptly appoint a successor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right="40" w:firstLine="436"/>
        <w:spacing w:after="0" w:line="263" w:lineRule="auto"/>
        <w:tabs>
          <w:tab w:leader="none" w:pos="69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30 days after the retiring Trustee resigns or is removed, the retiring Trustee, the Issuer or the Holders of at least 10% in principal amount of the outstanding Notes may petition at the expense of the Issuer any court of competent jurisdiction, in the case of the Trustee, for the appointment of a successor Trustee.</w:t>
      </w:r>
    </w:p>
    <w:p>
      <w:pPr>
        <w:spacing w:after="0" w:line="75" w:lineRule="exact"/>
        <w:rPr>
          <w:rFonts w:ascii="Arial" w:cs="Arial" w:eastAsia="Arial" w:hAnsi="Arial"/>
          <w:sz w:val="18"/>
          <w:szCs w:val="18"/>
          <w:color w:val="auto"/>
        </w:rPr>
      </w:pPr>
    </w:p>
    <w:p>
      <w:pPr>
        <w:ind w:firstLine="436"/>
        <w:spacing w:after="0" w:line="277" w:lineRule="auto"/>
        <w:tabs>
          <w:tab w:leader="none" w:pos="68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the Trustee fails to comply with Section 7.09, any Holder may petition any court of competent jurisdiction for the removal of the Trustee and the appointment of a successor Trustee.</w:t>
      </w:r>
    </w:p>
    <w:p>
      <w:pPr>
        <w:spacing w:after="0" w:line="62" w:lineRule="exact"/>
        <w:rPr>
          <w:rFonts w:ascii="Arial" w:cs="Arial" w:eastAsia="Arial" w:hAnsi="Arial"/>
          <w:sz w:val="18"/>
          <w:szCs w:val="18"/>
          <w:color w:val="auto"/>
        </w:rPr>
      </w:pPr>
    </w:p>
    <w:p>
      <w:pPr>
        <w:ind w:right="20" w:firstLine="436"/>
        <w:spacing w:after="0" w:line="296" w:lineRule="auto"/>
        <w:tabs>
          <w:tab w:leader="none" w:pos="66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 successor Trustee shall deliver a written acceptance of its appointment to the retiring Trustee and to the Issuer.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Issuer’s obligations under Section 7.06 shall continue for the benefit of the retiring Trustee.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262" w:name="page263"/>
    <w:bookmarkEnd w:id="262"/>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7.08 Successor Trustee by Consolidation, Merger, etc.</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shall be otherwise qualified and eligible under this Article VII. In case at the time such successor to the Trustee shall succeed to the trusts created by this Indenture with respect to one or more series of Notes, any of such Notes shall have been authenticated (and, in the case of Notes in the form of Global Notes under the New Safekeeping Structure, effectuated by the Common Safekeeper) but not delivered by the Trustee then in office, any successor to such Trustee may adopt the certificate of authentication of any predecessor Trustee, and deliver such Notes so authenticated (and, in the case of Notes in the form of Global Notes under the New Safekeeping Structure, so effectuated by the Common Safekeeper); and in case at that time any of the Notes shall not have been authenticated (and, in the case of Notes in the form of Global Notes under the New Safekeeping Structure, shall not have been effectuated by the Common Safekeeper), any successor to the Trustee may authenticate such Notes (and, in the case of Notes in the form of Global Notes under the New Safekeeping Structure, instruct or cause the Paying Agent to instruct the Common Safekeeper to effectuate such Notes) either in the name of any predecessor hereunder or in the name of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to adopt the certificate of authentication of any predecessor Trustee or authenticate Notes in the name of any predecessor Trustee</w:t>
      </w:r>
      <w:r>
        <w:rPr>
          <w:rFonts w:ascii="Arial" w:cs="Arial" w:eastAsia="Arial" w:hAnsi="Arial"/>
          <w:sz w:val="16"/>
          <w:szCs w:val="16"/>
          <w:i w:val="1"/>
          <w:iCs w:val="1"/>
          <w:color w:val="auto"/>
        </w:rPr>
        <w:t xml:space="preserve"> </w:t>
      </w:r>
      <w:r>
        <w:rPr>
          <w:rFonts w:ascii="Arial" w:cs="Arial" w:eastAsia="Arial" w:hAnsi="Arial"/>
          <w:sz w:val="16"/>
          <w:szCs w:val="16"/>
          <w:color w:val="auto"/>
        </w:rPr>
        <w:t>shall apply only to its successor or successors by merger, conversion or consolidation.</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7.09 Eligibility; Disqualification.</w:t>
      </w:r>
    </w:p>
    <w:p>
      <w:pPr>
        <w:spacing w:after="0" w:line="117"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There will at all times be a Trustee hereunder that is a Person organized and doing business under the laws of the United States of America or of any state thereof that is authorized under such laws to exercise corporate trustee power and that is subject to supervision or examination by federal or state authorities. The Trustee (together with its corporate parent) shall have a combined capital and surplus of at least $100.0 million as set forth in the most recent applicable published annual report of condition.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shall not be deemed to have a conflict of interest under or in respect of its duties under this Indenture.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VIII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8.01 Without Consent of Holders.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 the Guarantors and the Trustee may modify or amend this Indenture without the consent of any Holder of a Note of any series to:</w:t>
      </w:r>
    </w:p>
    <w:p>
      <w:pPr>
        <w:spacing w:after="0" w:line="140" w:lineRule="exact"/>
        <w:rPr>
          <w:sz w:val="20"/>
          <w:szCs w:val="20"/>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cure any ambiguity, defect, mistake or inconsistency in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comply with the provisions of Section 4.10, 4.11 or 5.01, including to provide for or evidence the release of any Guarantor in accordance with Section 10.07;</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263" w:name="page264"/>
    <w:bookmarkEnd w:id="263"/>
    <w:p>
      <w:pPr>
        <w:ind w:left="440" w:firstLine="419"/>
        <w:spacing w:after="0" w:line="277" w:lineRule="auto"/>
        <w:tabs>
          <w:tab w:leader="none" w:pos="1118"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any change that would provide any additional rights or benefits to the Holders of the Notes of such series or that does not adversely affect in any material respect the legal rights under this Indenture of any such Holder;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secure any series of Notes;</w:t>
      </w:r>
    </w:p>
    <w:p>
      <w:pPr>
        <w:spacing w:after="0" w:line="117" w:lineRule="exact"/>
        <w:rPr>
          <w:rFonts w:ascii="Arial" w:cs="Arial" w:eastAsia="Arial" w:hAnsi="Arial"/>
          <w:sz w:val="18"/>
          <w:szCs w:val="18"/>
          <w:color w:val="auto"/>
        </w:rPr>
      </w:pPr>
    </w:p>
    <w:p>
      <w:pPr>
        <w:ind w:left="440" w:right="240" w:firstLine="419"/>
        <w:spacing w:after="0" w:line="263" w:lineRule="auto"/>
        <w:tabs>
          <w:tab w:leader="none" w:pos="111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provide for the issuance of Additional Notes in accordance with the limitations set forth in this Indenture (and, for the avoidance of doubt, in the case of Additional Notes in the form of Global Notes under the New Safekeeping Structure, the Trustee shall instruct, or cause the Paying Agent to instruct, the Common Safekeeper to effectuate the Additional Notes);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add covenants for the benefit of the Holders or to surrender any right or power conferred upon the Issuer or any Guarantor;</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2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conform the text of this Indenture, the Notes or the Guarantees to any provision of the “Description of Notes” contained in the Offering Memorandum; and</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2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allow any Guarantor (including the Mylan Guarantors) to execute a supplemental indenture and/or Guarantee with respect to the Notes of any series.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Upon the written request of the Issuer accompanied by a board resolution of the Board of Directors authorizing the execution of any such supplemental indenture and upon receipt by the Trustee of the documents described in Section 8.05, the Trustee shall join with the Issuer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8.02 With Consent of Holders.</w:t>
      </w:r>
    </w:p>
    <w:p>
      <w:pPr>
        <w:spacing w:after="0" w:line="117" w:lineRule="exact"/>
        <w:rPr>
          <w:sz w:val="20"/>
          <w:szCs w:val="20"/>
          <w:color w:val="auto"/>
        </w:rPr>
      </w:pPr>
    </w:p>
    <w:p>
      <w:pPr>
        <w:ind w:right="100" w:firstLine="436"/>
        <w:spacing w:after="0" w:line="296" w:lineRule="auto"/>
        <w:tabs>
          <w:tab w:leader="none" w:pos="68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Issuer, the Guarantors and the Trustee may modify or amend this Indenture as it applies to a series of Notes with the consent of the Holders of a majority in aggregate principal amount of the outstanding Notes of such series affected by the modification or amendment (including consents obtained in connection with a tender offer or exchange offer for Notes of such series), and any past default or compliance with any provisions of this Indenture relating to a series of Notes may also be waived (except a default in the payment of principal, premium or interest and a default under clause (b) of this Section 8.02) with the consent of the Holders of a majority in aggregate principal amount of the then outstanding Notes of such series.</w:t>
      </w:r>
    </w:p>
    <w:p>
      <w:pPr>
        <w:spacing w:after="0" w:line="53" w:lineRule="exact"/>
        <w:rPr>
          <w:rFonts w:ascii="Arial" w:cs="Arial" w:eastAsia="Arial" w:hAnsi="Arial"/>
          <w:sz w:val="16"/>
          <w:szCs w:val="16"/>
          <w:color w:val="auto"/>
        </w:rPr>
      </w:pPr>
    </w:p>
    <w:p>
      <w:pPr>
        <w:ind w:left="700" w:hanging="264"/>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However, no such modification or amendment may, without the consent of each Holder of Notes of a series affected thereby: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extend the due date of the principal of, or any installment of principal of or interest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rate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reduce the amount payable upon the redemption of any Note of such series;</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the Notes of such series after the due date thereof;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264" w:name="page265"/>
    <w:bookmarkEnd w:id="264"/>
    <w:p>
      <w:pPr>
        <w:ind w:left="440" w:right="120" w:firstLine="419"/>
        <w:spacing w:after="0" w:line="342" w:lineRule="auto"/>
        <w:tabs>
          <w:tab w:leader="none" w:pos="1118" w:val="left"/>
        </w:tabs>
        <w:numPr>
          <w:ilvl w:val="1"/>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reduce the percentage in principal amount of the then outstanding Notes of such series, the consent of whose Holders is required for modification or amendment of this Indenture, for waiver of compliance with certain provisions of this Indenture or for waiver of certain defaults.</w:t>
      </w:r>
    </w:p>
    <w:p>
      <w:pPr>
        <w:spacing w:after="0" w:line="15" w:lineRule="exact"/>
        <w:rPr>
          <w:rFonts w:ascii="Arial" w:cs="Arial" w:eastAsia="Arial" w:hAnsi="Arial"/>
          <w:sz w:val="16"/>
          <w:szCs w:val="16"/>
          <w:color w:val="auto"/>
        </w:rPr>
      </w:pPr>
    </w:p>
    <w:p>
      <w:pPr>
        <w:ind w:right="20" w:firstLine="436"/>
        <w:spacing w:after="0" w:line="257" w:lineRule="auto"/>
        <w:tabs>
          <w:tab w:leader="none" w:pos="68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Holders of a majority of the principal amount of then outstanding Notes of any series may waive future compliance with certain restrictive covenants of this Indenture applicable to such series of Notes. The Holders of at least a majority in principal amount of then outstanding Notes of a series may waive any past default under this Indenture with respect to such series, except a failure by the Issuer to pay the principal of, or any premium or interest on, any Notes of such series or a provision that cannot be modified or amended without the consent of the Holders of all outstanding Notes of such series.</w:t>
      </w:r>
    </w:p>
    <w:p>
      <w:pPr>
        <w:spacing w:after="0" w:line="79" w:lineRule="exact"/>
        <w:rPr>
          <w:rFonts w:ascii="Arial" w:cs="Arial" w:eastAsia="Arial" w:hAnsi="Arial"/>
          <w:sz w:val="18"/>
          <w:szCs w:val="18"/>
          <w:color w:val="auto"/>
        </w:rPr>
      </w:pPr>
    </w:p>
    <w:p>
      <w:pPr>
        <w:jc w:val="both"/>
        <w:ind w:right="20" w:firstLine="436"/>
        <w:spacing w:after="0" w:line="259" w:lineRule="auto"/>
        <w:tabs>
          <w:tab w:leader="none" w:pos="69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Notwithstanding anything to the contrary, any waiver or modification in accordance with Section 3.08(d), with the exception of the Special Mandatory Redemption Price, shall require the written consent of Holders of at least 66 2/3% in principal amount of that series of Notes outstanding. The Special Mandatory Redemption Price may not be waived or modified for any series of Notes without the written consent of each Holder of Notes of a series affected thereby.</w:t>
      </w:r>
    </w:p>
    <w:p>
      <w:pPr>
        <w:spacing w:after="0" w:line="78" w:lineRule="exact"/>
        <w:rPr>
          <w:rFonts w:ascii="Arial" w:cs="Arial" w:eastAsia="Arial" w:hAnsi="Arial"/>
          <w:sz w:val="18"/>
          <w:szCs w:val="18"/>
          <w:color w:val="auto"/>
        </w:rPr>
      </w:pPr>
    </w:p>
    <w:p>
      <w:pPr>
        <w:ind w:right="100" w:firstLine="436"/>
        <w:spacing w:after="0" w:line="279" w:lineRule="auto"/>
        <w:tabs>
          <w:tab w:leader="none" w:pos="68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determining whether the Holders of the required principal amount of a series of Notes have concurred in any direction, notice, waiver or consent, Notes owned by the Issuer, any Subsidiary of the Issuer, or by any Affiliate of the Issuer will be considered as though not outstanding, except that for the purposes of determining whether the Trustee will be protected in conclusively relying on any such direction, notice, waiver or consent, only Notes that a Responsible Officer of the Trustee actually knows are so owned will be so disregarded.</w:t>
      </w:r>
    </w:p>
    <w:p>
      <w:pPr>
        <w:spacing w:after="0" w:line="63" w:lineRule="exact"/>
        <w:rPr>
          <w:rFonts w:ascii="Arial" w:cs="Arial" w:eastAsia="Arial" w:hAnsi="Arial"/>
          <w:sz w:val="17"/>
          <w:szCs w:val="17"/>
          <w:color w:val="auto"/>
        </w:rPr>
      </w:pPr>
    </w:p>
    <w:p>
      <w:pPr>
        <w:ind w:right="820" w:firstLine="436"/>
        <w:spacing w:after="0" w:line="277" w:lineRule="auto"/>
        <w:tabs>
          <w:tab w:leader="none" w:pos="66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After an amendment that requires the consent of the Holders of the affected Notes becomes effective, the Issuer shall transmit to each registered Holder of the affected Notes at such Holder’s address appearing in the security register a notice briefly describing such amendment. However, the failure to give such notice to all Holders of such Notes, or any defect therein, shall not impair or affect the validity of the amendment.</w:t>
      </w:r>
    </w:p>
    <w:p>
      <w:pPr>
        <w:spacing w:after="0" w:line="16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Upon the written request of the Issuer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Issuer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8.03 Revocation and Effect of Consents.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265" w:name="page266"/>
    <w:bookmarkEnd w:id="265"/>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8.04 Notation on or Exchange of Notes.</w:t>
      </w:r>
    </w:p>
    <w:p>
      <w:pPr>
        <w:spacing w:after="0" w:line="11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Holder. Alternatively, if the Issuer or the Trustee so determines, the Issuer in exchange for the Note shall issue and the Trustee shall authenticate a new Note that reflects the changed terms. Failure to make the appropriate notation or issue a new Note shall not affect the validity and effect of such amendment, supplement or waiver.</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8.05 Trustee To Sign Amendments, etc.</w:t>
      </w:r>
    </w:p>
    <w:p>
      <w:pPr>
        <w:spacing w:after="0" w:line="117" w:lineRule="exact"/>
        <w:rPr>
          <w:sz w:val="20"/>
          <w:szCs w:val="20"/>
          <w:color w:val="auto"/>
        </w:rPr>
      </w:pPr>
    </w:p>
    <w:p>
      <w:pPr>
        <w:ind w:right="280" w:firstLine="440"/>
        <w:spacing w:after="0" w:line="255" w:lineRule="auto"/>
        <w:rPr>
          <w:sz w:val="20"/>
          <w:szCs w:val="20"/>
          <w:color w:val="auto"/>
        </w:rPr>
      </w:pPr>
      <w:r>
        <w:rPr>
          <w:rFonts w:ascii="Arial" w:cs="Arial" w:eastAsia="Arial" w:hAnsi="Arial"/>
          <w:sz w:val="18"/>
          <w:szCs w:val="18"/>
          <w:color w:val="auto"/>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shall be fully protected in relying upon an Officer’s Certificate and an Opinion of Counsel stating, in addition to the matters required by Section 11.02, that such amendment, supplement or waiver is authorized or permitted by this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IX</w:t>
      </w:r>
    </w:p>
    <w:p>
      <w:pPr>
        <w:spacing w:after="0" w:line="2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SATISFACTION AND DISCHARGE OF INDENTURE; DEFEASANCE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9.01 Satisfaction and Discharge of Liability on Notes; Defeasance.</w:t>
      </w:r>
    </w:p>
    <w:p>
      <w:pPr>
        <w:spacing w:after="0" w:line="117" w:lineRule="exact"/>
        <w:rPr>
          <w:sz w:val="20"/>
          <w:szCs w:val="20"/>
          <w:color w:val="auto"/>
        </w:rPr>
      </w:pPr>
    </w:p>
    <w:p>
      <w:pPr>
        <w:ind w:right="80" w:firstLine="436"/>
        <w:spacing w:after="0" w:line="263" w:lineRule="auto"/>
        <w:tabs>
          <w:tab w:leader="none" w:pos="6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This Indenture will be discharged and will cease to be of further effect with respect to any series of Notes (except as to rights of registration of transfer or exchange of Notes and rights to receive principal of and premium, if any, and interest on such Notes) as to all outstanding Notes of such series issued hereunder when:</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220" w:firstLine="408"/>
        <w:spacing w:after="0" w:line="286" w:lineRule="auto"/>
        <w:tabs>
          <w:tab w:leader="none" w:pos="1676" w:val="left"/>
        </w:tabs>
        <w:numPr>
          <w:ilvl w:val="2"/>
          <w:numId w:val="239"/>
        </w:numPr>
        <w:rPr>
          <w:rFonts w:ascii="Arial" w:cs="Arial" w:eastAsia="Arial" w:hAnsi="Arial"/>
          <w:sz w:val="17"/>
          <w:szCs w:val="17"/>
          <w:color w:val="auto"/>
        </w:rPr>
      </w:pPr>
      <w:r>
        <w:rPr>
          <w:rFonts w:ascii="Arial" w:cs="Arial" w:eastAsia="Arial" w:hAnsi="Arial"/>
          <w:sz w:val="17"/>
          <w:szCs w:val="17"/>
          <w:color w:val="auto"/>
        </w:rPr>
        <w:t>all the Notes of such series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57" w:lineRule="exact"/>
        <w:rPr>
          <w:rFonts w:ascii="Arial" w:cs="Arial" w:eastAsia="Arial" w:hAnsi="Arial"/>
          <w:sz w:val="17"/>
          <w:szCs w:val="17"/>
          <w:color w:val="auto"/>
        </w:rPr>
      </w:pPr>
    </w:p>
    <w:p>
      <w:pPr>
        <w:ind w:left="980" w:right="20" w:firstLine="408"/>
        <w:spacing w:after="0" w:line="293" w:lineRule="auto"/>
        <w:tabs>
          <w:tab w:leader="none" w:pos="1666" w:val="left"/>
        </w:tabs>
        <w:numPr>
          <w:ilvl w:val="2"/>
          <w:numId w:val="239"/>
        </w:numPr>
        <w:rPr>
          <w:rFonts w:ascii="Arial" w:cs="Arial" w:eastAsia="Arial" w:hAnsi="Arial"/>
          <w:sz w:val="16"/>
          <w:szCs w:val="16"/>
          <w:color w:val="auto"/>
        </w:rPr>
      </w:pPr>
      <w:r>
        <w:rPr>
          <w:rFonts w:ascii="Arial" w:cs="Arial" w:eastAsia="Arial" w:hAnsi="Arial"/>
          <w:sz w:val="16"/>
          <w:szCs w:val="16"/>
          <w:color w:val="auto"/>
        </w:rPr>
        <w:t>all Notes of such series not delivered to the Trustee for cancellation otherwise (i) have become due and payable, (ii) will become due and payable, or are to be called for redemption, within one year or (iii) have been called for redemption pursuant to the terms of this Indenture and, in any case, the Issuer or any Guarantor has deposited or caused to be deposited with the Paying Agent as trust funds, in trust solely for the benefit of the Holders of such Notes, cash in euro or German Government Obligations or a combination thereof, in such amounts as will be sufficient (without consideration of any reinvestment of interest) to pay and discharge the entire Indebtedness (including all principal and accrued interest) on the Notes of such series not theretofore delivered to the Trustee for cancellation,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266" w:name="page267"/>
    <w:bookmarkEnd w:id="266"/>
    <w:p>
      <w:pPr>
        <w:ind w:left="1124" w:hanging="261"/>
        <w:spacing w:after="0"/>
        <w:tabs>
          <w:tab w:leader="none" w:pos="11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or any Guarantor has paid all sums payable by it under this Indenture, and</w:t>
      </w:r>
    </w:p>
    <w:p>
      <w:pPr>
        <w:spacing w:after="0" w:line="117" w:lineRule="exact"/>
        <w:rPr>
          <w:rFonts w:ascii="Arial" w:cs="Arial" w:eastAsia="Arial" w:hAnsi="Arial"/>
          <w:sz w:val="18"/>
          <w:szCs w:val="18"/>
          <w:color w:val="auto"/>
        </w:rPr>
      </w:pPr>
    </w:p>
    <w:p>
      <w:pPr>
        <w:ind w:left="444" w:right="200" w:firstLine="419"/>
        <w:spacing w:after="0" w:line="277" w:lineRule="auto"/>
        <w:tabs>
          <w:tab w:leader="none" w:pos="112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Paying Agent to apply the deposited money toward the payment of the Notes of such series at maturity or on the Redemption Date, as the case may be.</w:t>
      </w:r>
    </w:p>
    <w:p>
      <w:pPr>
        <w:spacing w:after="0" w:line="170"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In addition, the Issuer must deliver to the Trustee an Officer’s Certificate and an Opinion of Counsel stating that all conditions precedent to satisfaction and discharge have been complied with.</w:t>
      </w:r>
    </w:p>
    <w:p>
      <w:pPr>
        <w:spacing w:after="0" w:line="62" w:lineRule="exact"/>
        <w:rPr>
          <w:sz w:val="20"/>
          <w:szCs w:val="20"/>
          <w:color w:val="auto"/>
        </w:rPr>
      </w:pPr>
    </w:p>
    <w:p>
      <w:pPr>
        <w:ind w:left="4" w:right="20" w:firstLine="436"/>
        <w:spacing w:after="0" w:line="301" w:lineRule="auto"/>
        <w:tabs>
          <w:tab w:leader="none" w:pos="69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Subject to clause (c) of this Section 9.01 and Section 9.02, the Issuer may, at its option and at any time, elect to have its obligations and the obligations of the Guarantors discharged with respect to the outstanding Notes of a series (“</w:t>
      </w:r>
      <w:r>
        <w:rPr>
          <w:rFonts w:ascii="Arial" w:cs="Arial" w:eastAsia="Arial" w:hAnsi="Arial"/>
          <w:sz w:val="16"/>
          <w:szCs w:val="16"/>
          <w:i w:val="1"/>
          <w:iCs w:val="1"/>
          <w:color w:val="auto"/>
        </w:rPr>
        <w:t>Legal Defeasance</w:t>
      </w:r>
      <w:r>
        <w:rPr>
          <w:rFonts w:ascii="Arial" w:cs="Arial" w:eastAsia="Arial" w:hAnsi="Arial"/>
          <w:sz w:val="16"/>
          <w:szCs w:val="16"/>
          <w:color w:val="auto"/>
        </w:rPr>
        <w:t>”). Legal Defeasance means that the Issuer and the Guarantors shall be deemed to have paid and discharged the entire indebtedness represented by the Notes of such series and the related Guarantees, and this Indenture shall cease to be of further effect as to all outstanding Notes of such series and the related Guarantees, except as to:</w:t>
      </w:r>
    </w:p>
    <w:p>
      <w:pPr>
        <w:spacing w:after="0" w:line="49" w:lineRule="exact"/>
        <w:rPr>
          <w:rFonts w:ascii="Arial" w:cs="Arial" w:eastAsia="Arial" w:hAnsi="Arial"/>
          <w:sz w:val="16"/>
          <w:szCs w:val="16"/>
          <w:color w:val="auto"/>
        </w:rPr>
      </w:pPr>
    </w:p>
    <w:p>
      <w:pPr>
        <w:ind w:left="444" w:right="200" w:firstLine="419"/>
        <w:spacing w:after="0" w:line="308" w:lineRule="auto"/>
        <w:tabs>
          <w:tab w:leader="none" w:pos="1122" w:val="left"/>
        </w:tabs>
        <w:numPr>
          <w:ilvl w:val="1"/>
          <w:numId w:val="241"/>
        </w:numPr>
        <w:rPr>
          <w:rFonts w:ascii="Arial" w:cs="Arial" w:eastAsia="Arial" w:hAnsi="Arial"/>
          <w:sz w:val="17"/>
          <w:szCs w:val="17"/>
          <w:color w:val="auto"/>
        </w:rPr>
      </w:pPr>
      <w:r>
        <w:rPr>
          <w:rFonts w:ascii="Arial" w:cs="Arial" w:eastAsia="Arial" w:hAnsi="Arial"/>
          <w:sz w:val="17"/>
          <w:szCs w:val="17"/>
          <w:color w:val="auto"/>
        </w:rPr>
        <w:t>the rights of Holders of such series of Notes issued under this Indenture to receive payments in respect of the principal of, premium, if any, and interest on such Notes when such payments are due solely out of the trust created pursuant to this Indenture;</w:t>
      </w:r>
    </w:p>
    <w:p>
      <w:pPr>
        <w:spacing w:after="0" w:line="38" w:lineRule="exact"/>
        <w:rPr>
          <w:rFonts w:ascii="Arial" w:cs="Arial" w:eastAsia="Arial" w:hAnsi="Arial"/>
          <w:sz w:val="17"/>
          <w:szCs w:val="17"/>
          <w:color w:val="auto"/>
        </w:rPr>
      </w:pPr>
    </w:p>
    <w:p>
      <w:pPr>
        <w:ind w:left="444" w:firstLine="419"/>
        <w:spacing w:after="0" w:line="263" w:lineRule="auto"/>
        <w:tabs>
          <w:tab w:leader="none" w:pos="112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Issuer’s obligations with respect to such series of Notes concerning issuing temporary Notes under Section 2.11, registration of Notes under Section 2.04, mutilated, destroyed, lost or stolen Notes under Section 2.08, and the maintenance of an office or agency for payment under Section 2.04 and money for security payments held in trust under Section 2.05;</w:t>
      </w:r>
    </w:p>
    <w:p>
      <w:pPr>
        <w:spacing w:after="0" w:line="75" w:lineRule="exact"/>
        <w:rPr>
          <w:rFonts w:ascii="Arial" w:cs="Arial" w:eastAsia="Arial" w:hAnsi="Arial"/>
          <w:sz w:val="18"/>
          <w:szCs w:val="18"/>
          <w:color w:val="auto"/>
        </w:rPr>
      </w:pPr>
    </w:p>
    <w:p>
      <w:pPr>
        <w:ind w:left="1124" w:hanging="261"/>
        <w:spacing w:after="0"/>
        <w:tabs>
          <w:tab w:leader="none" w:pos="112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the Issuer’s obligation in connection therewith; and</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applicable provisions of this Article IX.</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addition, the Issuer may, at its option and at any time, elect to have its obligations and the obligations of the Guarantors released with respect to</w:t>
      </w:r>
    </w:p>
    <w:p>
      <w:pPr>
        <w:spacing w:after="0" w:line="46" w:lineRule="exact"/>
        <w:rPr>
          <w:sz w:val="20"/>
          <w:szCs w:val="20"/>
          <w:color w:val="auto"/>
        </w:rPr>
      </w:pPr>
    </w:p>
    <w:p>
      <w:pPr>
        <w:ind w:left="4" w:right="60" w:hanging="4"/>
        <w:spacing w:after="0" w:line="253" w:lineRule="auto"/>
        <w:tabs>
          <w:tab w:leader="none" w:pos="29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their respective obligations under Sections 4.03, 4.07 through 4.13 and Section 4.18 with respect to the outstanding Notes of a series and (B) the operation of Sections 6.01(5), (6), (7) or (8) (only as such clauses (7) or (8) apply to Significant Subsidiaries) (“</w:t>
      </w:r>
      <w:r>
        <w:rPr>
          <w:rFonts w:ascii="Arial" w:cs="Arial" w:eastAsia="Arial" w:hAnsi="Arial"/>
          <w:sz w:val="18"/>
          <w:szCs w:val="18"/>
          <w:i w:val="1"/>
          <w:iCs w:val="1"/>
          <w:color w:val="auto"/>
        </w:rPr>
        <w:t>Covenant Defeasance</w:t>
      </w:r>
      <w:r>
        <w:rPr>
          <w:rFonts w:ascii="Arial" w:cs="Arial" w:eastAsia="Arial" w:hAnsi="Arial"/>
          <w:sz w:val="18"/>
          <w:szCs w:val="18"/>
          <w:color w:val="auto"/>
        </w:rPr>
        <w:t>”) on and after the conditions in Section 9.02 with respect to Covenant Defeasance are satisfied, and thereafter any omission to comply with such obligations shall not constitute a Default or Event of Default with respect to such Notes. The Issuer may exercise its Legal Defeasance option regardless of whether it previously exercised Covenant Defeasance.</w:t>
      </w:r>
    </w:p>
    <w:p>
      <w:pPr>
        <w:spacing w:after="0" w:line="82" w:lineRule="exact"/>
        <w:rPr>
          <w:rFonts w:ascii="Arial" w:cs="Arial" w:eastAsia="Arial" w:hAnsi="Arial"/>
          <w:sz w:val="18"/>
          <w:szCs w:val="18"/>
          <w:color w:val="auto"/>
        </w:rPr>
      </w:pPr>
    </w:p>
    <w:p>
      <w:pPr>
        <w:ind w:left="4" w:right="60" w:firstLine="436"/>
        <w:spacing w:after="0" w:line="277" w:lineRule="auto"/>
        <w:tabs>
          <w:tab w:leader="none" w:pos="68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If the Issuer exercises its Legal Defeasance option, payment of the Notes of such series may not be accelerated because of an Event of Default with respect thereto.</w:t>
      </w:r>
    </w:p>
    <w:p>
      <w:pPr>
        <w:spacing w:after="0" w:line="62" w:lineRule="exact"/>
        <w:rPr>
          <w:rFonts w:ascii="Arial" w:cs="Arial" w:eastAsia="Arial" w:hAnsi="Arial"/>
          <w:sz w:val="18"/>
          <w:szCs w:val="18"/>
          <w:color w:val="auto"/>
        </w:rPr>
      </w:pPr>
    </w:p>
    <w:p>
      <w:pPr>
        <w:ind w:left="4" w:right="220" w:firstLine="436"/>
        <w:spacing w:after="0" w:line="277" w:lineRule="auto"/>
        <w:tabs>
          <w:tab w:leader="none" w:pos="69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Upon satisfaction of the conditions set forth herein and upon request of the Issuer, the Trustee shall acknowledge in writing the discharge of those obligations that the Issuer terminates.</w:t>
      </w:r>
    </w:p>
    <w:p>
      <w:pPr>
        <w:spacing w:after="0" w:line="62" w:lineRule="exact"/>
        <w:rPr>
          <w:rFonts w:ascii="Arial" w:cs="Arial" w:eastAsia="Arial" w:hAnsi="Arial"/>
          <w:sz w:val="18"/>
          <w:szCs w:val="18"/>
          <w:color w:val="auto"/>
        </w:rPr>
      </w:pPr>
    </w:p>
    <w:p>
      <w:pPr>
        <w:ind w:left="4" w:right="260" w:firstLine="436"/>
        <w:spacing w:after="0" w:line="263" w:lineRule="auto"/>
        <w:tabs>
          <w:tab w:leader="none" w:pos="68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Notwithstanding clauses (a) and (b) of this Section 9.01, the Issuer’s obligations in Sections 2.04, 2.06, 2.07, 2.08, 7.06, 9.05 and 9.06 shall survive with respect to such series of Notes until such time as the Notes of such series have been paid in full. Thereafter, the Issuer’s obligations in Sections 7.06, 9.05 and 9.06 shall survive.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4"/>
          </w:cols>
          <w:pgMar w:left="436" w:top="274" w:right="479" w:bottom="1440" w:gutter="0" w:footer="0" w:header="0"/>
        </w:sectPr>
      </w:pPr>
    </w:p>
    <w:bookmarkStart w:id="267" w:name="page268"/>
    <w:bookmarkEnd w:id="267"/>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9.02 Conditions to Defeasance.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with respect to the Notes of any series:</w:t>
      </w:r>
    </w:p>
    <w:p>
      <w:pPr>
        <w:spacing w:after="0" w:line="117" w:lineRule="exact"/>
        <w:rPr>
          <w:sz w:val="20"/>
          <w:szCs w:val="20"/>
          <w:color w:val="auto"/>
        </w:rPr>
      </w:pPr>
    </w:p>
    <w:p>
      <w:pPr>
        <w:ind w:firstLine="436"/>
        <w:spacing w:after="0" w:line="257"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or other agent, as trust funds, in trust solely for the benefit of the Holders of the Notes cash in euro or German Government Obligations or a combination thereof, in such amounts as will be sufficient (without consideration of any reinvestment of interest) in the opinion of a nationally recognized firm of independent public accountants selected by the Issuer, to pay the principal of, premium, if any, and interest on the Notes of such series on the stated date for payment or on the Redemption Date of the principal or installment of principal of, premium, if any, or interest on such series of Notes;</w:t>
      </w:r>
    </w:p>
    <w:p>
      <w:pPr>
        <w:spacing w:after="0" w:line="79" w:lineRule="exact"/>
        <w:rPr>
          <w:rFonts w:ascii="Arial" w:cs="Arial" w:eastAsia="Arial" w:hAnsi="Arial"/>
          <w:sz w:val="18"/>
          <w:szCs w:val="18"/>
          <w:color w:val="auto"/>
        </w:rPr>
      </w:pPr>
    </w:p>
    <w:p>
      <w:pPr>
        <w:ind w:right="60" w:firstLine="436"/>
        <w:spacing w:after="0" w:line="296" w:lineRule="auto"/>
        <w:tabs>
          <w:tab w:leader="none" w:pos="69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 the case of Legal Defeasance, the Issuer shall have delivered to the Trustee an Opinion of Counsel to the effect that the beneficial owners of Notes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date of the Offering Memorandum, or the Issuer having received a ruling from, or published by, the Internal Revenue Service to that effect;</w:t>
      </w:r>
    </w:p>
    <w:p>
      <w:pPr>
        <w:spacing w:after="0" w:line="53" w:lineRule="exact"/>
        <w:rPr>
          <w:rFonts w:ascii="Arial" w:cs="Arial" w:eastAsia="Arial" w:hAnsi="Arial"/>
          <w:sz w:val="16"/>
          <w:szCs w:val="16"/>
          <w:color w:val="auto"/>
        </w:rPr>
      </w:pPr>
    </w:p>
    <w:p>
      <w:pPr>
        <w:ind w:right="120" w:firstLine="436"/>
        <w:spacing w:after="0" w:line="259"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the case of Covenant Defeasance, the Issuer shall have delivered to the Trustee an Opinion of Counsel to the effect that the beneficial owners of Notes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78"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w:t>
      </w:r>
    </w:p>
    <w:p>
      <w:pPr>
        <w:spacing w:after="0" w:line="75" w:lineRule="exact"/>
        <w:rPr>
          <w:rFonts w:ascii="Arial" w:cs="Arial" w:eastAsia="Arial" w:hAnsi="Arial"/>
          <w:sz w:val="18"/>
          <w:szCs w:val="18"/>
          <w:color w:val="auto"/>
        </w:rPr>
      </w:pPr>
    </w:p>
    <w:p>
      <w:pPr>
        <w:ind w:right="440" w:firstLine="436"/>
        <w:spacing w:after="0" w:line="308" w:lineRule="auto"/>
        <w:tabs>
          <w:tab w:leader="none" w:pos="68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Issuer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the foregoing provisions of this Section 9.02, the conditions set forth in the foregoing subsections (b), (c), (d) and (e) need not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satisfied so long as, at the time the Issuer makes the deposit described in subsection (a), (i) no Default under clauses (1), (2), (8) and (9)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6.01 has occurred and is continuing on the date of such deposit and after giving effect thereto, and (ii) either (x) a notice of redemption has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transmitted providing for redemption of all the Notes of such series not more than 60 days after such transmission and the requirements for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redemption shall have been complied with or (y) the Stated Maturity of the Notes of such series will occur within 60 days. If the conditions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preceding sentence are satisfied, the Issuer shall be deemed to have exercised its Covenant Defeasance option.</w:t>
      </w:r>
    </w:p>
    <w:p>
      <w:pPr>
        <w:spacing w:after="0" w:line="21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the funds deposited with the Trustee or other agent to effect Covenant Defeasance are insufficient to pay the principal of and interest on the Notes of the applicable series when due, then the Issuer’s obligations and the obligations of Guarantors under this Indenture will be revived with respect to such series and no such defeasance will be deemed to have occurred.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68" w:name="page269"/>
    <w:bookmarkEnd w:id="26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9.03 Deposited Money and German Government Obligations To Be Held in Trust; Other Miscellaneous Provisions.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All money and German Government Obligations (including the proceeds thereof) deposited with the Trustee or other agent pursuant to Section 9.02(a) in respect of the outstanding Notes of a series shall be held in trust and applied by the Trustee or other agent, in accordance with the provisions of such Notes and this Indenture, to the payment, either directly or through any Paying Agent, to the Holders of such Notes, of all sums due and to become due thereon in respect of principal, premium, if any, and accrued interest, but such money need not be segregated from other funds except to the extent required by law.</w:t>
      </w:r>
    </w:p>
    <w:p>
      <w:pPr>
        <w:spacing w:after="0" w:line="188"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The Issuer shall pay and indemnify the Trustee or other agent against any tax, fee or other charge imposed on or assessed against the German Government Obligations deposited pursuant to Section 9.02(a) or the principal, premium, if any, and interest received in respect thereof other than any such tax, fee or other charge which by law is for the account of the Holders of the outstanding Notes.</w:t>
      </w:r>
    </w:p>
    <w:p>
      <w:pPr>
        <w:spacing w:after="0" w:line="16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Anything in this Article IX to the contrary notwithstanding, the Trustee or other agent shall deliver or pay to the Issuer from time to time upon a request of the Issuer any money or German Government Obligations held by it as provided in Section 9.02(a)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9.04 Reinstatement.</w:t>
      </w:r>
    </w:p>
    <w:p>
      <w:pPr>
        <w:spacing w:after="0" w:line="117"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If the Trustee or Paying Agent is unable to apply any money or German Government Obligations in accordance with Section 9.01 by reason of any legal proceeding or by reason of any order or judgment of any court or German Governmental Authority enjoining, restraining or otherwise prohibiting such application, the Issuer’s obligations under this Indenture and the applicable Notes shall be revived and reinstated as though no deposit had occurred pursuant to this Article IX until such time as the Trustee or Paying Agent is permitted to apply all such money or German Government Obligations in accordance with Section 9.01;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Issuer has made any payment of principal of, premium, if any, or accrued interest on any Notes because of the reinstatement of its obligations, the Issuer shall be subrogated to the rights of the Holders of such Notes to receive such payment from the money or German Government Obligations held by the Trustee or Paying Agent.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9.05 Moneys Held by Paying Agent.</w:t>
      </w:r>
    </w:p>
    <w:p>
      <w:pPr>
        <w:spacing w:after="0" w:line="11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connection with the satisfaction and discharge of this Indenture, all moneys then held by any Paying Agent under the provisions of this Indenture shall, upon written demand of the Issuer, be paid to the Trustee, or if sufficient moneys have been deposited pursuant to Section 9.02(a), to the Issuer upon a request of the Issuer, and thereupon the Paying Agent shall be released from all further liability with respect to such moneys.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9.06 Moneys Held by Trustee.</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Any moneys deposited with the Trustee or any Paying Agent or then held by the Issuer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to the Issuer upon a request of the Issuer, or if such moneys are then held by the Issuer in trust, such moneys shall be released from such trust; and the Holder of such Note entitled to receive such payment shall thereafter, as an unsecured general creditor, look only to the Issuer for the payment thereof, and all liability of the Trustee or the Paying Agent with respect to such trust money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the Paying Agent,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269" w:name="page270"/>
    <w:bookmarkEnd w:id="269"/>
    <w:p>
      <w:pPr>
        <w:ind w:left="4"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being required to make any such repayment, may, at the expense of the Issuer either transmit to each Holder affected, at the address shown in the register of the Notes maintained by the Registrar pursuant to Section 2.04, or cause to be published once a week for two successive weeks, in a newspaper published in the English language, customarily published each Business Day and of general circulation in London, a notice that such money remains unclaimed and that, after a date specified therein, which shall not be less than 30 days from the date of such transmission or publication, any unclaimed balance of such moneys then remaining will be repaid to the Issuer. After payment to the Issuer or the release of any money held in trust by the Issuer, Holders entitled to the money must look only to the Issuer for payment as general creditors unless applicable abandoned property law designates another Person.</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ARTICLE X</w:t>
      </w:r>
    </w:p>
    <w:p>
      <w:pPr>
        <w:spacing w:after="0" w:line="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GUARANTEES</w:t>
      </w:r>
    </w:p>
    <w:p>
      <w:pPr>
        <w:spacing w:after="0" w:line="209"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10.01 Guarantee.</w:t>
      </w:r>
    </w:p>
    <w:p>
      <w:pPr>
        <w:spacing w:after="0" w:line="117" w:lineRule="exact"/>
        <w:rPr>
          <w:sz w:val="20"/>
          <w:szCs w:val="20"/>
          <w:color w:val="auto"/>
        </w:rPr>
      </w:pPr>
    </w:p>
    <w:p>
      <w:pPr>
        <w:ind w:left="4" w:right="40" w:firstLine="436"/>
        <w:spacing w:after="0" w:line="284" w:lineRule="auto"/>
        <w:tabs>
          <w:tab w:leader="none" w:pos="689"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Each Guarantor, hereby jointly and severally, absolutely, unconditionally and irrevocably guarantees the Notes and obligations of the Issuer hereunder and thereunder, and guarantees to each Holder of a Note authenticated and delivered by the Trustee, and to the Trustee on behalf of such Holder, that (i) the principal of (and premium, if any) and interest on the Notes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Issuer to the Holders or the Trustee hereunder or thereunder will be paid in full or performed, all in accordance with the terms hereof and thereof; and</w:t>
      </w:r>
    </w:p>
    <w:p>
      <w:pPr>
        <w:spacing w:after="0" w:line="4" w:lineRule="exact"/>
        <w:rPr>
          <w:rFonts w:ascii="Arial" w:cs="Arial" w:eastAsia="Arial" w:hAnsi="Arial"/>
          <w:sz w:val="16"/>
          <w:szCs w:val="16"/>
          <w:color w:val="auto"/>
        </w:rPr>
      </w:pPr>
    </w:p>
    <w:p>
      <w:pPr>
        <w:ind w:left="4" w:right="220" w:hanging="4"/>
        <w:spacing w:after="0" w:line="255" w:lineRule="auto"/>
        <w:tabs>
          <w:tab w:leader="none" w:pos="26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spacing w:after="0" w:line="190" w:lineRule="exact"/>
        <w:rPr>
          <w:sz w:val="20"/>
          <w:szCs w:val="20"/>
          <w:color w:val="auto"/>
        </w:rPr>
      </w:pPr>
    </w:p>
    <w:p>
      <w:pPr>
        <w:ind w:left="4" w:right="160" w:firstLine="440"/>
        <w:spacing w:after="0" w:line="279" w:lineRule="auto"/>
        <w:rPr>
          <w:sz w:val="20"/>
          <w:szCs w:val="20"/>
          <w:color w:val="auto"/>
        </w:rPr>
      </w:pPr>
      <w:r>
        <w:rPr>
          <w:rFonts w:ascii="Arial" w:cs="Arial" w:eastAsia="Arial" w:hAnsi="Arial"/>
          <w:sz w:val="17"/>
          <w:szCs w:val="17"/>
          <w:color w:val="auto"/>
        </w:rPr>
        <w:t>Each Guarantor hereby agrees that its obligations hereunder shall be unconditional, irrespective of the validity, regularity or enforceability of the Notes or this Indenture, the absence of any action to enforce the same, any waiver or consent by any Holder of Notes with respect to any provisions hereof or thereof, any release of any other Guarantor, the recovery of any judgment against the Issuer, any action to enforce the same or any other circumstance which might otherwise constitute a legal or equitable discharge or defense of a Guarantor.</w:t>
      </w:r>
    </w:p>
    <w:p>
      <w:pPr>
        <w:spacing w:after="0" w:line="63" w:lineRule="exact"/>
        <w:rPr>
          <w:sz w:val="20"/>
          <w:szCs w:val="20"/>
          <w:color w:val="auto"/>
        </w:rPr>
      </w:pPr>
    </w:p>
    <w:p>
      <w:pPr>
        <w:ind w:left="4" w:firstLine="436"/>
        <w:spacing w:after="0" w:line="268" w:lineRule="auto"/>
        <w:tabs>
          <w:tab w:leader="none" w:pos="69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Each Guarantor hereby waives (to the extent permitted by law)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the 2022 Notes, the 2024 Notes, the 2027 Notes or the 2032 Notes, as the case may be, except by complete performance of the obligations contained in such Notes, this Indenture and such Guarantee. Each Guarantor acknowledges that the Guarantee is a guarantee of payment and not of collection. Each of the Guarantors hereby agrees that, in the event of a default in payment of principal (or premium, if any) or interest on such Note, whether at its Stated Maturity, by acceleration, purchase or otherwise, legal proceedings may be instituted by the Trustee on behalf of, or by, the Holder of such Note, subject to the terms and conditions set forth in this Indenture, directly against each of the Guarantors to enforce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270" w:name="page271"/>
    <w:bookmarkEnd w:id="270"/>
    <w:p>
      <w:pPr>
        <w:ind w:right="40" w:firstLine="436"/>
        <w:spacing w:after="0" w:line="271" w:lineRule="auto"/>
        <w:tabs>
          <w:tab w:leader="none" w:pos="685" w:val="left"/>
        </w:tabs>
        <w:numPr>
          <w:ilvl w:val="0"/>
          <w:numId w:val="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Holder or the Trustee is required by any court or otherwise to return to the Issuer or any Guarantor, or any custodian, trustee, liquidator or other similar official acting in relation to either the Issuer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spacing w:after="0" w:line="70" w:lineRule="exact"/>
        <w:rPr>
          <w:rFonts w:ascii="Arial" w:cs="Arial" w:eastAsia="Arial" w:hAnsi="Arial"/>
          <w:sz w:val="17"/>
          <w:szCs w:val="17"/>
          <w:color w:val="auto"/>
        </w:rPr>
      </w:pPr>
    </w:p>
    <w:p>
      <w:pPr>
        <w:ind w:firstLine="436"/>
        <w:spacing w:after="0" w:line="291" w:lineRule="auto"/>
        <w:tabs>
          <w:tab w:leader="none" w:pos="69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Each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58" w:lineRule="exact"/>
        <w:rPr>
          <w:rFonts w:ascii="Arial" w:cs="Arial" w:eastAsia="Arial" w:hAnsi="Arial"/>
          <w:sz w:val="16"/>
          <w:szCs w:val="16"/>
          <w:color w:val="auto"/>
        </w:rPr>
      </w:pPr>
    </w:p>
    <w:p>
      <w:pPr>
        <w:ind w:right="260" w:firstLine="436"/>
        <w:spacing w:after="0" w:line="291" w:lineRule="auto"/>
        <w:tabs>
          <w:tab w:leader="none" w:pos="68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To evidence its Guarantee, each Guarantor hereby agrees that a Notation of Guarantee substantially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will be endorsed by an Officer of such Guarantor on each Note authenticated and delivered to the Trustee and that this Indenture or a Supplemental Indenture to this Indenture will be executed on behalf of such Guarantor by one of its Officers. Each Guarantor hereby agrees that its Guarantee will remain in full force and effect notwithstanding any failure to endorse on each Note a Notation of Guarantee. The delivery of any Note by the Trustee, after the authentication thereof hereunder, will be deemed to constitute due delivery of the Notation of Guarantee set forth in this Indenture by the Guarantors. If an Officer whose signature is on this Indenture or on the Notation of Guarantee no longer holds that office at the time the Trustee authenticates the Note on which a Notation of Guarantee is endorsed, the Notation of Guarantee will be valid nevertheless.</w:t>
      </w:r>
    </w:p>
    <w:p>
      <w:pPr>
        <w:spacing w:after="0" w:line="58" w:lineRule="exact"/>
        <w:rPr>
          <w:rFonts w:ascii="Arial" w:cs="Arial" w:eastAsia="Arial" w:hAnsi="Arial"/>
          <w:sz w:val="16"/>
          <w:szCs w:val="16"/>
          <w:color w:val="auto"/>
        </w:rPr>
      </w:pPr>
    </w:p>
    <w:p>
      <w:pPr>
        <w:ind w:left="660" w:hanging="224"/>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This Article X shall not apply to Pfizer or the Pfizer Guarantee.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10.02 Severability.</w:t>
      </w:r>
    </w:p>
    <w:p>
      <w:pPr>
        <w:spacing w:after="0" w:line="11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In case any provision of any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10.03 Limitation of Liability.</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271" w:name="page272"/>
    <w:bookmarkEnd w:id="271"/>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10.04 Contribution.</w:t>
      </w:r>
    </w:p>
    <w:p>
      <w:pPr>
        <w:spacing w:after="0" w:line="117"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In order to provide for just and equitable contribution among the Guarantors, the Guarantors agree, </w:t>
      </w:r>
      <w:r>
        <w:rPr>
          <w:rFonts w:ascii="Arial" w:cs="Arial" w:eastAsia="Arial" w:hAnsi="Arial"/>
          <w:sz w:val="18"/>
          <w:szCs w:val="18"/>
          <w:i w:val="1"/>
          <w:iCs w:val="1"/>
          <w:color w:val="auto"/>
        </w:rPr>
        <w:t>inter se</w:t>
      </w:r>
      <w:r>
        <w:rPr>
          <w:rFonts w:ascii="Arial" w:cs="Arial" w:eastAsia="Arial" w:hAnsi="Arial"/>
          <w:sz w:val="18"/>
          <w:szCs w:val="18"/>
          <w:color w:val="auto"/>
        </w:rPr>
        <w:t xml:space="preserve">, that in the event any payment or distribution is made by any Guarantor under a Guarantee, such Guarantor will be entitled to a contribution from any other Guarantor in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based on the net assets of each Guarantor determined in accordance with GAAP.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10.05 Subrogation.</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Each Guarantor shall be subrogated to all rights of Holders against the Issuer in respect of any amounts paid by any Guarantor pursuant to the provisions of Section 10.01;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10.06 Reinstatement.</w:t>
      </w:r>
    </w:p>
    <w:p>
      <w:pPr>
        <w:spacing w:after="0" w:line="117"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Issuer upon the bankruptcy or insolvency of the Issuer or any Guarantor.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10.07 Release of a Guarantor.</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Guarantee issued by Newco under this Indenture shall be automatically and unconditionally terminated and released, without any action on the part of the Trustee, any holder of the Notes or any other person, with respect to any series of Notes, if the Issuer exercises its Legal Defeasance option or its Covenant Defeasance option with respect to such series of Notes or if the Issuer’s obligations under the indenture are discharged with respect to such series of Notes in accordance with the terms of this Indenture.</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Any Guarantee issued by any Guarantor (other than Newco) under this Indenture (which, for the avoidance of doubt, shall not include the Pfizer Guarantee) shall be automatically and unconditionally terminated and released, without any action on the part of the Trustee, any holder of the Notes or any other person, upon:</w:t>
      </w:r>
    </w:p>
    <w:p>
      <w:pPr>
        <w:spacing w:after="0" w:line="76" w:lineRule="exact"/>
        <w:rPr>
          <w:sz w:val="20"/>
          <w:szCs w:val="20"/>
          <w:color w:val="auto"/>
        </w:rPr>
      </w:pPr>
    </w:p>
    <w:p>
      <w:pPr>
        <w:ind w:left="440" w:right="640" w:firstLine="419"/>
        <w:spacing w:after="0" w:line="277"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sale or disposition of such Guarantor in a transaction that complies with this Indenture such that such Guarantor ceases to be a Subsidiary of Newco;</w:t>
      </w:r>
    </w:p>
    <w:p>
      <w:pPr>
        <w:spacing w:after="0" w:line="62"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 respect to any series of Notes, if the Issuer exercises its Legal Defeasance option or its Covenant Defeasance option with respect to such series of Notes or if the Issuer’s obligations under this Indenture are discharged with respect to such series of Notes in accordance with the terms of this Indenture;</w:t>
      </w:r>
    </w:p>
    <w:p>
      <w:pPr>
        <w:spacing w:after="0" w:line="75"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40" w:top="274" w:right="499" w:bottom="1440" w:gutter="0" w:footer="0" w:header="0"/>
        </w:sectPr>
      </w:pPr>
    </w:p>
    <w:bookmarkStart w:id="272" w:name="page273"/>
    <w:bookmarkEnd w:id="272"/>
    <w:p>
      <w:pPr>
        <w:ind w:left="440" w:right="320" w:firstLine="419"/>
        <w:spacing w:after="0" w:line="277" w:lineRule="auto"/>
        <w:tabs>
          <w:tab w:leader="none" w:pos="1118"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series of Notes, upon receipt of the consent of the Holders of a majority of the aggregate principal amount of the outstanding Notes of such series in accordance with Section 8.02.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10.08 Benefits Acknowledged.</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Guarantor acknowledges that it will receive direct and indirect benefits from the financing arrangements contemplated by this Indenture and that its respective Guarantee is knowingly made in contemplation of such benefits.</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ARTICLE XI</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11.01 Notices.</w:t>
      </w:r>
    </w:p>
    <w:p>
      <w:pPr>
        <w:spacing w:after="0" w:line="117"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Except for notice or communications to Holders, any notice or communication shall be given in writing and is duly given when received if delivered in person, when receipt is acknowledged if sent by facsimile, on the next Business Day if timely delivered by a nationally recognized courier service that guarantees overnight delivery or two Business Days after deposit if mailed by first-class mail, postage prepaid, addressed as follows:</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Issuer or any Guarantor other than Pfizer, 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(646) 441-5757</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40"/>
          </w:cols>
          <w:pgMar w:left="440" w:top="274" w:right="519" w:bottom="1440" w:gutter="0" w:footer="0" w:header="0"/>
        </w:sectPr>
      </w:pPr>
    </w:p>
    <w:bookmarkStart w:id="273" w:name="page274"/>
    <w:bookmarkEnd w:id="2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Issuer or any Guarantor other than Pfizer, 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 and thomas.salus@mylan.com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Mailing Address: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Citigroup Centre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Agency &amp; Trust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+44 203 0604796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emea.at.debt@citi.com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Paying Agent: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Mailing Address: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Citigroup Centre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PPA Payments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+353 1 622 4030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ppapayments@citi.com</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Such notices or communications shall be effective when actually received and shall be sufficiently given if so given within the time prescribed in this Indenture.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Issuer, the Guarantors or the Trustee by written notice to the others may designate additional or different addresses for subsequent notices or communications.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The Trustee shall have the right, but shall not be required, to rely upon and comply with instructions and directions sent by email, facsimile and other similar unsecured electronic methods by persons believed by the Trustee to be authorized to give instructions and directions on behalf of the Issuer. The Trustee shall have no duty or obligation to verify or confirm that the person who sent such instructions or directions is, in fact, a person authorized to give instructions on behalf of the Issuer; and the Trustee shall have no liability for any losses, liabilities, costs or expenses incurred or sustained by the Issuer as a result of such reliance upon or compliance with such instructions or directions,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reliance was in good faith. The Issuer agrees to assume all risks arising out of the use of such electronic methods to submit instructions and directions to the Trustee, including without limitation the risk of the Trustee acting on unauthorized instructions, and all the risk of interception and misuse by third parties.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274" w:name="page275"/>
    <w:bookmarkEnd w:id="274"/>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notice or communication transmitted to a Holder shall be transmitted to him or her at his or her address shown on the register kept by the Registrar.</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Issuer transmits a notice or communication to Holders, it will transmit a copy to the Trustee and each Agent at the same time.</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11.02 Certificate and Opinion as to Conditions Precedent.</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Upon any request or application by the Issuer to the Trustee to take any action under this Indenture (other than the authentication and delivery of the Initial Notes), if so requested by the Trustee, the Issuer shall furnish to the Trustee:</w:t>
      </w:r>
    </w:p>
    <w:p>
      <w:pPr>
        <w:spacing w:after="0" w:line="62" w:lineRule="exact"/>
        <w:rPr>
          <w:sz w:val="20"/>
          <w:szCs w:val="20"/>
          <w:color w:val="auto"/>
        </w:rPr>
      </w:pPr>
    </w:p>
    <w:p>
      <w:pPr>
        <w:ind w:left="440" w:right="600" w:firstLine="419"/>
        <w:spacing w:after="0" w:line="308" w:lineRule="auto"/>
        <w:tabs>
          <w:tab w:leader="none" w:pos="111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an Officer’s Certificate (which must include the statements set forth in Section 11.03) stating that, in the opinion of the signer, all conditions precedent, if any, provided for in this Indenture relating to the proposed action have been complied with; and</w:t>
      </w:r>
    </w:p>
    <w:p>
      <w:pPr>
        <w:spacing w:after="0" w:line="38" w:lineRule="exact"/>
        <w:rPr>
          <w:rFonts w:ascii="Arial" w:cs="Arial" w:eastAsia="Arial" w:hAnsi="Arial"/>
          <w:sz w:val="17"/>
          <w:szCs w:val="17"/>
          <w:color w:val="auto"/>
        </w:rPr>
      </w:pPr>
    </w:p>
    <w:p>
      <w:pPr>
        <w:ind w:left="440" w:right="20" w:firstLine="419"/>
        <w:spacing w:after="0" w:line="277" w:lineRule="auto"/>
        <w:tabs>
          <w:tab w:leader="none" w:pos="111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 Opinion of Counsel (which must include the statements set forth in Section 11.03) stating that, in the opinion of such counsel, all such conditions precedent have been complied with.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11.03 Statements Required in Certificate and Opinion.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120" w:hanging="261"/>
        <w:spacing w:after="0"/>
        <w:tabs>
          <w:tab w:leader="none" w:pos="11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11.04 Rules by Trustee and Agents.</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275" w:name="page276"/>
    <w:bookmarkEnd w:id="27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11.05 No Personal Liability of Directors, Officers, Employees and Stockholders.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 past, present or future director, member, partner, officer, employee or equityholder of the Issuer, any Guarantor or any of their respective Subsidiaries will have any liability for any of the Issuer’s or such Guarantor’s obligations under the Notes or this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11.06 Governing Law; Waiver of Jury Trial; Jurisdiction.</w:t>
      </w:r>
    </w:p>
    <w:p>
      <w:pPr>
        <w:spacing w:after="0" w:line="11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INTERNAL LAW OF THE STATE OF NEW YORK (INCLUDING, WITHOUT LIMITATION, SECTION 5-1401 OF THE NEW YORK GENERAL OBLIGATIONS LAW OR ANY SUCCESSOR TO SUCH STATUTE)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7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EACH PARTY HEREBY, AND EACH HOLDER OF A NOTE BY ITS ACCEPTANCE THEREOF, WAIVES, TO THE FULLEST EXTENT PERMITTED BY APPLICABLE LAW, ANY RIGHT IT MAY HAVE TO A TRIAL BY JURY IN RESPECT OF ANY LITIGATION DIRECTLY OR INDIRECTLY ARISING OUT OF, OR IN CONNECTION WITH THIS INDENTURE.</w:t>
      </w:r>
    </w:p>
    <w:p>
      <w:pPr>
        <w:spacing w:after="0" w:line="184"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ISSUER HEREBY IRREVOCABLY CONSENTS TO THE SERVICE OF PROCESS OUT OF ANY OF THE AFOREMENTIONED COURTS IN ANY SUCH ACTION OR PROCEEDING BY THE MAILING OF COPIES THEREOF BY REGISTERED OR CERTIFIED MAIL, POSTAGE PREPAID, TO THE ISSUER AT ITS ADDRESS REFERRED TO IN SECTION 11.01.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11.07 No Adverse Interpretation of Other Agreements.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Issuer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76" w:name="page277"/>
    <w:bookmarkEnd w:id="27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11.08 Successors.</w:t>
      </w:r>
    </w:p>
    <w:p>
      <w:pPr>
        <w:spacing w:after="0" w:line="117"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All agreements of the Issuer in this Indenture and the Notes will bind its successors. All agreements of the Trustee in this Indenture will bind its successors. All agreements of each Guarantor in this Indenture will bind its successors, except as otherwise provided in Section 10.07.</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11.09 Separability.</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11.10 Counterpart Originals.</w:t>
      </w:r>
    </w:p>
    <w:p>
      <w:pPr>
        <w:spacing w:after="0" w:line="117"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 The exchange of copies of this Indenture and of signature pages by facsimile or electronic format (</w:t>
      </w:r>
      <w:r>
        <w:rPr>
          <w:rFonts w:ascii="Arial" w:cs="Arial" w:eastAsia="Arial" w:hAnsi="Arial"/>
          <w:sz w:val="18"/>
          <w:szCs w:val="18"/>
          <w:i w:val="1"/>
          <w:iCs w:val="1"/>
          <w:color w:val="auto"/>
        </w:rPr>
        <w:t>i.e</w:t>
      </w:r>
      <w:r>
        <w:rPr>
          <w:rFonts w:ascii="Arial" w:cs="Arial" w:eastAsia="Arial" w:hAnsi="Arial"/>
          <w:sz w:val="18"/>
          <w:szCs w:val="18"/>
          <w:color w:val="auto"/>
        </w:rPr>
        <w:t>., “pdf” or “tif”) transmission shall constitute effective execution and delivery of this Indenture as to the parties hereto and may be used in lieu of the original Indenture for all purposes. Signatures of the parties hereto transmitted by facsimile or electronic format (</w:t>
      </w:r>
      <w:r>
        <w:rPr>
          <w:rFonts w:ascii="Arial" w:cs="Arial" w:eastAsia="Arial" w:hAnsi="Arial"/>
          <w:sz w:val="18"/>
          <w:szCs w:val="18"/>
          <w:i w:val="1"/>
          <w:iCs w:val="1"/>
          <w:color w:val="auto"/>
        </w:rPr>
        <w:t>i.e</w:t>
      </w:r>
      <w:r>
        <w:rPr>
          <w:rFonts w:ascii="Arial" w:cs="Arial" w:eastAsia="Arial" w:hAnsi="Arial"/>
          <w:sz w:val="18"/>
          <w:szCs w:val="18"/>
          <w:color w:val="auto"/>
        </w:rPr>
        <w:t>., “pdf” or “tif”) shall be deemed to be their original signatures for all purposes.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11.11 Table of Contents, Headings, etc.</w:t>
      </w:r>
    </w:p>
    <w:p>
      <w:pPr>
        <w:spacing w:after="0" w:line="11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11.12 Benefits of Indenture.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Nothing in this Indenture expressed and nothing that may be implied from any of the provisions hereof is intended, or shall be construed, to confer upon, or to give to, any Person other than the parties hereto and their successors and the Holders of the Notes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11.13 Appointment of Agent for Service.</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Issuer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The Issuer waives, to the fullest extent permitted by law, any other requirements of or objections to personal jurisdiction with respect thereto. The Issuer represents and warrants that such agent has agreed to act as its agent for service of process, and the Issuer agrees to take any and all action, including the filing of any and all documents and instruments, that may be necessary to continue such appointment in full force and effect.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11.14 Electronic Delivery.</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277" w:name="page278"/>
    <w:bookmarkEnd w:id="27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delivered in connection with the Indenture shall have the same validity and legal effect as the use of a signature affixed by hand and is made with the intention of authenticating this Indenture and on all documents required to be delivered in connection with the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20"/>
          </w:cols>
          <w:pgMar w:left="440" w:top="274" w:right="5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Martin Westra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Martin Westra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guarantor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Financial Officer, Controller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Viola Japaul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Viola Japaul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860"/>
          </w:cols>
          <w:pgMar w:left="880" w:top="274" w:right="115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 Common Code No.</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UPJOHN FINANCE B.V.</w:t>
      </w:r>
    </w:p>
    <w:p>
      <w:pPr>
        <w:spacing w:after="0" w:line="252" w:lineRule="exact"/>
        <w:rPr>
          <w:sz w:val="20"/>
          <w:szCs w:val="20"/>
          <w:color w:val="auto"/>
        </w:rPr>
      </w:pPr>
    </w:p>
    <w:p>
      <w:pPr>
        <w:ind w:left="4"/>
        <w:spacing w:after="0"/>
        <w:tabs>
          <w:tab w:leader="none" w:pos="10104"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0.816% SENIOR NOTE DUE 2022</w:t>
      </w:r>
    </w:p>
    <w:p>
      <w:pPr>
        <w:spacing w:after="0" w:line="225"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Upjohn Finance B.V. (the “</w:t>
      </w:r>
      <w:r>
        <w:rPr>
          <w:rFonts w:ascii="Arial" w:cs="Arial" w:eastAsia="Arial" w:hAnsi="Arial"/>
          <w:sz w:val="16"/>
          <w:szCs w:val="16"/>
          <w:i w:val="1"/>
          <w:iCs w:val="1"/>
          <w:color w:val="auto"/>
        </w:rPr>
        <w:t>Issuer</w:t>
      </w:r>
      <w:r>
        <w:rPr>
          <w:rFonts w:ascii="Arial" w:cs="Arial" w:eastAsia="Arial" w:hAnsi="Arial"/>
          <w:sz w:val="16"/>
          <w:szCs w:val="16"/>
          <w:color w:val="auto"/>
        </w:rPr>
        <w:t>”),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 for value received, promises to pay to the person whose name is entered in the register maintained by the Registrar in relation to the Notes (the “</w:t>
      </w:r>
      <w:r>
        <w:rPr>
          <w:rFonts w:ascii="Arial" w:cs="Arial" w:eastAsia="Arial" w:hAnsi="Arial"/>
          <w:sz w:val="16"/>
          <w:szCs w:val="16"/>
          <w:i w:val="1"/>
          <w:iCs w:val="1"/>
          <w:color w:val="auto"/>
        </w:rPr>
        <w:t>Register</w:t>
      </w:r>
      <w:r>
        <w:rPr>
          <w:rFonts w:ascii="Arial" w:cs="Arial" w:eastAsia="Arial" w:hAnsi="Arial"/>
          <w:sz w:val="16"/>
          <w:szCs w:val="16"/>
          <w:color w:val="auto"/>
        </w:rPr>
        <w:t>”) the aggregate principal amount shown on the Register as being represented by the Notes, on June 23, 2022. This certifies that the person whose name is entered in the Register is the duly registered holder of Notes in the aggregate principal amount of</w:t>
      </w:r>
    </w:p>
    <w:p>
      <w:pPr>
        <w:spacing w:after="0" w:line="1" w:lineRule="exact"/>
        <w:rPr>
          <w:sz w:val="20"/>
          <w:szCs w:val="20"/>
          <w:color w:val="auto"/>
        </w:rPr>
      </w:pPr>
    </w:p>
    <w:p>
      <w:pPr>
        <w:ind w:left="4" w:right="180" w:hanging="4"/>
        <w:spacing w:after="0" w:line="260" w:lineRule="auto"/>
        <w:tabs>
          <w:tab w:leader="none" w:pos="67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as such amount may be increased or decreased as indicated and endorsed on the schedule of increases or decreases attached to this Note and reflected on the Register.</w:t>
      </w:r>
    </w:p>
    <w:p>
      <w:pPr>
        <w:spacing w:after="0" w:line="18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Interest Payment Dates: June 23. Record Dates: The Monday, Tuesday, Wednesday, Thursday or Friday which is not December 25 or January 1 immediately preceding each Interest Payment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4"/>
          </w:cols>
          <w:pgMar w:left="436" w:top="274" w:right="439" w:bottom="1440" w:gutter="0" w:footer="0" w:header="0"/>
        </w:sectPr>
      </w:pPr>
    </w:p>
    <w:bookmarkStart w:id="280" w:name="page281"/>
    <w:bookmarkEnd w:id="2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Note to be signed manually or by facsimile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9720"/>
          </w:cols>
          <w:pgMar w:left="880" w:top="274" w:right="1299" w:bottom="1440" w:gutter="0" w:footer="0" w:header="0"/>
        </w:sectPr>
      </w:pPr>
    </w:p>
    <w:bookmarkStart w:id="281" w:name="page282"/>
    <w:bookmarkEnd w:id="281"/>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0.816% Senior Notes due 2022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Paying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019"/>
          </w:cols>
          <w:pgMar w:left="440" w:top="274" w:right="1440" w:bottom="1440" w:gutter="0" w:footer="0" w:header="0"/>
        </w:sectPr>
      </w:pPr>
    </w:p>
    <w:bookmarkStart w:id="282" w:name="page283"/>
    <w:bookmarkEnd w:id="28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EFFECTUATED for and on behalf of CLEARSTREAM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BANKING S.A., as Common Safekeeper, without recourse,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warranty or liability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9940"/>
          </w:cols>
          <w:pgMar w:left="1440" w:top="274" w:right="519"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UPJOHN FINANCE B.V.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0.816% SENIOR NOTE DUE 2022</w:t>
      </w:r>
    </w:p>
    <w:p>
      <w:pPr>
        <w:spacing w:after="0" w:line="225" w:lineRule="exact"/>
        <w:rPr>
          <w:sz w:val="20"/>
          <w:szCs w:val="20"/>
          <w:color w:val="auto"/>
        </w:rPr>
      </w:pPr>
    </w:p>
    <w:p>
      <w:pPr>
        <w:ind w:right="40" w:firstLine="436"/>
        <w:spacing w:after="0" w:line="269" w:lineRule="auto"/>
        <w:tabs>
          <w:tab w:leader="none" w:pos="695"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Upjohn Finance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as issuer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until the principal hereof is paid or made available for payment, interest on the principal amount set forth on the face hereof at a rate of 0.816% per annum. Interest on the 0.816% Senior Notes due 2022 (the “</w:t>
      </w:r>
      <w:r>
        <w:rPr>
          <w:rFonts w:ascii="Arial" w:cs="Arial" w:eastAsia="Arial" w:hAnsi="Arial"/>
          <w:sz w:val="17"/>
          <w:szCs w:val="17"/>
          <w:i w:val="1"/>
          <w:iCs w:val="1"/>
          <w:color w:val="auto"/>
        </w:rPr>
        <w:t>Notes</w:t>
      </w:r>
      <w:r>
        <w:rPr>
          <w:rFonts w:ascii="Arial" w:cs="Arial" w:eastAsia="Arial" w:hAnsi="Arial"/>
          <w:sz w:val="17"/>
          <w:szCs w:val="17"/>
          <w:color w:val="auto"/>
        </w:rPr>
        <w:t>”) will accrue from and including the most recent date to which interest has been paid or, if no interest has been paid, from and including June 23, 2020 to but excluding the date on which interest is paid. Interest shall be payable in arrears on each June 23, commencing on June 23, 2021. Interest on the Notes will be computed on the basis of the actual number of days in the period for which interest is being calculated and the actual number of days from and including the last date on which interest was paid (or June 23, 2020, if no interest has been paid on the Notes), to, but excluding, the next scheduled Interest Payment Date. This payment convention is referred to as ACTUAL/ACTUAL (ICMA) as defined in the rulebook of the International Capital Market Association. The Issuer shall pay interest on overdue principal and on overdue interest (to the full extent permitted by law) at the rate borne by the Notes.</w:t>
      </w:r>
    </w:p>
    <w:p>
      <w:pPr>
        <w:spacing w:after="0" w:line="77" w:lineRule="exact"/>
        <w:rPr>
          <w:rFonts w:ascii="Arial" w:cs="Arial" w:eastAsia="Arial" w:hAnsi="Arial"/>
          <w:sz w:val="17"/>
          <w:szCs w:val="17"/>
          <w:color w:val="auto"/>
        </w:rPr>
      </w:pPr>
    </w:p>
    <w:p>
      <w:pPr>
        <w:ind w:firstLine="436"/>
        <w:spacing w:after="0" w:line="257" w:lineRule="auto"/>
        <w:tabs>
          <w:tab w:leader="none" w:pos="69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Issuer will pay interest to those persons who were holders of record at the close of business on the Monday, Tuesday, Wednesday, Thursday or Friday which is not December 25 or January 1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Common Service Provider.</w:t>
      </w:r>
      <w:r>
        <w:rPr>
          <w:rFonts w:ascii="Arial" w:cs="Arial" w:eastAsia="Arial" w:hAnsi="Arial"/>
          <w:sz w:val="18"/>
          <w:szCs w:val="18"/>
          <w:color w:val="auto"/>
        </w:rPr>
        <w:t xml:space="preserve"> Initially, Citibank, N.A., London Branch (the “</w:t>
      </w:r>
      <w:r>
        <w:rPr>
          <w:rFonts w:ascii="Arial" w:cs="Arial" w:eastAsia="Arial" w:hAnsi="Arial"/>
          <w:sz w:val="18"/>
          <w:szCs w:val="18"/>
          <w:i w:val="1"/>
          <w:iCs w:val="1"/>
          <w:color w:val="auto"/>
        </w:rPr>
        <w:t>Trustee</w:t>
      </w:r>
      <w:r>
        <w:rPr>
          <w:rFonts w:ascii="Arial" w:cs="Arial" w:eastAsia="Arial" w:hAnsi="Arial"/>
          <w:sz w:val="18"/>
          <w:szCs w:val="18"/>
          <w:color w:val="auto"/>
        </w:rPr>
        <w:t>”) will act as a Paying Agent and Registrar. The Issuer may change any Paying Agent or Registrar without notice to the Holders. The Issuer or any of its Subsidiaries may act as Paying Agent or Registrar. Initially, Citibank Europe plc will act as Common Service Provider.</w:t>
      </w:r>
    </w:p>
    <w:p>
      <w:pPr>
        <w:spacing w:after="0" w:line="75"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Issuer issued the Notes under an Indenture dated as of June 23,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Upjohn Inc., a Delaware corporation, as guarantor, and the Trustee. This is one of an issue of Notes of the Issuer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xml:space="preserve"> At any time and from time to time, the Issuer may redeem some or all of the Notes, upon not less than 10 nor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60 days’ prior written notice, at a price equal to the greater of:</w:t>
      </w:r>
    </w:p>
    <w:p>
      <w:pPr>
        <w:spacing w:after="0" w:line="102" w:lineRule="exact"/>
        <w:rPr>
          <w:rFonts w:ascii="Arial" w:cs="Arial" w:eastAsia="Arial" w:hAnsi="Arial"/>
          <w:sz w:val="16"/>
          <w:szCs w:val="16"/>
          <w:color w:val="auto"/>
        </w:rPr>
      </w:pPr>
    </w:p>
    <w:p>
      <w:pPr>
        <w:ind w:left="1100" w:hanging="241"/>
        <w:spacing w:after="0"/>
        <w:tabs>
          <w:tab w:leader="none" w:pos="11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right="80" w:firstLine="419"/>
        <w:spacing w:after="0" w:line="279" w:lineRule="auto"/>
        <w:tabs>
          <w:tab w:leader="none" w:pos="1118"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Notes being redeemed that would be due if the Notes matured on the Maturity Date, not including accrued and unpaid interest thereon, if any, to, but excluding, the Redemption Date, discounted to the Redemption Date on an annual basis (ACTUAL/ACTUAL (ICMA) as defined in the rulebook of the International Capital Market Association) at the Bund Rate plus 25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00"/>
          </w:cols>
          <w:pgMar w:left="440" w:top="274" w:right="459" w:bottom="1440" w:gutter="0" w:footer="0" w:header="0"/>
        </w:sectPr>
      </w:pPr>
    </w:p>
    <w:bookmarkStart w:id="284" w:name="page285"/>
    <w:bookmarkEnd w:id="284"/>
    <w:p>
      <w:pPr>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right="40" w:firstLine="436"/>
        <w:spacing w:after="0" w:line="293" w:lineRule="auto"/>
        <w:tabs>
          <w:tab w:leader="none" w:pos="69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Issuer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 The Issuer will redeem Notes of €100,000 or less in whole and not in part. For all purposes of the Indenture, unless the context otherwise requires, provisions of the Indenture that apply to Notes called for redemption also apply to portions of Notes called for redemption.</w:t>
      </w:r>
    </w:p>
    <w:p>
      <w:pPr>
        <w:spacing w:after="0" w:line="56"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xml:space="preserve"> The Notes shall be issuable only in fully registered form without coupons in denominations of €100,000 and any integral multiple of €1,000 in excess thereof. A Holder may transfer Notes in accordance with the Indenture.</w:t>
      </w:r>
    </w:p>
    <w:p>
      <w:pPr>
        <w:spacing w:after="0" w:line="62" w:lineRule="exact"/>
        <w:rPr>
          <w:rFonts w:ascii="Arial" w:cs="Arial" w:eastAsia="Arial" w:hAnsi="Arial"/>
          <w:sz w:val="18"/>
          <w:szCs w:val="18"/>
          <w:color w:val="auto"/>
        </w:rPr>
      </w:pPr>
    </w:p>
    <w:p>
      <w:pPr>
        <w:ind w:right="80" w:firstLine="436"/>
        <w:spacing w:after="0" w:line="277" w:lineRule="auto"/>
        <w:tabs>
          <w:tab w:leader="none" w:pos="78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ICSDs or the Common Safekeeper may be treated by the Issuer, the Trustee and any agent of the Issuer or the Trustee as the absolute owner of the Global Note for all purposes whatsoever.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778"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Issuer at its request or, if such money is then held by the Issuer in trust, such money shall be released from such trust. After that, Holders entitled to the money must look only to the Issuer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55" w:lineRule="auto"/>
        <w:tabs>
          <w:tab w:leader="none" w:pos="78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xml:space="preserve"> The Issuer,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Issuer and the Trustee with the consent of the Holders of a majority of the aggregate principal amount of the outstanding Notes, subject to certain exceptions requiring the consent of each of the Holders of the Notes to be affected.</w:t>
      </w:r>
    </w:p>
    <w:p>
      <w:pPr>
        <w:spacing w:after="0" w:line="84" w:lineRule="exact"/>
        <w:rPr>
          <w:rFonts w:ascii="Arial" w:cs="Arial" w:eastAsia="Arial" w:hAnsi="Arial"/>
          <w:sz w:val="18"/>
          <w:szCs w:val="18"/>
          <w:color w:val="auto"/>
        </w:rPr>
      </w:pPr>
    </w:p>
    <w:p>
      <w:pPr>
        <w:ind w:firstLine="436"/>
        <w:spacing w:after="0" w:line="290" w:lineRule="auto"/>
        <w:tabs>
          <w:tab w:leader="none" w:pos="78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Purchase of Notes Upon a Change of Control Repurchase Event.</w:t>
      </w:r>
      <w:r>
        <w:rPr>
          <w:rFonts w:ascii="Arial" w:cs="Arial" w:eastAsia="Arial" w:hAnsi="Arial"/>
          <w:sz w:val="16"/>
          <w:szCs w:val="16"/>
          <w:color w:val="auto"/>
        </w:rPr>
        <w:t xml:space="preserve"> If a Change of Control Repurchase Event occurs, each Holder of Notes will have the right to require that Newco or the Issuer purchase all or any part (in denominations of €100,000 and integral multiples of €1,000 in excess thereof) of such Holder’s Notes pursuant to a Change of Control offer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on the terms set forth in the Indenture. In the Change of Control Offer, Newco or the Issuer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6"/>
          <w:szCs w:val="16"/>
          <w:i w:val="1"/>
          <w:iCs w:val="1"/>
          <w:color w:val="auto"/>
        </w:rPr>
        <w:t>Change of Control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If the Change of Control Purchase Date, however, is on or after a regular record date and on or before the related Interest Payment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80"/>
          </w:cols>
          <w:pgMar w:left="440" w:top="274" w:right="479" w:bottom="1440" w:gutter="0" w:footer="0" w:header="0"/>
        </w:sectPr>
      </w:pPr>
    </w:p>
    <w:bookmarkStart w:id="285" w:name="page286"/>
    <w:bookmarkEnd w:id="285"/>
    <w:p>
      <w:pPr>
        <w:ind w:right="40" w:firstLine="436"/>
        <w:spacing w:after="0" w:line="342" w:lineRule="auto"/>
        <w:tabs>
          <w:tab w:leader="none" w:pos="785"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firstLine="436"/>
        <w:spacing w:after="0" w:line="269" w:lineRule="auto"/>
        <w:tabs>
          <w:tab w:leader="none" w:pos="785"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Newco or the Issuer)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Newco or the Issuer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right="20" w:firstLine="436"/>
        <w:spacing w:after="0" w:line="263" w:lineRule="auto"/>
        <w:tabs>
          <w:tab w:leader="none" w:pos="78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75" w:lineRule="exact"/>
        <w:rPr>
          <w:rFonts w:ascii="Arial" w:cs="Arial" w:eastAsia="Arial" w:hAnsi="Arial"/>
          <w:sz w:val="18"/>
          <w:szCs w:val="18"/>
          <w:color w:val="auto"/>
        </w:rPr>
      </w:pPr>
    </w:p>
    <w:p>
      <w:pPr>
        <w:ind w:right="320" w:firstLine="436"/>
        <w:spacing w:after="0" w:line="257" w:lineRule="auto"/>
        <w:tabs>
          <w:tab w:leader="none" w:pos="78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Issuer, any Guarantor or any of their respective Subsidiaries will have any liability for any of the Issuer’s or such Guarantor’s obligations under the Notes or the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85"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The Issuer’s obligations pursuant to the Indenture will be discharged, except for obligations pursuant to certain sections thereof, subject to the terms of the Indenture, upon the payment or cancellation of all the Notes or upon the irrevocable deposit with the Trustee of cash in euro or German Government Obligations sufficient to pay when due principal of and interest on the Notes at maturity or redemption,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Issuer’s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right="300" w:firstLine="436"/>
        <w:spacing w:after="0" w:line="263" w:lineRule="auto"/>
        <w:tabs>
          <w:tab w:leader="none" w:pos="78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xml:space="preserve"> This Note shall not be valid until the Trustee manually or electronically signs the certificate of authentication on this Note (and, in the case of a Note issued in the form of a Global Note under the New Safekeeping Structure, until such Global Note is effectuated by the Common Safekeeper by a manual signature of an authorized signatory thereof).</w:t>
      </w:r>
    </w:p>
    <w:p>
      <w:pPr>
        <w:spacing w:after="0" w:line="75" w:lineRule="exact"/>
        <w:rPr>
          <w:rFonts w:ascii="Arial" w:cs="Arial" w:eastAsia="Arial" w:hAnsi="Arial"/>
          <w:sz w:val="18"/>
          <w:szCs w:val="18"/>
          <w:color w:val="auto"/>
        </w:rPr>
      </w:pPr>
    </w:p>
    <w:p>
      <w:pPr>
        <w:ind w:left="780" w:hanging="344"/>
        <w:spacing w:after="0"/>
        <w:tabs>
          <w:tab w:leader="none" w:pos="78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Effectuation</w:t>
      </w:r>
      <w:r>
        <w:rPr>
          <w:rFonts w:ascii="Arial" w:cs="Arial" w:eastAsia="Arial" w:hAnsi="Arial"/>
          <w:sz w:val="17"/>
          <w:szCs w:val="17"/>
          <w:color w:val="auto"/>
        </w:rPr>
        <w:t>. This Note shall not be valid for any purposes until it has been effectuated for or on behalf of the Common Safekeeper.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20"/>
          </w:cols>
          <w:pgMar w:left="440" w:top="274" w:right="439" w:bottom="1440" w:gutter="0" w:footer="0" w:header="0"/>
        </w:sectPr>
      </w:pPr>
    </w:p>
    <w:bookmarkStart w:id="286" w:name="page287"/>
    <w:bookmarkEnd w:id="286"/>
    <w:p>
      <w:pPr>
        <w:ind w:firstLine="436"/>
        <w:spacing w:after="0" w:line="263" w:lineRule="auto"/>
        <w:tabs>
          <w:tab w:leader="none" w:pos="785"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00" w:firstLine="436"/>
        <w:spacing w:after="0" w:line="263" w:lineRule="auto"/>
        <w:tabs>
          <w:tab w:leader="none" w:pos="785"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Finance B.V.</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Upjohn Inc. / Viatris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 and thomas.salus@mylan.com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00"/>
          </w:cols>
          <w:pgMar w:left="440" w:top="274" w:right="4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a request)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9039"/>
          </w:cols>
          <w:pgMar w:left="1420" w:top="274" w:right="1440" w:bottom="1440" w:gutter="0" w:footer="0" w:header="0"/>
        </w:sectPr>
      </w:pPr>
    </w:p>
    <w:bookmarkStart w:id="288" w:name="page289"/>
    <w:bookmarkEnd w:id="288"/>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59696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20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59696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7"/>
                <w:szCs w:val="17"/>
                <w:color w:val="auto"/>
              </w:rPr>
            </w:pPr>
          </w:p>
        </w:tc>
        <w:tc>
          <w:tcPr>
            <w:tcW w:w="5140" w:type="dxa"/>
            <w:vAlign w:val="bottom"/>
            <w:gridSpan w:val="2"/>
          </w:tcPr>
          <w:p>
            <w:pPr>
              <w:ind w:left="1080"/>
              <w:spacing w:after="0"/>
              <w:rPr>
                <w:sz w:val="20"/>
                <w:szCs w:val="20"/>
                <w:color w:val="auto"/>
              </w:rPr>
            </w:pPr>
            <w:r>
              <w:rPr>
                <w:rFonts w:ascii="Arial" w:cs="Arial" w:eastAsia="Arial" w:hAnsi="Arial"/>
                <w:sz w:val="18"/>
                <w:szCs w:val="18"/>
                <w:color w:val="auto"/>
              </w:rPr>
              <w:t>Your Signature:</w:t>
            </w:r>
          </w:p>
        </w:tc>
      </w:tr>
      <w:tr>
        <w:trPr>
          <w:trHeight w:val="20"/>
        </w:trPr>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40" w:type="dxa"/>
            <w:vAlign w:val="bottom"/>
            <w:gridSpan w:val="2"/>
          </w:tcPr>
          <w:p>
            <w:pPr>
              <w:ind w:left="2180"/>
              <w:spacing w:after="0"/>
              <w:rPr>
                <w:sz w:val="20"/>
                <w:szCs w:val="20"/>
                <w:color w:val="auto"/>
              </w:rPr>
            </w:pPr>
            <w:r>
              <w:rPr>
                <w:rFonts w:ascii="Arial" w:cs="Arial" w:eastAsia="Arial" w:hAnsi="Arial"/>
                <w:sz w:val="18"/>
                <w:szCs w:val="18"/>
                <w:color w:val="auto"/>
              </w:rPr>
              <w:t>(Sign exactly as your name</w:t>
            </w:r>
          </w:p>
        </w:tc>
      </w:tr>
      <w:tr>
        <w:trPr>
          <w:trHeight w:val="230"/>
        </w:trPr>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2"/>
          </w:tcPr>
          <w:p>
            <w:pPr>
              <w:ind w:left="2180"/>
              <w:spacing w:after="0"/>
              <w:rPr>
                <w:sz w:val="20"/>
                <w:szCs w:val="20"/>
                <w:color w:val="auto"/>
              </w:rPr>
            </w:pPr>
            <w:r>
              <w:rPr>
                <w:rFonts w:ascii="Arial" w:cs="Arial" w:eastAsia="Arial" w:hAnsi="Arial"/>
                <w:sz w:val="18"/>
                <w:szCs w:val="18"/>
                <w:color w:val="auto"/>
              </w:rPr>
              <w:t>appears on the face of this Note)</w:t>
            </w:r>
          </w:p>
        </w:tc>
      </w:tr>
      <w:tr>
        <w:trPr>
          <w:trHeight w:val="392"/>
        </w:trPr>
        <w:tc>
          <w:tcPr>
            <w:tcW w:w="408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53"/>
        </w:trPr>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SIGNATURE GUARANTEE</w:t>
            </w:r>
          </w:p>
        </w:tc>
      </w:tr>
    </w:tbl>
    <w:p>
      <w:pPr>
        <w:spacing w:after="0" w:line="202"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A-1 - 10</w:t>
      </w:r>
    </w:p>
    <w:p>
      <w:pPr>
        <w:sectPr>
          <w:pgSz w:w="11900" w:h="16838" w:orient="portrait"/>
          <w:cols w:equalWidth="0" w:num="1">
            <w:col w:w="10600"/>
          </w:cols>
          <w:pgMar w:left="440" w:top="274" w:right="859" w:bottom="1440" w:gutter="0" w:footer="0" w:header="0"/>
        </w:sectPr>
      </w:pPr>
    </w:p>
    <w:bookmarkStart w:id="289" w:name="page290"/>
    <w:bookmarkEnd w:id="289"/>
    <w:p>
      <w:pPr>
        <w:ind w:left="4" w:right="1600"/>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 This certificate relates to € principal amount of Notes held in definitive form by the undersigned.</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Distribution Compliance Period referred to in Regulation S under the Securities Act, the undersigned confirms that such Notes are being transferred in accordance with its terms: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(1) to the Issuer;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120" w:hanging="664"/>
        <w:spacing w:after="0" w:line="277" w:lineRule="auto"/>
        <w:tabs>
          <w:tab w:leader="none" w:pos="340"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(4)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(5) pursuant to another available exemption from registration provided by Rule 144 under the Securities Act of 1933.</w:t>
      </w:r>
    </w:p>
    <w:p>
      <w:pPr>
        <w:spacing w:after="0" w:line="22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box (4) or (5) is checked, the Trustee may require, prior to registering any such transfer of the Notes, such legal opinions, certifications and other information as the Issuer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143510</wp:posOffset>
            </wp:positionV>
            <wp:extent cx="27946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Arial" w:cs="Arial" w:eastAsia="Arial" w:hAnsi="Arial"/>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571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28632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177165</wp:posOffset>
            </wp:positionV>
            <wp:extent cx="27946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Signature Guarantee</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A-1 - 11</w:t>
      </w:r>
    </w:p>
    <w:p>
      <w:pPr>
        <w:sectPr>
          <w:pgSz w:w="11900" w:h="16838" w:orient="portrait"/>
          <w:cols w:equalWidth="0" w:num="2">
            <w:col w:w="1524" w:space="480"/>
            <w:col w:w="8960"/>
          </w:cols>
          <w:pgMar w:left="436" w:top="274" w:right="499" w:bottom="1440" w:gutter="0" w:footer="0" w:header="0"/>
          <w:type w:val="continuous"/>
        </w:sectPr>
      </w:pPr>
    </w:p>
    <w:bookmarkStart w:id="290" w:name="page291"/>
    <w:bookmarkEnd w:id="29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you want to elect to have this Note purchased by the Issuer pursuant to Section 4.08 (Change of Control) of the Indenture, check the box:</w:t>
      </w:r>
    </w:p>
    <w:p>
      <w:pPr>
        <w:spacing w:after="0" w:line="237" w:lineRule="exact"/>
        <w:rPr>
          <w:sz w:val="20"/>
          <w:szCs w:val="20"/>
          <w:color w:val="auto"/>
        </w:rPr>
      </w:pPr>
    </w:p>
    <w:p>
      <w:pPr>
        <w:ind w:left="640" w:hanging="204"/>
        <w:spacing w:after="0"/>
        <w:tabs>
          <w:tab w:leader="none" w:pos="640" w:val="left"/>
        </w:tabs>
        <w:numPr>
          <w:ilvl w:val="0"/>
          <w:numId w:val="258"/>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Issuer pursuant to Section 4.08 of the Indenture, state the principal amount </w:t>
      </w:r>
      <w:r>
        <w:rPr>
          <w:rFonts w:ascii="Arial" w:cs="Arial" w:eastAsia="Arial" w:hAnsi="Arial"/>
          <w:sz w:val="18"/>
          <w:szCs w:val="18"/>
          <w:color w:val="auto"/>
        </w:rPr>
        <w:t>(in denominations of €100,000 and integral multiples of €1,000 in excess thereof):</w:t>
      </w:r>
    </w:p>
    <w:p>
      <w:pPr>
        <w:sectPr>
          <w:pgSz w:w="11900" w:h="16838" w:orient="portrait"/>
          <w:cols w:equalWidth="0" w:num="1">
            <w:col w:w="10960"/>
          </w:cols>
          <w:pgMar w:left="440" w:top="274" w:right="4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Signature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286321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Signature must be guaranteed by a participant in a recognized signature guaranty medallion program or other signature guarantor acceptable to the Trustee</w:t>
      </w:r>
    </w:p>
    <w:p>
      <w:pPr>
        <w:spacing w:after="0" w:line="13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A-1 - 12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24428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ectPr>
          <w:pgSz w:w="11900" w:h="16838" w:orient="portrait"/>
          <w:cols w:equalWidth="0" w:num="3">
            <w:col w:w="1520" w:space="480"/>
            <w:col w:w="4880" w:space="280"/>
            <w:col w:w="3800"/>
          </w:cols>
          <w:pgMar w:left="440" w:top="274" w:right="499" w:bottom="1440" w:gutter="0" w:footer="0" w:header="0"/>
          <w:type w:val="continuous"/>
        </w:sectPr>
      </w:pPr>
    </w:p>
    <w:bookmarkStart w:id="291" w:name="page292"/>
    <w:bookmarkEnd w:id="2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Trustee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Service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Provider to the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ICSDs</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rPr>
              <w:t>A-1 - 13</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 Common Code No.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UPJOHN FINANCE B.V.</w:t>
      </w:r>
    </w:p>
    <w:p>
      <w:pPr>
        <w:spacing w:after="0" w:line="252" w:lineRule="exact"/>
        <w:rPr>
          <w:sz w:val="20"/>
          <w:szCs w:val="20"/>
          <w:color w:val="auto"/>
        </w:rPr>
      </w:pPr>
    </w:p>
    <w:p>
      <w:pPr>
        <w:ind w:left="4"/>
        <w:spacing w:after="0"/>
        <w:tabs>
          <w:tab w:leader="none" w:pos="9464"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1.023% SENIOR NOTE DUE 2024</w:t>
      </w:r>
    </w:p>
    <w:p>
      <w:pPr>
        <w:spacing w:after="0" w:line="225"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Upjohn Finance B.V. (the “</w:t>
      </w:r>
      <w:r>
        <w:rPr>
          <w:rFonts w:ascii="Arial" w:cs="Arial" w:eastAsia="Arial" w:hAnsi="Arial"/>
          <w:sz w:val="16"/>
          <w:szCs w:val="16"/>
          <w:i w:val="1"/>
          <w:iCs w:val="1"/>
          <w:color w:val="auto"/>
        </w:rPr>
        <w:t>Issuer</w:t>
      </w:r>
      <w:r>
        <w:rPr>
          <w:rFonts w:ascii="Arial" w:cs="Arial" w:eastAsia="Arial" w:hAnsi="Arial"/>
          <w:sz w:val="16"/>
          <w:szCs w:val="16"/>
          <w:color w:val="auto"/>
        </w:rPr>
        <w:t>”),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 for value received, promises to pay to the person whose name is entered in the register maintained by the Registrar in relation to the Notes (the “</w:t>
      </w:r>
      <w:r>
        <w:rPr>
          <w:rFonts w:ascii="Arial" w:cs="Arial" w:eastAsia="Arial" w:hAnsi="Arial"/>
          <w:sz w:val="16"/>
          <w:szCs w:val="16"/>
          <w:i w:val="1"/>
          <w:iCs w:val="1"/>
          <w:color w:val="auto"/>
        </w:rPr>
        <w:t>Register</w:t>
      </w:r>
      <w:r>
        <w:rPr>
          <w:rFonts w:ascii="Arial" w:cs="Arial" w:eastAsia="Arial" w:hAnsi="Arial"/>
          <w:sz w:val="16"/>
          <w:szCs w:val="16"/>
          <w:color w:val="auto"/>
        </w:rPr>
        <w:t>”) the aggregate principal amount shown on the Register as being represented by the Notes, on June 23, 2024. This certifies that the person whose name is entered in the Register is the duly registered holder of Notes in the aggregate principal amount of</w:t>
      </w:r>
    </w:p>
    <w:p>
      <w:pPr>
        <w:spacing w:after="0" w:line="1" w:lineRule="exact"/>
        <w:rPr>
          <w:sz w:val="20"/>
          <w:szCs w:val="20"/>
          <w:color w:val="auto"/>
        </w:rPr>
      </w:pPr>
    </w:p>
    <w:p>
      <w:pPr>
        <w:ind w:left="4" w:right="180" w:hanging="4"/>
        <w:spacing w:after="0" w:line="260" w:lineRule="auto"/>
        <w:tabs>
          <w:tab w:leader="none" w:pos="67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as such amount may be increased or decreased as indicated and endorsed on the schedule of increases or decreases attached to this Note and reflected on the Register.</w:t>
      </w:r>
    </w:p>
    <w:p>
      <w:pPr>
        <w:spacing w:after="0" w:line="18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Interest Payment Dates: June 23. Record Dates: The Monday, Tuesday, Wednesday, Thursday or Friday which is not December 25 or January 1 immediately preceding each Interest Payment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4"/>
          </w:cols>
          <w:pgMar w:left="436" w:top="274" w:right="439" w:bottom="1440" w:gutter="0" w:footer="0" w:header="0"/>
        </w:sectPr>
      </w:pPr>
    </w:p>
    <w:bookmarkStart w:id="293" w:name="page294"/>
    <w:bookmarkEnd w:id="2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Note to be signed manually or by facsimile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9720"/>
          </w:cols>
          <w:pgMar w:left="880" w:top="274" w:right="1299" w:bottom="1440" w:gutter="0" w:footer="0" w:header="0"/>
        </w:sectPr>
      </w:pPr>
    </w:p>
    <w:bookmarkStart w:id="294" w:name="page295"/>
    <w:bookmarkEnd w:id="294"/>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1.023% Senior Notes due 2024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Paying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019"/>
          </w:cols>
          <w:pgMar w:left="440" w:top="274" w:right="1440" w:bottom="1440" w:gutter="0" w:footer="0" w:header="0"/>
        </w:sectPr>
      </w:pPr>
    </w:p>
    <w:bookmarkStart w:id="295" w:name="page296"/>
    <w:bookmarkEnd w:id="29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EFFECTUATED for and on behalf of CLEARSTREAM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BANKING S.A., as Common Safekeeper, without recourse,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warranty or liability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9940"/>
          </w:cols>
          <w:pgMar w:left="1440" w:top="274" w:right="51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UPJOHN FINANCE B.V.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1.023% SENIOR NOTE DUE 2024</w:t>
      </w:r>
    </w:p>
    <w:p>
      <w:pPr>
        <w:spacing w:after="0" w:line="225" w:lineRule="exact"/>
        <w:rPr>
          <w:sz w:val="20"/>
          <w:szCs w:val="20"/>
          <w:color w:val="auto"/>
        </w:rPr>
      </w:pPr>
    </w:p>
    <w:p>
      <w:pPr>
        <w:ind w:right="40" w:firstLine="436"/>
        <w:spacing w:after="0" w:line="269" w:lineRule="auto"/>
        <w:tabs>
          <w:tab w:leader="none" w:pos="695"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Upjohn Finance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as issuer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until the principal hereof is paid or made available for payment, interest on the principal amount set forth on the face hereof at a rate of 1.023% per annum. Interest on the 1.023% Senior Notes due 2024 (the “</w:t>
      </w:r>
      <w:r>
        <w:rPr>
          <w:rFonts w:ascii="Arial" w:cs="Arial" w:eastAsia="Arial" w:hAnsi="Arial"/>
          <w:sz w:val="17"/>
          <w:szCs w:val="17"/>
          <w:i w:val="1"/>
          <w:iCs w:val="1"/>
          <w:color w:val="auto"/>
        </w:rPr>
        <w:t>Notes</w:t>
      </w:r>
      <w:r>
        <w:rPr>
          <w:rFonts w:ascii="Arial" w:cs="Arial" w:eastAsia="Arial" w:hAnsi="Arial"/>
          <w:sz w:val="17"/>
          <w:szCs w:val="17"/>
          <w:color w:val="auto"/>
        </w:rPr>
        <w:t>”) will accrue from and including the most recent date to which interest has been paid or, if no interest has been paid, from and including June 23, 2020 to but excluding the date on which interest is paid. Interest shall be payable in arrears on each June 23, commencing on June 23, 2021. Interest on the Notes will be computed on the basis of the actual number of days in the period for which interest is being calculated and the actual number of days from and including the last date on which interest was paid (or June 23, 2020, if no interest has been paid on the Notes), to, but excluding, the next scheduled Interest Payment Date. This payment convention is referred to as ACTUAL/ACTUAL (ICMA) as defined in the rulebook of the International Capital Market Association. The Issuer shall pay interest on overdue principal and on overdue interest (to the full extent permitted by law) at the rate borne by the Notes.</w:t>
      </w:r>
    </w:p>
    <w:p>
      <w:pPr>
        <w:spacing w:after="0" w:line="77" w:lineRule="exact"/>
        <w:rPr>
          <w:rFonts w:ascii="Arial" w:cs="Arial" w:eastAsia="Arial" w:hAnsi="Arial"/>
          <w:sz w:val="17"/>
          <w:szCs w:val="17"/>
          <w:color w:val="auto"/>
        </w:rPr>
      </w:pPr>
    </w:p>
    <w:p>
      <w:pPr>
        <w:ind w:firstLine="436"/>
        <w:spacing w:after="0" w:line="257"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Issuer will pay interest to those persons who were holders of record at the close of business on the Monday, Tuesday, Wednesday, Thursday or Friday which is not December 25 or January 1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Common Service Provider.</w:t>
      </w:r>
      <w:r>
        <w:rPr>
          <w:rFonts w:ascii="Arial" w:cs="Arial" w:eastAsia="Arial" w:hAnsi="Arial"/>
          <w:sz w:val="18"/>
          <w:szCs w:val="18"/>
          <w:color w:val="auto"/>
        </w:rPr>
        <w:t xml:space="preserve"> Initially, Citibank, N.A., London Branch (the “</w:t>
      </w:r>
      <w:r>
        <w:rPr>
          <w:rFonts w:ascii="Arial" w:cs="Arial" w:eastAsia="Arial" w:hAnsi="Arial"/>
          <w:sz w:val="18"/>
          <w:szCs w:val="18"/>
          <w:i w:val="1"/>
          <w:iCs w:val="1"/>
          <w:color w:val="auto"/>
        </w:rPr>
        <w:t>Trustee</w:t>
      </w:r>
      <w:r>
        <w:rPr>
          <w:rFonts w:ascii="Arial" w:cs="Arial" w:eastAsia="Arial" w:hAnsi="Arial"/>
          <w:sz w:val="18"/>
          <w:szCs w:val="18"/>
          <w:color w:val="auto"/>
        </w:rPr>
        <w:t>”) will act as a Paying Agent and Registrar. The Issuer may change any Paying Agent or Registrar without notice to the Holders. The Issuer or any of its Subsidiaries may act as Paying Agent or Registrar. Initially, Citibank Europe plc will act as Common Service Provider.</w:t>
      </w:r>
    </w:p>
    <w:p>
      <w:pPr>
        <w:spacing w:after="0" w:line="75"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Issuer issued the Notes under an Indenture dated as of June 23,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Upjohn Inc., a Delaware corporation, as guarantor, and the Trustee. This is one of an issue of Notes of the Issuer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500" w:firstLine="436"/>
        <w:spacing w:after="0" w:line="277"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Issuer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ind w:left="440" w:right="40" w:firstLine="419"/>
        <w:spacing w:after="0" w:line="279" w:lineRule="auto"/>
        <w:tabs>
          <w:tab w:leader="none" w:pos="1118"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an annual basis (ACTUAL/ACTUAL (ICMA) as defined in the rulebook of the International Capital Market Association) at the Bund Rate plus 25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00"/>
          </w:cols>
          <w:pgMar w:left="440" w:top="274" w:right="459" w:bottom="1440" w:gutter="0" w:footer="0" w:header="0"/>
        </w:sectPr>
      </w:pPr>
    </w:p>
    <w:bookmarkStart w:id="297" w:name="page298"/>
    <w:bookmarkEnd w:id="297"/>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after the Applicable Par Call Date, the Notes will be redeemable in whole at any time or in part, from time to time, at the option of the Issuer, upon not less than 10 nor more than 60 days’ prior written notice, at a price equal to 100% of the principal amount of the Notes to be redeemed plus accrued and unpaid interest thereon to, but excluding, the Redemption Date.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right="40" w:firstLine="436"/>
        <w:spacing w:after="0" w:line="293" w:lineRule="auto"/>
        <w:tabs>
          <w:tab w:leader="none" w:pos="695"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Issuer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 The Issuer will redeem Notes of €100,000 or less in whole and not in part. For all purposes of the Indenture, unless the context otherwise requires, provisions of the Indenture that apply to Notes called for redemption also apply to portions of Notes called for redemption.</w:t>
      </w:r>
    </w:p>
    <w:p>
      <w:pPr>
        <w:spacing w:after="0" w:line="56"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xml:space="preserve"> The Notes shall be issuable only in fully registered form without coupons in denominations of €100,000 and any integral multiple of €1,000 in excess thereof. A Holder may transfer Notes in accordance with the Indenture.</w:t>
      </w:r>
    </w:p>
    <w:p>
      <w:pPr>
        <w:spacing w:after="0" w:line="62" w:lineRule="exact"/>
        <w:rPr>
          <w:rFonts w:ascii="Arial" w:cs="Arial" w:eastAsia="Arial" w:hAnsi="Arial"/>
          <w:sz w:val="18"/>
          <w:szCs w:val="18"/>
          <w:color w:val="auto"/>
        </w:rPr>
      </w:pPr>
    </w:p>
    <w:p>
      <w:pPr>
        <w:ind w:right="80" w:firstLine="436"/>
        <w:spacing w:after="0" w:line="277" w:lineRule="auto"/>
        <w:tabs>
          <w:tab w:leader="none" w:pos="78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ICSDs or the Common Safekeeper may be treated by the Issuer, the Trustee and any agent of the Issuer or the Trustee as the absolute owner of the Global Note for all purposes whatsoever.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778"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Issuer at its request or, if such money is then held by the Issuer in trust, such money shall be released from such trust. After that, Holders entitled to the money must look only to the Issuer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55" w:lineRule="auto"/>
        <w:tabs>
          <w:tab w:leader="none" w:pos="78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xml:space="preserve"> The Issuer,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Issuer and the Trustee with the consent of the Holders of a majority of the aggregate principal amount of the outstanding Notes, subject to certain exceptions requiring the consent of each of the Holders of the Notes to be affected.</w:t>
      </w:r>
    </w:p>
    <w:p>
      <w:pPr>
        <w:spacing w:after="0" w:line="84" w:lineRule="exact"/>
        <w:rPr>
          <w:rFonts w:ascii="Arial" w:cs="Arial" w:eastAsia="Arial" w:hAnsi="Arial"/>
          <w:sz w:val="18"/>
          <w:szCs w:val="18"/>
          <w:color w:val="auto"/>
        </w:rPr>
      </w:pPr>
    </w:p>
    <w:p>
      <w:pPr>
        <w:ind w:right="60" w:firstLine="436"/>
        <w:spacing w:after="0" w:line="263" w:lineRule="auto"/>
        <w:tabs>
          <w:tab w:leader="none" w:pos="78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Purchase of Notes Upon a Change of Control Repurchase Event.</w:t>
      </w:r>
      <w:r>
        <w:rPr>
          <w:rFonts w:ascii="Arial" w:cs="Arial" w:eastAsia="Arial" w:hAnsi="Arial"/>
          <w:sz w:val="18"/>
          <w:szCs w:val="18"/>
          <w:color w:val="auto"/>
        </w:rPr>
        <w:t xml:space="preserve"> If a Change of Control Repurchase Event occurs, each Holder of Notes will have the right to require that Newco or the Issuer purchase all or any part (in denominations of €100,000 and integral multiples of €1,000 in excess thereof)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80"/>
          </w:cols>
          <w:pgMar w:left="440" w:top="274" w:right="479" w:bottom="1440" w:gutter="0" w:footer="0" w:header="0"/>
        </w:sectPr>
      </w:pPr>
    </w:p>
    <w:bookmarkStart w:id="298" w:name="page299"/>
    <w:bookmarkEnd w:id="298"/>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Newco or the Issuer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70" w:lineRule="exact"/>
        <w:rPr>
          <w:sz w:val="20"/>
          <w:szCs w:val="20"/>
          <w:color w:val="auto"/>
        </w:rPr>
      </w:pPr>
    </w:p>
    <w:p>
      <w:pPr>
        <w:ind w:right="40" w:firstLine="436"/>
        <w:spacing w:after="0" w:line="342" w:lineRule="auto"/>
        <w:tabs>
          <w:tab w:leader="none" w:pos="785"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firstLine="436"/>
        <w:spacing w:after="0" w:line="269" w:lineRule="auto"/>
        <w:tabs>
          <w:tab w:leader="none" w:pos="785"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Newco or the Issuer)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Newco or the Issuer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right="20" w:firstLine="436"/>
        <w:spacing w:after="0" w:line="263" w:lineRule="auto"/>
        <w:tabs>
          <w:tab w:leader="none" w:pos="78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75" w:lineRule="exact"/>
        <w:rPr>
          <w:rFonts w:ascii="Arial" w:cs="Arial" w:eastAsia="Arial" w:hAnsi="Arial"/>
          <w:sz w:val="18"/>
          <w:szCs w:val="18"/>
          <w:color w:val="auto"/>
        </w:rPr>
      </w:pPr>
    </w:p>
    <w:p>
      <w:pPr>
        <w:ind w:right="320" w:firstLine="436"/>
        <w:spacing w:after="0" w:line="257" w:lineRule="auto"/>
        <w:tabs>
          <w:tab w:leader="none" w:pos="78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Issuer, any Guarantor or any of their respective Subsidiaries will have any liability for any of the Issuer’s or such Guarantor’s obligations under the Notes or the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85"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The Issuer’s obligations pursuant to the Indenture will be discharged, except for obligations pursuant to certain sections thereof, subject to the terms of the Indenture, upon the payment or cancellation of all the Notes or upon the irrevocable deposit with the Trustee of cash in euro or German Government Obligations sufficient to pay when due principal of and interest on the Notes at maturity or redemption,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Issuer’s obligations under the Notes are jointly and severally, fully and unconditionally guaranteed, to the extent set forth in the Indenture or the Guarantee Agreement, as applicable, by each of the Guarantors.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20"/>
          </w:cols>
          <w:pgMar w:left="440" w:top="274" w:right="439" w:bottom="1440" w:gutter="0" w:footer="0" w:header="0"/>
        </w:sectPr>
      </w:pPr>
    </w:p>
    <w:bookmarkStart w:id="299" w:name="page300"/>
    <w:bookmarkEnd w:id="299"/>
    <w:p>
      <w:pPr>
        <w:ind w:right="280" w:firstLine="436"/>
        <w:spacing w:after="0" w:line="263" w:lineRule="auto"/>
        <w:tabs>
          <w:tab w:leader="none" w:pos="78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Authentication.</w:t>
      </w:r>
      <w:r>
        <w:rPr>
          <w:rFonts w:ascii="Arial" w:cs="Arial" w:eastAsia="Arial" w:hAnsi="Arial"/>
          <w:sz w:val="18"/>
          <w:szCs w:val="18"/>
          <w:color w:val="auto"/>
        </w:rPr>
        <w:t xml:space="preserve"> This Note shall not be valid until the Trustee manually or electronically signs the certificate of authentication on this Note (and, in the case of a Note issued in the form of a Global Note under the New Safekeeping Structure, until such Global Note is effectuated by the Common Safekeeper by a manual signature of an authorized signatory thereof).</w:t>
      </w:r>
    </w:p>
    <w:p>
      <w:pPr>
        <w:spacing w:after="0" w:line="75" w:lineRule="exact"/>
        <w:rPr>
          <w:rFonts w:ascii="Arial" w:cs="Arial" w:eastAsia="Arial" w:hAnsi="Arial"/>
          <w:sz w:val="18"/>
          <w:szCs w:val="18"/>
          <w:color w:val="auto"/>
        </w:rPr>
      </w:pPr>
    </w:p>
    <w:p>
      <w:pPr>
        <w:ind w:left="780" w:hanging="344"/>
        <w:spacing w:after="0"/>
        <w:tabs>
          <w:tab w:leader="none" w:pos="780"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Effectuation</w:t>
      </w:r>
      <w:r>
        <w:rPr>
          <w:rFonts w:ascii="Arial" w:cs="Arial" w:eastAsia="Arial" w:hAnsi="Arial"/>
          <w:sz w:val="17"/>
          <w:szCs w:val="17"/>
          <w:color w:val="auto"/>
        </w:rPr>
        <w:t>. This Note shall not be valid for any purposes until it has been effectuated for or on behalf of the Common Safekeeper.</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00" w:firstLine="436"/>
        <w:spacing w:after="0" w:line="263" w:lineRule="auto"/>
        <w:tabs>
          <w:tab w:leader="none" w:pos="78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Upjohn Finance B.V.</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Upjohn Inc. / Viatris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Sanjeev.Narula@pfizer.com and thomas.salus@mylan.com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00"/>
          </w:cols>
          <w:pgMar w:left="440" w:top="274" w:right="459" w:bottom="1440" w:gutter="0" w:footer="0" w:header="0"/>
        </w:sectPr>
      </w:pPr>
    </w:p>
    <w:bookmarkStart w:id="300" w:name="page301"/>
    <w:bookmarkEnd w:id="30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a request)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9019"/>
          </w:cols>
          <w:pgMar w:left="1440" w:top="274" w:right="1440"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5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14605</wp:posOffset>
            </wp:positionV>
            <wp:extent cx="21602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-10160</wp:posOffset>
            </wp:positionV>
            <wp:extent cx="6858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(Sign exactly as your name appears on the face</w:t>
      </w:r>
    </w:p>
    <w:p>
      <w:pPr>
        <w:spacing w:after="0" w:line="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of this Note)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-10160</wp:posOffset>
            </wp:positionV>
            <wp:extent cx="91376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A-2 - 10</w:t>
      </w:r>
    </w:p>
    <w:p>
      <w:pPr>
        <w:sectPr>
          <w:pgSz w:w="11900" w:h="16838" w:orient="portrait"/>
          <w:cols w:equalWidth="0" w:num="1">
            <w:col w:w="11000"/>
          </w:cols>
          <w:pgMar w:left="440" w:top="274" w:right="459" w:bottom="1440" w:gutter="0" w:footer="0" w:header="0"/>
        </w:sectPr>
      </w:pPr>
    </w:p>
    <w:bookmarkStart w:id="302" w:name="page303"/>
    <w:bookmarkEnd w:id="30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Distribution Compliance Period referred to in Regulation S under the Securities Act, the undersigned confirms that such Notes are being transferred in accordance with its terms: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(1) to the Issuer;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120" w:hanging="664"/>
        <w:spacing w:after="0" w:line="277" w:lineRule="auto"/>
        <w:tabs>
          <w:tab w:leader="none" w:pos="340"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(4)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(5) pursuant to another available exemption from registration provided by Rule 144 under the Securities Act of 1933.</w:t>
      </w:r>
    </w:p>
    <w:p>
      <w:pPr>
        <w:spacing w:after="0" w:line="22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box (4) or (5) is checked, the Trustee may require, prior to registering any such transfer of the Notes, such legal opinions, certifications and other information as the Issuer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143510</wp:posOffset>
            </wp:positionV>
            <wp:extent cx="27946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Arial" w:cs="Arial" w:eastAsia="Arial" w:hAnsi="Arial"/>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5715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286321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177165</wp:posOffset>
            </wp:positionV>
            <wp:extent cx="27946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Signature Guarantee</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A-2 - 11</w:t>
      </w:r>
    </w:p>
    <w:p>
      <w:pPr>
        <w:sectPr>
          <w:pgSz w:w="11900" w:h="16838" w:orient="portrait"/>
          <w:cols w:equalWidth="0" w:num="2">
            <w:col w:w="1524" w:space="480"/>
            <w:col w:w="8960"/>
          </w:cols>
          <w:pgMar w:left="436" w:top="274" w:right="499" w:bottom="1440" w:gutter="0" w:footer="0" w:header="0"/>
          <w:type w:val="continuous"/>
        </w:sectPr>
      </w:pPr>
    </w:p>
    <w:bookmarkStart w:id="303" w:name="page304"/>
    <w:bookmarkEnd w:id="30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you want to elect to have this Note purchased by the Issuer pursuant to Section 4.08 (Change of Control) of the Indenture, check the box:</w:t>
      </w:r>
    </w:p>
    <w:p>
      <w:pPr>
        <w:spacing w:after="0" w:line="237" w:lineRule="exact"/>
        <w:rPr>
          <w:sz w:val="20"/>
          <w:szCs w:val="20"/>
          <w:color w:val="auto"/>
        </w:rPr>
      </w:pPr>
    </w:p>
    <w:p>
      <w:pPr>
        <w:ind w:left="640" w:hanging="204"/>
        <w:spacing w:after="0"/>
        <w:tabs>
          <w:tab w:leader="none" w:pos="640" w:val="left"/>
        </w:tabs>
        <w:numPr>
          <w:ilvl w:val="0"/>
          <w:numId w:val="265"/>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Issuer pursuant to Section 4.08 of the Indenture, state the principal amount </w:t>
      </w:r>
      <w:r>
        <w:rPr>
          <w:rFonts w:ascii="Arial" w:cs="Arial" w:eastAsia="Arial" w:hAnsi="Arial"/>
          <w:sz w:val="18"/>
          <w:szCs w:val="18"/>
          <w:color w:val="auto"/>
        </w:rPr>
        <w:t>(in denominations of €100,000 and integral multiples of €1,000 in excess thereof):</w:t>
      </w:r>
    </w:p>
    <w:p>
      <w:pPr>
        <w:sectPr>
          <w:pgSz w:w="11900" w:h="16838" w:orient="portrait"/>
          <w:cols w:equalWidth="0" w:num="1">
            <w:col w:w="10960"/>
          </w:cols>
          <w:pgMar w:left="440" w:top="274" w:right="4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Signature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28632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Signature must be guaranteed by a participant in a recognized signature guaranty medallion program or other signature guarantor acceptable to the Trustee</w:t>
      </w:r>
    </w:p>
    <w:p>
      <w:pPr>
        <w:spacing w:after="0" w:line="13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A-2 - 12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244284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ectPr>
          <w:pgSz w:w="11900" w:h="16838" w:orient="portrait"/>
          <w:cols w:equalWidth="0" w:num="3">
            <w:col w:w="1520" w:space="480"/>
            <w:col w:w="4880" w:space="280"/>
            <w:col w:w="3800"/>
          </w:cols>
          <w:pgMar w:left="440" w:top="274" w:right="499" w:bottom="1440" w:gutter="0" w:footer="0" w:header="0"/>
          <w:type w:val="continuous"/>
        </w:sectPr>
      </w:pPr>
    </w:p>
    <w:bookmarkStart w:id="304" w:name="page305"/>
    <w:bookmarkEnd w:id="3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Trustee or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Service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Provider to the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ICSDs</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rPr>
              <w:t>A-2 - 13</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 Common Code No.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UPJOHN FINANCE B.V.</w:t>
      </w:r>
    </w:p>
    <w:p>
      <w:pPr>
        <w:spacing w:after="0" w:line="252" w:lineRule="exact"/>
        <w:rPr>
          <w:sz w:val="20"/>
          <w:szCs w:val="20"/>
          <w:color w:val="auto"/>
        </w:rPr>
      </w:pPr>
    </w:p>
    <w:p>
      <w:pPr>
        <w:ind w:left="4"/>
        <w:spacing w:after="0"/>
        <w:tabs>
          <w:tab w:leader="none" w:pos="9464"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1.362% SENIOR NOTE DUE 2027</w:t>
      </w:r>
    </w:p>
    <w:p>
      <w:pPr>
        <w:spacing w:after="0" w:line="225"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Upjohn Finance B.V. (the “</w:t>
      </w:r>
      <w:r>
        <w:rPr>
          <w:rFonts w:ascii="Arial" w:cs="Arial" w:eastAsia="Arial" w:hAnsi="Arial"/>
          <w:sz w:val="16"/>
          <w:szCs w:val="16"/>
          <w:i w:val="1"/>
          <w:iCs w:val="1"/>
          <w:color w:val="auto"/>
        </w:rPr>
        <w:t>Issuer</w:t>
      </w:r>
      <w:r>
        <w:rPr>
          <w:rFonts w:ascii="Arial" w:cs="Arial" w:eastAsia="Arial" w:hAnsi="Arial"/>
          <w:sz w:val="16"/>
          <w:szCs w:val="16"/>
          <w:color w:val="auto"/>
        </w:rPr>
        <w:t>”),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 for value received, promises to pay to the person whose name is entered in the register maintained by the Registrar in relation to the Notes (the “</w:t>
      </w:r>
      <w:r>
        <w:rPr>
          <w:rFonts w:ascii="Arial" w:cs="Arial" w:eastAsia="Arial" w:hAnsi="Arial"/>
          <w:sz w:val="16"/>
          <w:szCs w:val="16"/>
          <w:i w:val="1"/>
          <w:iCs w:val="1"/>
          <w:color w:val="auto"/>
        </w:rPr>
        <w:t>Register</w:t>
      </w:r>
      <w:r>
        <w:rPr>
          <w:rFonts w:ascii="Arial" w:cs="Arial" w:eastAsia="Arial" w:hAnsi="Arial"/>
          <w:sz w:val="16"/>
          <w:szCs w:val="16"/>
          <w:color w:val="auto"/>
        </w:rPr>
        <w:t>”) the aggregate principal amount shown on the Register as being represented by the Notes, on June 23, 2027. This certifies that the person whose name is entered in the Register is the duly registered holder of Notes in the aggregate principal amount of</w:t>
      </w:r>
    </w:p>
    <w:p>
      <w:pPr>
        <w:spacing w:after="0" w:line="1" w:lineRule="exact"/>
        <w:rPr>
          <w:sz w:val="20"/>
          <w:szCs w:val="20"/>
          <w:color w:val="auto"/>
        </w:rPr>
      </w:pPr>
    </w:p>
    <w:p>
      <w:pPr>
        <w:ind w:left="4" w:right="180" w:hanging="4"/>
        <w:spacing w:after="0" w:line="260" w:lineRule="auto"/>
        <w:tabs>
          <w:tab w:leader="none" w:pos="67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as such amount may be increased or decreased as indicated and endorsed on the schedule of increases or decreases attached to this Note and reflected on the Register.</w:t>
      </w:r>
    </w:p>
    <w:p>
      <w:pPr>
        <w:spacing w:after="0" w:line="18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Interest Payment Dates: June 23. Record Dates: The Monday, Tuesday, Wednesday, Thursday or Friday which is not December 25 or January 1 immediately preceding each Interest Payment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024"/>
          </w:cols>
          <w:pgMar w:left="436" w:top="274" w:right="43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Issuer has caused this Note to be signed manually or by facsimile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9720"/>
          </w:cols>
          <w:pgMar w:left="880" w:top="274" w:right="1299" w:bottom="1440" w:gutter="0" w:footer="0" w:header="0"/>
        </w:sectPr>
      </w:pPr>
    </w:p>
    <w:bookmarkStart w:id="307" w:name="page308"/>
    <w:bookmarkEnd w:id="307"/>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1.362% Senior Notes due 2027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Paying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019"/>
          </w:cols>
          <w:pgMar w:left="440" w:top="274" w:right="1440" w:bottom="1440" w:gutter="0" w:footer="0" w:header="0"/>
        </w:sectPr>
      </w:pPr>
    </w:p>
    <w:bookmarkStart w:id="308" w:name="page309"/>
    <w:bookmarkEnd w:id="30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EFFECTUATED for and on behalf of CLEARSTREAM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BANKING S.A., as Common Safekeeper, without recourse,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warranty or liability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9940"/>
          </w:cols>
          <w:pgMar w:left="1440" w:top="274" w:right="519" w:bottom="1440" w:gutter="0" w:footer="0" w:header="0"/>
        </w:sectPr>
      </w:pPr>
    </w:p>
    <w:bookmarkStart w:id="309" w:name="page310"/>
    <w:bookmarkEnd w:id="30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UPJOHN FINANCE B.V.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1.362% SENIOR NOTE DUE 2027</w:t>
      </w:r>
    </w:p>
    <w:p>
      <w:pPr>
        <w:spacing w:after="0" w:line="117" w:lineRule="exact"/>
        <w:rPr>
          <w:sz w:val="20"/>
          <w:szCs w:val="20"/>
          <w:color w:val="auto"/>
        </w:rPr>
      </w:pPr>
    </w:p>
    <w:p>
      <w:pPr>
        <w:ind w:right="40" w:firstLine="436"/>
        <w:spacing w:after="0" w:line="269" w:lineRule="auto"/>
        <w:tabs>
          <w:tab w:leader="none" w:pos="69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Upjohn Finance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as issuer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until the principal hereof is paid or made available for payment, interest on the principal amount set forth on the face hereof at a rate of 1.362% per annum. Interest on the 1.362% Senior Notes due 2027 (the “</w:t>
      </w:r>
      <w:r>
        <w:rPr>
          <w:rFonts w:ascii="Arial" w:cs="Arial" w:eastAsia="Arial" w:hAnsi="Arial"/>
          <w:sz w:val="17"/>
          <w:szCs w:val="17"/>
          <w:i w:val="1"/>
          <w:iCs w:val="1"/>
          <w:color w:val="auto"/>
        </w:rPr>
        <w:t>Notes</w:t>
      </w:r>
      <w:r>
        <w:rPr>
          <w:rFonts w:ascii="Arial" w:cs="Arial" w:eastAsia="Arial" w:hAnsi="Arial"/>
          <w:sz w:val="17"/>
          <w:szCs w:val="17"/>
          <w:color w:val="auto"/>
        </w:rPr>
        <w:t>”) will accrue from and including the most recent date to which interest has been paid or, if no interest has been paid, from and including June 23, 2020 to but excluding the date on which interest is paid. Interest shall be payable in arrears on each June 23, commencing on June 23, 2021. Interest on the Notes will be computed on the basis of the actual number of days in the period for which interest is being calculated and the actual number of days from and including the last date on which interest was paid (or June 23, 2020, if no interest has been paid on the Notes), to, but excluding, the next scheduled Interest Payment Date. This payment convention is referred to as ACTUAL/ACTUAL (ICMA) as defined in the rulebook of the International Capital Market Association. The Issuer shall pay interest on overdue principal and on overdue interest (to the full extent permitted by law) at the rate borne by the Notes.</w:t>
      </w:r>
    </w:p>
    <w:p>
      <w:pPr>
        <w:spacing w:after="0" w:line="77" w:lineRule="exact"/>
        <w:rPr>
          <w:rFonts w:ascii="Arial" w:cs="Arial" w:eastAsia="Arial" w:hAnsi="Arial"/>
          <w:sz w:val="17"/>
          <w:szCs w:val="17"/>
          <w:color w:val="auto"/>
        </w:rPr>
      </w:pPr>
    </w:p>
    <w:p>
      <w:pPr>
        <w:ind w:firstLine="436"/>
        <w:spacing w:after="0" w:line="257"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Issuer will pay interest to those persons who were holders of record at the close of business on the Monday, Tuesday, Wednesday, Thursday or Friday which is not December 25 or January 1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Common Service Provider.</w:t>
      </w:r>
      <w:r>
        <w:rPr>
          <w:rFonts w:ascii="Arial" w:cs="Arial" w:eastAsia="Arial" w:hAnsi="Arial"/>
          <w:sz w:val="18"/>
          <w:szCs w:val="18"/>
          <w:color w:val="auto"/>
        </w:rPr>
        <w:t xml:space="preserve"> Initially, Citibank, N.A., London Branch (the “</w:t>
      </w:r>
      <w:r>
        <w:rPr>
          <w:rFonts w:ascii="Arial" w:cs="Arial" w:eastAsia="Arial" w:hAnsi="Arial"/>
          <w:sz w:val="18"/>
          <w:szCs w:val="18"/>
          <w:i w:val="1"/>
          <w:iCs w:val="1"/>
          <w:color w:val="auto"/>
        </w:rPr>
        <w:t>Trustee</w:t>
      </w:r>
      <w:r>
        <w:rPr>
          <w:rFonts w:ascii="Arial" w:cs="Arial" w:eastAsia="Arial" w:hAnsi="Arial"/>
          <w:sz w:val="18"/>
          <w:szCs w:val="18"/>
          <w:color w:val="auto"/>
        </w:rPr>
        <w:t>”) will act as a Paying Agent and Registrar. The Issuer may change any Paying Agent or Registrar without notice to the Holders. The Issuer or any of its Subsidiaries may act as Paying Agent or Registrar. Initially, Citibank Europe plc will act as Common Service Provider.</w:t>
      </w:r>
    </w:p>
    <w:p>
      <w:pPr>
        <w:spacing w:after="0" w:line="75"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Issuer issued the Notes under an Indenture dated as of June 23,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Upjohn Inc., a Delaware corporation, as guarantor, and the Trustee. This is one of an issue of Notes of the Issuer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500" w:firstLine="436"/>
        <w:spacing w:after="0" w:line="277"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Issuer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ind w:left="440" w:right="40" w:firstLine="419"/>
        <w:spacing w:after="0" w:line="279" w:lineRule="auto"/>
        <w:tabs>
          <w:tab w:leader="none" w:pos="1118"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an annual basis (ACTUAL/ACTUAL (ICMA) as defined in the rulebook of the International Capital Market Association) at the Bund Rate plus 30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000"/>
          </w:cols>
          <w:pgMar w:left="440" w:top="274" w:right="459" w:bottom="1440" w:gutter="0" w:footer="0" w:header="0"/>
        </w:sectPr>
      </w:pPr>
    </w:p>
    <w:bookmarkStart w:id="310" w:name="page311"/>
    <w:bookmarkEnd w:id="310"/>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or after the Applicable Par Call Date, the Notes will be redeemable in whole at any time or in part, from time to time, at the option of the Issuer, upon not less than 10 nor more than 60 days’ prior written notice, at a price equal to 100% of the principal amount of the Notes to be redeemed plus accrued and unpaid interest thereon to, but excluding, the Redemption Date.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right="40" w:firstLine="436"/>
        <w:spacing w:after="0" w:line="293" w:lineRule="auto"/>
        <w:tabs>
          <w:tab w:leader="none" w:pos="695"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Issuer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 The Issuer will redeem Notes of €100,000 or less in whole and not in part. For all purposes of the Indenture, unless the context otherwise requires, provisions of the Indenture that apply to Notes called for redemption also apply to portions of Notes called for redemption.</w:t>
      </w:r>
    </w:p>
    <w:p>
      <w:pPr>
        <w:spacing w:after="0" w:line="56"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xml:space="preserve"> The Notes shall be issuable only in fully registered form without coupons in denominations of €100,000 and any integral multiple of €1,000 in excess thereof. A Holder may transfer Notes in accordance with the Indenture.</w:t>
      </w:r>
    </w:p>
    <w:p>
      <w:pPr>
        <w:spacing w:after="0" w:line="62" w:lineRule="exact"/>
        <w:rPr>
          <w:rFonts w:ascii="Arial" w:cs="Arial" w:eastAsia="Arial" w:hAnsi="Arial"/>
          <w:sz w:val="18"/>
          <w:szCs w:val="18"/>
          <w:color w:val="auto"/>
        </w:rPr>
      </w:pPr>
    </w:p>
    <w:p>
      <w:pPr>
        <w:ind w:right="80" w:firstLine="436"/>
        <w:spacing w:after="0" w:line="277" w:lineRule="auto"/>
        <w:tabs>
          <w:tab w:leader="none" w:pos="78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ICSDs or the Common Safekeeper may be treated by the Issuer, the Trustee and any agent of the Issuer or the Trustee as the absolute owner of the Global Note for all purposes whatsoever.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778"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Issuer at its request or, if such money is then held by the Issuer in trust, such money shall be released from such trust. After that, Holders entitled to the money must look only to the Issuer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55" w:lineRule="auto"/>
        <w:tabs>
          <w:tab w:leader="none" w:pos="78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xml:space="preserve"> The Issuer,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Issuer and the Trustee with the consent of the Holders of a majority of the aggregate principal amount of the outstanding Notes, subject to certain exceptions requiring the consent of each of the Holders of the Notes to be affected.</w:t>
      </w:r>
    </w:p>
    <w:p>
      <w:pPr>
        <w:spacing w:after="0" w:line="84" w:lineRule="exact"/>
        <w:rPr>
          <w:rFonts w:ascii="Arial" w:cs="Arial" w:eastAsia="Arial" w:hAnsi="Arial"/>
          <w:sz w:val="18"/>
          <w:szCs w:val="18"/>
          <w:color w:val="auto"/>
        </w:rPr>
      </w:pPr>
    </w:p>
    <w:p>
      <w:pPr>
        <w:ind w:right="60" w:firstLine="436"/>
        <w:spacing w:after="0" w:line="263" w:lineRule="auto"/>
        <w:tabs>
          <w:tab w:leader="none" w:pos="78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Purchase of Notes Upon a Change of Control Repurchase Event.</w:t>
      </w:r>
      <w:r>
        <w:rPr>
          <w:rFonts w:ascii="Arial" w:cs="Arial" w:eastAsia="Arial" w:hAnsi="Arial"/>
          <w:sz w:val="18"/>
          <w:szCs w:val="18"/>
          <w:color w:val="auto"/>
        </w:rPr>
        <w:t xml:space="preserve"> If a Change of Control Repurchase Event occurs, each Holder of Notes will have the right to require that Newco or the Issuer purchase all or any part (in denominations of €100,000 and integral multiples of €1,000 in excess thereof)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0980"/>
          </w:cols>
          <w:pgMar w:left="440" w:top="274" w:right="479" w:bottom="1440" w:gutter="0" w:footer="0" w:header="0"/>
        </w:sectPr>
      </w:pPr>
    </w:p>
    <w:bookmarkStart w:id="311" w:name="page312"/>
    <w:bookmarkEnd w:id="31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Newco or the Issuer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70" w:lineRule="exact"/>
        <w:rPr>
          <w:sz w:val="20"/>
          <w:szCs w:val="20"/>
          <w:color w:val="auto"/>
        </w:rPr>
      </w:pPr>
    </w:p>
    <w:p>
      <w:pPr>
        <w:ind w:right="40" w:firstLine="436"/>
        <w:spacing w:after="0" w:line="342" w:lineRule="auto"/>
        <w:tabs>
          <w:tab w:leader="none" w:pos="785"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firstLine="436"/>
        <w:spacing w:after="0" w:line="269" w:lineRule="auto"/>
        <w:tabs>
          <w:tab w:leader="none" w:pos="785"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Newco or the Issuer)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Newco or the Issuer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right="20" w:firstLine="436"/>
        <w:spacing w:after="0" w:line="263" w:lineRule="auto"/>
        <w:tabs>
          <w:tab w:leader="none" w:pos="78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75" w:lineRule="exact"/>
        <w:rPr>
          <w:rFonts w:ascii="Arial" w:cs="Arial" w:eastAsia="Arial" w:hAnsi="Arial"/>
          <w:sz w:val="18"/>
          <w:szCs w:val="18"/>
          <w:color w:val="auto"/>
        </w:rPr>
      </w:pPr>
    </w:p>
    <w:p>
      <w:pPr>
        <w:ind w:right="320" w:firstLine="436"/>
        <w:spacing w:after="0" w:line="257" w:lineRule="auto"/>
        <w:tabs>
          <w:tab w:leader="none" w:pos="78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Issuer, any Guarantor or any of their respective Subsidiaries will have any liability for any of the Issuer’s or such Guarantor’s obligations under the Notes or the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85"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The Issuer’s obligations pursuant to the Indenture will be discharged, except for obligations pursuant to certain sections thereof, subject to the terms of the Indenture, upon the payment or cancellation of all the Notes or upon the irrevocable deposit with the Trustee of cash in euro or German Government Obligations sufficient to pay when due principal of and interest on the Notes at maturity or redemption,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Issuer’s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right="300" w:firstLine="436"/>
        <w:spacing w:after="0" w:line="277" w:lineRule="auto"/>
        <w:tabs>
          <w:tab w:leader="none" w:pos="78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xml:space="preserve"> This Note shall not be valid until the Trustee manually or electronically signs the certificate of authentication on this Note (and, in the case of a Note issued in the form of a Global 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020"/>
          </w:cols>
          <w:pgMar w:left="440" w:top="274" w:right="439" w:bottom="1440" w:gutter="0" w:footer="0" w:header="0"/>
        </w:sectPr>
      </w:pPr>
    </w:p>
    <w:bookmarkStart w:id="312" w:name="page313"/>
    <w:bookmarkEnd w:id="312"/>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the New Safekeeping Structure, until such Global Note is effectuated by the Common Safekeeper by a manual signature of an authorized signatory thereof).</w:t>
      </w:r>
    </w:p>
    <w:p>
      <w:pPr>
        <w:spacing w:after="0" w:line="62" w:lineRule="exact"/>
        <w:rPr>
          <w:sz w:val="20"/>
          <w:szCs w:val="20"/>
          <w:color w:val="auto"/>
        </w:rPr>
      </w:pPr>
    </w:p>
    <w:p>
      <w:pPr>
        <w:ind w:left="780" w:hanging="344"/>
        <w:spacing w:after="0"/>
        <w:tabs>
          <w:tab w:leader="none" w:pos="78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Effectuation</w:t>
      </w:r>
      <w:r>
        <w:rPr>
          <w:rFonts w:ascii="Arial" w:cs="Arial" w:eastAsia="Arial" w:hAnsi="Arial"/>
          <w:sz w:val="17"/>
          <w:szCs w:val="17"/>
          <w:color w:val="auto"/>
        </w:rPr>
        <w:t>. This Note shall not be valid for any purposes until it has been effectuated for or on behalf of the Common Safekeeper.</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40" w:firstLine="436"/>
        <w:spacing w:after="0" w:line="263" w:lineRule="auto"/>
        <w:tabs>
          <w:tab w:leader="none" w:pos="785"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Upjohn Finance B.V.</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Upjohn Inc. / Viatris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Sanjeev.Narula@pfizer.com and thomas.salus@mylan.com</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0740"/>
          </w:cols>
          <w:pgMar w:left="440" w:top="274" w:right="719" w:bottom="1440" w:gutter="0" w:footer="0" w:header="0"/>
        </w:sectPr>
      </w:pPr>
    </w:p>
    <w:bookmarkStart w:id="313" w:name="page314"/>
    <w:bookmarkEnd w:id="31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a copy (which shall not constitute a request)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9019"/>
          </w:cols>
          <w:pgMar w:left="1440" w:top="274" w:right="1440" w:bottom="1440" w:gutter="0" w:footer="0" w:header="0"/>
        </w:sectPr>
      </w:pPr>
    </w:p>
    <w:bookmarkStart w:id="314" w:name="page315"/>
    <w:bookmarkEnd w:id="3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5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14605</wp:posOffset>
            </wp:positionV>
            <wp:extent cx="21602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-10160</wp:posOffset>
            </wp:positionV>
            <wp:extent cx="6858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(Sign exactly as your name appears on the face</w:t>
      </w:r>
    </w:p>
    <w:p>
      <w:pPr>
        <w:spacing w:after="0" w:line="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of this Note)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-10160</wp:posOffset>
            </wp:positionV>
            <wp:extent cx="91376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A-3 - 10</w:t>
      </w:r>
    </w:p>
    <w:p>
      <w:pPr>
        <w:sectPr>
          <w:pgSz w:w="11900" w:h="16838" w:orient="portrait"/>
          <w:cols w:equalWidth="0" w:num="1">
            <w:col w:w="11000"/>
          </w:cols>
          <w:pgMar w:left="440" w:top="274" w:right="459" w:bottom="1440" w:gutter="0" w:footer="0" w:header="0"/>
        </w:sectPr>
      </w:pPr>
    </w:p>
    <w:bookmarkStart w:id="315" w:name="page316"/>
    <w:bookmarkEnd w:id="3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Distribution Compliance Period referred to in Regulation S under the Securities Act, the undersigned confirms that such Notes are being transferred in accordance with its terms:</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(1) to the Issuer;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30" w:lineRule="exact"/>
        <w:rPr>
          <w:rFonts w:ascii="MS PGothic" w:cs="MS PGothic" w:eastAsia="MS PGothic" w:hAnsi="MS PGothic"/>
          <w:sz w:val="18"/>
          <w:szCs w:val="18"/>
          <w:color w:val="auto"/>
        </w:rPr>
      </w:pPr>
    </w:p>
    <w:p>
      <w:pPr>
        <w:ind w:left="344" w:hanging="344"/>
        <w:spacing w:after="0"/>
        <w:tabs>
          <w:tab w:leader="none" w:pos="344"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120" w:hanging="664"/>
        <w:spacing w:after="0" w:line="277" w:lineRule="auto"/>
        <w:tabs>
          <w:tab w:leader="none" w:pos="340"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(4)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(5) pursuant to another available exemption from registration provided by Rule 144 under the Securities Act of 1933.</w:t>
      </w:r>
    </w:p>
    <w:p>
      <w:pPr>
        <w:spacing w:after="0" w:line="22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box (4) or (5) is checked, the Trustee may require, prior to registering any such transfer of the Notes, such legal opinions, certifications and other information as the Issuer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143510</wp:posOffset>
            </wp:positionV>
            <wp:extent cx="27946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Arial" w:cs="Arial" w:eastAsia="Arial" w:hAnsi="Arial"/>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5715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286321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177165</wp:posOffset>
            </wp:positionV>
            <wp:extent cx="27946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Signature Guarantee</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A-3 - 11</w:t>
      </w:r>
    </w:p>
    <w:p>
      <w:pPr>
        <w:sectPr>
          <w:pgSz w:w="11900" w:h="16838" w:orient="portrait"/>
          <w:cols w:equalWidth="0" w:num="2">
            <w:col w:w="1524" w:space="480"/>
            <w:col w:w="8960"/>
          </w:cols>
          <w:pgMar w:left="436" w:top="274" w:right="499" w:bottom="1440" w:gutter="0" w:footer="0" w:header="0"/>
          <w:type w:val="continuous"/>
        </w:sectPr>
      </w:pPr>
    </w:p>
    <w:bookmarkStart w:id="316" w:name="page317"/>
    <w:bookmarkEnd w:id="31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you want to elect to have this Note purchased by the Issuer pursuant to Section 4.08 (Change of Control) of the Indenture, check the box:</w:t>
      </w:r>
    </w:p>
    <w:p>
      <w:pPr>
        <w:spacing w:after="0" w:line="237" w:lineRule="exact"/>
        <w:rPr>
          <w:sz w:val="20"/>
          <w:szCs w:val="20"/>
          <w:color w:val="auto"/>
        </w:rPr>
      </w:pPr>
    </w:p>
    <w:p>
      <w:pPr>
        <w:ind w:left="640" w:hanging="204"/>
        <w:spacing w:after="0"/>
        <w:tabs>
          <w:tab w:leader="none" w:pos="640" w:val="left"/>
        </w:tabs>
        <w:numPr>
          <w:ilvl w:val="0"/>
          <w:numId w:val="272"/>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Issuer pursuant to Section 4.08 of the Indenture, state the principal amount </w:t>
      </w:r>
      <w:r>
        <w:rPr>
          <w:rFonts w:ascii="Arial" w:cs="Arial" w:eastAsia="Arial" w:hAnsi="Arial"/>
          <w:sz w:val="18"/>
          <w:szCs w:val="18"/>
          <w:color w:val="auto"/>
        </w:rPr>
        <w:t>(in denominations of €100,000 and integral multiples of €1,000 in excess thereof):</w:t>
      </w:r>
    </w:p>
    <w:p>
      <w:pPr>
        <w:sectPr>
          <w:pgSz w:w="11900" w:h="16838" w:orient="portrait"/>
          <w:cols w:equalWidth="0" w:num="1">
            <w:col w:w="10960"/>
          </w:cols>
          <w:pgMar w:left="440"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Signature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286321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Signature must be guaranteed by a participant in a recognized signature guaranty medallion program or other signature guarantor acceptable to the Trustee</w:t>
      </w:r>
    </w:p>
    <w:p>
      <w:pPr>
        <w:spacing w:after="0" w:line="13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A-3 - 12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24428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ectPr>
          <w:pgSz w:w="11900" w:h="16838" w:orient="portrait"/>
          <w:cols w:equalWidth="0" w:num="3">
            <w:col w:w="1520" w:space="480"/>
            <w:col w:w="4880" w:space="280"/>
            <w:col w:w="3800"/>
          </w:cols>
          <w:pgMar w:left="440" w:top="274" w:right="499" w:bottom="1440" w:gutter="0" w:footer="0" w:header="0"/>
          <w:type w:val="continuous"/>
        </w:sectPr>
      </w:pPr>
    </w:p>
    <w:bookmarkStart w:id="317" w:name="page318"/>
    <w:bookmarkEnd w:id="3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Trustee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Service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Provider to the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ICSDs</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rPr>
              <w:t>A-3 - 13</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ISIN / Common Code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FINANCE B.V.</w:t>
      </w:r>
    </w:p>
    <w:p>
      <w:pPr>
        <w:spacing w:after="0" w:line="252"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1.908% SENIOR NOTE DUE 2032</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Upjohn Finance B.V. (the “</w:t>
      </w:r>
      <w:r>
        <w:rPr>
          <w:rFonts w:ascii="Arial" w:cs="Arial" w:eastAsia="Arial" w:hAnsi="Arial"/>
          <w:sz w:val="18"/>
          <w:szCs w:val="18"/>
          <w:i w:val="1"/>
          <w:iCs w:val="1"/>
          <w:color w:val="auto"/>
        </w:rPr>
        <w:t>Issuer</w:t>
      </w:r>
      <w:r>
        <w:rPr>
          <w:rFonts w:ascii="Arial" w:cs="Arial" w:eastAsia="Arial" w:hAnsi="Arial"/>
          <w:sz w:val="18"/>
          <w:szCs w:val="18"/>
          <w:color w:val="auto"/>
        </w:rPr>
        <w:t>”),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for value received, promises to pay to the person whose name is entered in the register maintained by the Registrar in relation to the Notes (the “</w:t>
      </w:r>
      <w:r>
        <w:rPr>
          <w:rFonts w:ascii="Arial" w:cs="Arial" w:eastAsia="Arial" w:hAnsi="Arial"/>
          <w:sz w:val="18"/>
          <w:szCs w:val="18"/>
          <w:i w:val="1"/>
          <w:iCs w:val="1"/>
          <w:color w:val="auto"/>
        </w:rPr>
        <w:t>Register</w:t>
      </w:r>
      <w:r>
        <w:rPr>
          <w:rFonts w:ascii="Arial" w:cs="Arial" w:eastAsia="Arial" w:hAnsi="Arial"/>
          <w:sz w:val="18"/>
          <w:szCs w:val="18"/>
          <w:color w:val="auto"/>
        </w:rPr>
        <w:t>”) the aggregate principal amount shown on the Register as being represented by the Notes, on June 23, 2032. This certifies that the person whose name is entered in the Register is the duly registered holder of Notes in the aggregate principal amount of € , as such amount may be increased or decreased as indicated and endorsed on the schedule of increases or decreases attached to this Note and reflected on the Register.</w:t>
      </w:r>
    </w:p>
    <w:p>
      <w:pPr>
        <w:spacing w:after="0" w:line="19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Interest Payment Dates: June 23. Record Dates: The Monday, Tuesday, Wednesday, Thursday or Friday which is not December 25 or January 1 immediately preceding each Interest Payment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20"/>
          </w:cols>
          <w:pgMar w:left="440" w:top="274" w:right="43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Note to be signed manually or by facsimile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14605</wp:posOffset>
            </wp:positionV>
            <wp:extent cx="244284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9720"/>
          </w:cols>
          <w:pgMar w:left="880" w:top="274" w:right="1299" w:bottom="1440" w:gutter="0" w:footer="0" w:header="0"/>
        </w:sectPr>
      </w:pPr>
    </w:p>
    <w:bookmarkStart w:id="320" w:name="page321"/>
    <w:bookmarkEnd w:id="320"/>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1.908% Senior Notes due 2032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Paying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0019"/>
          </w:cols>
          <w:pgMar w:left="440" w:top="274" w:right="1440" w:bottom="1440" w:gutter="0" w:footer="0" w:header="0"/>
        </w:sectPr>
      </w:pPr>
    </w:p>
    <w:bookmarkStart w:id="321" w:name="page322"/>
    <w:bookmarkEnd w:id="32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EFFECTUATED for and on behalf of CLEARSTREAM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BANKING S.A., as Common Safekeeper, without recourse,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warranty or liability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9940"/>
          </w:cols>
          <w:pgMar w:left="1440" w:top="274" w:right="519" w:bottom="1440" w:gutter="0" w:footer="0" w:header="0"/>
        </w:sectPr>
      </w:pPr>
    </w:p>
    <w:bookmarkStart w:id="322" w:name="page323"/>
    <w:bookmarkEnd w:id="3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UPJOHN FINANCE B.V.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1.908% SENIOR NOTE DUE 2032</w:t>
      </w:r>
    </w:p>
    <w:p>
      <w:pPr>
        <w:spacing w:after="0" w:line="225" w:lineRule="exact"/>
        <w:rPr>
          <w:sz w:val="20"/>
          <w:szCs w:val="20"/>
          <w:color w:val="auto"/>
        </w:rPr>
      </w:pPr>
    </w:p>
    <w:p>
      <w:pPr>
        <w:ind w:right="40" w:firstLine="436"/>
        <w:spacing w:after="0" w:line="269" w:lineRule="auto"/>
        <w:tabs>
          <w:tab w:leader="none" w:pos="695"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Upjohn Finance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as issuer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until the principal hereof is paid or made available for payment, interest on the principal amount set forth on the face hereof at a rate of 1.908% per annum. Interest on the 1.908% Senior Notes due 2032 (the “</w:t>
      </w:r>
      <w:r>
        <w:rPr>
          <w:rFonts w:ascii="Arial" w:cs="Arial" w:eastAsia="Arial" w:hAnsi="Arial"/>
          <w:sz w:val="17"/>
          <w:szCs w:val="17"/>
          <w:i w:val="1"/>
          <w:iCs w:val="1"/>
          <w:color w:val="auto"/>
        </w:rPr>
        <w:t>Notes</w:t>
      </w:r>
      <w:r>
        <w:rPr>
          <w:rFonts w:ascii="Arial" w:cs="Arial" w:eastAsia="Arial" w:hAnsi="Arial"/>
          <w:sz w:val="17"/>
          <w:szCs w:val="17"/>
          <w:color w:val="auto"/>
        </w:rPr>
        <w:t>”) will accrue from and including the most recent date to which interest has been paid or, if no interest has been paid, from and including June 23, 2020 to but excluding the date on which interest is paid. Interest shall be payable in arrears on each June 23, commencing on June 23, 2021. Interest on the Notes will be computed on the basis of the actual number of days in the period for which interest is being calculated and the actual number of days from and including the last date on which interest was paid (or June 23, 2020, if no interest has been paid on the Notes), to, but excluding, the next scheduled Interest Payment Date. This payment convention is referred to as ACTUAL/ACTUAL (ICMA) as defined in the rulebook of the International Capital Market Association. The Issuer shall pay interest on overdue principal and on overdue interest (to the full extent permitted by law) at the rate borne by the Notes.</w:t>
      </w:r>
    </w:p>
    <w:p>
      <w:pPr>
        <w:spacing w:after="0" w:line="77" w:lineRule="exact"/>
        <w:rPr>
          <w:rFonts w:ascii="Arial" w:cs="Arial" w:eastAsia="Arial" w:hAnsi="Arial"/>
          <w:sz w:val="17"/>
          <w:szCs w:val="17"/>
          <w:color w:val="auto"/>
        </w:rPr>
      </w:pPr>
    </w:p>
    <w:p>
      <w:pPr>
        <w:ind w:firstLine="436"/>
        <w:spacing w:after="0" w:line="257" w:lineRule="auto"/>
        <w:tabs>
          <w:tab w:leader="none" w:pos="695"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Issuer will pay interest to those persons who were holders of record at the close of business on the Monday, Tuesday, Wednesday, Thursday or Friday which is not December 25 or January 1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Common Service Provider.</w:t>
      </w:r>
      <w:r>
        <w:rPr>
          <w:rFonts w:ascii="Arial" w:cs="Arial" w:eastAsia="Arial" w:hAnsi="Arial"/>
          <w:sz w:val="18"/>
          <w:szCs w:val="18"/>
          <w:color w:val="auto"/>
        </w:rPr>
        <w:t xml:space="preserve"> Initially, Citibank, N.A., London Branch (the “</w:t>
      </w:r>
      <w:r>
        <w:rPr>
          <w:rFonts w:ascii="Arial" w:cs="Arial" w:eastAsia="Arial" w:hAnsi="Arial"/>
          <w:sz w:val="18"/>
          <w:szCs w:val="18"/>
          <w:i w:val="1"/>
          <w:iCs w:val="1"/>
          <w:color w:val="auto"/>
        </w:rPr>
        <w:t>Trustee</w:t>
      </w:r>
      <w:r>
        <w:rPr>
          <w:rFonts w:ascii="Arial" w:cs="Arial" w:eastAsia="Arial" w:hAnsi="Arial"/>
          <w:sz w:val="18"/>
          <w:szCs w:val="18"/>
          <w:color w:val="auto"/>
        </w:rPr>
        <w:t>”) will act as a Paying Agent and Registrar. The Issuer may change any Paying Agent or Registrar without notice to the Holders. The Issuer or any of its Subsidiaries may act as Paying Agent or Registrar. Initially, Citibank Europe plc will act as Common Service Provider.</w:t>
      </w:r>
    </w:p>
    <w:p>
      <w:pPr>
        <w:spacing w:after="0" w:line="75"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Issuer issued the Notes under an Indenture dated as of June 23,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Upjohn Inc., a Delaware corporation, as guarantor, and the Trustee. This is one of an issue of Notes of the Issuer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500" w:firstLine="436"/>
        <w:spacing w:after="0" w:line="277" w:lineRule="auto"/>
        <w:tabs>
          <w:tab w:leader="none" w:pos="695"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Issuer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ind w:left="440" w:right="40" w:firstLine="419"/>
        <w:spacing w:after="0" w:line="279" w:lineRule="auto"/>
        <w:tabs>
          <w:tab w:leader="none" w:pos="1118" w:val="left"/>
        </w:tabs>
        <w:numPr>
          <w:ilvl w:val="1"/>
          <w:numId w:val="273"/>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an annual basis (ACTUAL/ACTUAL (ICMA) as defined in the rulebook of the International Capital Market Association) at the Bund Rate plus 35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000"/>
          </w:cols>
          <w:pgMar w:left="440" w:top="274" w:right="459" w:bottom="1440" w:gutter="0" w:footer="0" w:header="0"/>
        </w:sectPr>
      </w:pPr>
    </w:p>
    <w:bookmarkStart w:id="323" w:name="page324"/>
    <w:bookmarkEnd w:id="323"/>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after the Applicable Par Call Date, the Notes will be redeemable in whole at any time or in part, from time to time, at the option of the Issuer, upon not less than 10 nor more than 60 days’ prior written notice, at a price equal to 100% of the principal amount of the Notes to be redeemed plus accrued and unpaid interest thereon to, but excluding, the Redemption Date.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right="40" w:firstLine="436"/>
        <w:spacing w:after="0" w:line="293" w:lineRule="auto"/>
        <w:tabs>
          <w:tab w:leader="none" w:pos="695"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Issuer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 The Issuer will redeem Notes of €100,000 or less in whole and not in part. For all purposes of the Indenture, unless the context otherwise requires, provisions of the Indenture that apply to Notes called for redemption also apply to portions of Notes called for redemption.</w:t>
      </w:r>
    </w:p>
    <w:p>
      <w:pPr>
        <w:spacing w:after="0" w:line="56"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xml:space="preserve"> The Notes shall be issuable only in fully registered form without coupons in denominations of €100,000 and any integral multiple of €1,000 in excess thereof. A Holder may transfer Notes in accordance with the Indenture.</w:t>
      </w:r>
    </w:p>
    <w:p>
      <w:pPr>
        <w:spacing w:after="0" w:line="62" w:lineRule="exact"/>
        <w:rPr>
          <w:rFonts w:ascii="Arial" w:cs="Arial" w:eastAsia="Arial" w:hAnsi="Arial"/>
          <w:sz w:val="18"/>
          <w:szCs w:val="18"/>
          <w:color w:val="auto"/>
        </w:rPr>
      </w:pPr>
    </w:p>
    <w:p>
      <w:pPr>
        <w:ind w:right="80" w:firstLine="436"/>
        <w:spacing w:after="0" w:line="277" w:lineRule="auto"/>
        <w:tabs>
          <w:tab w:leader="none" w:pos="78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ICSDs or the Common Safekeeper may be treated by the Issuer, the Trustee and any agent of the Issuer or the Trustee as the absolute owner of the Global Note for all purposes whatsoever.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778"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Issuer at its request or, if such money is then held by the Issuer in trust, such money shall be released from such trust. After that, Holders entitled to the money must look only to the Issuer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55" w:lineRule="auto"/>
        <w:tabs>
          <w:tab w:leader="none" w:pos="78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xml:space="preserve"> The Issuer,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Issuer and the Trustee with the consent of the Holders of a majority of the aggregate principal amount of the outstanding Notes, subject to certain exceptions requiring the consent of each of the Holders of the Notes to be affected.</w:t>
      </w:r>
    </w:p>
    <w:p>
      <w:pPr>
        <w:spacing w:after="0" w:line="84" w:lineRule="exact"/>
        <w:rPr>
          <w:rFonts w:ascii="Arial" w:cs="Arial" w:eastAsia="Arial" w:hAnsi="Arial"/>
          <w:sz w:val="18"/>
          <w:szCs w:val="18"/>
          <w:color w:val="auto"/>
        </w:rPr>
      </w:pPr>
    </w:p>
    <w:p>
      <w:pPr>
        <w:ind w:right="60" w:firstLine="436"/>
        <w:spacing w:after="0" w:line="263" w:lineRule="auto"/>
        <w:tabs>
          <w:tab w:leader="none" w:pos="78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Purchase of Notes Upon a Change of Control Repurchase Event.</w:t>
      </w:r>
      <w:r>
        <w:rPr>
          <w:rFonts w:ascii="Arial" w:cs="Arial" w:eastAsia="Arial" w:hAnsi="Arial"/>
          <w:sz w:val="18"/>
          <w:szCs w:val="18"/>
          <w:color w:val="auto"/>
        </w:rPr>
        <w:t xml:space="preserve"> If a Change of Control Repurchase Event occurs, each Holder of Notes will have the right to require that Newco or the Issuer purchase all or any part (in denominations of €100,000 and integral multiples of €1,000 in excess thereof)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0980"/>
          </w:cols>
          <w:pgMar w:left="440" w:top="274" w:right="479" w:bottom="1440" w:gutter="0" w:footer="0" w:header="0"/>
        </w:sectPr>
      </w:pPr>
    </w:p>
    <w:bookmarkStart w:id="324" w:name="page325"/>
    <w:bookmarkEnd w:id="32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Newco or the Issuer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70" w:lineRule="exact"/>
        <w:rPr>
          <w:sz w:val="20"/>
          <w:szCs w:val="20"/>
          <w:color w:val="auto"/>
        </w:rPr>
      </w:pPr>
    </w:p>
    <w:p>
      <w:pPr>
        <w:ind w:right="40" w:firstLine="436"/>
        <w:spacing w:after="0" w:line="342" w:lineRule="auto"/>
        <w:tabs>
          <w:tab w:leader="none" w:pos="785"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firstLine="436"/>
        <w:spacing w:after="0" w:line="269" w:lineRule="auto"/>
        <w:tabs>
          <w:tab w:leader="none" w:pos="785"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Newco or the Issuer)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Newco or the Issuer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right="20" w:firstLine="436"/>
        <w:spacing w:after="0" w:line="263" w:lineRule="auto"/>
        <w:tabs>
          <w:tab w:leader="none" w:pos="78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75" w:lineRule="exact"/>
        <w:rPr>
          <w:rFonts w:ascii="Arial" w:cs="Arial" w:eastAsia="Arial" w:hAnsi="Arial"/>
          <w:sz w:val="18"/>
          <w:szCs w:val="18"/>
          <w:color w:val="auto"/>
        </w:rPr>
      </w:pPr>
    </w:p>
    <w:p>
      <w:pPr>
        <w:ind w:right="320" w:firstLine="436"/>
        <w:spacing w:after="0" w:line="257" w:lineRule="auto"/>
        <w:tabs>
          <w:tab w:leader="none" w:pos="78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Issuer, any Guarantor or any of their respective Subsidiaries will have any liability for any of the Issuer’s or such Guarantor’s obligations under the Notes or the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85"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The Issuer’s obligations pursuant to the Indenture will be discharged, except for obligations pursuant to certain sections thereof, subject to the terms of the Indenture, upon the payment or cancellation of all the Notes or upon the irrevocable deposit with the Trustee of cash in euro or German Government Obligations sufficient to pay when due principal of and interest on the Notes at maturity or redemption,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Issuer’s obligations under the Notes are jointly and severally, fully and unconditionally guaranteed, to the extent set forth in the Indenture or the Guarantee Agreement, as applicable, by each of the Guarantors.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020"/>
          </w:cols>
          <w:pgMar w:left="440" w:top="274" w:right="439" w:bottom="1440" w:gutter="0" w:footer="0" w:header="0"/>
        </w:sectPr>
      </w:pPr>
    </w:p>
    <w:bookmarkStart w:id="325" w:name="page326"/>
    <w:bookmarkEnd w:id="325"/>
    <w:p>
      <w:pPr>
        <w:ind w:right="280" w:firstLine="436"/>
        <w:spacing w:after="0" w:line="263" w:lineRule="auto"/>
        <w:tabs>
          <w:tab w:leader="none" w:pos="78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Authentication.</w:t>
      </w:r>
      <w:r>
        <w:rPr>
          <w:rFonts w:ascii="Arial" w:cs="Arial" w:eastAsia="Arial" w:hAnsi="Arial"/>
          <w:sz w:val="18"/>
          <w:szCs w:val="18"/>
          <w:color w:val="auto"/>
        </w:rPr>
        <w:t xml:space="preserve"> This Note shall not be valid until the Trustee manually or electronically signs the certificate of authentication on this Note (and, in the case of a Note issued in the form of a Global Note under the New Safekeeping Structure, until such Global Note is effectuated by the Common Safekeeper by a manual signature of an authorized signatory thereof).</w:t>
      </w:r>
    </w:p>
    <w:p>
      <w:pPr>
        <w:spacing w:after="0" w:line="75" w:lineRule="exact"/>
        <w:rPr>
          <w:rFonts w:ascii="Arial" w:cs="Arial" w:eastAsia="Arial" w:hAnsi="Arial"/>
          <w:sz w:val="18"/>
          <w:szCs w:val="18"/>
          <w:color w:val="auto"/>
        </w:rPr>
      </w:pPr>
    </w:p>
    <w:p>
      <w:pPr>
        <w:ind w:left="780" w:hanging="344"/>
        <w:spacing w:after="0"/>
        <w:tabs>
          <w:tab w:leader="none" w:pos="780"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Effectuation</w:t>
      </w:r>
      <w:r>
        <w:rPr>
          <w:rFonts w:ascii="Arial" w:cs="Arial" w:eastAsia="Arial" w:hAnsi="Arial"/>
          <w:sz w:val="17"/>
          <w:szCs w:val="17"/>
          <w:color w:val="auto"/>
        </w:rPr>
        <w:t>. This Note shall not be valid for any purposes until it has been effectuated for or on behalf of the Common Safekeeper.</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00" w:firstLine="436"/>
        <w:spacing w:after="0" w:line="263" w:lineRule="auto"/>
        <w:tabs>
          <w:tab w:leader="none" w:pos="78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Finance B.V.</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Upjohn Inc. / Viatris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 and thomas.salus@mylan.com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000"/>
          </w:cols>
          <w:pgMar w:left="440" w:top="274" w:right="4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a request)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9039"/>
          </w:cols>
          <w:pgMar w:left="1420" w:top="274" w:right="1440" w:bottom="1440" w:gutter="0" w:footer="0" w:header="0"/>
        </w:sectPr>
      </w:pPr>
    </w:p>
    <w:bookmarkStart w:id="327" w:name="page328"/>
    <w:bookmarkEnd w:id="327"/>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60839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60839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31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5400" w:type="dxa"/>
            <w:vAlign w:val="bottom"/>
            <w:gridSpan w:val="2"/>
          </w:tcPr>
          <w:p>
            <w:pPr>
              <w:ind w:left="1440"/>
              <w:spacing w:after="0"/>
              <w:rPr>
                <w:sz w:val="20"/>
                <w:szCs w:val="20"/>
                <w:color w:val="auto"/>
              </w:rPr>
            </w:pPr>
            <w:r>
              <w:rPr>
                <w:rFonts w:ascii="Arial" w:cs="Arial" w:eastAsia="Arial" w:hAnsi="Arial"/>
                <w:sz w:val="18"/>
                <w:szCs w:val="18"/>
                <w:color w:val="auto"/>
              </w:rPr>
              <w:t>Your Signature:</w:t>
            </w:r>
          </w:p>
        </w:tc>
      </w:tr>
      <w:tr>
        <w:trPr>
          <w:trHeight w:val="20"/>
        </w:trPr>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0" w:type="dxa"/>
            <w:vAlign w:val="bottom"/>
            <w:gridSpan w:val="2"/>
          </w:tcPr>
          <w:p>
            <w:pPr>
              <w:ind w:left="2540"/>
              <w:spacing w:after="0"/>
              <w:rPr>
                <w:sz w:val="20"/>
                <w:szCs w:val="20"/>
                <w:color w:val="auto"/>
              </w:rPr>
            </w:pPr>
            <w:r>
              <w:rPr>
                <w:rFonts w:ascii="Arial" w:cs="Arial" w:eastAsia="Arial" w:hAnsi="Arial"/>
                <w:sz w:val="18"/>
                <w:szCs w:val="18"/>
                <w:color w:val="auto"/>
              </w:rPr>
              <w:t>(Sign exactly as your name</w:t>
            </w:r>
          </w:p>
        </w:tc>
      </w:tr>
      <w:tr>
        <w:trPr>
          <w:trHeight w:val="230"/>
        </w:trPr>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520"/>
              <w:spacing w:after="0"/>
              <w:rPr>
                <w:sz w:val="20"/>
                <w:szCs w:val="20"/>
                <w:color w:val="auto"/>
              </w:rPr>
            </w:pPr>
            <w:r>
              <w:rPr>
                <w:rFonts w:ascii="Arial" w:cs="Arial" w:eastAsia="Arial" w:hAnsi="Arial"/>
                <w:sz w:val="18"/>
                <w:szCs w:val="18"/>
                <w:color w:val="auto"/>
              </w:rPr>
              <w:t>appears on the face of this Note)</w:t>
            </w:r>
          </w:p>
        </w:tc>
      </w:tr>
      <w:tr>
        <w:trPr>
          <w:trHeight w:val="391"/>
        </w:trPr>
        <w:tc>
          <w:tcPr>
            <w:tcW w:w="354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53"/>
        </w:trPr>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400" w:type="dxa"/>
            <w:vAlign w:val="bottom"/>
            <w:gridSpan w:val="2"/>
          </w:tcPr>
          <w:p>
            <w:pPr>
              <w:ind w:left="500"/>
              <w:spacing w:after="0"/>
              <w:rPr>
                <w:sz w:val="20"/>
                <w:szCs w:val="20"/>
                <w:color w:val="auto"/>
              </w:rPr>
            </w:pPr>
            <w:r>
              <w:rPr>
                <w:rFonts w:ascii="Arial" w:cs="Arial" w:eastAsia="Arial" w:hAnsi="Arial"/>
                <w:sz w:val="18"/>
                <w:szCs w:val="18"/>
                <w:color w:val="auto"/>
              </w:rPr>
              <w:t>SIGNATURE GUARANTEE</w:t>
            </w:r>
          </w:p>
        </w:tc>
      </w:tr>
    </w:tbl>
    <w:p>
      <w:pPr>
        <w:spacing w:after="0" w:line="202"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A-4 - 10</w:t>
      </w:r>
    </w:p>
    <w:p>
      <w:pPr>
        <w:sectPr>
          <w:pgSz w:w="11900" w:h="16838" w:orient="portrait"/>
          <w:cols w:equalWidth="0" w:num="1">
            <w:col w:w="10600"/>
          </w:cols>
          <w:pgMar w:left="440" w:top="274" w:right="85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Distribution Compliance Period referred to in Regulation S under the Securities Act, the undersigned confirms that such Notes are being transferred in accordance with its terms: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780" w:type="dxa"/>
            <w:vAlign w:val="bottom"/>
          </w:tcPr>
          <w:p>
            <w:pPr>
              <w:ind w:left="300"/>
              <w:spacing w:after="0"/>
              <w:rPr>
                <w:sz w:val="20"/>
                <w:szCs w:val="20"/>
                <w:color w:val="auto"/>
              </w:rPr>
            </w:pPr>
            <w:r>
              <w:rPr>
                <w:rFonts w:ascii="Arial" w:cs="Arial" w:eastAsia="Arial" w:hAnsi="Arial"/>
                <w:sz w:val="18"/>
                <w:szCs w:val="18"/>
                <w:color w:val="auto"/>
              </w:rPr>
              <w:t>to the Issuer; or</w:t>
            </w:r>
          </w:p>
        </w:tc>
      </w:tr>
      <w:tr>
        <w:trPr>
          <w:trHeight w:val="324"/>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9780" w:type="dxa"/>
            <w:vAlign w:val="bottom"/>
          </w:tcPr>
          <w:p>
            <w:pPr>
              <w:ind w:left="300"/>
              <w:spacing w:after="0"/>
              <w:rPr>
                <w:sz w:val="20"/>
                <w:szCs w:val="20"/>
                <w:color w:val="auto"/>
              </w:rPr>
            </w:pPr>
            <w:r>
              <w:rPr>
                <w:rFonts w:ascii="Arial" w:cs="Arial" w:eastAsia="Arial" w:hAnsi="Arial"/>
                <w:sz w:val="18"/>
                <w:szCs w:val="18"/>
                <w:color w:val="auto"/>
              </w:rPr>
              <w:t>to the Registrar for registration in the name of the Holder, without transfer; or</w:t>
            </w:r>
          </w:p>
        </w:tc>
      </w:tr>
      <w:tr>
        <w:trPr>
          <w:trHeight w:val="324"/>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9780" w:type="dxa"/>
            <w:vAlign w:val="bottom"/>
          </w:tcPr>
          <w:p>
            <w:pPr>
              <w:ind w:left="300"/>
              <w:spacing w:after="0"/>
              <w:rPr>
                <w:sz w:val="20"/>
                <w:szCs w:val="20"/>
                <w:color w:val="auto"/>
              </w:rPr>
            </w:pPr>
            <w:r>
              <w:rPr>
                <w:rFonts w:ascii="Arial" w:cs="Arial" w:eastAsia="Arial" w:hAnsi="Arial"/>
                <w:sz w:val="18"/>
                <w:szCs w:val="18"/>
                <w:color w:val="auto"/>
              </w:rPr>
              <w:t>pursuant to an effective registration statement under the Securities Act of 1933; or</w:t>
            </w:r>
          </w:p>
        </w:tc>
      </w:tr>
      <w:tr>
        <w:trPr>
          <w:trHeight w:val="290"/>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outside the United States in an offshore transaction within the meaning of Regulation S under the Securities Act in compliance with</w:t>
            </w:r>
          </w:p>
        </w:tc>
      </w:tr>
      <w:tr>
        <w:trPr>
          <w:trHeight w:val="230"/>
        </w:trPr>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Rule 904 under the Securities Act of 1933; or</w:t>
            </w:r>
          </w:p>
        </w:tc>
      </w:tr>
      <w:tr>
        <w:trPr>
          <w:trHeight w:val="344"/>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9780" w:type="dxa"/>
            <w:vAlign w:val="bottom"/>
          </w:tcPr>
          <w:p>
            <w:pPr>
              <w:ind w:left="300"/>
              <w:spacing w:after="0"/>
              <w:rPr>
                <w:sz w:val="20"/>
                <w:szCs w:val="20"/>
                <w:color w:val="auto"/>
              </w:rPr>
            </w:pPr>
            <w:r>
              <w:rPr>
                <w:rFonts w:ascii="Arial" w:cs="Arial" w:eastAsia="Arial" w:hAnsi="Arial"/>
                <w:sz w:val="18"/>
                <w:szCs w:val="18"/>
                <w:color w:val="auto"/>
              </w:rPr>
              <w:t>pursuant to another available exemption from registration provided by Rule 144 under the Securities Act of 1933.</w:t>
            </w:r>
          </w:p>
        </w:tc>
      </w:tr>
    </w:tbl>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box (4) or (5) is checked, the Trustee may require, prior to registering any such transfer of the Notes, such legal opinions, certifications and other information as the Issuer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383540</wp:posOffset>
            </wp:positionV>
            <wp:extent cx="211391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-10160</wp:posOffset>
            </wp:positionV>
            <wp:extent cx="197104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must be guaranteed by a participant in a</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recognized signature guaranty medallion program or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signature guarantor acceptable to the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38557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55720" cy="8255"/>
                    </a:xfrm>
                    <a:prstGeom prst="rect">
                      <a:avLst/>
                    </a:prstGeom>
                    <a:noFill/>
                  </pic:spPr>
                </pic:pic>
              </a:graphicData>
            </a:graphic>
          </wp:anchor>
        </w:drawing>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of Signature Guarantee</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A-4 - 11</w:t>
      </w:r>
    </w:p>
    <w:p>
      <w:pPr>
        <w:sectPr>
          <w:pgSz w:w="11900" w:h="16838" w:orient="portrait"/>
          <w:cols w:equalWidth="0" w:num="1">
            <w:col w:w="10960"/>
          </w:cols>
          <w:pgMar w:left="440" w:top="274" w:right="499" w:bottom="1440" w:gutter="0" w:footer="0" w:header="0"/>
        </w:sectPr>
      </w:pPr>
    </w:p>
    <w:bookmarkStart w:id="329" w:name="page330"/>
    <w:bookmarkEnd w:id="329"/>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Issuer pursuant to Section 4.08 (Change of Control) of the Indenture, check the box:</w:t>
      </w:r>
    </w:p>
    <w:p>
      <w:pPr>
        <w:spacing w:after="0" w:line="248" w:lineRule="exact"/>
        <w:rPr>
          <w:sz w:val="20"/>
          <w:szCs w:val="20"/>
          <w:color w:val="auto"/>
        </w:rPr>
      </w:pPr>
    </w:p>
    <w:p>
      <w:pPr>
        <w:ind w:left="1000" w:hanging="564"/>
        <w:spacing w:after="0"/>
        <w:tabs>
          <w:tab w:leader="none" w:pos="1000" w:val="left"/>
        </w:tabs>
        <w:numPr>
          <w:ilvl w:val="0"/>
          <w:numId w:val="277"/>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Issuer pursuant to Section 4.08 of the Indenture, state the principal amount </w:t>
      </w:r>
      <w:r>
        <w:rPr>
          <w:rFonts w:ascii="Arial" w:cs="Arial" w:eastAsia="Arial" w:hAnsi="Arial"/>
          <w:sz w:val="18"/>
          <w:szCs w:val="18"/>
          <w:color w:val="auto"/>
        </w:rPr>
        <w:t>(in denominations of €100,000 and integral multiples of €1,000 in excess thereof):</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1"/>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2560" w:type="dxa"/>
            <w:vAlign w:val="bottom"/>
            <w:tcBorders>
              <w:bottom w:val="single" w:sz="8" w:color="auto"/>
            </w:tcBorders>
          </w:tcPr>
          <w:p>
            <w:pPr>
              <w:spacing w:after="0"/>
              <w:rPr>
                <w:sz w:val="24"/>
                <w:szCs w:val="24"/>
                <w:color w:val="auto"/>
              </w:rPr>
            </w:pPr>
          </w:p>
        </w:tc>
        <w:tc>
          <w:tcPr>
            <w:tcW w:w="3740" w:type="dxa"/>
            <w:vAlign w:val="bottom"/>
          </w:tcPr>
          <w:p>
            <w:pPr>
              <w:ind w:left="2560"/>
              <w:spacing w:after="0"/>
              <w:rPr>
                <w:sz w:val="20"/>
                <w:szCs w:val="20"/>
                <w:color w:val="auto"/>
              </w:rPr>
            </w:pPr>
            <w:r>
              <w:rPr>
                <w:rFonts w:ascii="Arial" w:cs="Arial" w:eastAsia="Arial" w:hAnsi="Arial"/>
                <w:sz w:val="18"/>
                <w:szCs w:val="18"/>
                <w:color w:val="auto"/>
                <w:w w:val="92"/>
              </w:rPr>
              <w:t>Your Signature:</w:t>
            </w:r>
          </w:p>
        </w:tc>
        <w:tc>
          <w:tcPr>
            <w:tcW w:w="2920" w:type="dxa"/>
            <w:vAlign w:val="bottom"/>
            <w:tcBorders>
              <w:bottom w:val="single" w:sz="8" w:color="auto"/>
            </w:tcBorders>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660" w:type="dxa"/>
            <w:vAlign w:val="bottom"/>
            <w:gridSpan w:val="2"/>
          </w:tcPr>
          <w:p>
            <w:pPr>
              <w:ind w:left="3660"/>
              <w:spacing w:after="0"/>
              <w:rPr>
                <w:sz w:val="20"/>
                <w:szCs w:val="20"/>
                <w:color w:val="auto"/>
              </w:rPr>
            </w:pPr>
            <w:r>
              <w:rPr>
                <w:rFonts w:ascii="Arial" w:cs="Arial" w:eastAsia="Arial" w:hAnsi="Arial"/>
                <w:sz w:val="18"/>
                <w:szCs w:val="18"/>
                <w:color w:val="auto"/>
              </w:rPr>
              <w:t>(Sign exactly as your name</w:t>
            </w:r>
          </w:p>
        </w:tc>
      </w:tr>
      <w:tr>
        <w:trPr>
          <w:trHeight w:val="230"/>
        </w:trPr>
        <w:tc>
          <w:tcPr>
            <w:tcW w:w="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5"/>
              </w:rPr>
              <w:t>appears on the other side of the Note)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162814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Signature must be guaranteed by a participant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 recognized signature guaranty medallion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program or other signature guarantor acceptable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the Trustee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A-4 - 12</w:t>
      </w:r>
    </w:p>
    <w:p>
      <w:pPr>
        <w:sectPr>
          <w:pgSz w:w="11900" w:h="16838" w:orient="portrait"/>
          <w:cols w:equalWidth="0" w:num="1">
            <w:col w:w="10740"/>
          </w:cols>
          <w:pgMar w:left="440" w:top="274" w:right="71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Service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0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Provider to the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02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ICSDs</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A-4 - 13</w:t>
      </w:r>
    </w:p>
    <w:p>
      <w:pPr>
        <w:sectPr>
          <w:pgSz w:w="11900" w:h="16838" w:orient="portrait"/>
          <w:cols w:equalWidth="0" w:num="1">
            <w:col w:w="11020"/>
          </w:cols>
          <w:pgMar w:left="440" w:top="274" w:right="4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REGULATION S NOTE]</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ORIGINAL ISSUE DATE HEREOF AND THE DATE ON WHICH THIS SECURITY (OR ANY PREDECESSOR OF SUCH SECURITY) WAS FIRST OFFERED TO PERSONS OTHER THAN DISTRIBUTORS (AS DEFINED IN RULE 902 OF REGULATION S) IN RELIANCE ON REGULATION S, ONLY (A) TO UPJOHN INC., THE ISSUER OR ANY OF THEIR SUBSIDIARIES, (B) PURSUANT TO A REGISTRATION STATEMENT THAT HAS BEEN DECLARED EFFECTIVE UNDER THE SECURITIES ACT, (C) PURSUANT TO OFFERS AND SALES TO NON-U.S. PERSONS THAT OCCUR OUTSIDE THE UNITED STATES WITHIN THE MEANING OF REGULATION S UNDER THE SECURITIES ACT OR (D) PURSUANT TO ANOTHER AVAILABLE EXEMPTION FROM THE REGISTRATION REQUIREMENTS OF THE SECURITIES ACT, SUBJECT TO UPJOHN INC.’S, THE ISSUER’S AND THE TRUSTEE’S RIGHT PRIOR TO ANY SUCH OFFER, SALE OR TRANSFER PURSUANT TO CLAUSES (C) OR (D) TO REQUIRE THE DELIVERY OF AN OPINION OF COUNSEL, CERTIFICATION AND/ 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 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UNDER ERISA OR ANY SIMILAR LAW OR (2) THE ACQUISITION AND HOLDING OF THIS SECURITY WILL NOT CONSTITUTE A NON-EXEMPT PROHIBITED TRANSACTION UNDER SECTION 406 OF ERISA OR SECTION 4975 OF THE CODE OR A SIMILAR VIOLATION UNDER ANY APPLICABLE SIMILAR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020"/>
          </w:cols>
          <w:pgMar w:left="440" w:top="274" w:right="439" w:bottom="1440" w:gutter="0" w:footer="0" w:header="0"/>
        </w:sectPr>
      </w:pPr>
    </w:p>
    <w:bookmarkStart w:id="332" w:name="page333"/>
    <w:bookmarkEnd w:id="33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ASSIGNMENT FOR REGULATION 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right="120" w:firstLine="436"/>
        <w:spacing w:after="0" w:line="277" w:lineRule="auto"/>
        <w:tabs>
          <w:tab w:leader="none" w:pos="647" w:val="left"/>
        </w:tabs>
        <w:numPr>
          <w:ilvl w:val="0"/>
          <w:numId w:val="278"/>
        </w:numPr>
        <w:rPr>
          <w:rFonts w:ascii="MS PGothic" w:cs="MS PGothic" w:eastAsia="MS PGothic" w:hAnsi="MS PGothic"/>
          <w:sz w:val="18"/>
          <w:szCs w:val="18"/>
          <w:color w:val="auto"/>
        </w:rPr>
      </w:pPr>
      <w:r>
        <w:rPr>
          <w:rFonts w:ascii="Arial" w:cs="Arial" w:eastAsia="Arial" w:hAnsi="Arial"/>
          <w:sz w:val="18"/>
          <w:szCs w:val="18"/>
          <w:color w:val="auto"/>
        </w:rPr>
        <w:t>(a) This Note is being transferred in compliance with the exemption from registration under the Securities Act of 1933, as amended, provided by Rule 903 or Rule 904 under the Securities Act of 1933,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320" w:firstLine="436"/>
        <w:spacing w:after="0" w:line="277" w:lineRule="auto"/>
        <w:tabs>
          <w:tab w:leader="none" w:pos="647" w:val="left"/>
        </w:tabs>
        <w:numPr>
          <w:ilvl w:val="0"/>
          <w:numId w:val="279"/>
        </w:numPr>
        <w:rPr>
          <w:rFonts w:ascii="MS PGothic" w:cs="MS PGothic" w:eastAsia="MS PGothic" w:hAnsi="MS PGothic"/>
          <w:sz w:val="18"/>
          <w:szCs w:val="18"/>
          <w:color w:val="auto"/>
        </w:rPr>
      </w:pPr>
      <w:r>
        <w:rPr>
          <w:rFonts w:ascii="Arial" w:cs="Arial" w:eastAsia="Arial" w:hAnsi="Arial"/>
          <w:sz w:val="18"/>
          <w:szCs w:val="18"/>
          <w:color w:val="auto"/>
        </w:rPr>
        <w:t>(b) This Note is being transferred other than in accordance with clause (a) above and documents are being furnished to the Registrar which comply with the conditions of transfer set forth in this Note and the Indenture.</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If none of the foregoing boxes is checked, the Trustee or Registrar shall not be obligated to register this Note in the name of any person other than the Holder hereof unless and until the conditions to any such transfer of registration set forth herein and in Sections 2.07, 2.16 and 2.17 of the Indenture shall have been satisfied.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31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2"/>
          </w:tcPr>
          <w:p>
            <w:pPr>
              <w:ind w:left="1660"/>
              <w:spacing w:after="0"/>
              <w:rPr>
                <w:sz w:val="20"/>
                <w:szCs w:val="20"/>
                <w:color w:val="auto"/>
              </w:rPr>
            </w:pPr>
            <w:r>
              <w:rPr>
                <w:rFonts w:ascii="Arial" w:cs="Arial" w:eastAsia="Arial" w:hAnsi="Arial"/>
                <w:sz w:val="18"/>
                <w:szCs w:val="18"/>
                <w:color w:val="auto"/>
              </w:rPr>
              <w:t>Your Signature:</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2760"/>
              <w:spacing w:after="0"/>
              <w:rPr>
                <w:sz w:val="20"/>
                <w:szCs w:val="20"/>
                <w:color w:val="auto"/>
              </w:rPr>
            </w:pPr>
            <w:r>
              <w:rPr>
                <w:rFonts w:ascii="Arial" w:cs="Arial" w:eastAsia="Arial" w:hAnsi="Arial"/>
                <w:sz w:val="18"/>
                <w:szCs w:val="18"/>
                <w:color w:val="auto"/>
              </w:rPr>
              <w:t>(Sign exactly as your name</w:t>
            </w:r>
          </w:p>
        </w:tc>
        <w:tc>
          <w:tcPr>
            <w:tcW w:w="0" w:type="dxa"/>
            <w:vAlign w:val="bottom"/>
          </w:tcPr>
          <w:p>
            <w:pPr>
              <w:spacing w:after="0"/>
              <w:rPr>
                <w:sz w:val="1"/>
                <w:szCs w:val="1"/>
                <w:color w:val="auto"/>
              </w:rPr>
            </w:pPr>
          </w:p>
        </w:tc>
      </w:tr>
      <w:tr>
        <w:trPr>
          <w:trHeight w:val="230"/>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Signature Guarantee:</w:t>
            </w:r>
          </w:p>
        </w:tc>
        <w:tc>
          <w:tcPr>
            <w:tcW w:w="180" w:type="dxa"/>
            <w:vAlign w:val="bottom"/>
          </w:tcPr>
          <w:p>
            <w:pPr>
              <w:spacing w:after="0"/>
              <w:rPr>
                <w:sz w:val="20"/>
                <w:szCs w:val="20"/>
                <w:color w:val="auto"/>
              </w:rPr>
            </w:pPr>
          </w:p>
        </w:tc>
        <w:tc>
          <w:tcPr>
            <w:tcW w:w="5620" w:type="dxa"/>
            <w:vAlign w:val="bottom"/>
            <w:gridSpan w:val="2"/>
          </w:tcPr>
          <w:p>
            <w:pPr>
              <w:ind w:left="2740"/>
              <w:spacing w:after="0"/>
              <w:rPr>
                <w:sz w:val="20"/>
                <w:szCs w:val="20"/>
                <w:color w:val="auto"/>
              </w:rPr>
            </w:pPr>
            <w:r>
              <w:rPr>
                <w:rFonts w:ascii="Arial" w:cs="Arial" w:eastAsia="Arial" w:hAnsi="Arial"/>
                <w:sz w:val="18"/>
                <w:szCs w:val="18"/>
                <w:color w:val="auto"/>
              </w:rPr>
              <w:t>appears on the face of this Note)</w:t>
            </w:r>
          </w:p>
        </w:tc>
        <w:tc>
          <w:tcPr>
            <w:tcW w:w="0" w:type="dxa"/>
            <w:vAlign w:val="bottom"/>
          </w:tcPr>
          <w:p>
            <w:pPr>
              <w:spacing w:after="0"/>
              <w:rPr>
                <w:sz w:val="1"/>
                <w:szCs w:val="1"/>
                <w:color w:val="auto"/>
              </w:rPr>
            </w:pPr>
          </w:p>
        </w:tc>
      </w:tr>
      <w:tr>
        <w:trPr>
          <w:trHeight w:val="175"/>
        </w:trPr>
        <w:tc>
          <w:tcPr>
            <w:tcW w:w="35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20" w:type="dxa"/>
            <w:vAlign w:val="bottom"/>
            <w:gridSpan w:val="2"/>
          </w:tcPr>
          <w:p>
            <w:pPr>
              <w:ind w:left="720"/>
              <w:spacing w:after="0"/>
              <w:rPr>
                <w:sz w:val="20"/>
                <w:szCs w:val="20"/>
                <w:color w:val="auto"/>
              </w:rPr>
            </w:pPr>
            <w:r>
              <w:rPr>
                <w:rFonts w:ascii="Arial" w:cs="Arial" w:eastAsia="Arial" w:hAnsi="Arial"/>
                <w:sz w:val="18"/>
                <w:szCs w:val="18"/>
                <w:color w:val="auto"/>
              </w:rPr>
              <w:t>SIGNATURE GUARANTEE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BE COMPLETED BY TRANSFEROR IF (a) ABOVE IS CHECKED</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transfer is being effected pursuant to and in accordance with Rule 903 or Rule 904 under the Securities Act of 1933, as amended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0960"/>
          </w:cols>
          <w:pgMar w:left="440" w:top="274" w:right="499" w:bottom="1440" w:gutter="0" w:footer="0" w:header="0"/>
        </w:sectPr>
      </w:pPr>
    </w:p>
    <w:bookmarkStart w:id="333" w:name="page334"/>
    <w:bookmarkEnd w:id="33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under Regulation S, the transfer is not being made to a U.S. Person or for the account or benefit of a U.S. Person (other than an initial purchaser). Upon consummation of the proposed transfer in accordance with the terms of the Indenture, the transferred beneficial interest or certificated Note will be subject to the restrictions on transfer enumerated on the Regulation S Notes and/or the certificated Note and in the Indenture and the Securities Act.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w:t>
            </w:r>
          </w:p>
        </w:tc>
        <w:tc>
          <w:tcPr>
            <w:tcW w:w="6640" w:type="dxa"/>
            <w:vAlign w:val="bottom"/>
            <w:vMerge w:val="restart"/>
          </w:tcPr>
          <w:p>
            <w:pPr>
              <w:ind w:left="3120"/>
              <w:spacing w:after="0"/>
              <w:rPr>
                <w:sz w:val="20"/>
                <w:szCs w:val="20"/>
                <w:color w:val="auto"/>
              </w:rPr>
            </w:pPr>
            <w:r>
              <w:rPr>
                <w:rFonts w:ascii="Arial" w:cs="Arial" w:eastAsia="Arial" w:hAnsi="Arial"/>
                <w:sz w:val="18"/>
                <w:szCs w:val="18"/>
                <w:color w:val="auto"/>
                <w:w w:val="90"/>
              </w:rPr>
              <w:t>NOTICE: To be executed by an executive officer</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6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-170815</wp:posOffset>
            </wp:positionV>
            <wp:extent cx="27946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-67945</wp:posOffset>
            </wp:positionV>
            <wp:extent cx="174244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- 3</w:t>
      </w:r>
    </w:p>
    <w:p>
      <w:pPr>
        <w:sectPr>
          <w:pgSz w:w="11900" w:h="16838" w:orient="portrait"/>
          <w:cols w:equalWidth="0" w:num="1">
            <w:col w:w="10980"/>
          </w:cols>
          <w:pgMar w:left="440" w:top="274" w:right="47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GLOBAL NOTE]</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Any Global Note authenticated and delivered hereunder shall bear a legend (which would be in addition to any other legends required in the case of a Transfer Restricted Note) in substantially the following form:</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NOTE IS A GLOBAL NOTE WITHIN THE MEANING OF THE INDENTURE HEREINAFTER REFERRED TO AND IS REGISTERED IN THE NAME OF THE NOMINEE OF THE COMMON SAFEKEEPER (AS SUCH TERM IS DEFINED IN THE INDENTURE) FOR CLEARSTREAM BANKING, SOCIÉTÉ ANONYME (“CLEARSTREAM”) AND EUROCLEAR BANK SA/NV (“EUROCLEAR” AND, TOGETHER WITH CLEARSTREAM, THE “ICSDS”). THIS NOTE IS NOT EXCHANGEABLE FOR NOTES REGISTERED IN THE NAME OF A PERSON OTHER THAN THE NOMINEES OF THE COMMON SAFEKEEPER OR A SUCCESSOR THEREOF OR SUCH SUCCESSOR’S NOMINEE, EXCEPT IN THE LIMITED CIRCUMSTANCES DESCRIBED IN THE INDENTURE, AND NO TRANSFER OF THIS NOTE (OTHER THAN A TRANSFER OF THIS NOTE AS A WHOLE BY THE COMMON SAFEKEEPER OR THE NOMINEE THEREOF TO THE NOMINEES OF THE COMMON SAFEKEEPER OR A SUCCESSOR THEREOF OR SUCH SUCCESSOR’S NOMINEE) MAY BE REGISTERED EXCEPT IN THE LIMITED CIRCUMSTANCES DESCRIBED IN THE INDENTURE. UNLESS THIS CERTIFICATE IS PRESENTED BY AN AUTHORIZED REPRESENTATIVE OF THE COMMON SAFEKEEPER TO THE ISSUER OR ITS AGENT FOR REGISTRATION OF TRANSFER, EXCHANGE, OR PAYMENT, AND ANY CERTIFICATE ISSUED IS REGISTERED IN THE NAME OF THE COMMON SAFEKEEPER OR IN SUCH OTHER NAME AS IS REQUESTED BY AN AUTHORIZED REPRESENTATIVE OF THE COMMON SAFEKEEPER (AND ANY PAYMENT IS MADE TO THE COMMON SAFEKEEPER OR SUCH OTHER ENTITY AS IS REQUESTED BY AN AUTHORIZED REPRESENTATIVE OF THE COMMON SAFEKEEPER), ANY TRANSFER, PLEDGE OR OTHER USE HEREOF FOR VALUE OR OTHERWISE BY OR TO ANY PERSON IS WRONGFUL INASMUCH AS THE REGISTERED OWNER HEREOF OR THE COMMON SAFEKEEPER, HAS AN INTEREST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ectPr>
          <w:pgSz w:w="11900" w:h="16838" w:orient="portrait"/>
          <w:cols w:equalWidth="0" w:num="1">
            <w:col w:w="11020"/>
          </w:cols>
          <w:pgMar w:left="440" w:top="274" w:right="4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 - Corporate Finance Unit</w:t>
      </w:r>
    </w:p>
    <w:p>
      <w:pPr>
        <w:sectPr>
          <w:pgSz w:w="11900" w:h="16838" w:orient="portrait"/>
          <w:cols w:equalWidth="0" w:num="1">
            <w:col w:w="11020"/>
          </w:cols>
          <w:pgMar w:left="440" w:top="274" w:right="439" w:bottom="1440" w:gutter="0" w:footer="0" w:header="0"/>
        </w:sectPr>
      </w:pP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as issuer (the “</w:t>
      </w:r>
      <w:r>
        <w:rPr>
          <w:rFonts w:ascii="Arial" w:cs="Arial" w:eastAsia="Arial" w:hAnsi="Arial"/>
          <w:sz w:val="18"/>
          <w:szCs w:val="18"/>
          <w:i w:val="1"/>
          <w:iCs w:val="1"/>
          <w:color w:val="auto"/>
        </w:rPr>
        <w:t>Issuer</w:t>
      </w:r>
      <w:r>
        <w:rPr>
          <w:rFonts w:ascii="Arial" w:cs="Arial" w:eastAsia="Arial" w:hAnsi="Arial"/>
          <w:sz w:val="18"/>
          <w:szCs w:val="18"/>
          <w:color w:val="auto"/>
        </w:rPr>
        <w:t>”), 0.816% Senior Notes due 2022 / 1.023% Senior Notes due 2024 / 1.362% Senior Notes due 2027 / 1.908% Senior Notes due 2032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sectPr>
          <w:pgSz w:w="11900" w:h="16838" w:orient="portrait"/>
          <w:cols w:equalWidth="0" w:num="2">
            <w:col w:w="680" w:space="280"/>
            <w:col w:w="1006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In connection with our proposed sale of €[ ] aggregate principal amount of the Notes, we confirm that such sale has been effected pursuant to and in accordance with Regulation S under the U.S.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accordingly, we represent that:</w:t>
      </w:r>
    </w:p>
    <w:p>
      <w:pPr>
        <w:spacing w:after="0" w:line="16" w:lineRule="exact"/>
        <w:rPr>
          <w:sz w:val="20"/>
          <w:szCs w:val="20"/>
          <w:color w:val="auto"/>
        </w:rPr>
      </w:pPr>
    </w:p>
    <w:p>
      <w:pPr>
        <w:ind w:left="700" w:hanging="264"/>
        <w:spacing w:after="0"/>
        <w:tabs>
          <w:tab w:leader="none" w:pos="7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offer of the Notes was not made to a U.S. person or to a person in the United States;</w:t>
      </w:r>
    </w:p>
    <w:p>
      <w:pPr>
        <w:spacing w:after="0" w:line="117"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either (a) at the time the buy offer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no directed selling efforts have been made in the United States in contravention of the requirements of Rule 904(a) of Regulation S;</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we have advised the transferee of the transfer restrictions applicable to the Notes.</w:t>
      </w:r>
    </w:p>
    <w:p>
      <w:pPr>
        <w:spacing w:after="0" w:line="22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 - 1</w:t>
      </w:r>
    </w:p>
    <w:p>
      <w:pPr>
        <w:sectPr>
          <w:pgSz w:w="11900" w:h="16838" w:orient="portrait"/>
          <w:cols w:equalWidth="0" w:num="1">
            <w:col w:w="11020"/>
          </w:cols>
          <w:pgMar w:left="440" w:top="274" w:right="439" w:bottom="1440" w:gutter="0" w:footer="0" w:header="0"/>
          <w:type w:val="continuous"/>
        </w:sectPr>
      </w:pPr>
    </w:p>
    <w:bookmarkStart w:id="336" w:name="page337"/>
    <w:bookmarkEnd w:id="33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of the undersigned (collectively, the “</w:t>
      </w:r>
      <w:r>
        <w:rPr>
          <w:rFonts w:ascii="Arial" w:cs="Arial" w:eastAsia="Arial" w:hAnsi="Arial"/>
          <w:sz w:val="18"/>
          <w:szCs w:val="18"/>
          <w:i w:val="1"/>
          <w:iCs w:val="1"/>
          <w:color w:val="auto"/>
        </w:rPr>
        <w:t>Guarantors</w:t>
      </w:r>
      <w:r>
        <w:rPr>
          <w:rFonts w:ascii="Arial" w:cs="Arial" w:eastAsia="Arial" w:hAnsi="Arial"/>
          <w:sz w:val="18"/>
          <w:szCs w:val="18"/>
          <w:color w:val="auto"/>
        </w:rPr>
        <w:t>”) have guaranteed, jointly and severally, fully and unconditionally (such guarantee by each Guarantor being referred to herein as the “</w:t>
      </w:r>
      <w:r>
        <w:rPr>
          <w:rFonts w:ascii="Arial" w:cs="Arial" w:eastAsia="Arial" w:hAnsi="Arial"/>
          <w:sz w:val="18"/>
          <w:szCs w:val="18"/>
          <w:i w:val="1"/>
          <w:iCs w:val="1"/>
          <w:color w:val="auto"/>
        </w:rPr>
        <w:t>Guarantee</w:t>
      </w:r>
      <w:r>
        <w:rPr>
          <w:rFonts w:ascii="Arial" w:cs="Arial" w:eastAsia="Arial" w:hAnsi="Arial"/>
          <w:sz w:val="18"/>
          <w:szCs w:val="18"/>
          <w:color w:val="auto"/>
        </w:rPr>
        <w:t>”) (i) the due and punctual payment of the principal of and interest on the Notes, whether at maturity, by acceleration or otherwise, the due and punctual payment of interest on the overdue principal and interest, if any, on the Notes, to the extent lawful, and the due and punctual performance of all other obligations of the Issuer to the Holders or the Trustee all in accordance with the terms set forth in Article X of the Indenture and (ii)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95"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No past, present or future director, member, partner, officer, employee or equityholder of the Guarantors will have any liability for any of the Guarantor’s obligations under the Guarantee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Guarantees.</w:t>
      </w:r>
    </w:p>
    <w:p>
      <w:pPr>
        <w:spacing w:after="0" w:line="17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Each holder of a Note by accepting a Note agrees that any Guarantor named below shall have no further liability with respect to its Guarantee if such Guarantor otherwise ceases to be liable in respect of its Guarantee in accordance with the terms of the Indenture.</w:t>
      </w:r>
    </w:p>
    <w:p>
      <w:pPr>
        <w:spacing w:after="0" w:line="170"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The Guarantee shall not be valid or obligatory for any purpose until the certificate of authentication on the Notes upon which the Guarantee is noted shall have been executed by the Trustee under the Indenture by the manual signature of one of its authorized officers.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- 1</w:t>
      </w:r>
    </w:p>
    <w:p>
      <w:pPr>
        <w:sectPr>
          <w:pgSz w:w="11900" w:h="16838" w:orient="portrait"/>
          <w:cols w:equalWidth="0" w:num="1">
            <w:col w:w="11020"/>
          </w:cols>
          <w:pgMar w:left="440" w:top="274" w:right="4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MYLAN GUARANTORS SUPPLEMENTAL INDENTURE]</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MYLAN GUARANTORS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 among [MYLAN GUARANTOR]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Upjohn Inc., a Delaware corporation, 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(the “</w:t>
      </w:r>
      <w:r>
        <w:rPr>
          <w:rFonts w:ascii="Arial" w:cs="Arial" w:eastAsia="Arial" w:hAnsi="Arial"/>
          <w:sz w:val="18"/>
          <w:szCs w:val="18"/>
          <w:i w:val="1"/>
          <w:iCs w:val="1"/>
          <w:color w:val="auto"/>
        </w:rPr>
        <w:t>Issuer</w:t>
      </w:r>
      <w:r>
        <w:rPr>
          <w:rFonts w:ascii="Arial" w:cs="Arial" w:eastAsia="Arial" w:hAnsi="Arial"/>
          <w:sz w:val="18"/>
          <w:szCs w:val="18"/>
          <w:color w:val="auto"/>
        </w:rPr>
        <w:t>”) and Citibank, N.A., London Branch,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WHEREAS, the Issuer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June 23, 2020 providing for the issuance of 0.816% Senior Notes due 2022, 1.023% Senior Notes due 2024, 1.362% Senior Notes due 2027 and 1.908% Senior Notes due 2032 (collectively,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each of the Mylan Guarantors shall execute and deliver to the Trustee one or more supplemental indentures pursuant to which the Mylan Guarantors shall unconditionally guarantee the Issuer’s Indenture Obligations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8.01 of the Indenture, the parties hereto are authorized to execute and deliver this Supplemental Indenture.</w:t>
      </w:r>
    </w:p>
    <w:p>
      <w:pPr>
        <w:spacing w:after="0" w:line="237"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6" w:lineRule="exact"/>
        <w:rPr>
          <w:sz w:val="20"/>
          <w:szCs w:val="20"/>
          <w:color w:val="auto"/>
        </w:rPr>
      </w:pPr>
    </w:p>
    <w:p>
      <w:pPr>
        <w:ind w:left="620" w:hanging="184"/>
        <w:spacing w:after="0"/>
        <w:tabs>
          <w:tab w:leader="none" w:pos="6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128" w:lineRule="exact"/>
        <w:rPr>
          <w:rFonts w:ascii="Arial" w:cs="Arial" w:eastAsia="Arial" w:hAnsi="Arial"/>
          <w:sz w:val="17"/>
          <w:szCs w:val="17"/>
          <w:color w:val="auto"/>
        </w:rPr>
      </w:pPr>
    </w:p>
    <w:p>
      <w:pPr>
        <w:ind w:right="40" w:firstLine="436"/>
        <w:spacing w:after="0" w:line="277" w:lineRule="auto"/>
        <w:tabs>
          <w:tab w:leader="none" w:pos="61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X thereof.</w:t>
      </w:r>
    </w:p>
    <w:p>
      <w:pPr>
        <w:spacing w:after="0" w:line="62" w:lineRule="exact"/>
        <w:rPr>
          <w:rFonts w:ascii="Arial" w:cs="Arial" w:eastAsia="Arial" w:hAnsi="Arial"/>
          <w:sz w:val="18"/>
          <w:szCs w:val="18"/>
          <w:color w:val="auto"/>
        </w:rPr>
      </w:pPr>
    </w:p>
    <w:p>
      <w:pPr>
        <w:ind w:right="160" w:firstLine="436"/>
        <w:spacing w:after="0" w:line="275" w:lineRule="auto"/>
        <w:tabs>
          <w:tab w:leader="none" w:pos="6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NO RECOURSE AGAINST OTHERS. No past, present or future director, member, partner, officer, employee or equityholder of the Issuer or any of the Guarantors will have any liability for any of the Issuer’s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68" w:lineRule="exact"/>
        <w:rPr>
          <w:rFonts w:ascii="Arial" w:cs="Arial" w:eastAsia="Arial" w:hAnsi="Arial"/>
          <w:sz w:val="17"/>
          <w:szCs w:val="17"/>
          <w:color w:val="auto"/>
        </w:rPr>
      </w:pPr>
    </w:p>
    <w:p>
      <w:pPr>
        <w:ind w:right="20" w:firstLine="436"/>
        <w:spacing w:after="0" w:line="279" w:lineRule="auto"/>
        <w:tabs>
          <w:tab w:leader="none" w:pos="6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020"/>
          </w:cols>
          <w:pgMar w:left="440" w:top="274" w:right="439" w:bottom="1440" w:gutter="0" w:footer="0" w:header="0"/>
        </w:sectPr>
      </w:pPr>
    </w:p>
    <w:bookmarkStart w:id="338" w:name="page339"/>
    <w:bookmarkEnd w:id="338"/>
    <w:p>
      <w:pPr>
        <w:ind w:left="4" w:firstLine="436"/>
        <w:spacing w:after="0" w:line="277" w:lineRule="auto"/>
        <w:tabs>
          <w:tab w:leader="none" w:pos="6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COUNTERPARTS.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624" w:hanging="184"/>
        <w:spacing w:after="0"/>
        <w:tabs>
          <w:tab w:leader="none" w:pos="6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4" w:right="40" w:firstLine="436"/>
        <w:spacing w:after="0" w:line="263" w:lineRule="auto"/>
        <w:tabs>
          <w:tab w:leader="none" w:pos="6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75" w:lineRule="exact"/>
        <w:rPr>
          <w:rFonts w:ascii="Arial" w:cs="Arial" w:eastAsia="Arial" w:hAnsi="Arial"/>
          <w:sz w:val="18"/>
          <w:szCs w:val="18"/>
          <w:color w:val="auto"/>
        </w:rPr>
      </w:pPr>
    </w:p>
    <w:p>
      <w:pPr>
        <w:ind w:left="4" w:right="60" w:firstLine="436"/>
        <w:spacing w:after="0" w:line="255" w:lineRule="auto"/>
        <w:tabs>
          <w:tab w:leader="none" w:pos="6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[APPOINTMENT OF AGENT FOR SERVICE. [ ]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 ] waives, to the fullest extent permitted by law, any other requirements of or objections to personal jurisdiction with respect thereto. [ ] represents and warrants that such agent has agreed to act as its agent for service of process, and [ ] agrees to take any and all action, including the filing of any and all documents and instruments, that may be necessary to continue such appointment in full force and effect.]</w:t>
      </w:r>
      <w:r>
        <w:rPr>
          <w:rFonts w:ascii="Arial" w:cs="Arial" w:eastAsia="Arial" w:hAnsi="Arial"/>
          <w:sz w:val="15"/>
          <w:szCs w:val="15"/>
          <w:color w:val="auto"/>
        </w:rPr>
        <w:t>1</w:t>
      </w:r>
    </w:p>
    <w:p>
      <w:pPr>
        <w:spacing w:after="0" w:line="192"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[EXISTING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140" w:hanging="424"/>
        <w:spacing w:after="0" w:line="342" w:lineRule="auto"/>
        <w:tabs>
          <w:tab w:leader="none" w:pos="424" w:val="left"/>
        </w:tabs>
        <w:numPr>
          <w:ilvl w:val="0"/>
          <w:numId w:val="283"/>
        </w:numPr>
        <w:rPr>
          <w:rFonts w:ascii="Arial" w:cs="Arial" w:eastAsia="Arial" w:hAnsi="Arial"/>
          <w:sz w:val="13"/>
          <w:szCs w:val="13"/>
          <w:color w:val="auto"/>
        </w:rPr>
      </w:pPr>
      <w:r>
        <w:rPr>
          <w:rFonts w:ascii="Arial" w:cs="Arial" w:eastAsia="Arial" w:hAnsi="Arial"/>
          <w:sz w:val="16"/>
          <w:szCs w:val="16"/>
          <w:color w:val="auto"/>
        </w:rPr>
        <w:t>If applicable, to be included with respect to any Guaranteeing Subsidiary that is not a corporation, partnership, limited liability company, trust or other entity organized or existing under the laws of the United States, any state thereof, the District of Columbia, or any territory thereof.</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0984"/>
          </w:cols>
          <w:pgMar w:left="436" w:top="274" w:right="479" w:bottom="1440" w:gutter="0" w:footer="0" w:header="0"/>
        </w:sectPr>
      </w:pPr>
    </w:p>
    <w:bookmarkStart w:id="339" w:name="page340"/>
    <w:bookmarkEnd w:id="3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 as Trustee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w:t>
      </w:r>
    </w:p>
    <w:p>
      <w:pPr>
        <w:sectPr>
          <w:pgSz w:w="11900" w:h="16838" w:orient="portrait"/>
          <w:cols w:equalWidth="0" w:num="1">
            <w:col w:w="9019"/>
          </w:cols>
          <w:pgMar w:left="1440" w:top="274" w:right="1440"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ADDITIONAL GUARANTORS SUPPLEMENTAL INDENTURE]</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 among [ ]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Upjohn Inc., a Delaware corporation, 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(the “</w:t>
      </w:r>
      <w:r>
        <w:rPr>
          <w:rFonts w:ascii="Arial" w:cs="Arial" w:eastAsia="Arial" w:hAnsi="Arial"/>
          <w:sz w:val="18"/>
          <w:szCs w:val="18"/>
          <w:i w:val="1"/>
          <w:iCs w:val="1"/>
          <w:color w:val="auto"/>
        </w:rPr>
        <w:t>Issuer</w:t>
      </w:r>
      <w:r>
        <w:rPr>
          <w:rFonts w:ascii="Arial" w:cs="Arial" w:eastAsia="Arial" w:hAnsi="Arial"/>
          <w:sz w:val="18"/>
          <w:szCs w:val="18"/>
          <w:color w:val="auto"/>
        </w:rPr>
        <w:t>”) and Citibank, N.A., London Branch,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WHEREAS, the Issuer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June 23, 2020 providing for the issuance of 0.816% Senior Notes due 2022, 1.023% Senior Notes due 2024, 1.362% Senior Notes due 2027 and 1.908% Senior Notes due 2032 (collectively,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the Issuer’s Indenture Obligations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8.01 of the Indenture, the parties hereto are authorized to execute and deliver this Supplemental Indenture.</w:t>
      </w:r>
    </w:p>
    <w:p>
      <w:pPr>
        <w:spacing w:after="0" w:line="237"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24" w:lineRule="exact"/>
        <w:rPr>
          <w:sz w:val="20"/>
          <w:szCs w:val="20"/>
          <w:color w:val="auto"/>
        </w:rPr>
      </w:pPr>
    </w:p>
    <w:p>
      <w:pPr>
        <w:ind w:left="620" w:hanging="184"/>
        <w:spacing w:after="0"/>
        <w:tabs>
          <w:tab w:leader="none" w:pos="6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40" w:firstLine="436"/>
        <w:spacing w:after="0" w:line="277" w:lineRule="auto"/>
        <w:tabs>
          <w:tab w:leader="none" w:pos="61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X thereof.</w:t>
      </w:r>
    </w:p>
    <w:p>
      <w:pPr>
        <w:spacing w:after="0" w:line="170" w:lineRule="exact"/>
        <w:rPr>
          <w:rFonts w:ascii="Arial" w:cs="Arial" w:eastAsia="Arial" w:hAnsi="Arial"/>
          <w:sz w:val="18"/>
          <w:szCs w:val="18"/>
          <w:color w:val="auto"/>
        </w:rPr>
      </w:pPr>
    </w:p>
    <w:p>
      <w:pPr>
        <w:ind w:right="160" w:firstLine="436"/>
        <w:spacing w:after="0" w:line="275" w:lineRule="auto"/>
        <w:tabs>
          <w:tab w:leader="none" w:pos="6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NO RECOURSE AGAINST OTHERS. No past, present or future director, member, partner, officer, employee or equityholder of the Issuer or any of the Guarantors will have any liability for any of the Issuer’s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176" w:lineRule="exact"/>
        <w:rPr>
          <w:rFonts w:ascii="Arial" w:cs="Arial" w:eastAsia="Arial" w:hAnsi="Arial"/>
          <w:sz w:val="17"/>
          <w:szCs w:val="17"/>
          <w:color w:val="auto"/>
        </w:rPr>
      </w:pPr>
    </w:p>
    <w:p>
      <w:pPr>
        <w:ind w:right="20" w:firstLine="436"/>
        <w:spacing w:after="0" w:line="279" w:lineRule="auto"/>
        <w:tabs>
          <w:tab w:leader="none" w:pos="6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 - 1</w:t>
      </w:r>
    </w:p>
    <w:p>
      <w:pPr>
        <w:sectPr>
          <w:pgSz w:w="11900" w:h="16838" w:orient="portrait"/>
          <w:cols w:equalWidth="0" w:num="1">
            <w:col w:w="11020"/>
          </w:cols>
          <w:pgMar w:left="440" w:top="274" w:right="439" w:bottom="1440" w:gutter="0" w:footer="0" w:header="0"/>
        </w:sectPr>
      </w:pPr>
    </w:p>
    <w:bookmarkStart w:id="341" w:name="page342"/>
    <w:bookmarkEnd w:id="341"/>
    <w:p>
      <w:pPr>
        <w:ind w:left="4" w:firstLine="436"/>
        <w:spacing w:after="0" w:line="277" w:lineRule="auto"/>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4" w:right="40" w:firstLine="436"/>
        <w:spacing w:after="0" w:line="263" w:lineRule="auto"/>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183" w:lineRule="exact"/>
        <w:rPr>
          <w:rFonts w:ascii="Arial" w:cs="Arial" w:eastAsia="Arial" w:hAnsi="Arial"/>
          <w:sz w:val="18"/>
          <w:szCs w:val="18"/>
          <w:color w:val="auto"/>
        </w:rPr>
      </w:pPr>
    </w:p>
    <w:p>
      <w:pPr>
        <w:ind w:left="4" w:right="60" w:firstLine="436"/>
        <w:spacing w:after="0" w:line="255" w:lineRule="auto"/>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[APPOINTMENT OF AGENT FOR SERVICE. [ ]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 ] waives, to the fullest extent permitted by law, any other requirements of or objections to personal jurisdiction with respect thereto. [ ] represents and warrants that such agent has agreed to act as its agent for service of process, and [ ] agrees to take any and all action, including the filing of any and all documents and instruments, that may be necessary to continue such appointment in full force and effect.]</w:t>
      </w:r>
      <w:r>
        <w:rPr>
          <w:rFonts w:ascii="Arial" w:cs="Arial" w:eastAsia="Arial" w:hAnsi="Arial"/>
          <w:sz w:val="15"/>
          <w:szCs w:val="15"/>
          <w:color w:val="auto"/>
        </w:rPr>
        <w:t>2</w:t>
      </w:r>
    </w:p>
    <w:p>
      <w:pPr>
        <w:spacing w:after="0" w:line="192"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[EXISTING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0" w:lineRule="exact"/>
        <w:rPr>
          <w:sz w:val="20"/>
          <w:szCs w:val="20"/>
          <w:color w:val="auto"/>
        </w:rPr>
      </w:pPr>
    </w:p>
    <w:p>
      <w:pPr>
        <w:ind w:left="424" w:right="140" w:hanging="424"/>
        <w:spacing w:after="0" w:line="342" w:lineRule="auto"/>
        <w:tabs>
          <w:tab w:leader="none" w:pos="424" w:val="left"/>
        </w:tabs>
        <w:numPr>
          <w:ilvl w:val="0"/>
          <w:numId w:val="286"/>
        </w:numPr>
        <w:rPr>
          <w:rFonts w:ascii="Arial" w:cs="Arial" w:eastAsia="Arial" w:hAnsi="Arial"/>
          <w:sz w:val="13"/>
          <w:szCs w:val="13"/>
          <w:color w:val="auto"/>
        </w:rPr>
      </w:pPr>
      <w:r>
        <w:rPr>
          <w:rFonts w:ascii="Arial" w:cs="Arial" w:eastAsia="Arial" w:hAnsi="Arial"/>
          <w:sz w:val="16"/>
          <w:szCs w:val="16"/>
          <w:color w:val="auto"/>
        </w:rPr>
        <w:t>If applicable, to be included with respect to any Guaranteeing Subsidiary that is not a corporation, partnership, limited liability company, trust or other entity organized or existing under the laws of the United States, any state thereof, the District of Columbia, or any territory thereof.</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G - 2</w:t>
      </w:r>
    </w:p>
    <w:p>
      <w:pPr>
        <w:sectPr>
          <w:pgSz w:w="11900" w:h="16838" w:orient="portrait"/>
          <w:cols w:equalWidth="0" w:num="1">
            <w:col w:w="10984"/>
          </w:cols>
          <w:pgMar w:left="436" w:top="274" w:right="479" w:bottom="1440" w:gutter="0" w:footer="0" w:header="0"/>
        </w:sectPr>
      </w:pPr>
    </w:p>
    <w:bookmarkStart w:id="342" w:name="page343"/>
    <w:bookmarkEnd w:id="3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 - 3</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B49DAF"/>
    <w:multiLevelType w:val="hybridMultilevel"/>
    <w:lvl w:ilvl="0">
      <w:lvlJc w:val="left"/>
      <w:lvlText w:val="☒"/>
      <w:numFmt w:val="bullet"/>
      <w:start w:val="1"/>
    </w:lvl>
  </w:abstractNum>
  <w:abstractNum w:abstractNumId="1">
    <w:nsid w:val="759F82CD"/>
    <w:multiLevelType w:val="hybridMultilevel"/>
    <w:lvl w:ilvl="0">
      <w:lvlJc w:val="left"/>
      <w:lvlText w:val="☐"/>
      <w:numFmt w:val="bullet"/>
      <w:start w:val="1"/>
    </w:lvl>
  </w:abstractNum>
  <w:abstractNum w:abstractNumId="2">
    <w:nsid w:val="61E74EA3"/>
    <w:multiLevelType w:val="hybridMultilevel"/>
    <w:lvl w:ilvl="0">
      <w:lvlJc w:val="left"/>
      <w:lvlText w:val="(%1)"/>
      <w:numFmt w:val="decimal"/>
      <w:start w:val="2"/>
    </w:lvl>
  </w:abstractNum>
  <w:abstractNum w:abstractNumId="3">
    <w:nsid w:val="597B4D84"/>
    <w:multiLevelType w:val="hybridMultilevel"/>
    <w:lvl w:ilvl="0">
      <w:lvlJc w:val="left"/>
      <w:lvlText w:val="(%1)"/>
      <w:numFmt w:val="decimal"/>
      <w:start w:val="1"/>
    </w:lvl>
  </w:abstractNum>
  <w:abstractNum w:abstractNumId="4">
    <w:nsid w:val="F819E7F"/>
    <w:multiLevelType w:val="hybridMultilevel"/>
    <w:lvl w:ilvl="0">
      <w:lvlJc w:val="left"/>
      <w:lvlText w:val="(%1)"/>
      <w:numFmt w:val="decimal"/>
      <w:start w:val="2"/>
    </w:lvl>
  </w:abstractNum>
  <w:abstractNum w:abstractNumId="5">
    <w:nsid w:val="57C7D42D"/>
    <w:multiLevelType w:val="hybridMultilevel"/>
    <w:lvl w:ilvl="0">
      <w:lvlJc w:val="left"/>
      <w:lvlText w:val="(%1)"/>
      <w:numFmt w:val="decimal"/>
      <w:start w:val="3"/>
    </w:lvl>
  </w:abstractNum>
  <w:abstractNum w:abstractNumId="6">
    <w:nsid w:val="312167AD"/>
    <w:multiLevelType w:val="hybridMultilevel"/>
    <w:lvl w:ilvl="0">
      <w:lvlJc w:val="left"/>
      <w:lvlText w:val="(%1)"/>
      <w:numFmt w:val="lowerLetter"/>
      <w:start w:val="4"/>
    </w:lvl>
  </w:abstractNum>
  <w:abstractNum w:abstractNumId="7">
    <w:nsid w:val="631B64D4"/>
    <w:multiLevelType w:val="hybridMultilevel"/>
    <w:lvl w:ilvl="0">
      <w:lvlJc w:val="left"/>
      <w:lvlText w:val="(%1)"/>
      <w:numFmt w:val="decimal"/>
      <w:start w:val="2"/>
    </w:lvl>
  </w:abstractNum>
  <w:abstractNum w:abstractNumId="8">
    <w:nsid w:val="78B5E776"/>
    <w:multiLevelType w:val="hybridMultilevel"/>
    <w:lvl w:ilvl="0">
      <w:lvlJc w:val="left"/>
      <w:lvlText w:val="(%1)"/>
      <w:numFmt w:val="decimal"/>
      <w:start w:val="1"/>
    </w:lvl>
    <w:lvl w:ilvl="1">
      <w:lvlJc w:val="left"/>
      <w:lvlText w:val="(%2)"/>
      <w:numFmt w:val="lowerLetter"/>
      <w:start w:val="1"/>
    </w:lvl>
  </w:abstractNum>
  <w:abstractNum w:abstractNumId="9">
    <w:nsid w:val="75486E47"/>
    <w:multiLevelType w:val="hybridMultilevel"/>
    <w:lvl w:ilvl="0">
      <w:lvlJc w:val="left"/>
      <w:lvlText w:val="(%1)"/>
      <w:numFmt w:val="decimal"/>
      <w:start w:val="1"/>
    </w:lvl>
  </w:abstractNum>
  <w:abstractNum w:abstractNumId="10">
    <w:nsid w:val="6E534CDE"/>
    <w:multiLevelType w:val="hybridMultilevel"/>
    <w:lvl w:ilvl="0">
      <w:lvlJc w:val="left"/>
      <w:lvlText w:val="(%1)"/>
      <w:numFmt w:val="lowerLetter"/>
      <w:start w:val="1"/>
    </w:lvl>
  </w:abstractNum>
  <w:abstractNum w:abstractNumId="11">
    <w:nsid w:val="1A0DDE32"/>
    <w:multiLevelType w:val="hybridMultilevel"/>
    <w:lvl w:ilvl="0">
      <w:lvlJc w:val="left"/>
      <w:lvlText w:val="(%1)"/>
      <w:numFmt w:val="decimal"/>
      <w:start w:val="1"/>
    </w:lvl>
  </w:abstractNum>
  <w:abstractNum w:abstractNumId="12">
    <w:nsid w:val="65968C1C"/>
    <w:multiLevelType w:val="hybridMultilevel"/>
    <w:lvl w:ilvl="0">
      <w:lvlJc w:val="left"/>
      <w:lvlText w:val="(%1)"/>
      <w:numFmt w:val="decimal"/>
      <w:start w:val="1"/>
    </w:lvl>
  </w:abstractNum>
  <w:abstractNum w:abstractNumId="13">
    <w:nsid w:val="46263DEC"/>
    <w:multiLevelType w:val="hybridMultilevel"/>
    <w:lvl w:ilvl="0">
      <w:lvlJc w:val="left"/>
      <w:lvlText w:val="(%1)"/>
      <w:numFmt w:val="decimal"/>
      <w:start w:val="1"/>
    </w:lvl>
  </w:abstractNum>
  <w:abstractNum w:abstractNumId="14">
    <w:nsid w:val="260D8C4A"/>
    <w:multiLevelType w:val="hybridMultilevel"/>
    <w:lvl w:ilvl="0">
      <w:lvlJc w:val="left"/>
      <w:lvlText w:val="(%1)"/>
      <w:numFmt w:val="decimal"/>
      <w:start w:val="8"/>
    </w:lvl>
  </w:abstractNum>
  <w:abstractNum w:abstractNumId="15">
    <w:nsid w:val="73D4D3C4"/>
    <w:multiLevelType w:val="hybridMultilevel"/>
    <w:lvl w:ilvl="0">
      <w:lvlJc w:val="left"/>
      <w:lvlText w:val="(%1)"/>
      <w:numFmt w:val="decimal"/>
      <w:start w:val="1"/>
    </w:lvl>
  </w:abstractNum>
  <w:abstractNum w:abstractNumId="16">
    <w:nsid w:val="746F2E30"/>
    <w:multiLevelType w:val="hybridMultilevel"/>
    <w:lvl w:ilvl="0">
      <w:lvlJc w:val="left"/>
      <w:lvlText w:val="(%1)"/>
      <w:numFmt w:val="decimal"/>
      <w:start w:val="9"/>
    </w:lvl>
  </w:abstractNum>
  <w:abstractNum w:abstractNumId="17">
    <w:nsid w:val="6FDE8AF6"/>
    <w:multiLevelType w:val="hybridMultilevel"/>
    <w:lvl w:ilvl="0">
      <w:lvlJc w:val="left"/>
      <w:lvlText w:val="(%1)"/>
      <w:numFmt w:val="decimal"/>
      <w:start w:val="22"/>
    </w:lvl>
    <w:lvl w:ilvl="1">
      <w:lvlJc w:val="left"/>
      <w:lvlText w:val="(%2)"/>
      <w:numFmt w:val="decimal"/>
      <w:start w:val="13"/>
    </w:lvl>
    <w:lvl w:ilvl="2">
      <w:lvlJc w:val="left"/>
      <w:lvlText w:val="(%3)"/>
      <w:numFmt w:val="upperLetter"/>
      <w:start w:val="1"/>
    </w:lvl>
  </w:abstractNum>
  <w:abstractNum w:abstractNumId="18">
    <w:nsid w:val="3FC32E20"/>
    <w:multiLevelType w:val="hybridMultilevel"/>
    <w:lvl w:ilvl="0">
      <w:lvlJc w:val="left"/>
      <w:lvlText w:val="(%1)"/>
      <w:numFmt w:val="decimal"/>
      <w:start w:val="33"/>
    </w:lvl>
  </w:abstractNum>
  <w:abstractNum w:abstractNumId="19">
    <w:nsid w:val="49C0E823"/>
    <w:multiLevelType w:val="hybridMultilevel"/>
    <w:lvl w:ilvl="0">
      <w:lvlJc w:val="left"/>
      <w:lvlText w:val="(%1)"/>
      <w:numFmt w:val="decimal"/>
      <w:start w:val="1"/>
    </w:lvl>
  </w:abstractNum>
  <w:abstractNum w:abstractNumId="20">
    <w:nsid w:val="14D53685"/>
    <w:multiLevelType w:val="hybridMultilevel"/>
    <w:lvl w:ilvl="0">
      <w:lvlJc w:val="left"/>
      <w:lvlText w:val="(%1)"/>
      <w:numFmt w:val="decimal"/>
      <w:start w:val="1"/>
    </w:lvl>
  </w:abstractNum>
  <w:abstractNum w:abstractNumId="21">
    <w:nsid w:val="230F856C"/>
    <w:multiLevelType w:val="hybridMultilevel"/>
    <w:lvl w:ilvl="0">
      <w:lvlJc w:val="left"/>
      <w:lvlText w:val="(%1)"/>
      <w:numFmt w:val="decimal"/>
      <w:start w:val="3"/>
    </w:lvl>
  </w:abstractNum>
  <w:abstractNum w:abstractNumId="22">
    <w:nsid w:val="6EAA85FB"/>
    <w:multiLevelType w:val="hybridMultilevel"/>
    <w:lvl w:ilvl="0">
      <w:lvlJc w:val="left"/>
      <w:lvlText w:val="(%1)"/>
      <w:numFmt w:val="decimal"/>
      <w:start w:val="1"/>
    </w:lvl>
    <w:lvl w:ilvl="1">
      <w:lvlJc w:val="left"/>
      <w:lvlText w:val="(%2)"/>
      <w:numFmt w:val="upperLetter"/>
      <w:start w:val="1"/>
    </w:lvl>
  </w:abstractNum>
  <w:abstractNum w:abstractNumId="23">
    <w:nsid w:val="3F06ECB2"/>
    <w:multiLevelType w:val="hybridMultilevel"/>
    <w:lvl w:ilvl="0">
      <w:lvlJc w:val="left"/>
      <w:lvlText w:val="%1"/>
      <w:numFmt w:val="lowerLetter"/>
      <w:start w:val="1"/>
    </w:lvl>
    <w:lvl w:ilvl="1">
      <w:lvlJc w:val="left"/>
      <w:lvlText w:val="(%2)"/>
      <w:numFmt w:val="decimal"/>
      <w:start w:val="1"/>
    </w:lvl>
  </w:abstractNum>
  <w:abstractNum w:abstractNumId="24">
    <w:nsid w:val="3B594807"/>
    <w:multiLevelType w:val="hybridMultilevel"/>
    <w:lvl w:ilvl="0">
      <w:lvlJc w:val="left"/>
      <w:lvlText w:val="(%1)"/>
      <w:numFmt w:val="lowerLetter"/>
      <w:start w:val="2"/>
    </w:lvl>
    <w:lvl w:ilvl="1">
      <w:lvlJc w:val="left"/>
      <w:lvlText w:val="%2"/>
      <w:numFmt w:val="decimal"/>
      <w:start w:val="1"/>
    </w:lvl>
  </w:abstractNum>
  <w:abstractNum w:abstractNumId="25">
    <w:nsid w:val="6CAA2304"/>
    <w:multiLevelType w:val="hybridMultilevel"/>
    <w:lvl w:ilvl="0">
      <w:lvlJc w:val="left"/>
      <w:lvlText w:val="(%1)"/>
      <w:numFmt w:val="decimal"/>
      <w:start w:val="2"/>
    </w:lvl>
  </w:abstractNum>
  <w:abstractNum w:abstractNumId="26">
    <w:nsid w:val="3F7C2FF4"/>
    <w:multiLevelType w:val="hybridMultilevel"/>
    <w:lvl w:ilvl="0">
      <w:lvlJc w:val="left"/>
      <w:lvlText w:val="(%1)"/>
      <w:numFmt w:val="decimal"/>
      <w:start w:val="4"/>
    </w:lvl>
  </w:abstractNum>
  <w:abstractNum w:abstractNumId="27">
    <w:nsid w:val="25413BEC"/>
    <w:multiLevelType w:val="hybridMultilevel"/>
    <w:lvl w:ilvl="0">
      <w:lvlJc w:val="left"/>
      <w:lvlText w:val="(%1)"/>
      <w:numFmt w:val="lowerLetter"/>
      <w:start w:val="1"/>
    </w:lvl>
  </w:abstractNum>
  <w:abstractNum w:abstractNumId="28">
    <w:nsid w:val="17180B0B"/>
    <w:multiLevelType w:val="hybridMultilevel"/>
    <w:lvl w:ilvl="0">
      <w:lvlJc w:val="left"/>
      <w:lvlText w:val="%1"/>
      <w:numFmt w:val="lowerLetter"/>
      <w:start w:val="1"/>
    </w:lvl>
    <w:lvl w:ilvl="1">
      <w:lvlJc w:val="left"/>
      <w:lvlText w:val="(%2)"/>
      <w:numFmt w:val="lowerLetter"/>
      <w:start w:val="2"/>
    </w:lvl>
  </w:abstractNum>
  <w:abstractNum w:abstractNumId="29">
    <w:nsid w:val="579328B9"/>
    <w:multiLevelType w:val="hybridMultilevel"/>
    <w:lvl w:ilvl="0">
      <w:lvlJc w:val="left"/>
      <w:lvlText w:val="(%1)"/>
      <w:numFmt w:val="lowerLetter"/>
      <w:start w:val="3"/>
    </w:lvl>
    <w:lvl w:ilvl="1">
      <w:lvlJc w:val="left"/>
      <w:lvlText w:val="(%2)"/>
      <w:numFmt w:val="lowerLetter"/>
      <w:start w:val="6"/>
    </w:lvl>
  </w:abstractNum>
  <w:abstractNum w:abstractNumId="30">
    <w:nsid w:val="5D205E20"/>
    <w:multiLevelType w:val="hybridMultilevel"/>
    <w:lvl w:ilvl="0">
      <w:lvlJc w:val="left"/>
      <w:lvlText w:val="(%1)"/>
      <w:numFmt w:val="lowerLetter"/>
      <w:start w:val="7"/>
    </w:lvl>
  </w:abstractNum>
  <w:abstractNum w:abstractNumId="31">
    <w:nsid w:val="11CCA8BA"/>
    <w:multiLevelType w:val="hybridMultilevel"/>
    <w:lvl w:ilvl="0">
      <w:lvlJc w:val="left"/>
      <w:lvlText w:val="(%1)"/>
      <w:numFmt w:val="lowerLetter"/>
      <w:start w:val="1"/>
    </w:lvl>
    <w:lvl w:ilvl="1">
      <w:lvlJc w:val="left"/>
      <w:lvlText w:val="(%2)"/>
      <w:numFmt w:val="decimal"/>
      <w:start w:val="1"/>
    </w:lvl>
  </w:abstractNum>
  <w:abstractNum w:abstractNumId="32">
    <w:nsid w:val="4D32AB86"/>
    <w:multiLevelType w:val="hybridMultilevel"/>
    <w:lvl w:ilvl="0">
      <w:lvlJc w:val="left"/>
      <w:lvlText w:val="(%1)"/>
      <w:numFmt w:val="lowerLetter"/>
      <w:start w:val="9"/>
    </w:lvl>
    <w:lvl w:ilvl="1">
      <w:lvlJc w:val="left"/>
      <w:lvlText w:val="(%2)"/>
      <w:numFmt w:val="decimal"/>
      <w:start w:val="2"/>
    </w:lvl>
  </w:abstractNum>
  <w:abstractNum w:abstractNumId="33">
    <w:nsid w:val="3F07ACC3"/>
    <w:multiLevelType w:val="hybridMultilevel"/>
    <w:lvl w:ilvl="0">
      <w:lvlJc w:val="left"/>
      <w:lvlText w:val="%1"/>
      <w:numFmt w:val="lowerLetter"/>
      <w:start w:val="1"/>
    </w:lvl>
    <w:lvl w:ilvl="1">
      <w:lvlJc w:val="left"/>
      <w:lvlText w:val="(%2)"/>
      <w:numFmt w:val="decimal"/>
      <w:start w:val="3"/>
    </w:lvl>
  </w:abstractNum>
  <w:abstractNum w:abstractNumId="34">
    <w:nsid w:val="6B47F63E"/>
    <w:multiLevelType w:val="hybridMultilevel"/>
    <w:lvl w:ilvl="0">
      <w:lvlJc w:val="left"/>
      <w:lvlText w:val="(%1)"/>
      <w:numFmt w:val="lowerLetter"/>
      <w:start w:val="3"/>
    </w:lvl>
    <w:lvl w:ilvl="1">
      <w:lvlJc w:val="left"/>
      <w:lvlText w:val="(%2)"/>
      <w:numFmt w:val="decimal"/>
      <w:start w:val="1"/>
    </w:lvl>
  </w:abstractNum>
  <w:abstractNum w:abstractNumId="35">
    <w:nsid w:val="5CB44A05"/>
    <w:multiLevelType w:val="hybridMultilevel"/>
    <w:lvl w:ilvl="0">
      <w:lvlJc w:val="left"/>
      <w:lvlText w:val="(%1)"/>
      <w:numFmt w:val="decimal"/>
      <w:start w:val="2"/>
    </w:lvl>
  </w:abstractNum>
  <w:abstractNum w:abstractNumId="36">
    <w:nsid w:val="16CF80F1"/>
    <w:multiLevelType w:val="hybridMultilevel"/>
    <w:lvl w:ilvl="0">
      <w:lvlJc w:val="left"/>
      <w:lvlText w:val="(%1)"/>
      <w:numFmt w:val="decimal"/>
      <w:start w:val="1"/>
    </w:lvl>
  </w:abstractNum>
  <w:abstractNum w:abstractNumId="37">
    <w:nsid w:val="1C695DEC"/>
    <w:multiLevelType w:val="hybridMultilevel"/>
    <w:lvl w:ilvl="0">
      <w:lvlJc w:val="left"/>
      <w:lvlText w:val="(%1)"/>
      <w:numFmt w:val="lowerLetter"/>
      <w:start w:val="1"/>
    </w:lvl>
    <w:lvl w:ilvl="1">
      <w:lvlJc w:val="left"/>
      <w:lvlText w:val="(%2)"/>
      <w:numFmt w:val="decimal"/>
      <w:start w:val="1"/>
    </w:lvl>
  </w:abstractNum>
  <w:abstractNum w:abstractNumId="38">
    <w:nsid w:val="3FCFAED9"/>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9">
    <w:nsid w:val="F856867"/>
    <w:multiLevelType w:val="hybridMultilevel"/>
    <w:lvl w:ilvl="0">
      <w:lvlJc w:val="left"/>
      <w:lvlText w:val="(%1)"/>
      <w:numFmt w:val="lowerLetter"/>
      <w:start w:val="1"/>
    </w:lvl>
  </w:abstractNum>
  <w:abstractNum w:abstractNumId="40">
    <w:nsid w:val="11B1CC33"/>
    <w:multiLevelType w:val="hybridMultilevel"/>
    <w:lvl w:ilvl="0">
      <w:lvlJc w:val="left"/>
      <w:lvlText w:val="(%1)"/>
      <w:numFmt w:val="lowerLetter"/>
      <w:start w:val="2"/>
    </w:lvl>
  </w:abstractNum>
  <w:abstractNum w:abstractNumId="41">
    <w:nsid w:val="2E22FBB7"/>
    <w:multiLevelType w:val="hybridMultilevel"/>
    <w:lvl w:ilvl="0">
      <w:lvlJc w:val="left"/>
      <w:lvlText w:val="(%1)"/>
      <w:numFmt w:val="lowerLetter"/>
      <w:start w:val="1"/>
    </w:lvl>
  </w:abstractNum>
  <w:abstractNum w:abstractNumId="42">
    <w:nsid w:val="29934699"/>
    <w:multiLevelType w:val="hybridMultilevel"/>
    <w:lvl w:ilvl="0">
      <w:lvlJc w:val="left"/>
      <w:lvlText w:val="(%1)"/>
      <w:numFmt w:val="lowerLetter"/>
      <w:start w:val="1"/>
    </w:lvl>
  </w:abstractNum>
  <w:abstractNum w:abstractNumId="43">
    <w:nsid w:val="77485850"/>
    <w:multiLevelType w:val="hybridMultilevel"/>
    <w:lvl w:ilvl="0">
      <w:lvlJc w:val="left"/>
      <w:lvlText w:val="(%1)"/>
      <w:numFmt w:val="lowerLetter"/>
      <w:start w:val="1"/>
    </w:lvl>
    <w:lvl w:ilvl="1">
      <w:lvlJc w:val="left"/>
      <w:lvlText w:val="(%2)"/>
      <w:numFmt w:val="decimal"/>
      <w:start w:val="1"/>
    </w:lvl>
  </w:abstractNum>
  <w:abstractNum w:abstractNumId="44">
    <w:nsid w:val="744939A3"/>
    <w:multiLevelType w:val="hybridMultilevel"/>
    <w:lvl w:ilvl="0">
      <w:lvlJc w:val="left"/>
      <w:lvlText w:val="%1"/>
      <w:numFmt w:val="lowerLetter"/>
      <w:start w:val="1"/>
    </w:lvl>
    <w:lvl w:ilvl="1">
      <w:lvlJc w:val="left"/>
      <w:lvlText w:val="(%2)"/>
      <w:numFmt w:val="decimal"/>
      <w:start w:val="4"/>
    </w:lvl>
  </w:abstractNum>
  <w:abstractNum w:abstractNumId="45">
    <w:nsid w:val="4FA0D2E3"/>
    <w:multiLevelType w:val="hybridMultilevel"/>
    <w:lvl w:ilvl="0">
      <w:lvlJc w:val="left"/>
      <w:lvlText w:val="(%1)"/>
      <w:numFmt w:val="lowerLetter"/>
      <w:start w:val="3"/>
    </w:lvl>
    <w:lvl w:ilvl="1">
      <w:lvlJc w:val="left"/>
      <w:lvlText w:val="(%2)"/>
      <w:numFmt w:val="decimal"/>
      <w:start w:val="1"/>
    </w:lvl>
  </w:abstractNum>
  <w:abstractNum w:abstractNumId="46">
    <w:nsid w:val="6B1D2C14"/>
    <w:multiLevelType w:val="hybridMultilevel"/>
    <w:lvl w:ilvl="0">
      <w:lvlJc w:val="left"/>
      <w:lvlText w:val="(%1)"/>
      <w:numFmt w:val="lowerLetter"/>
      <w:start w:val="1"/>
    </w:lvl>
  </w:abstractNum>
  <w:abstractNum w:abstractNumId="47">
    <w:nsid w:val="68B867D3"/>
    <w:multiLevelType w:val="hybridMultilevel"/>
    <w:lvl w:ilvl="0">
      <w:lvlJc w:val="left"/>
      <w:lvlText w:val="(%1)"/>
      <w:numFmt w:val="lowerRoman"/>
      <w:start w:val="10"/>
    </w:lvl>
  </w:abstractNum>
  <w:abstractNum w:abstractNumId="48">
    <w:nsid w:val="3F7F5DD9"/>
    <w:multiLevelType w:val="hybridMultilevel"/>
    <w:lvl w:ilvl="0">
      <w:lvlJc w:val="left"/>
      <w:lvlText w:val="(%1)"/>
      <w:numFmt w:val="lowerLetter"/>
      <w:start w:val="1"/>
    </w:lvl>
  </w:abstractNum>
  <w:abstractNum w:abstractNumId="49">
    <w:nsid w:val="2AE05A34"/>
    <w:multiLevelType w:val="hybridMultilevel"/>
    <w:lvl w:ilvl="0">
      <w:lvlJc w:val="left"/>
      <w:lvlText w:val="(%1)"/>
      <w:numFmt w:val="lowerLetter"/>
      <w:start w:val="1"/>
    </w:lvl>
    <w:lvl w:ilvl="1">
      <w:lvlJc w:val="left"/>
      <w:lvlText w:val="(%2)"/>
      <w:numFmt w:val="decimal"/>
      <w:start w:val="1"/>
    </w:lvl>
  </w:abstractNum>
  <w:abstractNum w:abstractNumId="50">
    <w:nsid w:val="32794FF7"/>
    <w:multiLevelType w:val="hybridMultilevel"/>
    <w:lvl w:ilvl="0">
      <w:lvlJc w:val="left"/>
      <w:lvlText w:val="%1"/>
      <w:numFmt w:val="lowerLetter"/>
      <w:start w:val="1"/>
    </w:lvl>
    <w:lvl w:ilvl="1">
      <w:lvlJc w:val="left"/>
      <w:lvlText w:val="(%2)"/>
      <w:numFmt w:val="decimal"/>
      <w:start w:val="2"/>
    </w:lvl>
  </w:abstractNum>
  <w:abstractNum w:abstractNumId="51">
    <w:nsid w:val="5454945E"/>
    <w:multiLevelType w:val="hybridMultilevel"/>
    <w:lvl w:ilvl="0">
      <w:lvlJc w:val="left"/>
      <w:lvlText w:val="(%1)"/>
      <w:numFmt w:val="lowerLetter"/>
      <w:start w:val="2"/>
    </w:lvl>
    <w:lvl w:ilvl="1">
      <w:lvlJc w:val="left"/>
      <w:lvlText w:val="%2"/>
      <w:numFmt w:val="decimal"/>
      <w:start w:val="1"/>
    </w:lvl>
  </w:abstractNum>
  <w:abstractNum w:abstractNumId="52">
    <w:nsid w:val="4DEFDFA0"/>
    <w:multiLevelType w:val="hybridMultilevel"/>
    <w:lvl w:ilvl="0">
      <w:lvlJc w:val="left"/>
      <w:lvlText w:val="(%1)"/>
      <w:numFmt w:val="decimal"/>
      <w:start w:val="1"/>
    </w:lvl>
  </w:abstractNum>
  <w:abstractNum w:abstractNumId="53">
    <w:nsid w:val="2123D5F2"/>
    <w:multiLevelType w:val="hybridMultilevel"/>
    <w:lvl w:ilvl="0">
      <w:lvlJc w:val="left"/>
      <w:lvlText w:val="(%1)"/>
      <w:numFmt w:val="decimal"/>
      <w:start w:val="6"/>
    </w:lvl>
    <w:lvl w:ilvl="1">
      <w:lvlJc w:val="left"/>
      <w:lvlText w:val="(%2)"/>
      <w:numFmt w:val="upperLetter"/>
      <w:start w:val="1"/>
    </w:lvl>
  </w:abstractNum>
  <w:abstractNum w:abstractNumId="54">
    <w:nsid w:val="135B8110"/>
    <w:multiLevelType w:val="hybridMultilevel"/>
    <w:lvl w:ilvl="0">
      <w:lvlJc w:val="left"/>
      <w:lvlText w:val="(%1)"/>
      <w:numFmt w:val="decimal"/>
      <w:start w:val="9"/>
    </w:lvl>
    <w:lvl w:ilvl="1">
      <w:lvlJc w:val="left"/>
      <w:lvlText w:val="(%2)"/>
      <w:numFmt w:val="upperLetter"/>
      <w:start w:val="1"/>
    </w:lvl>
  </w:abstractNum>
  <w:abstractNum w:abstractNumId="55">
    <w:nsid w:val="94927A8"/>
    <w:multiLevelType w:val="hybridMultilevel"/>
    <w:lvl w:ilvl="0">
      <w:lvlJc w:val="left"/>
      <w:lvlText w:val="(%1)"/>
      <w:numFmt w:val="decimal"/>
      <w:start w:val="10"/>
    </w:lvl>
  </w:abstractNum>
  <w:abstractNum w:abstractNumId="56">
    <w:nsid w:val="DCDF8F6"/>
    <w:multiLevelType w:val="hybridMultilevel"/>
    <w:lvl w:ilvl="0">
      <w:lvlJc w:val="left"/>
      <w:lvlText w:val="(%1)"/>
      <w:numFmt w:val="decimal"/>
      <w:start w:val="1"/>
    </w:lvl>
  </w:abstractNum>
  <w:abstractNum w:abstractNumId="57">
    <w:nsid w:val="52D7B105"/>
    <w:multiLevelType w:val="hybridMultilevel"/>
    <w:lvl w:ilvl="0">
      <w:lvlJc w:val="left"/>
      <w:lvlText w:val="(%1)"/>
      <w:numFmt w:val="lowerLetter"/>
      <w:start w:val="1"/>
    </w:lvl>
    <w:lvl w:ilvl="1">
      <w:lvlJc w:val="left"/>
      <w:lvlText w:val="(%2)"/>
      <w:numFmt w:val="decimal"/>
      <w:start w:val="1"/>
    </w:lvl>
  </w:abstractNum>
  <w:abstractNum w:abstractNumId="58">
    <w:nsid w:val="2E8A6394"/>
    <w:multiLevelType w:val="hybridMultilevel"/>
    <w:lvl w:ilvl="0">
      <w:lvlJc w:val="left"/>
      <w:lvlText w:val="%1"/>
      <w:numFmt w:val="lowerLetter"/>
      <w:start w:val="1"/>
    </w:lvl>
    <w:lvl w:ilvl="1">
      <w:lvlJc w:val="left"/>
      <w:lvlText w:val="(%2)"/>
      <w:numFmt w:val="decimal"/>
      <w:start w:val="3"/>
    </w:lvl>
  </w:abstractNum>
  <w:abstractNum w:abstractNumId="59">
    <w:nsid w:val="24E60401"/>
    <w:multiLevelType w:val="hybridMultilevel"/>
    <w:lvl w:ilvl="0">
      <w:lvlJc w:val="left"/>
      <w:lvlText w:val="(%1)"/>
      <w:numFmt w:val="lowerLetter"/>
      <w:start w:val="4"/>
    </w:lvl>
    <w:lvl w:ilvl="1">
      <w:lvlJc w:val="left"/>
      <w:lvlText w:val="%2"/>
      <w:numFmt w:val="decimal"/>
      <w:start w:val="1"/>
    </w:lvl>
  </w:abstractNum>
  <w:abstractNum w:abstractNumId="60">
    <w:nsid w:val="2A6AD9BE"/>
    <w:multiLevelType w:val="hybridMultilevel"/>
    <w:lvl w:ilvl="0">
      <w:lvlJc w:val="left"/>
      <w:lvlText w:val="(%1)"/>
      <w:numFmt w:val="lowerLetter"/>
      <w:start w:val="1"/>
    </w:lvl>
  </w:abstractNum>
  <w:abstractNum w:abstractNumId="61">
    <w:nsid w:val="BAAC1B4"/>
    <w:multiLevelType w:val="hybridMultilevel"/>
    <w:lvl w:ilvl="0">
      <w:lvlJc w:val="left"/>
      <w:lvlText w:val="(%1)"/>
      <w:numFmt w:val="lowerLetter"/>
      <w:start w:val="6"/>
    </w:lvl>
  </w:abstractNum>
  <w:abstractNum w:abstractNumId="62">
    <w:nsid w:val="36B2ACBC"/>
    <w:multiLevelType w:val="hybridMultilevel"/>
    <w:lvl w:ilvl="0">
      <w:lvlJc w:val="left"/>
      <w:lvlText w:val="(%1)"/>
      <w:numFmt w:val="lowerLetter"/>
      <w:start w:val="1"/>
    </w:lvl>
  </w:abstractNum>
  <w:abstractNum w:abstractNumId="63">
    <w:nsid w:val="779D8544"/>
    <w:multiLevelType w:val="hybridMultilevel"/>
    <w:lvl w:ilvl="0">
      <w:lvlJc w:val="left"/>
      <w:lvlText w:val="(%1)"/>
      <w:numFmt w:val="lowerLetter"/>
      <w:start w:val="3"/>
    </w:lvl>
  </w:abstractNum>
  <w:abstractNum w:abstractNumId="64">
    <w:nsid w:val="4AB26E78"/>
    <w:multiLevelType w:val="hybridMultilevel"/>
    <w:lvl w:ilvl="0">
      <w:lvlJc w:val="left"/>
      <w:lvlText w:val="(%1)"/>
      <w:numFmt w:val="lowerLetter"/>
      <w:start w:val="1"/>
    </w:lvl>
    <w:lvl w:ilvl="1">
      <w:lvlJc w:val="left"/>
      <w:lvlText w:val="(%2)"/>
      <w:numFmt w:val="decimal"/>
      <w:start w:val="1"/>
    </w:lvl>
  </w:abstractNum>
  <w:abstractNum w:abstractNumId="65">
    <w:nsid w:val="21FAA2FA"/>
    <w:multiLevelType w:val="hybridMultilevel"/>
    <w:lvl w:ilvl="0">
      <w:lvlJc w:val="left"/>
      <w:lvlText w:val="(%1)"/>
      <w:numFmt w:val="lowerLetter"/>
      <w:start w:val="3"/>
    </w:lvl>
  </w:abstractNum>
  <w:abstractNum w:abstractNumId="66">
    <w:nsid w:val="5451CF49"/>
    <w:multiLevelType w:val="hybridMultilevel"/>
    <w:lvl w:ilvl="0">
      <w:lvlJc w:val="left"/>
      <w:lvlText w:val="(%1)"/>
      <w:numFmt w:val="decimal"/>
      <w:start w:val="1"/>
    </w:lvl>
  </w:abstractNum>
  <w:abstractNum w:abstractNumId="67">
    <w:nsid w:val="6181EF69"/>
    <w:multiLevelType w:val="hybridMultilevel"/>
    <w:lvl w:ilvl="0">
      <w:lvlJc w:val="left"/>
      <w:lvlText w:val="(%1)"/>
      <w:numFmt w:val="lowerLetter"/>
      <w:start w:val="1"/>
    </w:lvl>
    <w:lvl w:ilvl="1">
      <w:lvlJc w:val="left"/>
      <w:lvlText w:val="(%2)"/>
      <w:numFmt w:val="decimal"/>
      <w:start w:val="1"/>
    </w:lvl>
  </w:abstractNum>
  <w:abstractNum w:abstractNumId="68">
    <w:nsid w:val="3E6400E6"/>
    <w:multiLevelType w:val="hybridMultilevel"/>
    <w:lvl w:ilvl="0">
      <w:lvlJc w:val="left"/>
      <w:lvlText w:val="(%1)"/>
      <w:numFmt w:val="lowerLetter"/>
      <w:start w:val="5"/>
    </w:lvl>
  </w:abstractNum>
  <w:abstractNum w:abstractNumId="69">
    <w:nsid w:val="14217E2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0">
    <w:nsid w:val="710757D0"/>
    <w:multiLevelType w:val="hybridMultilevel"/>
    <w:lvl w:ilvl="0">
      <w:lvlJc w:val="left"/>
      <w:lvlText w:val="(%1)"/>
      <w:numFmt w:val="lowerLetter"/>
      <w:start w:val="2"/>
    </w:lvl>
    <w:lvl w:ilvl="1">
      <w:lvlJc w:val="left"/>
      <w:lvlText w:val="(%2)"/>
      <w:numFmt w:val="decimal"/>
      <w:start w:val="1"/>
    </w:lvl>
  </w:abstractNum>
  <w:abstractNum w:abstractNumId="71">
    <w:nsid w:val="5015CD1A"/>
    <w:multiLevelType w:val="hybridMultilevel"/>
    <w:lvl w:ilvl="0">
      <w:lvlJc w:val="left"/>
      <w:lvlText w:val="(%1)"/>
      <w:numFmt w:val="decimal"/>
      <w:start w:val="2"/>
    </w:lvl>
  </w:abstractNum>
  <w:abstractNum w:abstractNumId="72">
    <w:nsid w:val="424479DA"/>
    <w:multiLevelType w:val="hybridMultilevel"/>
    <w:lvl w:ilvl="0">
      <w:lvlJc w:val="left"/>
      <w:lvlText w:val="(%1)"/>
      <w:numFmt w:val="lowerLetter"/>
      <w:start w:val="3"/>
    </w:lvl>
  </w:abstractNum>
  <w:abstractNum w:abstractNumId="73">
    <w:nsid w:val="1A9A9E69"/>
    <w:multiLevelType w:val="hybridMultilevel"/>
    <w:lvl w:ilvl="0">
      <w:lvlJc w:val="left"/>
      <w:lvlText w:val="(%1)"/>
      <w:numFmt w:val="lowerLetter"/>
      <w:start w:val="1"/>
    </w:lvl>
  </w:abstractNum>
  <w:abstractNum w:abstractNumId="74">
    <w:nsid w:val="475E256A"/>
    <w:multiLevelType w:val="hybridMultilevel"/>
    <w:lvl w:ilvl="0">
      <w:lvlJc w:val="left"/>
      <w:lvlText w:val="(%1)"/>
      <w:numFmt w:val="lowerLetter"/>
      <w:start w:val="3"/>
    </w:lvl>
  </w:abstractNum>
  <w:abstractNum w:abstractNumId="75">
    <w:nsid w:val="368DB37E"/>
    <w:multiLevelType w:val="hybridMultilevel"/>
    <w:lvl w:ilvl="0">
      <w:lvlJc w:val="left"/>
      <w:lvlText w:val="(%1)"/>
      <w:numFmt w:val="lowerLetter"/>
      <w:start w:val="1"/>
    </w:lvl>
  </w:abstractNum>
  <w:abstractNum w:abstractNumId="76">
    <w:nsid w:val="6A3B714C"/>
    <w:multiLevelType w:val="hybridMultilevel"/>
    <w:lvl w:ilvl="0">
      <w:lvlJc w:val="left"/>
      <w:lvlText w:val="(%1)"/>
      <w:numFmt w:val="lowerLetter"/>
      <w:start w:val="2"/>
    </w:lvl>
  </w:abstractNum>
  <w:abstractNum w:abstractNumId="77">
    <w:nsid w:val="327B517E"/>
    <w:multiLevelType w:val="hybridMultilevel"/>
    <w:lvl w:ilvl="0">
      <w:lvlJc w:val="left"/>
      <w:lvlText w:val="(%1)"/>
      <w:numFmt w:val="lowerLetter"/>
      <w:start w:val="5"/>
    </w:lvl>
  </w:abstractNum>
  <w:abstractNum w:abstractNumId="78">
    <w:nsid w:val="1F461B51"/>
    <w:multiLevelType w:val="hybridMultilevel"/>
    <w:lvl w:ilvl="0">
      <w:lvlJc w:val="left"/>
      <w:lvlText w:val="(%1)"/>
      <w:numFmt w:val="decimal"/>
      <w:start w:val="1"/>
    </w:lvl>
  </w:abstractNum>
  <w:abstractNum w:abstractNumId="79">
    <w:nsid w:val="29BACF25"/>
    <w:multiLevelType w:val="hybridMultilevel"/>
    <w:lvl w:ilvl="0">
      <w:lvlJc w:val="left"/>
      <w:lvlText w:val="(%1)"/>
      <w:numFmt w:val="decimal"/>
      <w:start w:val="1"/>
    </w:lvl>
  </w:abstractNum>
  <w:abstractNum w:abstractNumId="80">
    <w:nsid w:val="5D5BABB3"/>
    <w:multiLevelType w:val="hybridMultilevel"/>
    <w:lvl w:ilvl="0">
      <w:lvlJc w:val="left"/>
      <w:lvlText w:val="(%1)"/>
      <w:numFmt w:val="decimal"/>
      <w:start w:val="1"/>
    </w:lvl>
  </w:abstractNum>
  <w:abstractNum w:abstractNumId="81">
    <w:nsid w:val="51BF6B48"/>
    <w:multiLevelType w:val="hybridMultilevel"/>
    <w:lvl w:ilvl="0">
      <w:lvlJc w:val="left"/>
      <w:lvlText w:val="(%1)"/>
      <w:numFmt w:val="decimal"/>
      <w:start w:val="1"/>
    </w:lvl>
    <w:lvl w:ilvl="1">
      <w:lvlJc w:val="left"/>
      <w:lvlText w:val="(%2)"/>
      <w:numFmt w:val="decimal"/>
      <w:start w:val="1"/>
    </w:lvl>
  </w:abstractNum>
  <w:abstractNum w:abstractNumId="82">
    <w:nsid w:val="7E0F6384"/>
    <w:multiLevelType w:val="hybridMultilevel"/>
    <w:lvl w:ilvl="0">
      <w:lvlJc w:val="left"/>
      <w:lvlText w:val="(%1)"/>
      <w:numFmt w:val="decimal"/>
      <w:start w:val="6"/>
    </w:lvl>
  </w:abstractNum>
  <w:abstractNum w:abstractNumId="83">
    <w:nsid w:val="2B4B8B53"/>
    <w:multiLevelType w:val="hybridMultilevel"/>
    <w:lvl w:ilvl="0">
      <w:lvlJc w:val="left"/>
      <w:lvlText w:val="(%1)"/>
      <w:numFmt w:val="decimal"/>
      <w:start w:val="15"/>
    </w:lvl>
  </w:abstractNum>
  <w:abstractNum w:abstractNumId="84">
    <w:nsid w:val="72E3413A"/>
    <w:multiLevelType w:val="hybridMultilevel"/>
    <w:lvl w:ilvl="0">
      <w:lvlJc w:val="left"/>
      <w:lvlText w:val="☐"/>
      <w:numFmt w:val="bullet"/>
      <w:start w:val="1"/>
    </w:lvl>
  </w:abstractNum>
  <w:abstractNum w:abstractNumId="85">
    <w:nsid w:val="116AE494"/>
    <w:multiLevelType w:val="hybridMultilevel"/>
    <w:lvl w:ilvl="0">
      <w:lvlJc w:val="left"/>
      <w:lvlText w:val="☐"/>
      <w:numFmt w:val="bullet"/>
      <w:start w:val="1"/>
    </w:lvl>
  </w:abstractNum>
  <w:abstractNum w:abstractNumId="86">
    <w:nsid w:val="3494B2FB"/>
    <w:multiLevelType w:val="hybridMultilevel"/>
    <w:lvl w:ilvl="0">
      <w:lvlJc w:val="left"/>
      <w:lvlText w:val="(%1)"/>
      <w:numFmt w:val="decimal"/>
      <w:start w:val="1"/>
    </w:lvl>
    <w:lvl w:ilvl="1">
      <w:lvlJc w:val="left"/>
      <w:lvlText w:val="(%2)"/>
      <w:numFmt w:val="decimal"/>
      <w:start w:val="1"/>
    </w:lvl>
  </w:abstractNum>
  <w:abstractNum w:abstractNumId="87">
    <w:nsid w:val="B13A31"/>
    <w:multiLevelType w:val="hybridMultilevel"/>
    <w:lvl w:ilvl="0">
      <w:lvlJc w:val="left"/>
      <w:lvlText w:val="(%1)"/>
      <w:numFmt w:val="decimal"/>
      <w:start w:val="6"/>
    </w:lvl>
  </w:abstractNum>
  <w:abstractNum w:abstractNumId="88">
    <w:nsid w:val="64429599"/>
    <w:multiLevelType w:val="hybridMultilevel"/>
    <w:lvl w:ilvl="0">
      <w:lvlJc w:val="left"/>
      <w:lvlText w:val="(%1)"/>
      <w:numFmt w:val="decimal"/>
      <w:start w:val="14"/>
    </w:lvl>
  </w:abstractNum>
  <w:abstractNum w:abstractNumId="89">
    <w:nsid w:val="631F1690"/>
    <w:multiLevelType w:val="hybridMultilevel"/>
    <w:lvl w:ilvl="0">
      <w:lvlJc w:val="left"/>
      <w:lvlText w:val="☐"/>
      <w:numFmt w:val="bullet"/>
      <w:start w:val="1"/>
    </w:lvl>
  </w:abstractNum>
  <w:abstractNum w:abstractNumId="90">
    <w:nsid w:val="25973E32"/>
    <w:multiLevelType w:val="hybridMultilevel"/>
    <w:lvl w:ilvl="0">
      <w:lvlJc w:val="left"/>
      <w:lvlText w:val="☐"/>
      <w:numFmt w:val="bullet"/>
      <w:start w:val="1"/>
    </w:lvl>
  </w:abstractNum>
  <w:abstractNum w:abstractNumId="91">
    <w:nsid w:val="EAD6F57"/>
    <w:multiLevelType w:val="hybridMultilevel"/>
    <w:lvl w:ilvl="0">
      <w:lvlJc w:val="left"/>
      <w:lvlText w:val="(%1)"/>
      <w:numFmt w:val="decimal"/>
      <w:start w:val="1"/>
    </w:lvl>
    <w:lvl w:ilvl="1">
      <w:lvlJc w:val="left"/>
      <w:lvlText w:val="(%2)"/>
      <w:numFmt w:val="decimal"/>
      <w:start w:val="1"/>
    </w:lvl>
  </w:abstractNum>
  <w:abstractNum w:abstractNumId="92">
    <w:nsid w:val="6EC9D844"/>
    <w:multiLevelType w:val="hybridMultilevel"/>
    <w:lvl w:ilvl="0">
      <w:lvlJc w:val="left"/>
      <w:lvlText w:val="(%1)"/>
      <w:numFmt w:val="decimal"/>
      <w:start w:val="6"/>
    </w:lvl>
  </w:abstractNum>
  <w:abstractNum w:abstractNumId="93">
    <w:nsid w:val="5C49EAEE"/>
    <w:multiLevelType w:val="hybridMultilevel"/>
    <w:lvl w:ilvl="0">
      <w:lvlJc w:val="left"/>
      <w:lvlText w:val="(%1)"/>
      <w:numFmt w:val="decimal"/>
      <w:start w:val="14"/>
    </w:lvl>
  </w:abstractNum>
  <w:abstractNum w:abstractNumId="94">
    <w:nsid w:val="64AF49B"/>
    <w:multiLevelType w:val="hybridMultilevel"/>
    <w:lvl w:ilvl="0">
      <w:lvlJc w:val="left"/>
      <w:lvlText w:val="☐"/>
      <w:numFmt w:val="bullet"/>
      <w:start w:val="1"/>
    </w:lvl>
  </w:abstractNum>
  <w:abstractNum w:abstractNumId="95">
    <w:nsid w:val="397C46BC"/>
    <w:multiLevelType w:val="hybridMultilevel"/>
    <w:lvl w:ilvl="0">
      <w:lvlJc w:val="left"/>
      <w:lvlText w:val="☐"/>
      <w:numFmt w:val="bullet"/>
      <w:start w:val="1"/>
    </w:lvl>
  </w:abstractNum>
  <w:abstractNum w:abstractNumId="96">
    <w:nsid w:val="7E448DE9"/>
    <w:multiLevelType w:val="hybridMultilevel"/>
    <w:lvl w:ilvl="0">
      <w:lvlJc w:val="left"/>
      <w:lvlText w:val="(%1)"/>
      <w:numFmt w:val="decimal"/>
      <w:start w:val="1"/>
    </w:lvl>
    <w:lvl w:ilvl="1">
      <w:lvlJc w:val="left"/>
      <w:lvlText w:val="(%2)"/>
      <w:numFmt w:val="decimal"/>
      <w:start w:val="1"/>
    </w:lvl>
  </w:abstractNum>
  <w:abstractNum w:abstractNumId="97">
    <w:nsid w:val="5A9CC3E5"/>
    <w:multiLevelType w:val="hybridMultilevel"/>
    <w:lvl w:ilvl="0">
      <w:lvlJc w:val="left"/>
      <w:lvlText w:val="(%1)"/>
      <w:numFmt w:val="decimal"/>
      <w:start w:val="6"/>
    </w:lvl>
  </w:abstractNum>
  <w:abstractNum w:abstractNumId="98">
    <w:nsid w:val="1AFE3625"/>
    <w:multiLevelType w:val="hybridMultilevel"/>
    <w:lvl w:ilvl="0">
      <w:lvlJc w:val="left"/>
      <w:lvlText w:val="(%1)"/>
      <w:numFmt w:val="decimal"/>
      <w:start w:val="14"/>
    </w:lvl>
  </w:abstractNum>
  <w:abstractNum w:abstractNumId="99">
    <w:nsid w:val="3CA88ECF"/>
    <w:multiLevelType w:val="hybridMultilevel"/>
    <w:lvl w:ilvl="0">
      <w:lvlJc w:val="left"/>
      <w:lvlText w:val="(%1)"/>
      <w:numFmt w:val="decimal"/>
      <w:start w:val="22"/>
    </w:lvl>
  </w:abstractNum>
  <w:abstractNum w:abstractNumId="100">
    <w:nsid w:val="6EBE4208"/>
    <w:multiLevelType w:val="hybridMultilevel"/>
    <w:lvl w:ilvl="0">
      <w:lvlJc w:val="left"/>
      <w:lvlText w:val="☐"/>
      <w:numFmt w:val="bullet"/>
      <w:start w:val="1"/>
    </w:lvl>
  </w:abstractNum>
  <w:abstractNum w:abstractNumId="101">
    <w:nsid w:val="C058DF5"/>
    <w:multiLevelType w:val="hybridMultilevel"/>
    <w:lvl w:ilvl="0">
      <w:lvlJc w:val="left"/>
      <w:lvlText w:val="☐"/>
      <w:numFmt w:val="bullet"/>
      <w:start w:val="1"/>
    </w:lvl>
  </w:abstractNum>
  <w:abstractNum w:abstractNumId="102">
    <w:nsid w:val="CBE5BE9"/>
    <w:multiLevelType w:val="hybridMultilevel"/>
    <w:lvl w:ilvl="0">
      <w:lvlJc w:val="left"/>
      <w:lvlText w:val="(%1)"/>
      <w:numFmt w:val="decimal"/>
      <w:start w:val="1"/>
    </w:lvl>
    <w:lvl w:ilvl="1">
      <w:lvlJc w:val="left"/>
      <w:lvlText w:val="(%2)"/>
      <w:numFmt w:val="decimal"/>
      <w:start w:val="1"/>
    </w:lvl>
  </w:abstractNum>
  <w:abstractNum w:abstractNumId="103">
    <w:nsid w:val="3102BBE2"/>
    <w:multiLevelType w:val="hybridMultilevel"/>
    <w:lvl w:ilvl="0">
      <w:lvlJc w:val="left"/>
      <w:lvlText w:val="(%1)"/>
      <w:numFmt w:val="decimal"/>
      <w:start w:val="6"/>
    </w:lvl>
  </w:abstractNum>
  <w:abstractNum w:abstractNumId="104">
    <w:nsid w:val="26A02C5E"/>
    <w:multiLevelType w:val="hybridMultilevel"/>
    <w:lvl w:ilvl="0">
      <w:lvlJc w:val="left"/>
      <w:lvlText w:val="(%1)"/>
      <w:numFmt w:val="decimal"/>
      <w:start w:val="14"/>
    </w:lvl>
  </w:abstractNum>
  <w:abstractNum w:abstractNumId="105">
    <w:nsid w:val="541C8153"/>
    <w:multiLevelType w:val="hybridMultilevel"/>
    <w:lvl w:ilvl="0">
      <w:lvlJc w:val="left"/>
      <w:lvlText w:val="☐"/>
      <w:numFmt w:val="bullet"/>
      <w:start w:val="1"/>
    </w:lvl>
  </w:abstractNum>
  <w:abstractNum w:abstractNumId="106">
    <w:nsid w:val="67906F60"/>
    <w:multiLevelType w:val="hybridMultilevel"/>
    <w:lvl w:ilvl="0">
      <w:lvlJc w:val="left"/>
      <w:lvlText w:val="☐"/>
      <w:numFmt w:val="bullet"/>
      <w:start w:val="1"/>
    </w:lvl>
  </w:abstractNum>
  <w:abstractNum w:abstractNumId="107">
    <w:nsid w:val="10DB9DAA"/>
    <w:multiLevelType w:val="hybridMultilevel"/>
    <w:lvl w:ilvl="0">
      <w:lvlJc w:val="left"/>
      <w:lvlText w:val="(%1)"/>
      <w:numFmt w:val="decimal"/>
      <w:start w:val="1"/>
    </w:lvl>
    <w:lvl w:ilvl="1">
      <w:lvlJc w:val="left"/>
      <w:lvlText w:val="(%2)"/>
      <w:numFmt w:val="decimal"/>
      <w:start w:val="1"/>
    </w:lvl>
  </w:abstractNum>
  <w:abstractNum w:abstractNumId="108">
    <w:nsid w:val="697D2D2"/>
    <w:multiLevelType w:val="hybridMultilevel"/>
    <w:lvl w:ilvl="0">
      <w:lvlJc w:val="left"/>
      <w:lvlText w:val="(%1)"/>
      <w:numFmt w:val="decimal"/>
      <w:start w:val="6"/>
    </w:lvl>
  </w:abstractNum>
  <w:abstractNum w:abstractNumId="109">
    <w:nsid w:val="6D68AB2"/>
    <w:multiLevelType w:val="hybridMultilevel"/>
    <w:lvl w:ilvl="0">
      <w:lvlJc w:val="left"/>
      <w:lvlText w:val="(%1)"/>
      <w:numFmt w:val="decimal"/>
      <w:start w:val="14"/>
    </w:lvl>
  </w:abstractNum>
  <w:abstractNum w:abstractNumId="110">
    <w:nsid w:val="3A966CD0"/>
    <w:multiLevelType w:val="hybridMultilevel"/>
    <w:lvl w:ilvl="0">
      <w:lvlJc w:val="left"/>
      <w:lvlText w:val="☐"/>
      <w:numFmt w:val="bullet"/>
      <w:start w:val="1"/>
    </w:lvl>
  </w:abstractNum>
  <w:abstractNum w:abstractNumId="111">
    <w:nsid w:val="63F37E85"/>
    <w:multiLevelType w:val="hybridMultilevel"/>
    <w:lvl w:ilvl="0">
      <w:lvlJc w:val="left"/>
      <w:lvlText w:val="☐"/>
      <w:numFmt w:val="bullet"/>
      <w:start w:val="1"/>
    </w:lvl>
  </w:abstractNum>
  <w:abstractNum w:abstractNumId="112">
    <w:nsid w:val="5895F5FA"/>
    <w:multiLevelType w:val="hybridMultilevel"/>
    <w:lvl w:ilvl="0">
      <w:lvlJc w:val="left"/>
      <w:lvlText w:val="☐"/>
      <w:numFmt w:val="bullet"/>
      <w:start w:val="1"/>
    </w:lvl>
  </w:abstractNum>
  <w:abstractNum w:abstractNumId="113">
    <w:nsid w:val="38A5D054"/>
    <w:multiLevelType w:val="hybridMultilevel"/>
    <w:lvl w:ilvl="0">
      <w:lvlJc w:val="left"/>
      <w:lvlText w:val="☐"/>
      <w:numFmt w:val="bullet"/>
      <w:start w:val="1"/>
    </w:lvl>
  </w:abstractNum>
  <w:abstractNum w:abstractNumId="114">
    <w:nsid w:val="F3F09D8"/>
    <w:multiLevelType w:val="hybridMultilevel"/>
    <w:lvl w:ilvl="0">
      <w:lvlJc w:val="left"/>
      <w:lvlText w:val="☐"/>
      <w:numFmt w:val="bullet"/>
      <w:start w:val="1"/>
    </w:lvl>
  </w:abstractNum>
  <w:abstractNum w:abstractNumId="115">
    <w:nsid w:val="4B793735"/>
    <w:multiLevelType w:val="hybridMultilevel"/>
    <w:lvl w:ilvl="0">
      <w:lvlJc w:val="left"/>
      <w:lvlText w:val="☐"/>
      <w:numFmt w:val="bullet"/>
      <w:start w:val="1"/>
    </w:lvl>
  </w:abstractNum>
  <w:abstractNum w:abstractNumId="116">
    <w:nsid w:val="4A10B4E8"/>
    <w:multiLevelType w:val="hybridMultilevel"/>
    <w:lvl w:ilvl="0">
      <w:lvlJc w:val="left"/>
      <w:lvlText w:val="(%1)"/>
      <w:numFmt w:val="decimal"/>
      <w:start w:val="1"/>
    </w:lvl>
  </w:abstractNum>
  <w:abstractNum w:abstractNumId="117">
    <w:nsid w:val="43D3BCD4"/>
    <w:multiLevelType w:val="hybridMultilevel"/>
    <w:lvl w:ilvl="0">
      <w:lvlJc w:val="left"/>
      <w:lvlText w:val="(%1)"/>
      <w:numFmt w:val="lowerLetter"/>
      <w:start w:val="1"/>
    </w:lvl>
  </w:abstractNum>
  <w:abstractNum w:abstractNumId="118">
    <w:nsid w:val="4C2A7166"/>
    <w:multiLevelType w:val="hybridMultilevel"/>
    <w:lvl w:ilvl="0">
      <w:lvlJc w:val="left"/>
      <w:lvlText w:val="%1."/>
      <w:numFmt w:val="decimal"/>
      <w:start w:val="1"/>
    </w:lvl>
  </w:abstractNum>
  <w:abstractNum w:abstractNumId="119">
    <w:nsid w:val="2E534A82"/>
    <w:multiLevelType w:val="hybridMultilevel"/>
    <w:lvl w:ilvl="0">
      <w:lvlJc w:val="left"/>
      <w:lvlText w:val="%1."/>
      <w:numFmt w:val="decimal"/>
      <w:start w:val="3"/>
    </w:lvl>
  </w:abstractNum>
  <w:abstractNum w:abstractNumId="120">
    <w:nsid w:val="26F2D364"/>
    <w:multiLevelType w:val="hybridMultilevel"/>
    <w:lvl w:ilvl="0">
      <w:lvlJc w:val="left"/>
      <w:lvlText w:val="%1."/>
      <w:numFmt w:val="decimal"/>
      <w:start w:val="1"/>
    </w:lvl>
  </w:abstractNum>
  <w:abstractNum w:abstractNumId="121">
    <w:nsid w:val="71C1AF98"/>
    <w:multiLevelType w:val="hybridMultilevel"/>
    <w:lvl w:ilvl="0">
      <w:lvlJc w:val="left"/>
      <w:lvlText w:val="%1."/>
      <w:numFmt w:val="decimal"/>
      <w:start w:val="6"/>
    </w:lvl>
  </w:abstractNum>
  <w:abstractNum w:abstractNumId="122">
    <w:nsid w:val="3D00B9D9"/>
    <w:multiLevelType w:val="hybridMultilevel"/>
    <w:lvl w:ilvl="0">
      <w:lvlJc w:val="left"/>
      <w:lvlText w:val="1"/>
      <w:numFmt w:val="bullet"/>
      <w:start w:val="1"/>
    </w:lvl>
  </w:abstractNum>
  <w:abstractNum w:abstractNumId="123">
    <w:nsid w:val="15BCABA8"/>
    <w:multiLevelType w:val="hybridMultilevel"/>
    <w:lvl w:ilvl="0">
      <w:lvlJc w:val="left"/>
      <w:lvlText w:val="%1."/>
      <w:numFmt w:val="decimal"/>
      <w:start w:val="1"/>
    </w:lvl>
  </w:abstractNum>
  <w:abstractNum w:abstractNumId="124">
    <w:nsid w:val="4E0B9A87"/>
    <w:multiLevelType w:val="hybridMultilevel"/>
    <w:lvl w:ilvl="0">
      <w:lvlJc w:val="left"/>
      <w:lvlText w:val="%1."/>
      <w:numFmt w:val="decimal"/>
      <w:start w:val="6"/>
    </w:lvl>
  </w:abstractNum>
  <w:abstractNum w:abstractNumId="125">
    <w:nsid w:val="434BAE75"/>
    <w:multiLevelType w:val="hybridMultilevel"/>
    <w:lvl w:ilvl="0">
      <w:lvlJc w:val="left"/>
      <w:lvlText w:val="2"/>
      <w:numFmt w:val="bullet"/>
      <w:start w:val="1"/>
    </w:lvl>
  </w:abstractNum>
  <w:abstractNum w:abstractNumId="126">
    <w:nsid w:val="4F38F265"/>
    <w:multiLevelType w:val="hybridMultilevel"/>
    <w:lvl w:ilvl="0">
      <w:lvlJc w:val="left"/>
      <w:lvlText w:val="(%1)"/>
      <w:numFmt w:val="lowerRoman"/>
      <w:start w:val="1"/>
    </w:lvl>
  </w:abstractNum>
  <w:abstractNum w:abstractNumId="127">
    <w:nsid w:val="4C502870"/>
    <w:multiLevelType w:val="hybridMultilevel"/>
    <w:lvl w:ilvl="0">
      <w:lvlJc w:val="left"/>
      <w:lvlText w:val="(%1)"/>
      <w:numFmt w:val="lowerLetter"/>
      <w:start w:val="1"/>
    </w:lvl>
  </w:abstractNum>
  <w:abstractNum w:abstractNumId="128">
    <w:nsid w:val="1DE8725A"/>
    <w:multiLevelType w:val="hybridMultilevel"/>
    <w:lvl w:ilvl="0">
      <w:lvlJc w:val="left"/>
      <w:lvlText w:val="(%1)"/>
      <w:numFmt w:val="lowerLetter"/>
      <w:start w:val="12"/>
    </w:lvl>
  </w:abstractNum>
  <w:abstractNum w:abstractNumId="129">
    <w:nsid w:val="6A37288A"/>
    <w:multiLevelType w:val="hybridMultilevel"/>
    <w:lvl w:ilvl="0">
      <w:lvlJc w:val="left"/>
      <w:lvlText w:val="%1."/>
      <w:numFmt w:val="decimal"/>
      <w:start w:val="2"/>
    </w:lvl>
  </w:abstractNum>
  <w:abstractNum w:abstractNumId="130">
    <w:nsid w:val="8F8B73F"/>
    <w:multiLevelType w:val="hybridMultilevel"/>
    <w:lvl w:ilvl="0">
      <w:lvlJc w:val="left"/>
      <w:lvlText w:val="(%1)"/>
      <w:numFmt w:val="lowerLetter"/>
      <w:start w:val="1"/>
    </w:lvl>
  </w:abstractNum>
  <w:abstractNum w:abstractNumId="131">
    <w:nsid w:val="CA6B462"/>
    <w:multiLevelType w:val="hybridMultilevel"/>
    <w:lvl w:ilvl="0">
      <w:lvlJc w:val="left"/>
      <w:lvlText w:val="(%1)"/>
      <w:numFmt w:val="lowerRoman"/>
      <w:start w:val="1"/>
    </w:lvl>
  </w:abstractNum>
  <w:abstractNum w:abstractNumId="132">
    <w:nsid w:val="763CB680"/>
    <w:multiLevelType w:val="hybridMultilevel"/>
    <w:lvl w:ilvl="0">
      <w:lvlJc w:val="left"/>
      <w:lvlText w:val="%1"/>
      <w:numFmt w:val="upperLetter"/>
      <w:start w:val="1"/>
    </w:lvl>
    <w:lvl w:ilvl="1">
      <w:lvlJc w:val="left"/>
      <w:lvlText w:val="(%2)"/>
      <w:numFmt w:val="lowerRoman"/>
      <w:start w:val="3"/>
    </w:lvl>
  </w:abstractNum>
  <w:abstractNum w:abstractNumId="133">
    <w:nsid w:val="15B71329"/>
    <w:multiLevelType w:val="hybridMultilevel"/>
    <w:lvl w:ilvl="0">
      <w:lvlJc w:val="left"/>
      <w:lvlText w:val="(%1)"/>
      <w:numFmt w:val="upperLetter"/>
      <w:start w:val="2"/>
    </w:lvl>
    <w:lvl w:ilvl="1">
      <w:lvlJc w:val="left"/>
      <w:lvlText w:val="%2"/>
      <w:numFmt w:val="lowerRoman"/>
      <w:start w:val="1"/>
    </w:lvl>
  </w:abstractNum>
  <w:abstractNum w:abstractNumId="134">
    <w:nsid w:val="3DA97044"/>
    <w:multiLevelType w:val="hybridMultilevel"/>
    <w:lvl w:ilvl="0">
      <w:lvlJc w:val="left"/>
      <w:lvlText w:val="(%1)"/>
      <w:numFmt w:val="upperLetter"/>
      <w:start w:val="9"/>
    </w:lvl>
  </w:abstractNum>
  <w:abstractNum w:abstractNumId="135">
    <w:nsid w:val="1CDCE2DE"/>
    <w:multiLevelType w:val="hybridMultilevel"/>
    <w:lvl w:ilvl="0">
      <w:lvlJc w:val="left"/>
      <w:lvlText w:val="(%1)"/>
      <w:numFmt w:val="upperLetter"/>
      <w:start w:val="35"/>
    </w:lvl>
  </w:abstractNum>
  <w:abstractNum w:abstractNumId="136">
    <w:nsid w:val="69D3947C"/>
    <w:multiLevelType w:val="hybridMultilevel"/>
    <w:lvl w:ilvl="0">
      <w:lvlJc w:val="left"/>
      <w:lvlText w:val="(%1)"/>
      <w:numFmt w:val="lowerLetter"/>
      <w:start w:val="2"/>
    </w:lvl>
  </w:abstractNum>
  <w:abstractNum w:abstractNumId="137">
    <w:nsid w:val="2539DFA5"/>
    <w:multiLevelType w:val="hybridMultilevel"/>
    <w:lvl w:ilvl="0">
      <w:lvlJc w:val="left"/>
      <w:lvlText w:val="%1"/>
      <w:numFmt w:val="lowerLetter"/>
      <w:start w:val="1"/>
    </w:lvl>
    <w:lvl w:ilvl="1">
      <w:lvlJc w:val="left"/>
      <w:lvlText w:val="(%2)"/>
      <w:numFmt w:val="lowerLetter"/>
      <w:start w:val="4"/>
    </w:lvl>
  </w:abstractNum>
  <w:abstractNum w:abstractNumId="138">
    <w:nsid w:val="2DB88089"/>
    <w:multiLevelType w:val="hybridMultilevel"/>
    <w:lvl w:ilvl="0">
      <w:lvlJc w:val="left"/>
      <w:lvlText w:val="(%1)"/>
      <w:numFmt w:val="lowerLetter"/>
      <w:start w:val="35"/>
    </w:lvl>
    <w:lvl w:ilvl="1">
      <w:lvlJc w:val="left"/>
      <w:lvlText w:val="(%2)"/>
      <w:numFmt w:val="lowerLetter"/>
      <w:start w:val="5"/>
    </w:lvl>
  </w:abstractNum>
  <w:abstractNum w:abstractNumId="139">
    <w:nsid w:val="706B674E"/>
    <w:multiLevelType w:val="hybridMultilevel"/>
    <w:lvl w:ilvl="0">
      <w:lvlJc w:val="left"/>
      <w:lvlText w:val="%1."/>
      <w:numFmt w:val="decimal"/>
      <w:start w:val="3"/>
    </w:lvl>
  </w:abstractNum>
  <w:abstractNum w:abstractNumId="140">
    <w:nsid w:val="2C106A57"/>
    <w:multiLevelType w:val="hybridMultilevel"/>
    <w:lvl w:ilvl="0">
      <w:lvlJc w:val="left"/>
      <w:lvlText w:val="(%1)"/>
      <w:numFmt w:val="lowerLetter"/>
      <w:start w:val="1"/>
    </w:lvl>
    <w:lvl w:ilvl="1">
      <w:lvlJc w:val="left"/>
      <w:lvlText w:val="(%2)"/>
      <w:numFmt w:val="lowerLetter"/>
      <w:start w:val="9"/>
    </w:lvl>
  </w:abstractNum>
  <w:abstractNum w:abstractNumId="141">
    <w:nsid w:val="684EED59"/>
    <w:multiLevelType w:val="hybridMultilevel"/>
    <w:lvl w:ilvl="0">
      <w:lvlJc w:val="left"/>
      <w:lvlText w:val="%1"/>
      <w:numFmt w:val="decimal"/>
      <w:start w:val="1"/>
    </w:lvl>
    <w:lvl w:ilvl="1">
      <w:lvlJc w:val="left"/>
      <w:lvlText w:val="(%2)"/>
      <w:numFmt w:val="lowerRoman"/>
      <w:start w:val="2"/>
    </w:lvl>
  </w:abstractNum>
  <w:abstractNum w:abstractNumId="142">
    <w:nsid w:val="545EE5D3"/>
    <w:multiLevelType w:val="hybridMultilevel"/>
    <w:lvl w:ilvl="0">
      <w:lvlJc w:val="left"/>
      <w:lvlText w:val="(%1)"/>
      <w:numFmt w:val="decimal"/>
      <w:start w:val="3"/>
    </w:lvl>
    <w:lvl w:ilvl="1">
      <w:lvlJc w:val="left"/>
      <w:lvlText w:val="%2"/>
      <w:numFmt w:val="lowerRoman"/>
      <w:start w:val="1"/>
    </w:lvl>
  </w:abstractNum>
  <w:abstractNum w:abstractNumId="143">
    <w:nsid w:val="4A66051"/>
    <w:multiLevelType w:val="hybridMultilevel"/>
    <w:lvl w:ilvl="0">
      <w:lvlJc w:val="left"/>
      <w:lvlText w:val="%1"/>
      <w:numFmt w:val="decimal"/>
      <w:start w:val="1"/>
    </w:lvl>
    <w:lvl w:ilvl="1">
      <w:lvlJc w:val="left"/>
      <w:lvlText w:val="(%2)"/>
      <w:numFmt w:val="lowerRoman"/>
      <w:start w:val="6"/>
    </w:lvl>
  </w:abstractNum>
  <w:abstractNum w:abstractNumId="144">
    <w:nsid w:val="20F4BDAD"/>
    <w:multiLevelType w:val="hybridMultilevel"/>
    <w:lvl w:ilvl="0">
      <w:lvlJc w:val="left"/>
      <w:lvlText w:val="(%1)"/>
      <w:numFmt w:val="decimal"/>
      <w:start w:val="6"/>
    </w:lvl>
    <w:lvl w:ilvl="1">
      <w:lvlJc w:val="left"/>
      <w:lvlText w:val="(%2)"/>
      <w:numFmt w:val="lowerRoman"/>
      <w:start w:val="7"/>
    </w:lvl>
  </w:abstractNum>
  <w:abstractNum w:abstractNumId="145">
    <w:nsid w:val="639DEFAC"/>
    <w:multiLevelType w:val="hybridMultilevel"/>
    <w:lvl w:ilvl="0">
      <w:lvlJc w:val="left"/>
      <w:lvlText w:val="(%1)"/>
      <w:numFmt w:val="decimal"/>
      <w:start w:val="2"/>
    </w:lvl>
    <w:lvl w:ilvl="1">
      <w:lvlJc w:val="left"/>
      <w:lvlText w:val="(%2)"/>
      <w:numFmt w:val="lowerRoman"/>
      <w:start w:val="8"/>
    </w:lvl>
  </w:abstractNum>
  <w:abstractNum w:abstractNumId="146">
    <w:nsid w:val="501F9786"/>
    <w:multiLevelType w:val="hybridMultilevel"/>
    <w:lvl w:ilvl="0">
      <w:lvlJc w:val="left"/>
      <w:lvlText w:val="(%1)"/>
      <w:numFmt w:val="lowerRoman"/>
      <w:start w:val="9"/>
    </w:lvl>
  </w:abstractNum>
  <w:abstractNum w:abstractNumId="147">
    <w:nsid w:val="6B057295"/>
    <w:multiLevelType w:val="hybridMultilevel"/>
    <w:lvl w:ilvl="0">
      <w:lvlJc w:val="left"/>
      <w:lvlText w:val="%1"/>
      <w:numFmt w:val="lowerLetter"/>
      <w:start w:val="1"/>
    </w:lvl>
    <w:lvl w:ilvl="1">
      <w:lvlJc w:val="left"/>
      <w:lvlText w:val="(%2)"/>
      <w:numFmt w:val="lowerRoman"/>
      <w:start w:val="14"/>
    </w:lvl>
  </w:abstractNum>
  <w:abstractNum w:abstractNumId="148">
    <w:nsid w:val="2771AC80"/>
    <w:multiLevelType w:val="hybridMultilevel"/>
    <w:lvl w:ilvl="0">
      <w:lvlJc w:val="left"/>
      <w:lvlText w:val="(%1)"/>
      <w:numFmt w:val="lowerLetter"/>
      <w:start w:val="2"/>
    </w:lvl>
    <w:lvl w:ilvl="1">
      <w:lvlJc w:val="left"/>
      <w:lvlText w:val="%2"/>
      <w:numFmt w:val="lowerRoman"/>
      <w:start w:val="1"/>
    </w:lvl>
  </w:abstractNum>
  <w:abstractNum w:abstractNumId="149">
    <w:nsid w:val="1C4A08EC"/>
    <w:multiLevelType w:val="hybridMultilevel"/>
    <w:lvl w:ilvl="0">
      <w:lvlJc w:val="left"/>
      <w:lvlText w:val="(%1)"/>
      <w:numFmt w:val="lowerLetter"/>
      <w:start w:val="5"/>
    </w:lvl>
  </w:abstractNum>
  <w:abstractNum w:abstractNumId="150">
    <w:nsid w:val="1958BD17"/>
    <w:multiLevelType w:val="hybridMultilevel"/>
    <w:lvl w:ilvl="0">
      <w:lvlJc w:val="left"/>
      <w:lvlText w:val="%1."/>
      <w:numFmt w:val="decimal"/>
      <w:start w:val="4"/>
    </w:lvl>
  </w:abstractNum>
  <w:abstractNum w:abstractNumId="151">
    <w:nsid w:val="4E647FE4"/>
    <w:multiLevelType w:val="hybridMultilevel"/>
    <w:lvl w:ilvl="0">
      <w:lvlJc w:val="left"/>
      <w:lvlText w:val="(%1)"/>
      <w:numFmt w:val="lowerLetter"/>
      <w:start w:val="1"/>
    </w:lvl>
  </w:abstractNum>
  <w:abstractNum w:abstractNumId="152">
    <w:nsid w:val="E0BB885"/>
    <w:multiLevelType w:val="hybridMultilevel"/>
    <w:lvl w:ilvl="0">
      <w:lvlJc w:val="left"/>
      <w:lvlText w:val="(%1)"/>
      <w:numFmt w:val="lowerLetter"/>
      <w:start w:val="2"/>
    </w:lvl>
  </w:abstractNum>
  <w:abstractNum w:abstractNumId="153">
    <w:nsid w:val="565976F1"/>
    <w:multiLevelType w:val="hybridMultilevel"/>
    <w:lvl w:ilvl="0">
      <w:lvlJc w:val="left"/>
      <w:lvlText w:val="(%1)"/>
      <w:numFmt w:val="lowerLetter"/>
      <w:start w:val="3"/>
    </w:lvl>
  </w:abstractNum>
  <w:abstractNum w:abstractNumId="154">
    <w:nsid w:val="64212B8C"/>
    <w:multiLevelType w:val="hybridMultilevel"/>
    <w:lvl w:ilvl="0">
      <w:lvlJc w:val="left"/>
      <w:lvlText w:val="%1."/>
      <w:numFmt w:val="decimal"/>
      <w:start w:val="5"/>
    </w:lvl>
  </w:abstractNum>
  <w:abstractNum w:abstractNumId="155">
    <w:nsid w:val="5C17530C"/>
    <w:multiLevelType w:val="hybridMultilevel"/>
    <w:lvl w:ilvl="0">
      <w:lvlJc w:val="left"/>
      <w:lvlText w:val="(%1)"/>
      <w:numFmt w:val="lowerLetter"/>
      <w:start w:val="1"/>
    </w:lvl>
  </w:abstractNum>
  <w:abstractNum w:abstractNumId="156">
    <w:nsid w:val="19A52566"/>
    <w:multiLevelType w:val="hybridMultilevel"/>
    <w:lvl w:ilvl="0">
      <w:lvlJc w:val="left"/>
      <w:lvlText w:val="%1"/>
      <w:numFmt w:val="lowerLetter"/>
      <w:start w:val="1"/>
    </w:lvl>
    <w:lvl w:ilvl="1">
      <w:lvlJc w:val="left"/>
      <w:lvlText w:val="(%2)"/>
      <w:numFmt w:val="lowerLetter"/>
      <w:start w:val="3"/>
    </w:lvl>
  </w:abstractNum>
  <w:abstractNum w:abstractNumId="157">
    <w:nsid w:val="335A1DF1"/>
    <w:multiLevelType w:val="hybridMultilevel"/>
    <w:lvl w:ilvl="0">
      <w:lvlJc w:val="left"/>
      <w:lvlText w:val="(%1)"/>
      <w:numFmt w:val="lowerLetter"/>
      <w:start w:val="35"/>
    </w:lvl>
    <w:lvl w:ilvl="1">
      <w:lvlJc w:val="left"/>
      <w:lvlText w:val="%2"/>
      <w:numFmt w:val="lowerLetter"/>
      <w:start w:val="1"/>
    </w:lvl>
  </w:abstractNum>
  <w:abstractNum w:abstractNumId="158">
    <w:nsid w:val="28677B7C"/>
    <w:multiLevelType w:val="hybridMultilevel"/>
    <w:lvl w:ilvl="0">
      <w:lvlJc w:val="left"/>
      <w:lvlText w:val="(%1)"/>
      <w:numFmt w:val="lowerLetter"/>
      <w:start w:val="24"/>
    </w:lvl>
    <w:lvl w:ilvl="1">
      <w:lvlJc w:val="left"/>
      <w:lvlText w:val="%2"/>
      <w:numFmt w:val="lowerLetter"/>
      <w:start w:val="1"/>
    </w:lvl>
  </w:abstractNum>
  <w:abstractNum w:abstractNumId="159">
    <w:nsid w:val="378D97C0"/>
    <w:multiLevelType w:val="hybridMultilevel"/>
    <w:lvl w:ilvl="0">
      <w:lvlJc w:val="left"/>
      <w:lvlText w:val="%1"/>
      <w:numFmt w:val="lowerLetter"/>
      <w:start w:val="1"/>
    </w:lvl>
    <w:lvl w:ilvl="1">
      <w:lvlJc w:val="left"/>
      <w:lvlText w:val="(%2)"/>
      <w:numFmt w:val="lowerLetter"/>
      <w:start w:val="4"/>
    </w:lvl>
  </w:abstractNum>
  <w:abstractNum w:abstractNumId="160">
    <w:nsid w:val="1D91467C"/>
    <w:multiLevelType w:val="hybridMultilevel"/>
    <w:lvl w:ilvl="0">
      <w:lvlJc w:val="left"/>
      <w:lvlText w:val="(%1)"/>
      <w:numFmt w:val="lowerLetter"/>
      <w:start w:val="9"/>
    </w:lvl>
    <w:lvl w:ilvl="1">
      <w:lvlJc w:val="left"/>
      <w:lvlText w:val="(%2)"/>
      <w:numFmt w:val="lowerLetter"/>
      <w:start w:val="5"/>
    </w:lvl>
  </w:abstractNum>
  <w:abstractNum w:abstractNumId="161">
    <w:nsid w:val="316032BB"/>
    <w:multiLevelType w:val="hybridMultilevel"/>
    <w:lvl w:ilvl="0">
      <w:lvlJc w:val="left"/>
      <w:lvlText w:val="(%1)"/>
      <w:numFmt w:val="lowerLetter"/>
      <w:start w:val="7"/>
    </w:lvl>
  </w:abstractNum>
  <w:abstractNum w:abstractNumId="162">
    <w:nsid w:val="44344C22"/>
    <w:multiLevelType w:val="hybridMultilevel"/>
    <w:lvl w:ilvl="0">
      <w:lvlJc w:val="left"/>
      <w:lvlText w:val="%1."/>
      <w:numFmt w:val="decimal"/>
      <w:start w:val="6"/>
    </w:lvl>
  </w:abstractNum>
  <w:abstractNum w:abstractNumId="163">
    <w:nsid w:val="13CDFCFC"/>
    <w:multiLevelType w:val="hybridMultilevel"/>
    <w:lvl w:ilvl="0">
      <w:lvlJc w:val="left"/>
      <w:lvlText w:val="(%1)"/>
      <w:numFmt w:val="lowerLetter"/>
      <w:start w:val="1"/>
    </w:lvl>
  </w:abstractNum>
  <w:abstractNum w:abstractNumId="164">
    <w:nsid w:val="471745E4"/>
    <w:multiLevelType w:val="hybridMultilevel"/>
    <w:lvl w:ilvl="0">
      <w:lvlJc w:val="left"/>
      <w:lvlText w:val="(%1)"/>
      <w:numFmt w:val="lowerLetter"/>
      <w:start w:val="4"/>
    </w:lvl>
  </w:abstractNum>
  <w:abstractNum w:abstractNumId="165">
    <w:nsid w:val="1DDBC66"/>
    <w:multiLevelType w:val="hybridMultilevel"/>
    <w:lvl w:ilvl="0">
      <w:lvlJc w:val="left"/>
      <w:lvlText w:val="(%1)"/>
      <w:numFmt w:val="lowerLetter"/>
      <w:start w:val="10"/>
    </w:lvl>
  </w:abstractNum>
  <w:abstractNum w:abstractNumId="166">
    <w:nsid w:val="30AADFDA"/>
    <w:multiLevelType w:val="hybridMultilevel"/>
    <w:lvl w:ilvl="0">
      <w:lvlJc w:val="left"/>
      <w:lvlText w:val="(%1)"/>
      <w:numFmt w:val="decimal"/>
      <w:start w:val="1"/>
    </w:lvl>
  </w:abstractNum>
  <w:abstractNum w:abstractNumId="167">
    <w:nsid w:val="30EADA61"/>
    <w:multiLevelType w:val="hybridMultilevel"/>
    <w:lvl w:ilvl="0">
      <w:lvlJc w:val="left"/>
      <w:lvlText w:val="(%1)"/>
      <w:numFmt w:val="decimal"/>
      <w:start w:val="1"/>
    </w:lvl>
    <w:lvl w:ilvl="1">
      <w:lvlJc w:val="left"/>
      <w:lvlText w:val="(%2)"/>
      <w:numFmt w:val="lowerLetter"/>
      <w:start w:val="1"/>
    </w:lvl>
  </w:abstractNum>
  <w:abstractNum w:abstractNumId="168">
    <w:nsid w:val="27179C0B"/>
    <w:multiLevelType w:val="hybridMultilevel"/>
    <w:lvl w:ilvl="0">
      <w:lvlJc w:val="left"/>
      <w:lvlText w:val="(%1)"/>
      <w:numFmt w:val="lowerRoman"/>
      <w:start w:val="1"/>
    </w:lvl>
  </w:abstractNum>
  <w:abstractNum w:abstractNumId="169">
    <w:nsid w:val="5E636063"/>
    <w:multiLevelType w:val="hybridMultilevel"/>
    <w:lvl w:ilvl="0">
      <w:lvlJc w:val="left"/>
      <w:lvlText w:val="(%1)"/>
      <w:numFmt w:val="lowerLetter"/>
      <w:start w:val="1"/>
    </w:lvl>
  </w:abstractNum>
  <w:abstractNum w:abstractNumId="170">
    <w:nsid w:val="215641AF"/>
    <w:multiLevelType w:val="hybridMultilevel"/>
    <w:lvl w:ilvl="0">
      <w:lvlJc w:val="left"/>
      <w:lvlText w:val="(%1)"/>
      <w:numFmt w:val="decimal"/>
      <w:start w:val="1"/>
    </w:lvl>
  </w:abstractNum>
  <w:abstractNum w:abstractNumId="171">
    <w:nsid w:val="53280662"/>
    <w:multiLevelType w:val="hybridMultilevel"/>
    <w:lvl w:ilvl="0">
      <w:lvlJc w:val="left"/>
      <w:lvlText w:val="(%1)"/>
      <w:numFmt w:val="decimal"/>
      <w:start w:val="1"/>
    </w:lvl>
  </w:abstractNum>
  <w:abstractNum w:abstractNumId="172">
    <w:nsid w:val="46B24DBC"/>
    <w:multiLevelType w:val="hybridMultilevel"/>
    <w:lvl w:ilvl="0">
      <w:lvlJc w:val="left"/>
      <w:lvlText w:val="(%1)"/>
      <w:numFmt w:val="decimal"/>
      <w:start w:val="2"/>
    </w:lvl>
  </w:abstractNum>
  <w:abstractNum w:abstractNumId="173">
    <w:nsid w:val="75B52783"/>
    <w:multiLevelType w:val="hybridMultilevel"/>
    <w:lvl w:ilvl="0">
      <w:lvlJc w:val="left"/>
      <w:lvlText w:val="(%1)"/>
      <w:numFmt w:val="decimal"/>
      <w:start w:val="1"/>
    </w:lvl>
  </w:abstractNum>
  <w:abstractNum w:abstractNumId="174">
    <w:nsid w:val="57CE66B4"/>
    <w:multiLevelType w:val="hybridMultilevel"/>
    <w:lvl w:ilvl="0">
      <w:lvlJc w:val="left"/>
      <w:lvlText w:val="(%1)"/>
      <w:numFmt w:val="decimal"/>
      <w:start w:val="10"/>
    </w:lvl>
  </w:abstractNum>
  <w:abstractNum w:abstractNumId="175">
    <w:nsid w:val="67A70B69"/>
    <w:multiLevelType w:val="hybridMultilevel"/>
    <w:lvl w:ilvl="0">
      <w:lvlJc w:val="left"/>
      <w:lvlText w:val="(%1)"/>
      <w:numFmt w:val="decimal"/>
      <w:start w:val="1"/>
    </w:lvl>
  </w:abstractNum>
  <w:abstractNum w:abstractNumId="176">
    <w:nsid w:val="5953172F"/>
    <w:multiLevelType w:val="hybridMultilevel"/>
    <w:lvl w:ilvl="0">
      <w:lvlJc w:val="left"/>
      <w:lvlText w:val="(%1)"/>
      <w:numFmt w:val="decimal"/>
      <w:start w:val="8"/>
    </w:lvl>
  </w:abstractNum>
  <w:abstractNum w:abstractNumId="177">
    <w:nsid w:val="27EDFE3A"/>
    <w:multiLevelType w:val="hybridMultilevel"/>
    <w:lvl w:ilvl="0">
      <w:lvlJc w:val="left"/>
      <w:lvlText w:val="(%1)"/>
      <w:numFmt w:val="decimal"/>
      <w:start w:val="21"/>
    </w:lvl>
    <w:lvl w:ilvl="1">
      <w:lvlJc w:val="left"/>
      <w:lvlText w:val="(%2)"/>
      <w:numFmt w:val="decimal"/>
      <w:start w:val="13"/>
    </w:lvl>
    <w:lvl w:ilvl="2">
      <w:lvlJc w:val="left"/>
      <w:lvlText w:val="(%3)"/>
      <w:numFmt w:val="upperLetter"/>
      <w:start w:val="1"/>
    </w:lvl>
  </w:abstractNum>
  <w:abstractNum w:abstractNumId="178">
    <w:nsid w:val="52AC7DFF"/>
    <w:multiLevelType w:val="hybridMultilevel"/>
    <w:lvl w:ilvl="0">
      <w:lvlJc w:val="left"/>
      <w:lvlText w:val="(%1)"/>
      <w:numFmt w:val="decimal"/>
      <w:start w:val="33"/>
    </w:lvl>
  </w:abstractNum>
  <w:abstractNum w:abstractNumId="179">
    <w:nsid w:val="C4C3AF"/>
    <w:multiLevelType w:val="hybridMultilevel"/>
    <w:lvl w:ilvl="0">
      <w:lvlJc w:val="left"/>
      <w:lvlText w:val="(%1)"/>
      <w:numFmt w:val="decimal"/>
      <w:start w:val="1"/>
    </w:lvl>
  </w:abstractNum>
  <w:abstractNum w:abstractNumId="180">
    <w:nsid w:val="44380727"/>
    <w:multiLevelType w:val="hybridMultilevel"/>
    <w:lvl w:ilvl="0">
      <w:lvlJc w:val="left"/>
      <w:lvlText w:val="(%1)"/>
      <w:numFmt w:val="decimal"/>
      <w:start w:val="1"/>
    </w:lvl>
  </w:abstractNum>
  <w:abstractNum w:abstractNumId="181">
    <w:nsid w:val="6C053B16"/>
    <w:multiLevelType w:val="hybridMultilevel"/>
    <w:lvl w:ilvl="0">
      <w:lvlJc w:val="left"/>
      <w:lvlText w:val="(%1)"/>
      <w:numFmt w:val="decimal"/>
      <w:start w:val="1"/>
    </w:lvl>
    <w:lvl w:ilvl="1">
      <w:lvlJc w:val="left"/>
      <w:lvlText w:val="(%2)"/>
      <w:numFmt w:val="upperLetter"/>
      <w:start w:val="1"/>
    </w:lvl>
  </w:abstractNum>
  <w:abstractNum w:abstractNumId="182">
    <w:nsid w:val="4F294393"/>
    <w:multiLevelType w:val="hybridMultilevel"/>
    <w:lvl w:ilvl="0">
      <w:lvlJc w:val="left"/>
      <w:lvlText w:val="%1"/>
      <w:numFmt w:val="lowerLetter"/>
      <w:start w:val="1"/>
    </w:lvl>
    <w:lvl w:ilvl="1">
      <w:lvlJc w:val="left"/>
      <w:lvlText w:val="(%2)"/>
      <w:numFmt w:val="decimal"/>
      <w:start w:val="1"/>
    </w:lvl>
  </w:abstractNum>
  <w:abstractNum w:abstractNumId="183">
    <w:nsid w:val="5243BFAC"/>
    <w:multiLevelType w:val="hybridMultilevel"/>
    <w:lvl w:ilvl="0">
      <w:lvlJc w:val="left"/>
      <w:lvlText w:val="(%1)"/>
      <w:numFmt w:val="lowerLetter"/>
      <w:start w:val="2"/>
    </w:lvl>
    <w:lvl w:ilvl="1">
      <w:lvlJc w:val="left"/>
      <w:lvlText w:val="%2"/>
      <w:numFmt w:val="decimal"/>
      <w:start w:val="1"/>
    </w:lvl>
  </w:abstractNum>
  <w:abstractNum w:abstractNumId="184">
    <w:nsid w:val="425EB207"/>
    <w:multiLevelType w:val="hybridMultilevel"/>
    <w:lvl w:ilvl="0">
      <w:lvlJc w:val="left"/>
      <w:lvlText w:val="(%1)"/>
      <w:numFmt w:val="decimal"/>
      <w:start w:val="1"/>
    </w:lvl>
  </w:abstractNum>
  <w:abstractNum w:abstractNumId="185">
    <w:nsid w:val="334A6F1F"/>
    <w:multiLevelType w:val="hybridMultilevel"/>
    <w:lvl w:ilvl="0">
      <w:lvlJc w:val="left"/>
      <w:lvlText w:val="(%1)"/>
      <w:numFmt w:val="decimal"/>
      <w:start w:val="5"/>
    </w:lvl>
  </w:abstractNum>
  <w:abstractNum w:abstractNumId="186">
    <w:nsid w:val="2E5B12B8"/>
    <w:multiLevelType w:val="hybridMultilevel"/>
    <w:lvl w:ilvl="0">
      <w:lvlJc w:val="left"/>
      <w:lvlText w:val="(%1)"/>
      <w:numFmt w:val="lowerLetter"/>
      <w:start w:val="1"/>
    </w:lvl>
  </w:abstractNum>
  <w:abstractNum w:abstractNumId="187">
    <w:nsid w:val="5C03D76D"/>
    <w:multiLevelType w:val="hybridMultilevel"/>
    <w:lvl w:ilvl="0">
      <w:lvlJc w:val="left"/>
      <w:lvlText w:val="(%1)"/>
      <w:numFmt w:val="lowerLetter"/>
      <w:start w:val="2"/>
    </w:lvl>
  </w:abstractNum>
  <w:abstractNum w:abstractNumId="188">
    <w:nsid w:val="66A48D11"/>
    <w:multiLevelType w:val="hybridMultilevel"/>
    <w:lvl w:ilvl="0">
      <w:lvlJc w:val="left"/>
      <w:lvlText w:val="(%1)"/>
      <w:numFmt w:val="lowerLetter"/>
      <w:start w:val="3"/>
    </w:lvl>
  </w:abstractNum>
  <w:abstractNum w:abstractNumId="189">
    <w:nsid w:val="56C28E34"/>
    <w:multiLevelType w:val="hybridMultilevel"/>
    <w:lvl w:ilvl="0">
      <w:lvlJc w:val="left"/>
      <w:lvlText w:val="(%1)"/>
      <w:numFmt w:val="lowerLetter"/>
      <w:start w:val="1"/>
    </w:lvl>
    <w:lvl w:ilvl="1">
      <w:lvlJc w:val="left"/>
      <w:lvlText w:val="(%2)"/>
      <w:numFmt w:val="decimal"/>
      <w:start w:val="1"/>
    </w:lvl>
  </w:abstractNum>
  <w:abstractNum w:abstractNumId="190">
    <w:nsid w:val="13916F2D"/>
    <w:multiLevelType w:val="hybridMultilevel"/>
    <w:lvl w:ilvl="0">
      <w:lvlJc w:val="left"/>
      <w:lvlText w:val="%1"/>
      <w:numFmt w:val="lowerLetter"/>
      <w:start w:val="1"/>
    </w:lvl>
    <w:lvl w:ilvl="1">
      <w:lvlJc w:val="left"/>
      <w:lvlText w:val="(%2)"/>
      <w:numFmt w:val="decimal"/>
      <w:start w:val="3"/>
    </w:lvl>
  </w:abstractNum>
  <w:abstractNum w:abstractNumId="191">
    <w:nsid w:val="435D38D"/>
    <w:multiLevelType w:val="hybridMultilevel"/>
    <w:lvl w:ilvl="0">
      <w:lvlJc w:val="left"/>
      <w:lvlText w:val="(%1)"/>
      <w:numFmt w:val="lowerLetter"/>
      <w:start w:val="2"/>
    </w:lvl>
    <w:lvl w:ilvl="1">
      <w:lvlJc w:val="left"/>
      <w:lvlText w:val="%2"/>
      <w:numFmt w:val="decimal"/>
      <w:start w:val="1"/>
    </w:lvl>
  </w:abstractNum>
  <w:abstractNum w:abstractNumId="192">
    <w:nsid w:val="822C0EF"/>
    <w:multiLevelType w:val="hybridMultilevel"/>
    <w:lvl w:ilvl="0">
      <w:lvlJc w:val="left"/>
      <w:lvlText w:val="(%1)"/>
      <w:numFmt w:val="lowerLetter"/>
      <w:start w:val="1"/>
    </w:lvl>
  </w:abstractNum>
  <w:abstractNum w:abstractNumId="193">
    <w:nsid w:val="57C5BB4F"/>
    <w:multiLevelType w:val="hybridMultilevel"/>
    <w:lvl w:ilvl="0">
      <w:lvlJc w:val="left"/>
      <w:lvlText w:val="(%1)"/>
      <w:numFmt w:val="lowerLetter"/>
      <w:start w:val="4"/>
    </w:lvl>
  </w:abstractNum>
  <w:abstractNum w:abstractNumId="194">
    <w:nsid w:val="1803D089"/>
    <w:multiLevelType w:val="hybridMultilevel"/>
    <w:lvl w:ilvl="0">
      <w:lvlJc w:val="left"/>
      <w:lvlText w:val="(%1)"/>
      <w:numFmt w:val="decimal"/>
      <w:start w:val="1"/>
    </w:lvl>
  </w:abstractNum>
  <w:abstractNum w:abstractNumId="195">
    <w:nsid w:val="4F3A06D4"/>
    <w:multiLevelType w:val="hybridMultilevel"/>
    <w:lvl w:ilvl="0">
      <w:lvlJc w:val="left"/>
      <w:lvlText w:val="(%1)"/>
      <w:numFmt w:val="decimal"/>
      <w:start w:val="9"/>
    </w:lvl>
  </w:abstractNum>
  <w:abstractNum w:abstractNumId="196">
    <w:nsid w:val="59A377B6"/>
    <w:multiLevelType w:val="hybridMultilevel"/>
    <w:lvl w:ilvl="0">
      <w:lvlJc w:val="left"/>
      <w:lvlText w:val="(%1)"/>
      <w:numFmt w:val="lowerLetter"/>
      <w:start w:val="1"/>
    </w:lvl>
    <w:lvl w:ilvl="1">
      <w:lvlJc w:val="left"/>
      <w:lvlText w:val="(%2)"/>
      <w:numFmt w:val="decimal"/>
      <w:start w:val="1"/>
    </w:lvl>
  </w:abstractNum>
  <w:abstractNum w:abstractNumId="197">
    <w:nsid w:val="48AEB06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98">
    <w:nsid w:val="24E135"/>
    <w:multiLevelType w:val="hybridMultilevel"/>
    <w:lvl w:ilvl="0">
      <w:lvlJc w:val="left"/>
      <w:lvlText w:val="%1"/>
      <w:numFmt w:val="lowerLetter"/>
      <w:start w:val="1"/>
    </w:lvl>
    <w:lvl w:ilvl="1">
      <w:lvlJc w:val="left"/>
      <w:lvlText w:val="(%2)"/>
      <w:numFmt w:val="lowerLetter"/>
      <w:start w:val="1"/>
    </w:lvl>
  </w:abstractNum>
  <w:abstractNum w:abstractNumId="199">
    <w:nsid w:val="BB13C1"/>
    <w:multiLevelType w:val="hybridMultilevel"/>
    <w:lvl w:ilvl="0">
      <w:lvlJc w:val="left"/>
      <w:lvlText w:val="(%1)"/>
      <w:numFmt w:val="lowerLetter"/>
      <w:start w:val="35"/>
    </w:lvl>
    <w:lvl w:ilvl="1">
      <w:lvlJc w:val="left"/>
      <w:lvlText w:val="(%2)"/>
      <w:numFmt w:val="lowerLetter"/>
      <w:start w:val="2"/>
    </w:lvl>
  </w:abstractNum>
  <w:abstractNum w:abstractNumId="200">
    <w:nsid w:val="271210C7"/>
    <w:multiLevelType w:val="hybridMultilevel"/>
    <w:lvl w:ilvl="0">
      <w:lvlJc w:val="left"/>
      <w:lvlText w:val="(%1)"/>
      <w:numFmt w:val="lowerLetter"/>
      <w:start w:val="2"/>
    </w:lvl>
    <w:lvl w:ilvl="1">
      <w:lvlJc w:val="left"/>
      <w:lvlText w:val="(%2)"/>
      <w:numFmt w:val="lowerLetter"/>
      <w:start w:val="3"/>
    </w:lvl>
  </w:abstractNum>
  <w:abstractNum w:abstractNumId="201">
    <w:nsid w:val="217B22E4"/>
    <w:multiLevelType w:val="hybridMultilevel"/>
    <w:lvl w:ilvl="0">
      <w:lvlJc w:val="left"/>
      <w:lvlText w:val="(%1)"/>
      <w:numFmt w:val="lowerLetter"/>
      <w:start w:val="5"/>
    </w:lvl>
  </w:abstractNum>
  <w:abstractNum w:abstractNumId="202">
    <w:nsid w:val="53E31A24"/>
    <w:multiLevelType w:val="hybridMultilevel"/>
    <w:lvl w:ilvl="0">
      <w:lvlJc w:val="left"/>
      <w:lvlText w:val="(%1)"/>
      <w:numFmt w:val="lowerLetter"/>
      <w:start w:val="2"/>
    </w:lvl>
  </w:abstractNum>
  <w:abstractNum w:abstractNumId="203">
    <w:nsid w:val="6DC45E83"/>
    <w:multiLevelType w:val="hybridMultilevel"/>
    <w:lvl w:ilvl="0">
      <w:lvlJc w:val="left"/>
      <w:lvlText w:val="%1"/>
      <w:numFmt w:val="decimal"/>
      <w:start w:val="1"/>
    </w:lvl>
    <w:lvl w:ilvl="1">
      <w:lvlJc w:val="left"/>
      <w:lvlText w:val="(%2)"/>
      <w:numFmt w:val="lowerLetter"/>
      <w:start w:val="1"/>
    </w:lvl>
  </w:abstractNum>
  <w:abstractNum w:abstractNumId="204">
    <w:nsid w:val="17304A67"/>
    <w:multiLevelType w:val="hybridMultilevel"/>
    <w:lvl w:ilvl="0">
      <w:lvlJc w:val="left"/>
      <w:lvlText w:val="(%1)"/>
      <w:numFmt w:val="decimal"/>
      <w:start w:val="1"/>
    </w:lvl>
    <w:lvl w:ilvl="1">
      <w:lvlJc w:val="left"/>
      <w:lvlText w:val="(%2)"/>
      <w:numFmt w:val="lowerLetter"/>
      <w:start w:val="2"/>
    </w:lvl>
  </w:abstractNum>
  <w:abstractNum w:abstractNumId="205">
    <w:nsid w:val="2BB180D8"/>
    <w:multiLevelType w:val="hybridMultilevel"/>
    <w:lvl w:ilvl="0">
      <w:lvlJc w:val="left"/>
      <w:lvlText w:val="(%1)"/>
      <w:numFmt w:val="lowerLetter"/>
      <w:start w:val="1"/>
    </w:lvl>
  </w:abstractNum>
  <w:abstractNum w:abstractNumId="206">
    <w:nsid w:val="556B69ED"/>
    <w:multiLevelType w:val="hybridMultilevel"/>
    <w:lvl w:ilvl="0">
      <w:lvlJc w:val="left"/>
      <w:lvlText w:val="(%1)"/>
      <w:numFmt w:val="decimal"/>
      <w:start w:val="2"/>
    </w:lvl>
  </w:abstractNum>
  <w:abstractNum w:abstractNumId="207">
    <w:nsid w:val="70836196"/>
    <w:multiLevelType w:val="hybridMultilevel"/>
    <w:lvl w:ilvl="0">
      <w:lvlJc w:val="left"/>
      <w:lvlText w:val="(%1)"/>
      <w:numFmt w:val="lowerLetter"/>
      <w:start w:val="1"/>
    </w:lvl>
    <w:lvl w:ilvl="1">
      <w:lvlJc w:val="left"/>
      <w:lvlText w:val="(%2)"/>
      <w:numFmt w:val="decimal"/>
      <w:start w:val="1"/>
    </w:lvl>
  </w:abstractNum>
  <w:abstractNum w:abstractNumId="208">
    <w:nsid w:val="539F7F12"/>
    <w:multiLevelType w:val="hybridMultilevel"/>
    <w:lvl w:ilvl="0">
      <w:lvlJc w:val="left"/>
      <w:lvlText w:val="%1"/>
      <w:numFmt w:val="lowerLetter"/>
      <w:start w:val="1"/>
    </w:lvl>
    <w:lvl w:ilvl="1">
      <w:lvlJc w:val="left"/>
      <w:lvlText w:val="(%2)"/>
      <w:numFmt w:val="decimal"/>
      <w:start w:val="3"/>
    </w:lvl>
  </w:abstractNum>
  <w:abstractNum w:abstractNumId="209">
    <w:nsid w:val="2817E7EC"/>
    <w:multiLevelType w:val="hybridMultilevel"/>
    <w:lvl w:ilvl="0">
      <w:lvlJc w:val="left"/>
      <w:lvlText w:val="(%1)"/>
      <w:numFmt w:val="lowerLetter"/>
      <w:start w:val="3"/>
    </w:lvl>
    <w:lvl w:ilvl="1">
      <w:lvlJc w:val="left"/>
      <w:lvlText w:val="(%2)"/>
      <w:numFmt w:val="decimal"/>
      <w:start w:val="1"/>
    </w:lvl>
  </w:abstractNum>
  <w:abstractNum w:abstractNumId="210">
    <w:nsid w:val="71482545"/>
    <w:multiLevelType w:val="hybridMultilevel"/>
    <w:lvl w:ilvl="0">
      <w:lvlJc w:val="left"/>
      <w:lvlText w:val="(%1)"/>
      <w:numFmt w:val="lowerLetter"/>
      <w:start w:val="1"/>
    </w:lvl>
  </w:abstractNum>
  <w:abstractNum w:abstractNumId="211">
    <w:nsid w:val="17D78639"/>
    <w:multiLevelType w:val="hybridMultilevel"/>
    <w:lvl w:ilvl="0">
      <w:lvlJc w:val="left"/>
      <w:lvlText w:val="(%1)"/>
      <w:numFmt w:val="lowerLetter"/>
      <w:start w:val="2"/>
    </w:lvl>
  </w:abstractNum>
  <w:abstractNum w:abstractNumId="212">
    <w:nsid w:val="141D2302"/>
    <w:multiLevelType w:val="hybridMultilevel"/>
    <w:lvl w:ilvl="0">
      <w:lvlJc w:val="left"/>
      <w:lvlText w:val="(%1)"/>
      <w:numFmt w:val="lowerLetter"/>
      <w:start w:val="1"/>
    </w:lvl>
  </w:abstractNum>
  <w:abstractNum w:abstractNumId="213">
    <w:nsid w:val="407168D8"/>
    <w:multiLevelType w:val="hybridMultilevel"/>
    <w:lvl w:ilvl="0">
      <w:lvlJc w:val="left"/>
      <w:lvlText w:val="(%1)"/>
      <w:numFmt w:val="decimal"/>
      <w:start w:val="1"/>
    </w:lvl>
    <w:lvl w:ilvl="1">
      <w:lvlJc w:val="left"/>
      <w:lvlText w:val="(%2)"/>
      <w:numFmt w:val="upperLetter"/>
      <w:start w:val="1"/>
    </w:lvl>
  </w:abstractNum>
  <w:abstractNum w:abstractNumId="214">
    <w:nsid w:val="6A1B45E5"/>
    <w:multiLevelType w:val="hybridMultilevel"/>
    <w:lvl w:ilvl="0">
      <w:lvlJc w:val="left"/>
      <w:lvlText w:val="(%1)"/>
      <w:numFmt w:val="decimal"/>
      <w:start w:val="4"/>
    </w:lvl>
  </w:abstractNum>
  <w:abstractNum w:abstractNumId="215">
    <w:nsid w:val="567BD50A"/>
    <w:multiLevelType w:val="hybridMultilevel"/>
    <w:lvl w:ilvl="0">
      <w:lvlJc w:val="left"/>
      <w:lvlText w:val="(%1)"/>
      <w:numFmt w:val="lowerLetter"/>
      <w:start w:val="1"/>
    </w:lvl>
    <w:lvl w:ilvl="1">
      <w:lvlJc w:val="left"/>
      <w:lvlText w:val="(%2)"/>
      <w:numFmt w:val="decimal"/>
      <w:start w:val="1"/>
    </w:lvl>
  </w:abstractNum>
  <w:abstractNum w:abstractNumId="216">
    <w:nsid w:val="73BBD7F8"/>
    <w:multiLevelType w:val="hybridMultilevel"/>
    <w:lvl w:ilvl="0">
      <w:lvlJc w:val="left"/>
      <w:lvlText w:val="%1"/>
      <w:numFmt w:val="lowerLetter"/>
      <w:start w:val="1"/>
    </w:lvl>
    <w:lvl w:ilvl="1">
      <w:lvlJc w:val="left"/>
      <w:lvlText w:val="(%2)"/>
      <w:numFmt w:val="decimal"/>
      <w:start w:val="2"/>
    </w:lvl>
  </w:abstractNum>
  <w:abstractNum w:abstractNumId="217">
    <w:nsid w:val="1876589D"/>
    <w:multiLevelType w:val="hybridMultilevel"/>
    <w:lvl w:ilvl="0">
      <w:lvlJc w:val="left"/>
      <w:lvlText w:val="(%1)"/>
      <w:numFmt w:val="lowerLetter"/>
      <w:start w:val="2"/>
    </w:lvl>
    <w:lvl w:ilvl="1">
      <w:lvlJc w:val="left"/>
      <w:lvlText w:val="(%2)"/>
      <w:numFmt w:val="decimal"/>
      <w:start w:val="1"/>
    </w:lvl>
  </w:abstractNum>
  <w:abstractNum w:abstractNumId="218">
    <w:nsid w:val="327FAC77"/>
    <w:multiLevelType w:val="hybridMultilevel"/>
    <w:lvl w:ilvl="0">
      <w:lvlJc w:val="left"/>
      <w:lvlText w:val="(%1)"/>
      <w:numFmt w:val="lowerLetter"/>
      <w:start w:val="5"/>
    </w:lvl>
  </w:abstractNum>
  <w:abstractNum w:abstractNumId="219">
    <w:nsid w:val="5A606509"/>
    <w:multiLevelType w:val="hybridMultilevel"/>
    <w:lvl w:ilvl="0">
      <w:lvlJc w:val="left"/>
      <w:lvlText w:val="(%1)"/>
      <w:numFmt w:val="decimal"/>
      <w:start w:val="1"/>
    </w:lvl>
  </w:abstractNum>
  <w:abstractNum w:abstractNumId="220">
    <w:nsid w:val="6F38E6D1"/>
    <w:multiLevelType w:val="hybridMultilevel"/>
    <w:lvl w:ilvl="0">
      <w:lvlJc w:val="left"/>
      <w:lvlText w:val="(%1)"/>
      <w:numFmt w:val="decimal"/>
      <w:start w:val="3"/>
    </w:lvl>
    <w:lvl w:ilvl="1">
      <w:lvlJc w:val="left"/>
      <w:lvlText w:val="(%2)"/>
      <w:numFmt w:val="upperLetter"/>
      <w:start w:val="1"/>
    </w:lvl>
  </w:abstractNum>
  <w:abstractNum w:abstractNumId="221">
    <w:nsid w:val="46111BA5"/>
    <w:multiLevelType w:val="hybridMultilevel"/>
    <w:lvl w:ilvl="0">
      <w:lvlJc w:val="left"/>
      <w:lvlText w:val="(%1)"/>
      <w:numFmt w:val="decimal"/>
      <w:start w:val="9"/>
    </w:lvl>
    <w:lvl w:ilvl="1">
      <w:lvlJc w:val="left"/>
      <w:lvlText w:val="(%2)"/>
      <w:numFmt w:val="upperLetter"/>
      <w:start w:val="1"/>
    </w:lvl>
  </w:abstractNum>
  <w:abstractNum w:abstractNumId="222">
    <w:nsid w:val="5E963896"/>
    <w:multiLevelType w:val="hybridMultilevel"/>
    <w:lvl w:ilvl="0">
      <w:lvlJc w:val="left"/>
      <w:lvlText w:val="(%1)"/>
      <w:numFmt w:val="decimal"/>
      <w:start w:val="1"/>
    </w:lvl>
  </w:abstractNum>
  <w:abstractNum w:abstractNumId="223">
    <w:nsid w:val="775BA7C1"/>
    <w:multiLevelType w:val="hybridMultilevel"/>
    <w:lvl w:ilvl="0">
      <w:lvlJc w:val="left"/>
      <w:lvlText w:val="(%1)"/>
      <w:numFmt w:val="decimal"/>
      <w:start w:val="2"/>
    </w:lvl>
  </w:abstractNum>
  <w:abstractNum w:abstractNumId="224">
    <w:nsid w:val="1DD6D6F4"/>
    <w:multiLevelType w:val="hybridMultilevel"/>
    <w:lvl w:ilvl="0">
      <w:lvlJc w:val="left"/>
      <w:lvlText w:val="(%1)"/>
      <w:numFmt w:val="lowerLetter"/>
      <w:start w:val="1"/>
    </w:lvl>
  </w:abstractNum>
  <w:abstractNum w:abstractNumId="225">
    <w:nsid w:val="769A091F"/>
    <w:multiLevelType w:val="hybridMultilevel"/>
    <w:lvl w:ilvl="0">
      <w:lvlJc w:val="left"/>
      <w:lvlText w:val="%1"/>
      <w:numFmt w:val="lowerLetter"/>
      <w:start w:val="1"/>
    </w:lvl>
    <w:lvl w:ilvl="1">
      <w:lvlJc w:val="left"/>
      <w:lvlText w:val="(%2)"/>
      <w:numFmt w:val="decimal"/>
      <w:start w:val="1"/>
    </w:lvl>
  </w:abstractNum>
  <w:abstractNum w:abstractNumId="226">
    <w:nsid w:val="4695AE95"/>
    <w:multiLevelType w:val="hybridMultilevel"/>
    <w:lvl w:ilvl="0">
      <w:lvlJc w:val="left"/>
      <w:lvlText w:val="(%1)"/>
      <w:numFmt w:val="lowerLetter"/>
      <w:start w:val="3"/>
    </w:lvl>
    <w:lvl w:ilvl="1">
      <w:lvlJc w:val="left"/>
      <w:lvlText w:val="(%2)"/>
      <w:numFmt w:val="decimal"/>
      <w:start w:val="1"/>
    </w:lvl>
  </w:abstractNum>
  <w:abstractNum w:abstractNumId="227">
    <w:nsid w:val="777A4EAA"/>
    <w:multiLevelType w:val="hybridMultilevel"/>
    <w:lvl w:ilvl="0">
      <w:lvlJc w:val="left"/>
      <w:lvlText w:val="(%1)"/>
      <w:numFmt w:val="lowerLetter"/>
      <w:start w:val="1"/>
    </w:lvl>
  </w:abstractNum>
  <w:abstractNum w:abstractNumId="228">
    <w:nsid w:val="3F48B982"/>
    <w:multiLevelType w:val="hybridMultilevel"/>
    <w:lvl w:ilvl="0">
      <w:lvlJc w:val="left"/>
      <w:lvlText w:val="(%1)"/>
      <w:numFmt w:val="lowerLetter"/>
      <w:start w:val="2"/>
    </w:lvl>
  </w:abstractNum>
  <w:abstractNum w:abstractNumId="229">
    <w:nsid w:val="46BA8FCA"/>
    <w:multiLevelType w:val="hybridMultilevel"/>
    <w:lvl w:ilvl="0">
      <w:lvlJc w:val="left"/>
      <w:lvlText w:val="(%1)"/>
      <w:numFmt w:val="lowerLetter"/>
      <w:start w:val="13"/>
    </w:lvl>
  </w:abstractNum>
  <w:abstractNum w:abstractNumId="230">
    <w:nsid w:val="7835626C"/>
    <w:multiLevelType w:val="hybridMultilevel"/>
    <w:lvl w:ilvl="0">
      <w:lvlJc w:val="left"/>
      <w:lvlText w:val="(%1)"/>
      <w:numFmt w:val="lowerLetter"/>
      <w:start w:val="1"/>
    </w:lvl>
  </w:abstractNum>
  <w:abstractNum w:abstractNumId="231">
    <w:nsid w:val="665ACA49"/>
    <w:multiLevelType w:val="hybridMultilevel"/>
    <w:lvl w:ilvl="0">
      <w:lvlJc w:val="left"/>
      <w:lvlText w:val="(%1)"/>
      <w:numFmt w:val="lowerLetter"/>
      <w:start w:val="5"/>
    </w:lvl>
  </w:abstractNum>
  <w:abstractNum w:abstractNumId="232">
    <w:nsid w:val="6835B2AE"/>
    <w:multiLevelType w:val="hybridMultilevel"/>
    <w:lvl w:ilvl="0">
      <w:lvlJc w:val="left"/>
      <w:lvlText w:val="(%1)"/>
      <w:numFmt w:val="lowerLetter"/>
      <w:start w:val="1"/>
    </w:lvl>
    <w:lvl w:ilvl="1">
      <w:lvlJc w:val="left"/>
      <w:lvlText w:val="(%2)"/>
      <w:numFmt w:val="decimal"/>
      <w:start w:val="1"/>
    </w:lvl>
  </w:abstractNum>
  <w:abstractNum w:abstractNumId="233">
    <w:nsid w:val="4C187C90"/>
    <w:multiLevelType w:val="hybridMultilevel"/>
    <w:lvl w:ilvl="0">
      <w:lvlJc w:val="left"/>
      <w:lvlText w:val="(%1)"/>
      <w:numFmt w:val="decimal"/>
      <w:start w:val="1"/>
    </w:lvl>
  </w:abstractNum>
  <w:abstractNum w:abstractNumId="234">
    <w:nsid w:val="541F28CD"/>
    <w:multiLevelType w:val="hybridMultilevel"/>
    <w:lvl w:ilvl="0">
      <w:lvlJc w:val="left"/>
      <w:lvlText w:val="(%1)"/>
      <w:numFmt w:val="decimal"/>
      <w:start w:val="6"/>
    </w:lvl>
  </w:abstractNum>
  <w:abstractNum w:abstractNumId="235">
    <w:nsid w:val="7F65FD16"/>
    <w:multiLevelType w:val="hybridMultilevel"/>
    <w:lvl w:ilvl="0">
      <w:lvlJc w:val="left"/>
      <w:lvlText w:val="(%1)"/>
      <w:numFmt w:val="lowerLetter"/>
      <w:start w:val="1"/>
    </w:lvl>
    <w:lvl w:ilvl="1">
      <w:lvlJc w:val="left"/>
      <w:lvlText w:val="(%2)"/>
      <w:numFmt w:val="decimal"/>
      <w:start w:val="1"/>
    </w:lvl>
  </w:abstractNum>
  <w:abstractNum w:abstractNumId="236">
    <w:nsid w:val="77C9FD68"/>
    <w:multiLevelType w:val="hybridMultilevel"/>
    <w:lvl w:ilvl="0">
      <w:lvlJc w:val="left"/>
      <w:lvlText w:val="%1"/>
      <w:numFmt w:val="lowerLetter"/>
      <w:start w:val="1"/>
    </w:lvl>
    <w:lvl w:ilvl="1">
      <w:lvlJc w:val="left"/>
      <w:lvlText w:val="(%2)"/>
      <w:numFmt w:val="decimal"/>
      <w:start w:val="6"/>
    </w:lvl>
  </w:abstractNum>
  <w:abstractNum w:abstractNumId="237">
    <w:nsid w:val="298A92BA"/>
    <w:multiLevelType w:val="hybridMultilevel"/>
    <w:lvl w:ilvl="0">
      <w:lvlJc w:val="left"/>
      <w:lvlText w:val="(%1)"/>
      <w:numFmt w:val="lowerLetter"/>
      <w:start w:val="3"/>
    </w:lvl>
    <w:lvl w:ilvl="1">
      <w:lvlJc w:val="left"/>
      <w:lvlText w:val="%2"/>
      <w:numFmt w:val="decimal"/>
      <w:start w:val="1"/>
    </w:lvl>
  </w:abstractNum>
  <w:abstractNum w:abstractNumId="238">
    <w:nsid w:val="6FE95E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39">
    <w:nsid w:val="4B697C7A"/>
    <w:multiLevelType w:val="hybridMultilevel"/>
    <w:lvl w:ilvl="0">
      <w:lvlJc w:val="left"/>
      <w:lvlText w:val="(%1)"/>
      <w:numFmt w:val="decimal"/>
      <w:start w:val="2"/>
    </w:lvl>
  </w:abstractNum>
  <w:abstractNum w:abstractNumId="240">
    <w:nsid w:val="51A27AA6"/>
    <w:multiLevelType w:val="hybridMultilevel"/>
    <w:lvl w:ilvl="0">
      <w:lvlJc w:val="left"/>
      <w:lvlText w:val="(%1)"/>
      <w:numFmt w:val="lowerLetter"/>
      <w:start w:val="2"/>
    </w:lvl>
    <w:lvl w:ilvl="1">
      <w:lvlJc w:val="left"/>
      <w:lvlText w:val="(%2)"/>
      <w:numFmt w:val="decimal"/>
      <w:start w:val="1"/>
    </w:lvl>
  </w:abstractNum>
  <w:abstractNum w:abstractNumId="241">
    <w:nsid w:val="613183F2"/>
    <w:multiLevelType w:val="hybridMultilevel"/>
    <w:lvl w:ilvl="0">
      <w:lvlJc w:val="left"/>
      <w:lvlText w:val="(%1)"/>
      <w:numFmt w:val="upperLetter"/>
      <w:start w:val="1"/>
    </w:lvl>
    <w:lvl w:ilvl="1">
      <w:lvlJc w:val="left"/>
      <w:lvlText w:val="(%2)"/>
      <w:numFmt w:val="lowerLetter"/>
      <w:start w:val="3"/>
    </w:lvl>
  </w:abstractNum>
  <w:abstractNum w:abstractNumId="242">
    <w:nsid w:val="634102B4"/>
    <w:multiLevelType w:val="hybridMultilevel"/>
    <w:lvl w:ilvl="0">
      <w:lvlJc w:val="left"/>
      <w:lvlText w:val="(%1)"/>
      <w:numFmt w:val="lowerLetter"/>
      <w:start w:val="1"/>
    </w:lvl>
  </w:abstractNum>
  <w:abstractNum w:abstractNumId="243">
    <w:nsid w:val="65BF9DA8"/>
    <w:multiLevelType w:val="hybridMultilevel"/>
    <w:lvl w:ilvl="0">
      <w:lvlJc w:val="left"/>
      <w:lvlText w:val="%1"/>
      <w:numFmt w:val="lowerLetter"/>
      <w:start w:val="1"/>
    </w:lvl>
    <w:lvl w:ilvl="1">
      <w:lvlJc w:val="left"/>
      <w:lvlText w:val="(%2)"/>
      <w:numFmt w:val="lowerLetter"/>
      <w:start w:val="1"/>
    </w:lvl>
  </w:abstractNum>
  <w:abstractNum w:abstractNumId="244">
    <w:nsid w:val="21A2ECCA"/>
    <w:multiLevelType w:val="hybridMultilevel"/>
    <w:lvl w:ilvl="0">
      <w:lvlJc w:val="left"/>
      <w:lvlText w:val="(%1)"/>
      <w:numFmt w:val="lowerLetter"/>
      <w:start w:val="35"/>
    </w:lvl>
    <w:lvl w:ilvl="1">
      <w:lvlJc w:val="left"/>
      <w:lvlText w:val="%2"/>
      <w:numFmt w:val="lowerLetter"/>
      <w:start w:val="1"/>
    </w:lvl>
  </w:abstractNum>
  <w:abstractNum w:abstractNumId="245">
    <w:nsid w:val="4D5C4899"/>
    <w:multiLevelType w:val="hybridMultilevel"/>
    <w:lvl w:ilvl="0">
      <w:lvlJc w:val="left"/>
      <w:lvlText w:val="(%1)"/>
      <w:numFmt w:val="lowerLetter"/>
      <w:start w:val="2"/>
    </w:lvl>
  </w:abstractNum>
  <w:abstractNum w:abstractNumId="246">
    <w:nsid w:val="3C3B72B2"/>
    <w:multiLevelType w:val="hybridMultilevel"/>
    <w:lvl w:ilvl="0">
      <w:lvlJc w:val="left"/>
      <w:lvlText w:val="(%1)"/>
      <w:numFmt w:val="lowerLetter"/>
      <w:start w:val="3"/>
    </w:lvl>
  </w:abstractNum>
  <w:abstractNum w:abstractNumId="247">
    <w:nsid w:val="155EC4C2"/>
    <w:multiLevelType w:val="hybridMultilevel"/>
    <w:lvl w:ilvl="0">
      <w:lvlJc w:val="left"/>
      <w:lvlText w:val="(%1)"/>
      <w:numFmt w:val="decimal"/>
      <w:start w:val="1"/>
    </w:lvl>
  </w:abstractNum>
  <w:abstractNum w:abstractNumId="248">
    <w:nsid w:val="65D2A137"/>
    <w:multiLevelType w:val="hybridMultilevel"/>
    <w:lvl w:ilvl="0">
      <w:lvlJc w:val="left"/>
      <w:lvlText w:val="(%1)"/>
      <w:numFmt w:val="decimal"/>
      <w:start w:val="4"/>
    </w:lvl>
  </w:abstractNum>
  <w:abstractNum w:abstractNumId="249">
    <w:nsid w:val="6EBB1F2A"/>
    <w:multiLevelType w:val="hybridMultilevel"/>
    <w:lvl w:ilvl="0">
      <w:lvlJc w:val="left"/>
      <w:lvlText w:val="(%1)"/>
      <w:numFmt w:val="decimal"/>
      <w:start w:val="1"/>
    </w:lvl>
  </w:abstractNum>
  <w:abstractNum w:abstractNumId="250">
    <w:nsid w:val="6FBF29CB"/>
    <w:multiLevelType w:val="hybridMultilevel"/>
    <w:lvl w:ilvl="0">
      <w:lvlJc w:val="left"/>
      <w:lvlText w:val="(%1)"/>
      <w:numFmt w:val="decimal"/>
      <w:start w:val="1"/>
    </w:lvl>
  </w:abstractNum>
  <w:abstractNum w:abstractNumId="251">
    <w:nsid w:val="550B8808"/>
    <w:multiLevelType w:val="hybridMultilevel"/>
    <w:lvl w:ilvl="0">
      <w:lvlJc w:val="left"/>
      <w:lvlText w:val="€"/>
      <w:numFmt w:val="bullet"/>
      <w:start w:val="1"/>
    </w:lvl>
  </w:abstractNum>
  <w:abstractNum w:abstractNumId="252">
    <w:nsid w:val="34CC3ACF"/>
    <w:multiLevelType w:val="hybridMultilevel"/>
    <w:lvl w:ilvl="0">
      <w:lvlJc w:val="left"/>
      <w:lvlText w:val="(%1)"/>
      <w:numFmt w:val="decimal"/>
      <w:start w:val="1"/>
    </w:lvl>
    <w:lvl w:ilvl="1">
      <w:lvlJc w:val="left"/>
      <w:lvlText w:val="(%2)"/>
      <w:numFmt w:val="lowerLetter"/>
      <w:start w:val="1"/>
    </w:lvl>
  </w:abstractNum>
  <w:abstractNum w:abstractNumId="253">
    <w:nsid w:val="4E556261"/>
    <w:multiLevelType w:val="hybridMultilevel"/>
    <w:lvl w:ilvl="0">
      <w:lvlJc w:val="left"/>
      <w:lvlText w:val="(%1)"/>
      <w:numFmt w:val="decimal"/>
      <w:start w:val="6"/>
    </w:lvl>
  </w:abstractNum>
  <w:abstractNum w:abstractNumId="254">
    <w:nsid w:val="4C672FC9"/>
    <w:multiLevelType w:val="hybridMultilevel"/>
    <w:lvl w:ilvl="0">
      <w:lvlJc w:val="left"/>
      <w:lvlText w:val="(%1)"/>
      <w:numFmt w:val="decimal"/>
      <w:start w:val="14"/>
    </w:lvl>
  </w:abstractNum>
  <w:abstractNum w:abstractNumId="255">
    <w:nsid w:val="52A311C3"/>
    <w:multiLevelType w:val="hybridMultilevel"/>
    <w:lvl w:ilvl="0">
      <w:lvlJc w:val="left"/>
      <w:lvlText w:val="(%1)"/>
      <w:numFmt w:val="decimal"/>
      <w:start w:val="22"/>
    </w:lvl>
  </w:abstractNum>
  <w:abstractNum w:abstractNumId="256">
    <w:nsid w:val="44EF6B80"/>
    <w:multiLevelType w:val="hybridMultilevel"/>
    <w:lvl w:ilvl="0">
      <w:lvlJc w:val="left"/>
      <w:lvlText w:val="☐"/>
      <w:numFmt w:val="bullet"/>
      <w:start w:val="1"/>
    </w:lvl>
  </w:abstractNum>
  <w:abstractNum w:abstractNumId="257">
    <w:nsid w:val="12FCDE5E"/>
    <w:multiLevelType w:val="hybridMultilevel"/>
    <w:lvl w:ilvl="0">
      <w:lvlJc w:val="left"/>
      <w:lvlText w:val="☐"/>
      <w:numFmt w:val="bullet"/>
      <w:start w:val="1"/>
    </w:lvl>
  </w:abstractNum>
  <w:abstractNum w:abstractNumId="258">
    <w:nsid w:val="4A1D606E"/>
    <w:multiLevelType w:val="hybridMultilevel"/>
    <w:lvl w:ilvl="0">
      <w:lvlJc w:val="left"/>
      <w:lvlText w:val="€"/>
      <w:numFmt w:val="bullet"/>
      <w:start w:val="1"/>
    </w:lvl>
  </w:abstractNum>
  <w:abstractNum w:abstractNumId="259">
    <w:nsid w:val="4382503"/>
    <w:multiLevelType w:val="hybridMultilevel"/>
    <w:lvl w:ilvl="0">
      <w:lvlJc w:val="left"/>
      <w:lvlText w:val="(%1)"/>
      <w:numFmt w:val="decimal"/>
      <w:start w:val="1"/>
    </w:lvl>
    <w:lvl w:ilvl="1">
      <w:lvlJc w:val="left"/>
      <w:lvlText w:val="(%2)"/>
      <w:numFmt w:val="lowerLetter"/>
      <w:start w:val="1"/>
    </w:lvl>
  </w:abstractNum>
  <w:abstractNum w:abstractNumId="260">
    <w:nsid w:val="59B76E28"/>
    <w:multiLevelType w:val="hybridMultilevel"/>
    <w:lvl w:ilvl="0">
      <w:lvlJc w:val="left"/>
      <w:lvlText w:val="(%1)"/>
      <w:numFmt w:val="decimal"/>
      <w:start w:val="6"/>
    </w:lvl>
  </w:abstractNum>
  <w:abstractNum w:abstractNumId="261">
    <w:nsid w:val="4252C2DA"/>
    <w:multiLevelType w:val="hybridMultilevel"/>
    <w:lvl w:ilvl="0">
      <w:lvlJc w:val="left"/>
      <w:lvlText w:val="(%1)"/>
      <w:numFmt w:val="decimal"/>
      <w:start w:val="14"/>
    </w:lvl>
  </w:abstractNum>
  <w:abstractNum w:abstractNumId="262">
    <w:nsid w:val="6A92EF4C"/>
    <w:multiLevelType w:val="hybridMultilevel"/>
    <w:lvl w:ilvl="0">
      <w:lvlJc w:val="left"/>
      <w:lvlText w:val="(%1)"/>
      <w:numFmt w:val="decimal"/>
      <w:start w:val="20"/>
    </w:lvl>
  </w:abstractNum>
  <w:abstractNum w:abstractNumId="263">
    <w:nsid w:val="41ED20D7"/>
    <w:multiLevelType w:val="hybridMultilevel"/>
    <w:lvl w:ilvl="0">
      <w:lvlJc w:val="left"/>
      <w:lvlText w:val="☐"/>
      <w:numFmt w:val="bullet"/>
      <w:start w:val="1"/>
    </w:lvl>
  </w:abstractNum>
  <w:abstractNum w:abstractNumId="264">
    <w:nsid w:val="E6B3F6A"/>
    <w:multiLevelType w:val="hybridMultilevel"/>
    <w:lvl w:ilvl="0">
      <w:lvlJc w:val="left"/>
      <w:lvlText w:val="☐"/>
      <w:numFmt w:val="bullet"/>
      <w:start w:val="1"/>
    </w:lvl>
  </w:abstractNum>
  <w:abstractNum w:abstractNumId="265">
    <w:nsid w:val="3EB21819"/>
    <w:multiLevelType w:val="hybridMultilevel"/>
    <w:lvl w:ilvl="0">
      <w:lvlJc w:val="left"/>
      <w:lvlText w:val="€"/>
      <w:numFmt w:val="bullet"/>
      <w:start w:val="1"/>
    </w:lvl>
  </w:abstractNum>
  <w:abstractNum w:abstractNumId="266">
    <w:nsid w:val="41531DED"/>
    <w:multiLevelType w:val="hybridMultilevel"/>
    <w:lvl w:ilvl="0">
      <w:lvlJc w:val="left"/>
      <w:lvlText w:val="(%1)"/>
      <w:numFmt w:val="decimal"/>
      <w:start w:val="1"/>
    </w:lvl>
    <w:lvl w:ilvl="1">
      <w:lvlJc w:val="left"/>
      <w:lvlText w:val="(%2)"/>
      <w:numFmt w:val="lowerLetter"/>
      <w:start w:val="1"/>
    </w:lvl>
  </w:abstractNum>
  <w:abstractNum w:abstractNumId="267">
    <w:nsid w:val="6353CD2"/>
    <w:multiLevelType w:val="hybridMultilevel"/>
    <w:lvl w:ilvl="0">
      <w:lvlJc w:val="left"/>
      <w:lvlText w:val="(%1)"/>
      <w:numFmt w:val="decimal"/>
      <w:start w:val="6"/>
    </w:lvl>
  </w:abstractNum>
  <w:abstractNum w:abstractNumId="268">
    <w:nsid w:val="683CAAD3"/>
    <w:multiLevelType w:val="hybridMultilevel"/>
    <w:lvl w:ilvl="0">
      <w:lvlJc w:val="left"/>
      <w:lvlText w:val="(%1)"/>
      <w:numFmt w:val="decimal"/>
      <w:start w:val="14"/>
    </w:lvl>
  </w:abstractNum>
  <w:abstractNum w:abstractNumId="269">
    <w:nsid w:val="313C7C99"/>
    <w:multiLevelType w:val="hybridMultilevel"/>
    <w:lvl w:ilvl="0">
      <w:lvlJc w:val="left"/>
      <w:lvlText w:val="(%1)"/>
      <w:numFmt w:val="decimal"/>
      <w:start w:val="21"/>
    </w:lvl>
  </w:abstractNum>
  <w:abstractNum w:abstractNumId="270">
    <w:nsid w:val="519EB94C"/>
    <w:multiLevelType w:val="hybridMultilevel"/>
    <w:lvl w:ilvl="0">
      <w:lvlJc w:val="left"/>
      <w:lvlText w:val="☐"/>
      <w:numFmt w:val="bullet"/>
      <w:start w:val="1"/>
    </w:lvl>
  </w:abstractNum>
  <w:abstractNum w:abstractNumId="271">
    <w:nsid w:val="39DF2579"/>
    <w:multiLevelType w:val="hybridMultilevel"/>
    <w:lvl w:ilvl="0">
      <w:lvlJc w:val="left"/>
      <w:lvlText w:val="☐"/>
      <w:numFmt w:val="bullet"/>
      <w:start w:val="1"/>
    </w:lvl>
  </w:abstractNum>
  <w:abstractNum w:abstractNumId="272">
    <w:nsid w:val="126E008B"/>
    <w:multiLevelType w:val="hybridMultilevel"/>
    <w:lvl w:ilvl="0">
      <w:lvlJc w:val="left"/>
      <w:lvlText w:val="(%1)"/>
      <w:numFmt w:val="decimal"/>
      <w:start w:val="1"/>
    </w:lvl>
    <w:lvl w:ilvl="1">
      <w:lvlJc w:val="left"/>
      <w:lvlText w:val="(%2)"/>
      <w:numFmt w:val="lowerLetter"/>
      <w:start w:val="1"/>
    </w:lvl>
  </w:abstractNum>
  <w:abstractNum w:abstractNumId="273">
    <w:nsid w:val="34DFBC00"/>
    <w:multiLevelType w:val="hybridMultilevel"/>
    <w:lvl w:ilvl="0">
      <w:lvlJc w:val="left"/>
      <w:lvlText w:val="(%1)"/>
      <w:numFmt w:val="decimal"/>
      <w:start w:val="6"/>
    </w:lvl>
  </w:abstractNum>
  <w:abstractNum w:abstractNumId="274">
    <w:nsid w:val="1F9EC322"/>
    <w:multiLevelType w:val="hybridMultilevel"/>
    <w:lvl w:ilvl="0">
      <w:lvlJc w:val="left"/>
      <w:lvlText w:val="(%1)"/>
      <w:numFmt w:val="decimal"/>
      <w:start w:val="14"/>
    </w:lvl>
  </w:abstractNum>
  <w:abstractNum w:abstractNumId="275">
    <w:nsid w:val="3410ED56"/>
    <w:multiLevelType w:val="hybridMultilevel"/>
    <w:lvl w:ilvl="0">
      <w:lvlJc w:val="left"/>
      <w:lvlText w:val="(%1)"/>
      <w:numFmt w:val="decimal"/>
      <w:start w:val="20"/>
    </w:lvl>
  </w:abstractNum>
  <w:abstractNum w:abstractNumId="276">
    <w:nsid w:val="23C049A"/>
    <w:multiLevelType w:val="hybridMultilevel"/>
    <w:lvl w:ilvl="0">
      <w:lvlJc w:val="left"/>
      <w:lvlText w:val="☐"/>
      <w:numFmt w:val="bullet"/>
      <w:start w:val="1"/>
    </w:lvl>
  </w:abstractNum>
  <w:abstractNum w:abstractNumId="277">
    <w:nsid w:val="5BDA35D4"/>
    <w:multiLevelType w:val="hybridMultilevel"/>
    <w:lvl w:ilvl="0">
      <w:lvlJc w:val="left"/>
      <w:lvlText w:val="☐"/>
      <w:numFmt w:val="bullet"/>
      <w:start w:val="1"/>
    </w:lvl>
  </w:abstractNum>
  <w:abstractNum w:abstractNumId="278">
    <w:nsid w:val="496FB218"/>
    <w:multiLevelType w:val="hybridMultilevel"/>
    <w:lvl w:ilvl="0">
      <w:lvlJc w:val="left"/>
      <w:lvlText w:val="☐"/>
      <w:numFmt w:val="bullet"/>
      <w:start w:val="1"/>
    </w:lvl>
  </w:abstractNum>
  <w:abstractNum w:abstractNumId="279">
    <w:nsid w:val="680EA5D1"/>
    <w:multiLevelType w:val="hybridMultilevel"/>
    <w:lvl w:ilvl="0">
      <w:lvlJc w:val="left"/>
      <w:lvlText w:val="(%1)"/>
      <w:numFmt w:val="decimal"/>
      <w:start w:val="1"/>
    </w:lvl>
  </w:abstractNum>
  <w:abstractNum w:abstractNumId="280">
    <w:nsid w:val="4A9554FE"/>
    <w:multiLevelType w:val="hybridMultilevel"/>
    <w:lvl w:ilvl="0">
      <w:lvlJc w:val="left"/>
      <w:lvlText w:val="%1."/>
      <w:numFmt w:val="decimal"/>
      <w:start w:val="1"/>
    </w:lvl>
  </w:abstractNum>
  <w:abstractNum w:abstractNumId="281">
    <w:nsid w:val="392EDBE4"/>
    <w:multiLevelType w:val="hybridMultilevel"/>
    <w:lvl w:ilvl="0">
      <w:lvlJc w:val="left"/>
      <w:lvlText w:val="%1."/>
      <w:numFmt w:val="decimal"/>
      <w:start w:val="5"/>
    </w:lvl>
  </w:abstractNum>
  <w:abstractNum w:abstractNumId="282">
    <w:nsid w:val="3D1A2DD9"/>
    <w:multiLevelType w:val="hybridMultilevel"/>
    <w:lvl w:ilvl="0">
      <w:lvlJc w:val="left"/>
      <w:lvlText w:val="1"/>
      <w:numFmt w:val="bullet"/>
      <w:start w:val="1"/>
    </w:lvl>
  </w:abstractNum>
  <w:abstractNum w:abstractNumId="283">
    <w:nsid w:val="7F618FCD"/>
    <w:multiLevelType w:val="hybridMultilevel"/>
    <w:lvl w:ilvl="0">
      <w:lvlJc w:val="left"/>
      <w:lvlText w:val="%1."/>
      <w:numFmt w:val="decimal"/>
      <w:start w:val="1"/>
    </w:lvl>
  </w:abstractNum>
  <w:abstractNum w:abstractNumId="284">
    <w:nsid w:val="7843E45"/>
    <w:multiLevelType w:val="hybridMultilevel"/>
    <w:lvl w:ilvl="0">
      <w:lvlJc w:val="left"/>
      <w:lvlText w:val="%1."/>
      <w:numFmt w:val="decimal"/>
      <w:start w:val="5"/>
    </w:lvl>
  </w:abstractNum>
  <w:abstractNum w:abstractNumId="285">
    <w:nsid w:val="9815DA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2020-06-26T16:04:06Z</dcterms:created>
  <dcterms:modified xsi:type="dcterms:W3CDTF">2020-06-26T16:04:06Z</dcterms:modified>
</cp:coreProperties>
</file>