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 of Report (Date of earliest event reported): August 7, 2025</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20"/>
          </w:cols>
          <w:pgMar w:left="320" w:top="983" w:right="359" w:bottom="1440" w:gutter="0" w:footer="0" w:header="0"/>
        </w:sectPr>
      </w:pPr>
    </w:p>
    <w:p>
      <w:pPr>
        <w:spacing w:after="0" w:line="22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21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6" w:lineRule="exact"/>
        <w:rPr>
          <w:sz w:val="24"/>
          <w:szCs w:val="24"/>
          <w:color w:val="auto"/>
        </w:rPr>
      </w:pPr>
    </w:p>
    <w:p>
      <w:pPr>
        <w:sectPr>
          <w:pgSz w:w="11900" w:h="16838" w:orient="portrait"/>
          <w:cols w:equalWidth="0" w:num="3">
            <w:col w:w="4380" w:space="720"/>
            <w:col w:w="1800" w:space="720"/>
            <w:col w:w="3600"/>
          </w:cols>
          <w:pgMar w:left="320" w:top="983" w:right="35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27" w:lineRule="exact"/>
        <w:rPr>
          <w:sz w:val="24"/>
          <w:szCs w:val="24"/>
          <w:color w:val="auto"/>
        </w:rPr>
      </w:pPr>
    </w:p>
    <w:p>
      <w:pPr>
        <w:ind w:right="340" w:firstLine="324"/>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6"/>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91" w:lineRule="exact"/>
        <w:rPr>
          <w:sz w:val="24"/>
          <w:szCs w:val="24"/>
          <w:color w:val="auto"/>
        </w:rPr>
      </w:pPr>
    </w:p>
    <w:p>
      <w:pPr>
        <w:ind w:right="160" w:firstLine="324"/>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ind w:left="34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August 7, 2025, Viatris Inc. (“Viatris” or the “Company”) issued a press release reporting the Company's financial results for the period ended June 30, 2025. A copy of the press release is attached hereto as Exhibit 99.1 and is incorporated herein by reference.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period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500" w:hanging="1474"/>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announcing the Company's financial results for the second quarter of 2025, dated August 7, 2025.</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Theodora Mistras</w:t>
      </w: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Viatris Reports Second Quarter 2025 Results and Reiterates 2025 Financial Guidance</w:t>
      </w:r>
    </w:p>
    <w:p>
      <w:pPr>
        <w:spacing w:after="0" w:line="258" w:lineRule="exact"/>
        <w:rPr>
          <w:sz w:val="20"/>
          <w:szCs w:val="20"/>
          <w:color w:val="auto"/>
        </w:rPr>
      </w:pPr>
    </w:p>
    <w:p>
      <w:pPr>
        <w:ind w:left="660" w:right="780" w:hanging="328"/>
        <w:spacing w:after="0" w:line="262"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0"/>
          <w:szCs w:val="20"/>
          <w:i w:val="1"/>
          <w:iCs w:val="1"/>
          <w:color w:val="auto"/>
        </w:rPr>
        <w:t>Delivers Total Revenues Above Expectations Reflecting the Strength of our Execution and the Resilience of our Diversified Global Business</w:t>
      </w:r>
    </w:p>
    <w:p>
      <w:pPr>
        <w:spacing w:after="0" w:line="201" w:lineRule="exact"/>
        <w:rPr>
          <w:rFonts w:ascii="Arial" w:cs="Arial" w:eastAsia="Arial" w:hAnsi="Arial"/>
          <w:sz w:val="22"/>
          <w:szCs w:val="22"/>
          <w:b w:val="1"/>
          <w:bCs w:val="1"/>
          <w:color w:val="auto"/>
        </w:rPr>
      </w:pPr>
    </w:p>
    <w:p>
      <w:pPr>
        <w:ind w:left="660" w:hanging="328"/>
        <w:spacing w:after="0"/>
        <w:tabs>
          <w:tab w:leader="none" w:pos="660" w:val="left"/>
        </w:tabs>
        <w:numPr>
          <w:ilvl w:val="0"/>
          <w:numId w:val="3"/>
        </w:numPr>
        <w:rPr>
          <w:rFonts w:ascii="Arial" w:cs="Arial" w:eastAsia="Arial" w:hAnsi="Arial"/>
          <w:sz w:val="22"/>
          <w:szCs w:val="22"/>
          <w:b w:val="1"/>
          <w:bCs w:val="1"/>
          <w:color w:val="auto"/>
        </w:rPr>
      </w:pPr>
      <w:r>
        <w:rPr>
          <w:rFonts w:ascii="Arial" w:cs="Arial" w:eastAsia="Arial" w:hAnsi="Arial"/>
          <w:sz w:val="20"/>
          <w:szCs w:val="20"/>
          <w:i w:val="1"/>
          <w:iCs w:val="1"/>
          <w:color w:val="auto"/>
        </w:rPr>
        <w:t>Positive Results From Five Phase 3 Data Readouts This Year Reinforce Continued Momentum of Late-Stage Pipeline</w:t>
      </w:r>
    </w:p>
    <w:p>
      <w:pPr>
        <w:spacing w:after="0" w:line="233" w:lineRule="exact"/>
        <w:rPr>
          <w:rFonts w:ascii="Arial" w:cs="Arial" w:eastAsia="Arial" w:hAnsi="Arial"/>
          <w:sz w:val="22"/>
          <w:szCs w:val="22"/>
          <w:b w:val="1"/>
          <w:bCs w:val="1"/>
          <w:color w:val="auto"/>
        </w:rPr>
      </w:pPr>
    </w:p>
    <w:p>
      <w:pPr>
        <w:ind w:left="660" w:hanging="328"/>
        <w:spacing w:after="0"/>
        <w:tabs>
          <w:tab w:leader="none" w:pos="660" w:val="left"/>
        </w:tabs>
        <w:numPr>
          <w:ilvl w:val="0"/>
          <w:numId w:val="3"/>
        </w:numPr>
        <w:rPr>
          <w:rFonts w:ascii="Arial" w:cs="Arial" w:eastAsia="Arial" w:hAnsi="Arial"/>
          <w:sz w:val="22"/>
          <w:szCs w:val="22"/>
          <w:b w:val="1"/>
          <w:bCs w:val="1"/>
          <w:color w:val="auto"/>
        </w:rPr>
      </w:pPr>
      <w:r>
        <w:rPr>
          <w:rFonts w:ascii="Arial" w:cs="Arial" w:eastAsia="Arial" w:hAnsi="Arial"/>
          <w:sz w:val="20"/>
          <w:szCs w:val="20"/>
          <w:i w:val="1"/>
          <w:iCs w:val="1"/>
          <w:color w:val="auto"/>
        </w:rPr>
        <w:t>Returns More Than $630 Million of Capital to Shareholders Year-to-Date Including $350 Million in Share Buybacks</w:t>
      </w:r>
    </w:p>
    <w:p>
      <w:pPr>
        <w:spacing w:after="0" w:line="233" w:lineRule="exact"/>
        <w:rPr>
          <w:rFonts w:ascii="Arial" w:cs="Arial" w:eastAsia="Arial" w:hAnsi="Arial"/>
          <w:sz w:val="22"/>
          <w:szCs w:val="22"/>
          <w:b w:val="1"/>
          <w:bCs w:val="1"/>
          <w:color w:val="auto"/>
        </w:rPr>
      </w:pPr>
    </w:p>
    <w:p>
      <w:pPr>
        <w:ind w:left="660" w:right="100" w:hanging="328"/>
        <w:spacing w:after="0" w:line="262"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0"/>
          <w:szCs w:val="20"/>
          <w:i w:val="1"/>
          <w:iCs w:val="1"/>
          <w:color w:val="auto"/>
        </w:rPr>
        <w:t>Reiterates 2025 Financial Guidance Ranges Across all Metrics and Expects to be in the Top Half of the Range for Total Revenues and Adjusted EPS [1]</w:t>
      </w:r>
    </w:p>
    <w:p>
      <w:pPr>
        <w:spacing w:after="0" w:line="186" w:lineRule="exact"/>
        <w:rPr>
          <w:sz w:val="20"/>
          <w:szCs w:val="20"/>
          <w:color w:val="auto"/>
        </w:rPr>
      </w:pPr>
    </w:p>
    <w:p>
      <w:pPr>
        <w:spacing w:after="0" w:line="274" w:lineRule="auto"/>
        <w:rPr>
          <w:sz w:val="20"/>
          <w:szCs w:val="20"/>
          <w:color w:val="auto"/>
        </w:rPr>
      </w:pPr>
      <w:r>
        <w:rPr>
          <w:rFonts w:ascii="Arial" w:cs="Arial" w:eastAsia="Arial" w:hAnsi="Arial"/>
          <w:sz w:val="20"/>
          <w:szCs w:val="20"/>
          <w:b w:val="1"/>
          <w:bCs w:val="1"/>
          <w:color w:val="auto"/>
        </w:rPr>
        <w:t xml:space="preserve">PITTSBURGH – August 7, 2025 </w:t>
      </w:r>
      <w:r>
        <w:rPr>
          <w:rFonts w:ascii="Arial" w:cs="Arial" w:eastAsia="Arial" w:hAnsi="Arial"/>
          <w:sz w:val="20"/>
          <w:szCs w:val="20"/>
          <w:color w:val="auto"/>
        </w:rPr>
        <w:t>– Viatris Inc. (Nasdaq: VTRS) today reported strong second quarter 2025 financial results and</w:t>
      </w:r>
      <w:r>
        <w:rPr>
          <w:rFonts w:ascii="Arial" w:cs="Arial" w:eastAsia="Arial" w:hAnsi="Arial"/>
          <w:sz w:val="20"/>
          <w:szCs w:val="20"/>
          <w:b w:val="1"/>
          <w:bCs w:val="1"/>
          <w:color w:val="auto"/>
        </w:rPr>
        <w:t xml:space="preserve"> </w:t>
      </w:r>
      <w:r>
        <w:rPr>
          <w:rFonts w:ascii="Arial" w:cs="Arial" w:eastAsia="Arial" w:hAnsi="Arial"/>
          <w:sz w:val="20"/>
          <w:szCs w:val="20"/>
          <w:color w:val="auto"/>
        </w:rPr>
        <w:t>reiterated its 2025 financial guidance ranges across all metrics.</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Executive Commentary</w:t>
      </w:r>
    </w:p>
    <w:p>
      <w:pPr>
        <w:spacing w:after="0" w:line="245"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 xml:space="preserve">“We delivered a strong second quarter and continued to make meaningful progress against our key 2025 strategic priorities,” said </w:t>
      </w:r>
      <w:r>
        <w:rPr>
          <w:rFonts w:ascii="Arial" w:cs="Arial" w:eastAsia="Arial" w:hAnsi="Arial"/>
          <w:sz w:val="20"/>
          <w:szCs w:val="20"/>
          <w:b w:val="1"/>
          <w:bCs w:val="1"/>
          <w:color w:val="7030A0"/>
        </w:rPr>
        <w:t>Scott A. Smith, CEO, Viatris</w:t>
      </w:r>
      <w:r>
        <w:rPr>
          <w:rFonts w:ascii="Arial" w:cs="Arial" w:eastAsia="Arial" w:hAnsi="Arial"/>
          <w:sz w:val="20"/>
          <w:szCs w:val="20"/>
          <w:color w:val="auto"/>
        </w:rPr>
        <w:t>. “We believe our results reflect the strength and resilience of our diversified global business, and our late-stage pipeline continues to advance with encouraging momentum. We are progressing our enterprise-wide strategic review and continue to return significant capital to shareholders. We remain focused on driving commercial execution, investing in strategic accretive in-market business development opportunities and positioning Viatris for sustainable growth in 2026 and beyond.”</w:t>
      </w:r>
    </w:p>
    <w:p>
      <w:pPr>
        <w:spacing w:after="0" w:line="214"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 xml:space="preserve">“Our second-quarter results exceeded our expectations, and we continue to execute with financial discipline—delivering strong operational performance, reaffirming all key elements of our 2025 financial guidance ranges and building momentum into the second half of the year,” said </w:t>
      </w:r>
      <w:r>
        <w:rPr>
          <w:rFonts w:ascii="Arial" w:cs="Arial" w:eastAsia="Arial" w:hAnsi="Arial"/>
          <w:sz w:val="20"/>
          <w:szCs w:val="20"/>
          <w:b w:val="1"/>
          <w:bCs w:val="1"/>
          <w:color w:val="7030A0"/>
        </w:rPr>
        <w:t>Doretta Mistras, CFO, Viatris</w:t>
      </w:r>
      <w:r>
        <w:rPr>
          <w:rFonts w:ascii="Arial" w:cs="Arial" w:eastAsia="Arial" w:hAnsi="Arial"/>
          <w:sz w:val="20"/>
          <w:szCs w:val="20"/>
          <w:color w:val="auto"/>
        </w:rPr>
        <w:t>. “With more than $630 million in capital returned to shareholders year-to-date and visibility into continued growth across key regions, we remain confident in our ability to deliver on our financial commitments.”</w:t>
      </w:r>
    </w:p>
    <w:p>
      <w:pPr>
        <w:spacing w:after="0" w:line="200" w:lineRule="exact"/>
        <w:rPr>
          <w:sz w:val="20"/>
          <w:szCs w:val="20"/>
          <w:color w:val="auto"/>
        </w:rPr>
      </w:pPr>
    </w:p>
    <w:p>
      <w:pPr>
        <w:spacing w:after="0" w:line="257" w:lineRule="exact"/>
        <w:rPr>
          <w:sz w:val="20"/>
          <w:szCs w:val="20"/>
          <w:color w:val="auto"/>
        </w:rPr>
      </w:pPr>
    </w:p>
    <w:p>
      <w:pPr>
        <w:ind w:right="100" w:firstLine="8"/>
        <w:spacing w:after="0" w:line="251" w:lineRule="auto"/>
        <w:tabs>
          <w:tab w:leader="none" w:pos="275"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Viatris is not providing forward-looking guidance for U.S. GAAP net (loss) earnings or U.S. GAAP diluted EPS or a quantitative reconciliation of its 2025 adjusted EBITDA or adjusted EPS guidance. U.S. GAAP net cash provided by operating activities for 2025 is estimated to be between $2.2 billion and $2.5 billion, with a midpoint of approximately $2.35 billion. 2025 financial guidance ranges as provided on August 7, 2025, exclude the impact of any acquisition and divestiture-related transaction costs, including taxes (“transaction-related costs”), acquired IPR&amp;D for unsigned deals, and any potential impact of future tariffs and trade restrictions as they cannot be reasonably forecasted. See “2025 Financial Guidance” and “Non-GAAP Financial Measures” for additional information.</w:t>
      </w:r>
    </w:p>
    <w:p>
      <w:pPr>
        <w:sectPr>
          <w:pgSz w:w="11900" w:h="16838" w:orient="portrait"/>
          <w:cols w:equalWidth="0" w:num="1">
            <w:col w:w="11160"/>
          </w:cols>
          <w:pgMar w:left="320" w:top="1440" w:right="41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7030A0"/>
        </w:rPr>
        <w:t>Second Quarter Results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gridSpan w:val="5"/>
          </w:tcPr>
          <w:p>
            <w:pPr>
              <w:jc w:val="center"/>
              <w:ind w:left="66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Reported</w:t>
            </w: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Pr>
          <w:p>
            <w:pPr>
              <w:spacing w:after="0"/>
              <w:rPr>
                <w:sz w:val="12"/>
                <w:szCs w:val="12"/>
                <w:color w:val="auto"/>
              </w:rPr>
            </w:pPr>
          </w:p>
        </w:tc>
        <w:tc>
          <w:tcPr>
            <w:tcW w:w="13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00" w:type="dxa"/>
            <w:vAlign w:val="bottom"/>
          </w:tcPr>
          <w:p>
            <w:pPr>
              <w:spacing w:after="0"/>
              <w:rPr>
                <w:sz w:val="12"/>
                <w:szCs w:val="12"/>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ind w:left="40"/>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9"/>
                <w:szCs w:val="9"/>
                <w:b w:val="1"/>
                <w:bCs w:val="1"/>
                <w:color w:val="auto"/>
              </w:rPr>
              <w:t>(1) (2)</w:t>
            </w:r>
          </w:p>
        </w:tc>
        <w:tc>
          <w:tcPr>
            <w:tcW w:w="10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Arial" w:cs="Arial" w:eastAsia="Arial" w:hAnsi="Arial"/>
                <w:sz w:val="14"/>
                <w:szCs w:val="14"/>
                <w:b w:val="1"/>
                <w:bCs w:val="1"/>
                <w:color w:val="auto"/>
                <w:w w:val="91"/>
              </w:rPr>
              <w:t>Change</w:t>
            </w:r>
            <w:r>
              <w:rPr>
                <w:rFonts w:ascii="Arial" w:cs="Arial" w:eastAsia="Arial" w:hAnsi="Arial"/>
                <w:sz w:val="18"/>
                <w:szCs w:val="18"/>
                <w:b w:val="1"/>
                <w:bCs w:val="1"/>
                <w:color w:val="auto"/>
                <w:w w:val="91"/>
                <w:vertAlign w:val="superscript"/>
              </w:rPr>
              <w:t>(1)(2)</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3,582.1</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3,796.6</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ind w:right="41"/>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Total Net Sales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3,569.0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3,785.9</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1"/>
              <w:spacing w:after="0"/>
              <w:rPr>
                <w:sz w:val="20"/>
                <w:szCs w:val="20"/>
                <w:color w:val="auto"/>
              </w:rPr>
            </w:pPr>
            <w:r>
              <w:rPr>
                <w:rFonts w:ascii="Arial" w:cs="Arial" w:eastAsia="Arial" w:hAnsi="Arial"/>
                <w:sz w:val="16"/>
                <w:szCs w:val="16"/>
                <w:color w:val="auto"/>
              </w:rPr>
              <w:t>(7)%</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Markets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2,119.3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2,319.2</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41"/>
              <w:spacing w:after="0"/>
              <w:rPr>
                <w:sz w:val="20"/>
                <w:szCs w:val="20"/>
                <w:color w:val="auto"/>
              </w:rPr>
            </w:pPr>
            <w:r>
              <w:rPr>
                <w:rFonts w:ascii="Arial" w:cs="Arial" w:eastAsia="Arial" w:hAnsi="Arial"/>
                <w:sz w:val="16"/>
                <w:szCs w:val="16"/>
                <w:color w:val="auto"/>
                <w:w w:val="98"/>
              </w:rPr>
              <w:t>(11)%</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740" w:type="dxa"/>
            <w:vAlign w:val="bottom"/>
          </w:tcPr>
          <w:p>
            <w:pPr>
              <w:ind w:left="220"/>
              <w:spacing w:after="0"/>
              <w:rPr>
                <w:sz w:val="20"/>
                <w:szCs w:val="20"/>
                <w:color w:val="auto"/>
              </w:rPr>
            </w:pPr>
            <w:r>
              <w:rPr>
                <w:rFonts w:ascii="Arial" w:cs="Arial" w:eastAsia="Arial" w:hAnsi="Arial"/>
                <w:sz w:val="16"/>
                <w:szCs w:val="16"/>
                <w:color w:val="auto"/>
              </w:rPr>
              <w:t>Emerging Markets</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555.1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578.1</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1"/>
              <w:spacing w:after="0"/>
              <w:rPr>
                <w:sz w:val="20"/>
                <w:szCs w:val="20"/>
                <w:color w:val="auto"/>
              </w:rPr>
            </w:pPr>
            <w:r>
              <w:rPr>
                <w:rFonts w:ascii="Arial" w:cs="Arial" w:eastAsia="Arial" w:hAnsi="Arial"/>
                <w:sz w:val="16"/>
                <w:szCs w:val="16"/>
                <w:color w:val="auto"/>
              </w:rPr>
              <w:t>(3)%</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JANZ</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349.6</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41"/>
              <w:spacing w:after="0"/>
              <w:rPr>
                <w:sz w:val="20"/>
                <w:szCs w:val="20"/>
                <w:color w:val="auto"/>
              </w:rPr>
            </w:pPr>
            <w:r>
              <w:rPr>
                <w:rFonts w:ascii="Arial" w:cs="Arial" w:eastAsia="Arial" w:hAnsi="Arial"/>
                <w:sz w:val="16"/>
                <w:szCs w:val="16"/>
                <w:color w:val="auto"/>
                <w:w w:val="98"/>
              </w:rPr>
              <w:t>(14)%</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(11)%</w:t>
            </w:r>
          </w:p>
        </w:tc>
        <w:tc>
          <w:tcPr>
            <w:tcW w:w="0" w:type="dxa"/>
            <w:vAlign w:val="bottom"/>
          </w:tcPr>
          <w:p>
            <w:pPr>
              <w:spacing w:after="0"/>
              <w:rPr>
                <w:sz w:val="1"/>
                <w:szCs w:val="1"/>
                <w:color w:val="auto"/>
              </w:rPr>
            </w:pPr>
          </w:p>
        </w:tc>
      </w:tr>
      <w:tr>
        <w:trPr>
          <w:trHeight w:val="215"/>
        </w:trPr>
        <w:tc>
          <w:tcPr>
            <w:tcW w:w="4740" w:type="dxa"/>
            <w:vAlign w:val="bottom"/>
          </w:tcPr>
          <w:p>
            <w:pPr>
              <w:ind w:left="220"/>
              <w:spacing w:after="0"/>
              <w:rPr>
                <w:sz w:val="20"/>
                <w:szCs w:val="20"/>
                <w:color w:val="auto"/>
              </w:rPr>
            </w:pPr>
            <w:r>
              <w:rPr>
                <w:rFonts w:ascii="Arial" w:cs="Arial" w:eastAsia="Arial" w:hAnsi="Arial"/>
                <w:sz w:val="16"/>
                <w:szCs w:val="16"/>
                <w:color w:val="auto"/>
              </w:rPr>
              <w:t>Greater China</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588.9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539.0</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61"/>
              <w:spacing w:after="0"/>
              <w:rPr>
                <w:sz w:val="20"/>
                <w:szCs w:val="20"/>
                <w:color w:val="auto"/>
              </w:rPr>
            </w:pPr>
            <w:r>
              <w:rPr>
                <w:rFonts w:ascii="Arial" w:cs="Arial" w:eastAsia="Arial" w:hAnsi="Arial"/>
                <w:sz w:val="16"/>
                <w:szCs w:val="16"/>
                <w:color w:val="auto"/>
              </w:rPr>
              <w:t>9%</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Net Sales by Product Category</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Brands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2,284.5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2,363.1</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41"/>
              <w:spacing w:after="0"/>
              <w:rPr>
                <w:sz w:val="20"/>
                <w:szCs w:val="20"/>
                <w:color w:val="auto"/>
              </w:rPr>
            </w:pPr>
            <w:r>
              <w:rPr>
                <w:rFonts w:ascii="Arial" w:cs="Arial" w:eastAsia="Arial" w:hAnsi="Arial"/>
                <w:sz w:val="16"/>
                <w:szCs w:val="16"/>
                <w:color w:val="auto"/>
              </w:rPr>
              <w:t>(5)%</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3%</w:t>
            </w:r>
          </w:p>
        </w:tc>
        <w:tc>
          <w:tcPr>
            <w:tcW w:w="0" w:type="dxa"/>
            <w:vAlign w:val="bottom"/>
          </w:tcPr>
          <w:p>
            <w:pPr>
              <w:spacing w:after="0"/>
              <w:rPr>
                <w:sz w:val="1"/>
                <w:szCs w:val="1"/>
                <w:color w:val="auto"/>
              </w:rPr>
            </w:pPr>
          </w:p>
        </w:tc>
      </w:tr>
      <w:tr>
        <w:trPr>
          <w:trHeight w:val="215"/>
        </w:trPr>
        <w:tc>
          <w:tcPr>
            <w:tcW w:w="4740" w:type="dxa"/>
            <w:vAlign w:val="bottom"/>
          </w:tcPr>
          <w:p>
            <w:pPr>
              <w:ind w:left="220"/>
              <w:spacing w:after="0"/>
              <w:rPr>
                <w:sz w:val="20"/>
                <w:szCs w:val="20"/>
                <w:color w:val="auto"/>
              </w:rPr>
            </w:pPr>
            <w:r>
              <w:rPr>
                <w:rFonts w:ascii="Arial" w:cs="Arial" w:eastAsia="Arial" w:hAnsi="Arial"/>
                <w:sz w:val="16"/>
                <w:szCs w:val="16"/>
                <w:color w:val="auto"/>
              </w:rPr>
              <w:t>Generics</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1,284.5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1,422.8</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1"/>
              <w:spacing w:after="0"/>
              <w:rPr>
                <w:sz w:val="20"/>
                <w:szCs w:val="20"/>
                <w:color w:val="auto"/>
              </w:rPr>
            </w:pPr>
            <w:r>
              <w:rPr>
                <w:rFonts w:ascii="Arial" w:cs="Arial" w:eastAsia="Arial" w:hAnsi="Arial"/>
                <w:sz w:val="16"/>
                <w:szCs w:val="16"/>
                <w:color w:val="auto"/>
                <w:w w:val="98"/>
              </w:rPr>
              <w:t>(11)%</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1,332.9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1,445.4</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2,028.4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2,203.9</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restart"/>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(326.4)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120" w:type="dxa"/>
            <w:vAlign w:val="bottom"/>
            <w:vMerge w:val="continue"/>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U.S. GAAP Loss Per Share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rPr>
              <w:t>NM</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826.5</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0.69</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1"/>
              <w:spacing w:after="0"/>
              <w:rPr>
                <w:sz w:val="20"/>
                <w:szCs w:val="20"/>
                <w:color w:val="auto"/>
              </w:rPr>
            </w:pPr>
            <w:r>
              <w:rPr>
                <w:rFonts w:ascii="Arial" w:cs="Arial" w:eastAsia="Arial" w:hAnsi="Arial"/>
                <w:sz w:val="16"/>
                <w:szCs w:val="16"/>
                <w:color w:val="auto"/>
                <w:w w:val="98"/>
              </w:rPr>
              <w:t>(12)%</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577.8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540.3</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1,078.8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1,207.9</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41"/>
              <w:spacing w:after="0"/>
              <w:rPr>
                <w:sz w:val="20"/>
                <w:szCs w:val="20"/>
                <w:color w:val="auto"/>
              </w:rPr>
            </w:pPr>
            <w:r>
              <w:rPr>
                <w:rFonts w:ascii="Arial" w:cs="Arial" w:eastAsia="Arial" w:hAnsi="Arial"/>
                <w:sz w:val="16"/>
                <w:szCs w:val="16"/>
                <w:color w:val="auto"/>
                <w:w w:val="98"/>
              </w:rPr>
              <w:t>(12)%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379.1</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58.8</w:t>
            </w:r>
          </w:p>
        </w:tc>
        <w:tc>
          <w:tcPr>
            <w:tcW w:w="102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320.3</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540" w:hanging="208"/>
        <w:spacing w:after="0"/>
        <w:tabs>
          <w:tab w:leader="none" w:pos="540" w:val="left"/>
        </w:tabs>
        <w:numPr>
          <w:ilvl w:val="0"/>
          <w:numId w:val="5"/>
        </w:numPr>
        <w:rPr>
          <w:rFonts w:ascii="Arial" w:cs="Arial" w:eastAsia="Arial" w:hAnsi="Arial"/>
          <w:sz w:val="9"/>
          <w:szCs w:val="9"/>
          <w:color w:val="auto"/>
        </w:rPr>
      </w:pPr>
      <w:r>
        <w:rPr>
          <w:rFonts w:ascii="Arial" w:cs="Arial" w:eastAsia="Arial" w:hAnsi="Arial"/>
          <w:sz w:val="14"/>
          <w:szCs w:val="14"/>
          <w:color w:val="auto"/>
        </w:rPr>
        <w:t>See “Certain Key Terms and Presentation Matters” in this release for more information.</w:t>
      </w:r>
    </w:p>
    <w:p>
      <w:pPr>
        <w:spacing w:after="0" w:line="40" w:lineRule="exact"/>
        <w:rPr>
          <w:rFonts w:ascii="Arial" w:cs="Arial" w:eastAsia="Arial" w:hAnsi="Arial"/>
          <w:sz w:val="9"/>
          <w:szCs w:val="9"/>
          <w:color w:val="auto"/>
        </w:rPr>
      </w:pPr>
    </w:p>
    <w:p>
      <w:pPr>
        <w:ind w:left="540" w:hanging="208"/>
        <w:spacing w:after="0"/>
        <w:tabs>
          <w:tab w:leader="none" w:pos="54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22" w:lineRule="auto"/>
        <w:tabs>
          <w:tab w:leader="none" w:pos="594"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transaction-related costs of $74 million, free cash flow for the three months ended June 30, 2025, was $241 million. Excluding the impact of transaction-related costs of $106 million, free cash flow for the three months ended June 30, 2024, was $426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0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4"/>
          </w:tcPr>
          <w:p>
            <w:pPr>
              <w:jc w:val="center"/>
              <w:ind w:left="640"/>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June 30,</w:t>
            </w: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39"/>
        </w:trPr>
        <w:tc>
          <w:tcPr>
            <w:tcW w:w="4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1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20" w:type="dxa"/>
            <w:vAlign w:val="bottom"/>
          </w:tcPr>
          <w:p>
            <w:pPr>
              <w:spacing w:after="0"/>
              <w:rPr>
                <w:sz w:val="12"/>
                <w:szCs w:val="12"/>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8"/>
        </w:trPr>
        <w:tc>
          <w:tcPr>
            <w:tcW w:w="4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9"/>
                <w:szCs w:val="9"/>
                <w:b w:val="1"/>
                <w:bCs w:val="1"/>
                <w:color w:val="auto"/>
              </w:rPr>
              <w:t>(1) (2)</w:t>
            </w:r>
          </w:p>
        </w:tc>
        <w:tc>
          <w:tcPr>
            <w:tcW w:w="12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Arial" w:cs="Arial" w:eastAsia="Arial" w:hAnsi="Arial"/>
                <w:sz w:val="22"/>
                <w:szCs w:val="22"/>
                <w:b w:val="1"/>
                <w:bCs w:val="1"/>
                <w:color w:val="auto"/>
                <w:vertAlign w:val="subscript"/>
              </w:rPr>
              <w:t>Change</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6,836.4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7,460.0</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Total Net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6,812.2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7,439.4</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(8)%</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Markets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4,011.0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4,484.6</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(11)%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13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960" w:type="dxa"/>
            <w:vAlign w:val="bottom"/>
          </w:tcPr>
          <w:p>
            <w:pPr>
              <w:ind w:left="220"/>
              <w:spacing w:after="0"/>
              <w:rPr>
                <w:sz w:val="20"/>
                <w:szCs w:val="20"/>
                <w:color w:val="auto"/>
              </w:rPr>
            </w:pPr>
            <w:r>
              <w:rPr>
                <w:rFonts w:ascii="Arial" w:cs="Arial" w:eastAsia="Arial" w:hAnsi="Arial"/>
                <w:sz w:val="16"/>
                <w:szCs w:val="16"/>
                <w:color w:val="auto"/>
              </w:rPr>
              <w:t>Emerging Markets</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1,204.5</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(8)%</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JANZ</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667.4</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w:t>
            </w:r>
          </w:p>
        </w:tc>
        <w:tc>
          <w:tcPr>
            <w:tcW w:w="13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960" w:type="dxa"/>
            <w:vAlign w:val="bottom"/>
          </w:tcPr>
          <w:p>
            <w:pPr>
              <w:ind w:left="220"/>
              <w:spacing w:after="0"/>
              <w:rPr>
                <w:sz w:val="20"/>
                <w:szCs w:val="20"/>
                <w:color w:val="auto"/>
              </w:rPr>
            </w:pPr>
            <w:r>
              <w:rPr>
                <w:rFonts w:ascii="Arial" w:cs="Arial" w:eastAsia="Arial" w:hAnsi="Arial"/>
                <w:sz w:val="16"/>
                <w:szCs w:val="16"/>
                <w:color w:val="auto"/>
              </w:rPr>
              <w:t>Greater China</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1,144.4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1,082.9</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7%</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Net Sales by Product Category</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Brands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4,401.4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4,672.2</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3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960" w:type="dxa"/>
            <w:vAlign w:val="bottom"/>
          </w:tcPr>
          <w:p>
            <w:pPr>
              <w:ind w:left="220"/>
              <w:spacing w:after="0"/>
              <w:rPr>
                <w:sz w:val="20"/>
                <w:szCs w:val="20"/>
                <w:color w:val="auto"/>
              </w:rPr>
            </w:pPr>
            <w:r>
              <w:rPr>
                <w:rFonts w:ascii="Arial" w:cs="Arial" w:eastAsia="Arial" w:hAnsi="Arial"/>
                <w:sz w:val="16"/>
                <w:szCs w:val="16"/>
                <w:color w:val="auto"/>
              </w:rPr>
              <w:t>Generics</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2,410.8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2,767.2</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(13)%</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2,494.1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2,949.4</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3,848.0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4,358.7</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vMerge w:val="restart"/>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U.S. GAAP Net Loss </w:t>
            </w:r>
            <w:r>
              <w:rPr>
                <w:rFonts w:ascii="Arial" w:cs="Arial" w:eastAsia="Arial" w:hAnsi="Arial"/>
                <w:sz w:val="21"/>
                <w:szCs w:val="21"/>
                <w:color w:val="auto"/>
                <w:vertAlign w:val="superscript"/>
              </w:rPr>
              <w:t>(3)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(3,046.6)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(212.5)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c>
          <w:tcPr>
            <w:tcW w:w="100" w:type="dxa"/>
            <w:vAlign w:val="bottom"/>
            <w:vMerge w:val="continue"/>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GAAP Loss Per Share </w:t>
            </w:r>
            <w:r>
              <w:rPr>
                <w:rFonts w:ascii="Arial" w:cs="Arial" w:eastAsia="Arial" w:hAnsi="Arial"/>
                <w:sz w:val="21"/>
                <w:szCs w:val="21"/>
                <w:color w:val="auto"/>
                <w:vertAlign w:val="superscript"/>
              </w:rPr>
              <w:t>(3)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NM</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1,639.2</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1.36</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(1,739.0)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1,574.3</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NM</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2,002.3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2,401.3</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993.7</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108.6</w:t>
            </w:r>
          </w:p>
        </w:tc>
        <w:tc>
          <w:tcPr>
            <w:tcW w:w="102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885.1</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580" w:hanging="248"/>
        <w:spacing w:after="0"/>
        <w:tabs>
          <w:tab w:leader="none" w:pos="580" w:val="left"/>
        </w:tabs>
        <w:numPr>
          <w:ilvl w:val="0"/>
          <w:numId w:val="6"/>
        </w:numPr>
        <w:rPr>
          <w:rFonts w:ascii="Arial" w:cs="Arial" w:eastAsia="Arial" w:hAnsi="Arial"/>
          <w:sz w:val="9"/>
          <w:szCs w:val="9"/>
          <w:color w:val="auto"/>
        </w:rPr>
      </w:pPr>
      <w:r>
        <w:rPr>
          <w:rFonts w:ascii="Arial" w:cs="Arial" w:eastAsia="Arial" w:hAnsi="Arial"/>
          <w:sz w:val="14"/>
          <w:szCs w:val="14"/>
          <w:color w:val="auto"/>
        </w:rPr>
        <w:t>See “Certain Key Terms and Presentation Matters” in this release for more information.</w:t>
      </w:r>
    </w:p>
    <w:p>
      <w:pPr>
        <w:spacing w:after="0" w:line="40" w:lineRule="exact"/>
        <w:rPr>
          <w:rFonts w:ascii="Arial" w:cs="Arial" w:eastAsia="Arial" w:hAnsi="Arial"/>
          <w:sz w:val="9"/>
          <w:szCs w:val="9"/>
          <w:color w:val="auto"/>
        </w:rPr>
      </w:pPr>
    </w:p>
    <w:p>
      <w:pPr>
        <w:ind w:left="540" w:hanging="208"/>
        <w:spacing w:after="0"/>
        <w:tabs>
          <w:tab w:leader="none" w:pos="5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22" w:lineRule="auto"/>
        <w:tabs>
          <w:tab w:leader="none" w:pos="567"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For the six months ended June 30, 2025, includes the previously disclosed goodwill impairment charge of $2.9 billion as a result of the interim goodwill impairment test performed as of March 31, 2025.</w:t>
      </w:r>
    </w:p>
    <w:p>
      <w:pPr>
        <w:spacing w:after="0" w:line="39" w:lineRule="exact"/>
        <w:rPr>
          <w:rFonts w:ascii="Arial" w:cs="Arial" w:eastAsia="Arial" w:hAnsi="Arial"/>
          <w:sz w:val="19"/>
          <w:szCs w:val="19"/>
          <w:color w:val="auto"/>
          <w:vertAlign w:val="superscript"/>
        </w:rPr>
      </w:pPr>
    </w:p>
    <w:p>
      <w:pPr>
        <w:ind w:left="660" w:right="20" w:hanging="328"/>
        <w:spacing w:after="0" w:line="222" w:lineRule="auto"/>
        <w:tabs>
          <w:tab w:leader="none" w:pos="65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transaction-related costs of $116 million, free cash flow for the six months ended June 30, 2025, was $776 million. Excluding the impact of transaction-related costs of $190 million, free cash flow for the six months ended June 30, 2024, was $1.1 billion.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Quarterly Financial Highlights</w:t>
      </w:r>
    </w:p>
    <w:p>
      <w:pPr>
        <w:spacing w:after="0" w:line="272" w:lineRule="exact"/>
        <w:rPr>
          <w:sz w:val="20"/>
          <w:szCs w:val="20"/>
          <w:color w:val="auto"/>
        </w:rPr>
      </w:pPr>
    </w:p>
    <w:p>
      <w:pPr>
        <w:ind w:left="660" w:right="180" w:hanging="328"/>
        <w:spacing w:after="0" w:line="268" w:lineRule="auto"/>
        <w:tabs>
          <w:tab w:leader="none" w:pos="655" w:val="left"/>
        </w:tabs>
        <w:numPr>
          <w:ilvl w:val="0"/>
          <w:numId w:val="7"/>
        </w:numPr>
        <w:rPr>
          <w:rFonts w:ascii="Arial" w:cs="Arial" w:eastAsia="Arial" w:hAnsi="Arial"/>
          <w:sz w:val="21"/>
          <w:szCs w:val="21"/>
          <w:b w:val="1"/>
          <w:bCs w:val="1"/>
          <w:color w:val="auto"/>
        </w:rPr>
      </w:pPr>
      <w:r>
        <w:rPr>
          <w:rFonts w:ascii="Arial" w:cs="Arial" w:eastAsia="Arial" w:hAnsi="Arial"/>
          <w:sz w:val="19"/>
          <w:szCs w:val="19"/>
          <w:color w:val="auto"/>
        </w:rPr>
        <w:t>Second quarter 2025 total revenues were $3.6 billion, down 6% on a reported basis and down 2% on a divestiture-adjusted operational basis compared to second quarter 2024, primarily driven by the negative Indore Impact. Excluding the Indore Impact, divestiture-adjusted operational total revenues increased 3% compared to second quarter 2024.</w:t>
      </w:r>
    </w:p>
    <w:p>
      <w:pPr>
        <w:spacing w:after="0" w:line="214" w:lineRule="exact"/>
        <w:rPr>
          <w:rFonts w:ascii="Arial" w:cs="Arial" w:eastAsia="Arial" w:hAnsi="Arial"/>
          <w:sz w:val="21"/>
          <w:szCs w:val="21"/>
          <w:b w:val="1"/>
          <w:bCs w:val="1"/>
          <w:color w:val="auto"/>
        </w:rPr>
      </w:pPr>
    </w:p>
    <w:p>
      <w:pPr>
        <w:ind w:left="660" w:right="440" w:hanging="328"/>
        <w:spacing w:after="0" w:line="262" w:lineRule="auto"/>
        <w:tabs>
          <w:tab w:leader="none" w:pos="655" w:val="left"/>
        </w:tabs>
        <w:numPr>
          <w:ilvl w:val="0"/>
          <w:numId w:val="7"/>
        </w:numPr>
        <w:rPr>
          <w:rFonts w:ascii="Arial" w:cs="Arial" w:eastAsia="Arial" w:hAnsi="Arial"/>
          <w:sz w:val="22"/>
          <w:szCs w:val="22"/>
          <w:b w:val="1"/>
          <w:bCs w:val="1"/>
          <w:color w:val="auto"/>
        </w:rPr>
      </w:pPr>
      <w:r>
        <w:rPr>
          <w:rFonts w:ascii="Arial" w:cs="Arial" w:eastAsia="Arial" w:hAnsi="Arial"/>
          <w:sz w:val="20"/>
          <w:szCs w:val="20"/>
          <w:color w:val="auto"/>
        </w:rPr>
        <w:t>Brands net sales demonstrated strong performance in Greater China and Emerging Markets, in addition to growth in certain key brands in Developed Markets.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91" w:right="339" w:bottom="1440" w:gutter="0" w:footer="0" w:header="0"/>
        </w:sectPr>
      </w:pPr>
    </w:p>
    <w:bookmarkStart w:id="7" w:name="page8"/>
    <w:bookmarkEnd w:id="7"/>
    <w:p>
      <w:pPr>
        <w:jc w:val="both"/>
        <w:ind w:left="660" w:right="40" w:hanging="328"/>
        <w:spacing w:after="0" w:line="270" w:lineRule="auto"/>
        <w:tabs>
          <w:tab w:leader="none" w:pos="648"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Generics net sales reflect the expected negative Indore Impact and competition on Wixela®, partially offset by continued growth in Yupelri</w:t>
      </w:r>
      <w:r>
        <w:rPr>
          <w:rFonts w:ascii="Arial" w:cs="Arial" w:eastAsia="Arial" w:hAnsi="Arial"/>
          <w:sz w:val="21"/>
          <w:szCs w:val="21"/>
          <w:color w:val="auto"/>
        </w:rPr>
        <w:t>®</w:t>
      </w:r>
      <w:r>
        <w:rPr>
          <w:rFonts w:ascii="Arial" w:cs="Arial" w:eastAsia="Arial" w:hAnsi="Arial"/>
          <w:sz w:val="20"/>
          <w:szCs w:val="20"/>
          <w:color w:val="auto"/>
        </w:rPr>
        <w:t xml:space="preserve"> and Breyna</w:t>
      </w:r>
      <w:r>
        <w:rPr>
          <w:rFonts w:ascii="Arial" w:cs="Arial" w:eastAsia="Arial" w:hAnsi="Arial"/>
          <w:sz w:val="21"/>
          <w:szCs w:val="21"/>
          <w:color w:val="auto"/>
        </w:rPr>
        <w:t>®</w:t>
      </w:r>
      <w:r>
        <w:rPr>
          <w:rFonts w:ascii="Arial" w:cs="Arial" w:eastAsia="Arial" w:hAnsi="Arial"/>
          <w:sz w:val="20"/>
          <w:szCs w:val="20"/>
          <w:color w:val="auto"/>
        </w:rPr>
        <w:t xml:space="preserve"> in North America, strong performance across key European markets, and slight volume growth in JANZ.</w:t>
      </w:r>
    </w:p>
    <w:p>
      <w:pPr>
        <w:spacing w:after="0" w:line="223" w:lineRule="exact"/>
        <w:rPr>
          <w:rFonts w:ascii="Arial" w:cs="Arial" w:eastAsia="Arial" w:hAnsi="Arial"/>
          <w:sz w:val="20"/>
          <w:szCs w:val="20"/>
          <w:b w:val="1"/>
          <w:bCs w:val="1"/>
          <w:color w:val="auto"/>
        </w:rPr>
      </w:pPr>
    </w:p>
    <w:p>
      <w:pPr>
        <w:ind w:left="660" w:hanging="328"/>
        <w:spacing w:after="0"/>
        <w:tabs>
          <w:tab w:leader="none" w:pos="660" w:val="left"/>
        </w:tabs>
        <w:numPr>
          <w:ilvl w:val="0"/>
          <w:numId w:val="8"/>
        </w:numPr>
        <w:rPr>
          <w:rFonts w:ascii="Arial" w:cs="Arial" w:eastAsia="Arial" w:hAnsi="Arial"/>
          <w:sz w:val="22"/>
          <w:szCs w:val="22"/>
          <w:b w:val="1"/>
          <w:bCs w:val="1"/>
          <w:color w:val="auto"/>
        </w:rPr>
      </w:pPr>
      <w:r>
        <w:rPr>
          <w:rFonts w:ascii="Arial" w:cs="Arial" w:eastAsia="Arial" w:hAnsi="Arial"/>
          <w:sz w:val="20"/>
          <w:szCs w:val="20"/>
          <w:color w:val="auto"/>
        </w:rPr>
        <w:t>The Company generated approximately $79 million in new product revenues in the quarter.</w:t>
      </w:r>
    </w:p>
    <w:p>
      <w:pPr>
        <w:spacing w:after="0" w:line="246" w:lineRule="exact"/>
        <w:rPr>
          <w:rFonts w:ascii="Arial" w:cs="Arial" w:eastAsia="Arial" w:hAnsi="Arial"/>
          <w:sz w:val="22"/>
          <w:szCs w:val="22"/>
          <w:b w:val="1"/>
          <w:bCs w:val="1"/>
          <w:color w:val="auto"/>
        </w:rPr>
      </w:pPr>
    </w:p>
    <w:p>
      <w:pPr>
        <w:ind w:left="660" w:right="120" w:hanging="328"/>
        <w:spacing w:after="0" w:line="251" w:lineRule="auto"/>
        <w:tabs>
          <w:tab w:leader="none" w:pos="655" w:val="left"/>
        </w:tabs>
        <w:numPr>
          <w:ilvl w:val="0"/>
          <w:numId w:val="8"/>
        </w:numPr>
        <w:rPr>
          <w:rFonts w:ascii="Arial" w:cs="Arial" w:eastAsia="Arial" w:hAnsi="Arial"/>
          <w:sz w:val="22"/>
          <w:szCs w:val="22"/>
          <w:b w:val="1"/>
          <w:bCs w:val="1"/>
          <w:color w:val="auto"/>
        </w:rPr>
      </w:pPr>
      <w:r>
        <w:rPr>
          <w:rFonts w:ascii="Arial" w:cs="Arial" w:eastAsia="Arial" w:hAnsi="Arial"/>
          <w:sz w:val="20"/>
          <w:szCs w:val="20"/>
          <w:color w:val="auto"/>
        </w:rPr>
        <w:t>Second quarter 2025 U.S. GAAP net loss was $(5) million compared to U.S. GAAP net loss of $(326) million in the second quarter of 2024, and U.S. GAAP diluted EPS was $0.00 per share in Q2 2025 compared to a loss of $(0.27) per share in Q2 2024, which was primarily driven by a goodwill impairment charge and losses recorded for disposed businesses.</w:t>
      </w:r>
    </w:p>
    <w:p>
      <w:pPr>
        <w:spacing w:after="0" w:line="242" w:lineRule="exact"/>
        <w:rPr>
          <w:rFonts w:ascii="Arial" w:cs="Arial" w:eastAsia="Arial" w:hAnsi="Arial"/>
          <w:sz w:val="22"/>
          <w:szCs w:val="22"/>
          <w:b w:val="1"/>
          <w:bCs w:val="1"/>
          <w:color w:val="auto"/>
        </w:rPr>
      </w:pPr>
    </w:p>
    <w:p>
      <w:pPr>
        <w:ind w:left="660" w:right="80" w:hanging="328"/>
        <w:spacing w:after="0" w:line="251" w:lineRule="auto"/>
        <w:tabs>
          <w:tab w:leader="none" w:pos="655" w:val="left"/>
        </w:tabs>
        <w:numPr>
          <w:ilvl w:val="0"/>
          <w:numId w:val="8"/>
        </w:numPr>
        <w:rPr>
          <w:rFonts w:ascii="Arial" w:cs="Arial" w:eastAsia="Arial" w:hAnsi="Arial"/>
          <w:sz w:val="22"/>
          <w:szCs w:val="22"/>
          <w:b w:val="1"/>
          <w:bCs w:val="1"/>
          <w:color w:val="auto"/>
        </w:rPr>
      </w:pPr>
      <w:r>
        <w:rPr>
          <w:rFonts w:ascii="Arial" w:cs="Arial" w:eastAsia="Arial" w:hAnsi="Arial"/>
          <w:sz w:val="20"/>
          <w:szCs w:val="20"/>
          <w:color w:val="auto"/>
        </w:rPr>
        <w:t>Second quarter 2025 adjusted EBITDA was $1.1 billion, down 11% on a reported basis and down 4% on a divestiture-adjusted operational basis compared to the second quarter of 2024, and adjusted EPS was $0.62 per share in Q2 2025, down 10% on a reported basis and down 4% on a divestiture-adjusted operational basis compared to Q2 2024, in each case primarily driven by the negative Indore Impact.</w:t>
      </w:r>
    </w:p>
    <w:p>
      <w:pPr>
        <w:spacing w:after="0" w:line="228" w:lineRule="exact"/>
        <w:rPr>
          <w:rFonts w:ascii="Arial" w:cs="Arial" w:eastAsia="Arial" w:hAnsi="Arial"/>
          <w:sz w:val="22"/>
          <w:szCs w:val="22"/>
          <w:b w:val="1"/>
          <w:bCs w:val="1"/>
          <w:color w:val="auto"/>
        </w:rPr>
      </w:pPr>
    </w:p>
    <w:p>
      <w:pPr>
        <w:ind w:left="660" w:right="440" w:hanging="328"/>
        <w:spacing w:after="0" w:line="262" w:lineRule="auto"/>
        <w:tabs>
          <w:tab w:leader="none" w:pos="655" w:val="left"/>
        </w:tabs>
        <w:numPr>
          <w:ilvl w:val="0"/>
          <w:numId w:val="8"/>
        </w:numPr>
        <w:rPr>
          <w:rFonts w:ascii="Arial" w:cs="Arial" w:eastAsia="Arial" w:hAnsi="Arial"/>
          <w:sz w:val="22"/>
          <w:szCs w:val="22"/>
          <w:b w:val="1"/>
          <w:bCs w:val="1"/>
          <w:color w:val="auto"/>
        </w:rPr>
      </w:pPr>
      <w:r>
        <w:rPr>
          <w:rFonts w:ascii="Arial" w:cs="Arial" w:eastAsia="Arial" w:hAnsi="Arial"/>
          <w:sz w:val="20"/>
          <w:szCs w:val="20"/>
          <w:color w:val="auto"/>
        </w:rPr>
        <w:t>In the quarter, the Company generated U.S. GAAP net cash provided by operating activities of $220 million and free cash flow of $167 million, including $74 million in transaction-related costs.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Additional Highlights</w:t>
      </w:r>
    </w:p>
    <w:p>
      <w:pPr>
        <w:spacing w:after="0" w:line="256" w:lineRule="exact"/>
        <w:rPr>
          <w:sz w:val="20"/>
          <w:szCs w:val="20"/>
          <w:color w:val="auto"/>
        </w:rPr>
      </w:pPr>
    </w:p>
    <w:p>
      <w:pPr>
        <w:ind w:left="660" w:right="300" w:hanging="328"/>
        <w:spacing w:after="0" w:line="251" w:lineRule="auto"/>
        <w:tabs>
          <w:tab w:leader="none" w:pos="655" w:val="left"/>
        </w:tabs>
        <w:numPr>
          <w:ilvl w:val="0"/>
          <w:numId w:val="9"/>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Phentolamine Ophthalmic Solution (MR-142): </w:t>
      </w:r>
      <w:r>
        <w:rPr>
          <w:rFonts w:ascii="Arial" w:cs="Arial" w:eastAsia="Arial" w:hAnsi="Arial"/>
          <w:sz w:val="20"/>
          <w:szCs w:val="20"/>
          <w:color w:val="auto"/>
        </w:rPr>
        <w:t>The Company announced positive top-line results from LYNX-2, a</w:t>
      </w:r>
      <w:r>
        <w:rPr>
          <w:rFonts w:ascii="Arial" w:cs="Arial" w:eastAsia="Arial" w:hAnsi="Arial"/>
          <w:sz w:val="20"/>
          <w:szCs w:val="20"/>
          <w:b w:val="1"/>
          <w:bCs w:val="1"/>
          <w:color w:val="auto"/>
        </w:rPr>
        <w:t xml:space="preserve"> </w:t>
      </w:r>
      <w:r>
        <w:rPr>
          <w:rFonts w:ascii="Arial" w:cs="Arial" w:eastAsia="Arial" w:hAnsi="Arial"/>
          <w:sz w:val="20"/>
          <w:szCs w:val="20"/>
          <w:color w:val="auto"/>
        </w:rPr>
        <w:t>pivotal Phase 3 trial evaluating MR-142 (phentolamine ophthalmic solution 0.75%) in treating significant, chronic night driving impairment in keratorefractive patients with reduced mesopic vision.</w:t>
      </w:r>
    </w:p>
    <w:p>
      <w:pPr>
        <w:spacing w:after="0" w:line="212" w:lineRule="exact"/>
        <w:rPr>
          <w:rFonts w:ascii="Arial" w:cs="Arial" w:eastAsia="Arial" w:hAnsi="Arial"/>
          <w:sz w:val="22"/>
          <w:szCs w:val="22"/>
          <w:b w:val="1"/>
          <w:bCs w:val="1"/>
          <w:color w:val="auto"/>
        </w:rPr>
      </w:pPr>
    </w:p>
    <w:p>
      <w:pPr>
        <w:jc w:val="both"/>
        <w:ind w:left="660" w:right="320" w:hanging="328"/>
        <w:spacing w:after="0" w:line="263" w:lineRule="auto"/>
        <w:tabs>
          <w:tab w:leader="none" w:pos="648"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Phentolamine Ophthalmic Solution (MR-141): </w:t>
      </w:r>
      <w:r>
        <w:rPr>
          <w:rFonts w:ascii="Arial" w:cs="Arial" w:eastAsia="Arial" w:hAnsi="Arial"/>
          <w:sz w:val="20"/>
          <w:szCs w:val="20"/>
          <w:color w:val="auto"/>
        </w:rPr>
        <w:t>The Company announced positive top-line results from VEGA-3,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pivotal Phase 3 trial evaluating MR-141 (phentolamine ophthalmic solution 0.75%) in treating presbyopia, the gradual loss of the eyes’ ability to focus on nearby objects.</w:t>
      </w:r>
    </w:p>
    <w:p>
      <w:pPr>
        <w:spacing w:after="0" w:line="215" w:lineRule="exact"/>
        <w:rPr>
          <w:rFonts w:ascii="Arial" w:cs="Arial" w:eastAsia="Arial" w:hAnsi="Arial"/>
          <w:sz w:val="20"/>
          <w:szCs w:val="20"/>
          <w:b w:val="1"/>
          <w:bCs w:val="1"/>
          <w:color w:val="auto"/>
        </w:rPr>
      </w:pPr>
    </w:p>
    <w:p>
      <w:pPr>
        <w:ind w:left="660" w:right="20" w:hanging="328"/>
        <w:spacing w:after="0" w:line="252" w:lineRule="auto"/>
        <w:tabs>
          <w:tab w:leader="none" w:pos="655" w:val="left"/>
        </w:tabs>
        <w:numPr>
          <w:ilvl w:val="0"/>
          <w:numId w:val="9"/>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 xml:space="preserve">Pimecrolimus Ophthalmic Ointment (MR-139): </w:t>
      </w:r>
      <w:r>
        <w:rPr>
          <w:rFonts w:ascii="Arial" w:cs="Arial" w:eastAsia="Arial" w:hAnsi="Arial"/>
          <w:sz w:val="20"/>
          <w:szCs w:val="20"/>
          <w:color w:val="auto"/>
        </w:rPr>
        <w:t>The Company announced that a randomized, double-masked, vehicle-controlled, Phase 3 study to evaluate the efficacy and safety of pimecrolimus 0.3% (MR-139) ophthalmic ointment in subjects with blepharitis did not meet its primary endpoint of complete resolution of debris after six weeks of twice daily dosing. The Company is evaluating the appropriate next steps for the Phase 3 program.</w:t>
      </w:r>
    </w:p>
    <w:p>
      <w:pPr>
        <w:spacing w:after="0" w:line="238" w:lineRule="exact"/>
        <w:rPr>
          <w:rFonts w:ascii="Times New Roman" w:cs="Times New Roman" w:eastAsia="Times New Roman" w:hAnsi="Times New Roman"/>
          <w:sz w:val="22"/>
          <w:szCs w:val="22"/>
          <w:b w:val="1"/>
          <w:bCs w:val="1"/>
          <w:color w:val="auto"/>
        </w:rPr>
      </w:pPr>
    </w:p>
    <w:p>
      <w:pPr>
        <w:ind w:left="660" w:right="540" w:hanging="328"/>
        <w:spacing w:after="0" w:line="250" w:lineRule="auto"/>
        <w:tabs>
          <w:tab w:leader="none" w:pos="655" w:val="left"/>
        </w:tabs>
        <w:numPr>
          <w:ilvl w:val="0"/>
          <w:numId w:val="9"/>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 xml:space="preserve">Sotagliflozin: </w:t>
      </w:r>
      <w:r>
        <w:rPr>
          <w:rFonts w:ascii="Arial" w:cs="Arial" w:eastAsia="Arial" w:hAnsi="Arial"/>
          <w:sz w:val="20"/>
          <w:szCs w:val="20"/>
          <w:color w:val="auto"/>
        </w:rPr>
        <w:t>The Company received approval for INPEFA® 200mg and 400mg film-coated tablets in United Arab</w:t>
      </w:r>
      <w:r>
        <w:rPr>
          <w:rFonts w:ascii="Arial" w:cs="Arial" w:eastAsia="Arial" w:hAnsi="Arial"/>
          <w:sz w:val="20"/>
          <w:szCs w:val="20"/>
          <w:b w:val="1"/>
          <w:bCs w:val="1"/>
          <w:color w:val="auto"/>
        </w:rPr>
        <w:t xml:space="preserve"> </w:t>
      </w:r>
      <w:r>
        <w:rPr>
          <w:rFonts w:ascii="Arial" w:cs="Arial" w:eastAsia="Arial" w:hAnsi="Arial"/>
          <w:sz w:val="20"/>
          <w:szCs w:val="20"/>
          <w:color w:val="auto"/>
        </w:rPr>
        <w:t>Emirates in June 2025.</w:t>
      </w:r>
    </w:p>
    <w:p>
      <w:pPr>
        <w:spacing w:after="0" w:line="212" w:lineRule="exact"/>
        <w:rPr>
          <w:rFonts w:ascii="Times New Roman" w:cs="Times New Roman" w:eastAsia="Times New Roman" w:hAnsi="Times New Roman"/>
          <w:sz w:val="22"/>
          <w:szCs w:val="22"/>
          <w:b w:val="1"/>
          <w:bCs w:val="1"/>
          <w:color w:val="auto"/>
        </w:rPr>
      </w:pPr>
    </w:p>
    <w:p>
      <w:pPr>
        <w:ind w:left="660" w:hanging="328"/>
        <w:spacing w:after="0" w:line="255" w:lineRule="auto"/>
        <w:tabs>
          <w:tab w:leader="none" w:pos="648"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Meloxicam (MR-107A-02): </w:t>
      </w:r>
      <w:r>
        <w:rPr>
          <w:rFonts w:ascii="Arial" w:cs="Arial" w:eastAsia="Arial" w:hAnsi="Arial"/>
          <w:sz w:val="20"/>
          <w:szCs w:val="20"/>
          <w:color w:val="auto"/>
        </w:rPr>
        <w:t>The Company announced that five abstracts from its Phase 3 program evaluating novel fast-acting formulation of meloxicam (MR-107A-02) in moderate-to-severe acute surgical pain models will be presented at the PAINWeek 2025 national conference in Las Vegas from September 2-5, 2025. The presentations will include positive results from two previously announced pivotal studies in herniorrhaphy (NCT06215859) and bunionectomy (NCT06215820) surgery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887"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7030A0"/>
        </w:rPr>
        <w:t>Capital Allocation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Company is reaffirming its commitment to prioritizing returning capital to shareholders in 2025 as previously stated.</w:t>
      </w:r>
    </w:p>
    <w:p>
      <w:pPr>
        <w:spacing w:after="0" w:line="243" w:lineRule="exact"/>
        <w:rPr>
          <w:sz w:val="20"/>
          <w:szCs w:val="20"/>
          <w:color w:val="auto"/>
        </w:rPr>
      </w:pPr>
    </w:p>
    <w:p>
      <w:pPr>
        <w:ind w:right="680"/>
        <w:spacing w:after="0" w:line="262" w:lineRule="auto"/>
        <w:rPr>
          <w:sz w:val="20"/>
          <w:szCs w:val="20"/>
          <w:color w:val="auto"/>
        </w:rPr>
      </w:pPr>
      <w:r>
        <w:rPr>
          <w:rFonts w:ascii="Arial" w:cs="Arial" w:eastAsia="Arial" w:hAnsi="Arial"/>
          <w:sz w:val="20"/>
          <w:szCs w:val="20"/>
          <w:color w:val="auto"/>
        </w:rPr>
        <w:t>Year-to-date, the Company returned more than $630 million of capital to shareholders, including $350 million in share repurchases. The Company continues to expect $500 million to $650 million in total share repurchases in 2025 and to be opportunistic with cash available throughout the year.</w:t>
      </w:r>
    </w:p>
    <w:p>
      <w:pPr>
        <w:spacing w:after="0" w:line="205" w:lineRule="exact"/>
        <w:rPr>
          <w:sz w:val="20"/>
          <w:szCs w:val="20"/>
          <w:color w:val="auto"/>
        </w:rPr>
      </w:pPr>
    </w:p>
    <w:p>
      <w:pPr>
        <w:jc w:val="both"/>
        <w:ind w:right="220"/>
        <w:spacing w:after="0" w:line="262" w:lineRule="auto"/>
        <w:rPr>
          <w:sz w:val="20"/>
          <w:szCs w:val="20"/>
          <w:color w:val="auto"/>
        </w:rPr>
      </w:pPr>
      <w:r>
        <w:rPr>
          <w:rFonts w:ascii="Arial" w:cs="Arial" w:eastAsia="Arial" w:hAnsi="Arial"/>
          <w:sz w:val="20"/>
          <w:szCs w:val="20"/>
          <w:color w:val="auto"/>
        </w:rPr>
        <w:t>From a business development perspective, the Company still expects to continue to pursue regional licensing and partnership opportunities with immediate revenue contribution that leverage its unique commercial and R&amp;D infrastructure and capabilities and enhance our core business.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2025 Financial Guidance</w:t>
      </w:r>
    </w:p>
    <w:p>
      <w:pPr>
        <w:spacing w:after="0" w:line="21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Viatris is reaffirming its 2025 financial guidance that was previously provided on May 8, 2025, as set forth below. The Company is not providing forward-looking guidance for U.S. GAAP net (loss) earnings or U.S. GAAP diluted (loss) earnings per share (EPS) or a quantitative reconciliation of its 2025 adjusted EBITDA or adjusted EPS guidance to the most directly comparable U.S. GAAP measures, U.S. GAAP net (loss) earnings or U.S. GAAP diluted EPS, respectively, because it is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IPR&amp;D and certain other gains or losses, including for the fair value accounting for non-marketable equity investments,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With respect to the Estimated Ranges provided on August 7, 2025, and May 8, 2025, U.S. GAAP net cash provided by operating activities for 2025 is estimated to be between $2.2 billion and $2.5 billion, with a midpoint of approximately $2.35 billion. With respect to the Estimated Ranges provided on May 8, 2025, Viatris did not provide forward-looking guidance for U.S. GAAP net (loss) earnings or U.S. GAAP diluted EPS or a quantitative reconciliation of its 2025 adjusted EBITDA or adjusted EPS guidance. Please see “Non-GAAP Financial Measures” for additional information.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Adjusted</w:t>
            </w:r>
          </w:p>
        </w:tc>
        <w:tc>
          <w:tcPr>
            <w:tcW w:w="19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9"/>
                <w:szCs w:val="9"/>
                <w:b w:val="1"/>
                <w:bCs w:val="1"/>
                <w:color w:val="auto"/>
              </w:rPr>
              <w:t>(2)</w:t>
            </w: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 xml:space="preserve">Midpoint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83"/>
        </w:trPr>
        <w:tc>
          <w:tcPr>
            <w:tcW w:w="2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EPS)</w:t>
            </w:r>
          </w:p>
        </w:tc>
        <w:tc>
          <w:tcPr>
            <w:tcW w:w="1940" w:type="dxa"/>
            <w:vAlign w:val="bottom"/>
            <w:gridSpan w:val="3"/>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$14,000</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$13,750</w:t>
            </w: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$3,890</w:t>
            </w:r>
          </w:p>
        </w:tc>
        <w:tc>
          <w:tcPr>
            <w:tcW w:w="960" w:type="dxa"/>
            <w:vAlign w:val="bottom"/>
          </w:tcPr>
          <w:p>
            <w:pPr>
              <w:ind w:left="20"/>
              <w:spacing w:after="0"/>
              <w:rPr>
                <w:sz w:val="20"/>
                <w:szCs w:val="20"/>
                <w:color w:val="auto"/>
              </w:rPr>
            </w:pPr>
            <w:r>
              <w:rPr>
                <w:rFonts w:ascii="Arial" w:cs="Arial" w:eastAsia="Arial" w:hAnsi="Arial"/>
                <w:sz w:val="16"/>
                <w:szCs w:val="16"/>
                <w:color w:val="auto"/>
              </w:rPr>
              <w:t>- $4,190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$4,040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$2.30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$2.23</w:t>
            </w:r>
          </w:p>
        </w:tc>
        <w:tc>
          <w:tcPr>
            <w:tcW w:w="0" w:type="dxa"/>
            <w:vAlign w:val="bottom"/>
          </w:tcPr>
          <w:p>
            <w:pPr>
              <w:spacing w:after="0"/>
              <w:rPr>
                <w:sz w:val="1"/>
                <w:szCs w:val="1"/>
                <w:color w:val="auto"/>
              </w:rPr>
            </w:pPr>
          </w:p>
        </w:tc>
      </w:tr>
      <w:tr>
        <w:trPr>
          <w:trHeight w:val="285"/>
        </w:trPr>
        <w:tc>
          <w:tcPr>
            <w:tcW w:w="2200" w:type="dxa"/>
            <w:vAlign w:val="bottom"/>
          </w:tcPr>
          <w:p>
            <w:pPr>
              <w:ind w:left="20"/>
              <w:spacing w:after="0"/>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$1,800</w:t>
            </w:r>
          </w:p>
        </w:tc>
        <w:tc>
          <w:tcPr>
            <w:tcW w:w="960" w:type="dxa"/>
            <w:vAlign w:val="bottom"/>
          </w:tcPr>
          <w:p>
            <w:pPr>
              <w:ind w:left="20"/>
              <w:spacing w:after="0"/>
              <w:rPr>
                <w:sz w:val="20"/>
                <w:szCs w:val="20"/>
                <w:color w:val="auto"/>
              </w:rPr>
            </w:pPr>
            <w:r>
              <w:rPr>
                <w:rFonts w:ascii="Arial" w:cs="Arial" w:eastAsia="Arial" w:hAnsi="Arial"/>
                <w:sz w:val="16"/>
                <w:szCs w:val="16"/>
                <w:color w:val="auto"/>
              </w:rPr>
              <w:t>- $2,200</w:t>
            </w:r>
          </w:p>
        </w:tc>
        <w:tc>
          <w:tcPr>
            <w:tcW w:w="1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540" w:hanging="208"/>
        <w:spacing w:after="0"/>
        <w:tabs>
          <w:tab w:leader="none" w:pos="54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39" w:lineRule="exact"/>
        <w:rPr>
          <w:rFonts w:ascii="Arial" w:cs="Arial" w:eastAsia="Arial" w:hAnsi="Arial"/>
          <w:sz w:val="19"/>
          <w:szCs w:val="19"/>
          <w:color w:val="auto"/>
          <w:vertAlign w:val="superscript"/>
        </w:rPr>
      </w:pPr>
    </w:p>
    <w:p>
      <w:pPr>
        <w:ind w:left="660" w:right="100" w:hanging="328"/>
        <w:spacing w:after="0" w:line="225" w:lineRule="auto"/>
        <w:tabs>
          <w:tab w:leader="none" w:pos="554"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2025 Financial Guidance as provided on August 7, 2025, excludes the impact of transaction-related costs. Also excludes any acquired IPR&amp;D for unsigned deals to be incurred in any future period as it cannot be reasonably forecasted. 2025 financial guidance does not currently include any potential adverse impact from future tariffs and trade restrictions. 2025 Financial Guidance as provided on May 8, 2025 excluded the impact of transaction-related costs. Also excluded any acquired IPR&amp;D for unsigned deals to be incurred in any future period as it could not be reasonably forecasted. 2025 Financial Guidance as provided on May 8, 2025 did not include any potential adverse impact from future tariffs and trade restrictions, which we were unable to predict at that time and could be material.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01"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7030A0"/>
        </w:rPr>
        <w:t>Conference Call and Earnings Materials</w:t>
      </w:r>
    </w:p>
    <w:p>
      <w:pPr>
        <w:spacing w:after="0" w:line="204"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Viatris will host a conference call and live webcast today at 8:30 a.m. ET to review the Company's second quarter 2025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Investors and the general public are invited to listen to a live webcast of the call at investor.viatris.com or by calling</w:t>
      </w:r>
    </w:p>
    <w:p>
      <w:pPr>
        <w:spacing w:after="0" w:line="31" w:lineRule="exact"/>
        <w:rPr>
          <w:sz w:val="20"/>
          <w:szCs w:val="20"/>
          <w:color w:val="auto"/>
        </w:rPr>
      </w:pPr>
    </w:p>
    <w:p>
      <w:pPr>
        <w:ind w:right="260"/>
        <w:spacing w:after="0" w:line="279" w:lineRule="auto"/>
        <w:rPr>
          <w:sz w:val="20"/>
          <w:szCs w:val="20"/>
          <w:color w:val="auto"/>
        </w:rPr>
      </w:pPr>
      <w:r>
        <w:rPr>
          <w:rFonts w:ascii="Arial" w:cs="Arial" w:eastAsia="Arial" w:hAnsi="Arial"/>
          <w:sz w:val="19"/>
          <w:szCs w:val="19"/>
          <w:color w:val="auto"/>
        </w:rPr>
        <w:t>844.308.3344 or 412.317.1896 for international callers. The “Viatris Q2 2025 Earnings Presentation,” which will be referenced during the call, can be found at investor.viatris.com. A replay of the webcast also will be available on the website.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About Viatris</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viatris.com and investor.viatris.com, and connect with us on LinkedIn, Instagram, YouTube and X.</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Non-GAAP Financial Measures</w:t>
      </w:r>
    </w:p>
    <w:p>
      <w:pPr>
        <w:spacing w:after="0" w:line="23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adjusted EPS, EBITDA, adjusted EBITDA, free cash flow, free cash flow excluding transaction-related costs, adjusted R&amp;D and as a % of total revenues, adjusted SG&amp;A and as a % of total revenues, adjusted earnings from operations, adjusted interest expense, adjusted other income, net, adjusted effective tax rate, constant currency total revenues, constant currency net sales, constant currency adjusted EBITDA, constant currency adjusted EPS, 2024 adjusted total revenues excluding divestitures, 2024 adjusted net sales excluding divestitures, divestiture-adjusted operational change, and divestiture-adjusted operational change excluding the Indore Impact,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divestitures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01" w:right="339" w:bottom="1440" w:gutter="0" w:footer="0" w:header="0"/>
        </w:sectPr>
      </w:pPr>
    </w:p>
    <w:bookmarkStart w:id="10" w:name="page11"/>
    <w:bookmarkEnd w:id="10"/>
    <w:p>
      <w:pPr>
        <w:spacing w:after="0" w:line="249" w:lineRule="auto"/>
        <w:rPr>
          <w:sz w:val="20"/>
          <w:szCs w:val="20"/>
          <w:color w:val="auto"/>
        </w:rPr>
      </w:pPr>
      <w:r>
        <w:rPr>
          <w:rFonts w:ascii="Arial" w:cs="Arial" w:eastAsia="Arial" w:hAnsi="Arial"/>
          <w:sz w:val="20"/>
          <w:szCs w:val="20"/>
          <w:color w:val="auto"/>
        </w:rPr>
        <w:t>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adjusted EBITDA, and adjusted EPS. These measures provide information on the change in total revenues, net sales, adjusted EBITDA, and adjusted EPS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adjusted EBITDA, and adjusted EPS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Divestiture-adjusted operational change refers to operational change, further adjusted for the impact of divestitures that closed during 2024 by excluding proportionate net sales from those divested businesses from the comparable 2024 period, and divestiture-adjusted operational change excluding the Indore Impact refers to divestiture-adjusted operational change further adjusted for the negative Indore Impact. The "Summary of Total Revenues by Segment" table below compares total revenues and net sales on an actual and constant currency basis for each reportable segment for the quarters and six months ended June 30, 2025 and 2024, as well as divestiture-adjusted operational change in net sales and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months ended June 30, 2025.</w:t>
      </w:r>
    </w:p>
    <w:p>
      <w:pPr>
        <w:spacing w:after="0" w:line="223"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With respect to the guidance ranges as provided on May 8, 2025, at that time the Company did not provide forward-looking guidance for U.S. GAAP net (loss) earnings or U.S. GAAP diluted EPS or a quantitative reconciliation of its 2025 adjusted EBITDA or adjusted EPS guidance to the most directly comparable U.S. GAAP measures, U.S. GAAP net (loss) earnings or U.S. GAAP diluted EPS, respectively, because it was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IPR&amp;D and certain other gains or losses, including for the fair value accounting for non-marketable equity investments, as well as related income tax accounting, because certain of these items had not occurred, were out of the Company’s control, and/or could not be reasonably predicted without unreasonable effort. These items were uncertain, depended on various factors, and could have had a material impact on U.S. GAAP reported results for the guidance period. As previously disclosed, such guidance ranges excluded the impact of any divestiture-related taxes and transaction costs as well as any acquired IPR&amp;D for unsigned deals to be incurred in any future period as it could not be reasonably forecasted. With respect to the Estimated Ranges provided as of May 8, 2025, U.S. GAAP net cash provided by operating activities for 2025 was estimated to be between $2.2 billion and $2.5 billion, with a midpoint of approximately $2.35 billion.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Certain Key Terms and Presentation Matters</w:t>
      </w:r>
    </w:p>
    <w:p>
      <w:pPr>
        <w:spacing w:after="0" w:line="231"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u w:val="single" w:color="auto"/>
          <w:color w:val="auto"/>
        </w:rPr>
        <w:t>New product sales, new product launches or new product revenues:</w:t>
      </w:r>
      <w:r>
        <w:rPr>
          <w:rFonts w:ascii="Arial" w:cs="Arial" w:eastAsia="Arial" w:hAnsi="Arial"/>
          <w:sz w:val="20"/>
          <w:szCs w:val="20"/>
          <w:color w:val="auto"/>
        </w:rPr>
        <w:t xml:space="preserve"> Refers to revenue from new products launched in 2025 and the carryover impact of new products, including business development, launched within the last 12 months.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87" w:right="339" w:bottom="1440" w:gutter="0" w:footer="0" w:header="0"/>
        </w:sectPr>
      </w:pPr>
    </w:p>
    <w:bookmarkStart w:id="11" w:name="page12"/>
    <w:bookmarkEnd w:id="11"/>
    <w:p>
      <w:pPr>
        <w:jc w:val="both"/>
        <w:ind w:right="500"/>
        <w:spacing w:after="0" w:line="282" w:lineRule="auto"/>
        <w:rPr>
          <w:sz w:val="20"/>
          <w:szCs w:val="20"/>
          <w:color w:val="auto"/>
        </w:rPr>
      </w:pPr>
      <w:r>
        <w:rPr>
          <w:rFonts w:ascii="Arial" w:cs="Arial" w:eastAsia="Arial" w:hAnsi="Arial"/>
          <w:sz w:val="19"/>
          <w:szCs w:val="19"/>
          <w:u w:val="single" w:color="auto"/>
          <w:color w:val="auto"/>
        </w:rPr>
        <w:t>Operational change:</w:t>
      </w:r>
      <w:r>
        <w:rPr>
          <w:rFonts w:ascii="Arial" w:cs="Arial" w:eastAsia="Arial" w:hAnsi="Arial"/>
          <w:sz w:val="19"/>
          <w:szCs w:val="19"/>
          <w:color w:val="auto"/>
        </w:rPr>
        <w:t xml:space="preserve"> Refers to constant currency percentage changes and is derived by translating amounts for the current period at prior year comparative period exchange rates and in doing so shows the percentage change from 2025 constant currency net sales, total revenues, adjusted EBITDA, and adjusted EPS to the corresponding amount in the prior year.</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9"/>
          <w:szCs w:val="19"/>
          <w:u w:val="single" w:color="auto"/>
          <w:color w:val="auto"/>
        </w:rPr>
        <w:t>Divestiture-adjusted operational change:</w:t>
      </w:r>
      <w:r>
        <w:rPr>
          <w:rFonts w:ascii="Arial" w:cs="Arial" w:eastAsia="Arial" w:hAnsi="Arial"/>
          <w:sz w:val="19"/>
          <w:szCs w:val="19"/>
          <w:color w:val="auto"/>
        </w:rPr>
        <w:t xml:space="preserve"> Refers to operational changes, further adjusted for the impact of the proportionate results from the divestitures that closed in 2024, from the 2024 period by excluding such net sales or revenues from those divested businesses from comparable prior periods. Also, for adjusted EBITDA and adjusted EPS, refers to operational changes, adjusted as outlined in the previous sentence and further adjusted for associated net other income.</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u w:val="single" w:color="auto"/>
          <w:color w:val="auto"/>
        </w:rPr>
        <w:t>SG&amp;A and R&amp;D TSA reimbursement and DSA reimbursement:</w:t>
      </w:r>
      <w:r>
        <w:rPr>
          <w:rFonts w:ascii="Arial" w:cs="Arial" w:eastAsia="Arial" w:hAnsi="Arial"/>
          <w:sz w:val="20"/>
          <w:szCs w:val="20"/>
          <w:color w:val="auto"/>
        </w:rPr>
        <w:t xml:space="preserve"> Expenses related to TSA services provided for divested businesses are recorded in their respective functional line item. However, reimbursement of those expenses plus any mark-up is included in other expense (income), net. For comparability purposes, amounts related to the cost reimbursement were reclassified to adjusted SG&amp;A and adjusted R&amp;D during the first quarter of 2024, primarily related to the contribution of the biosimilars business to Biocon Biologics Limited (“Biocon Biologics”) in November 2022. This reclassification had no impact on adjusted net earnings, adjusted EBITDA or adjusted EPS. Any TSA reimbursement and DSA reimbursement amounts related to the closed divestitures are not direct offsets to operational expense and have not been reclassified.</w:t>
      </w:r>
    </w:p>
    <w:p>
      <w:pPr>
        <w:spacing w:after="0" w:line="200"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u w:val="single" w:color="auto"/>
          <w:color w:val="auto"/>
        </w:rPr>
        <w:t>Closed divestitures or divestitures closed in 2024</w:t>
      </w:r>
      <w:r>
        <w:rPr>
          <w:rFonts w:ascii="Arial" w:cs="Arial" w:eastAsia="Arial" w:hAnsi="Arial"/>
          <w:sz w:val="20"/>
          <w:szCs w:val="20"/>
          <w:color w:val="auto"/>
        </w:rPr>
        <w:t>: Refers to the divestiture of the Company’s rights to two women’s healthcare products in the U.K. that closed in August 2024, the divestitures of the commercialization rights in the majority of the Upjohn Distributor markets that closed in 2024, the divestiture of the women’s healthcare business that closed in March 2024, the divestiture of the API business in India that closed in June 2024, and the divestiture of the OTC business that closed in July 2024.</w:t>
      </w:r>
    </w:p>
    <w:p>
      <w:pPr>
        <w:spacing w:after="0" w:line="195" w:lineRule="exact"/>
        <w:rPr>
          <w:sz w:val="20"/>
          <w:szCs w:val="20"/>
          <w:color w:val="auto"/>
        </w:rPr>
      </w:pPr>
    </w:p>
    <w:p>
      <w:pPr>
        <w:ind w:right="220"/>
        <w:spacing w:after="0" w:line="259" w:lineRule="auto"/>
        <w:rPr>
          <w:sz w:val="20"/>
          <w:szCs w:val="20"/>
          <w:color w:val="auto"/>
        </w:rPr>
      </w:pPr>
      <w:r>
        <w:rPr>
          <w:rFonts w:ascii="Arial" w:cs="Arial" w:eastAsia="Arial" w:hAnsi="Arial"/>
          <w:sz w:val="20"/>
          <w:szCs w:val="20"/>
          <w:u w:val="single" w:color="auto"/>
          <w:color w:val="auto"/>
        </w:rPr>
        <w:t>Indore Impact:</w:t>
      </w:r>
      <w:r>
        <w:rPr>
          <w:rFonts w:ascii="Arial" w:cs="Arial" w:eastAsia="Arial" w:hAnsi="Arial"/>
          <w:sz w:val="20"/>
          <w:szCs w:val="20"/>
          <w:color w:val="auto"/>
        </w:rPr>
        <w:t xml:space="preserve"> Refers to the estimated negative financial impact on 2025 total revenues and (loss) earnings from operations versus the comparable 2024 periods as a result of the FDA issued warning letter and import alert related to our oral finished dose manufacturing facility in Indore, India. For the three and six months ended June 30, 2025, the estimated Indore Impact to total revenues was approximately $160 million and $300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Transaction-related costs:</w:t>
      </w:r>
      <w:r>
        <w:rPr>
          <w:rFonts w:ascii="Arial" w:cs="Arial" w:eastAsia="Arial" w:hAnsi="Arial"/>
          <w:sz w:val="20"/>
          <w:szCs w:val="20"/>
          <w:color w:val="auto"/>
        </w:rPr>
        <w:t xml:space="preserve"> Refers to the impact of any acquisition and divestiture-related transaction costs, including taxes.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Forward-Looking Statements</w:t>
      </w:r>
    </w:p>
    <w:p>
      <w:pPr>
        <w:spacing w:after="0" w:line="231"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This press release contains “forward-looking statements”. These statements are made pursuant to the safe harbor provisions of the Private Securities Litigation Reform Act of 1995. Such forward-looking statements may include, without limitation, statements about our 2025 financial guidance; Viatris delivers Total Revenues above expectations reflecting the strength of our execution and the resilience of our diversified global business; positive results from five Phase 3 data readouts this year reinforce continued momentum of late-stage pipeline; reiterates 2025 financial guidance ranges across all metrics and expects to be in the top half of the range for Total Revenues and Adjusted EPS; we delivered a strong second quarter and continued to make meaningful progress against our key 2025 strategic priorities; we believe our results reflect the strength and resilience of our diversified global business, and our late-stage pipeline continues to advance with encouraging momentum; we are progressing our enterprise-wide strategic review and continue to return significant capital to shareholders; we remain focused on driving commercial execution, investing in strategic accretive in-market business development opportunities and positioning Viatris for sustainable growth in 2026 and beyond; our second-quarter results exceeded our expectations and we continue to execute with financial discipline—delivering strong operational</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7" w:right="339" w:bottom="1440" w:gutter="0" w:footer="0" w:header="0"/>
        </w:sectPr>
      </w:pPr>
    </w:p>
    <w:bookmarkStart w:id="12" w:name="page13"/>
    <w:bookmarkEnd w:id="12"/>
    <w:p>
      <w:pPr>
        <w:spacing w:after="0" w:line="244" w:lineRule="auto"/>
        <w:rPr>
          <w:sz w:val="20"/>
          <w:szCs w:val="20"/>
          <w:color w:val="auto"/>
        </w:rPr>
      </w:pPr>
      <w:r>
        <w:rPr>
          <w:rFonts w:ascii="Arial" w:cs="Arial" w:eastAsia="Arial" w:hAnsi="Arial"/>
          <w:sz w:val="19"/>
          <w:szCs w:val="19"/>
          <w:color w:val="auto"/>
        </w:rPr>
        <w:t>performance, reaffirming all key elements of our 2025 financial guidance ranges and building momentum into the second half of the year; with more than $630 million in capital returned to shareholders year-to-date and visibility into continued growth across key regions, we remain confident in our ability to deliver on our financial commitments; the outcome of clinical trials; the Company is evaluating the appropriate next steps for the Pimecrolimus Ophthalmic Ointment (MR-139) Phase 3 program; the Company is reaffirming its commitment to prioritizing returning capital to shareholders in 2025 as previously stated; the Company continues to expect $500 million to $ 650 million in total share repurchases in 2025 and to be opportunistic with cash available throughout the year; from a business development perspective, the Company still expects to continue to pursue regional licensing and partnership opportunities with immediate revenue contribution that leverage its unique commercial and R&amp;D infrastructure and capabilities and enhance our core business; with respect to the Estimated Ranges provided on August 7, 2025, and May 8, 2025, U.S. GAAP net cash provided by operating activities for 2025 is estimated to be between $ 2.2 billion and $2.5 billion, with a midpoint of approximately $ 2.35 billion; the goals or outlooks with respect to the Company’s strategic initiatives and priorities, including but not limited to divestitures, acquisitions, strategic alliances, collaborations, or other potential transactions; the benefits and synergies of such divestitures, acquisitions, strategic alliances, collaborations, or other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not realize the intended benefits of, or achieve the intended goals or outlooks with respect to, its strategic initiatives and priorities (including divestitures, acquisitions, strategic alliances, collaborations, or other potential transactions) or accelerate its growth by building on the strength of its base business with an expanding portfolio of innovative, best-in-class, patent-protected assets; the possibility that the Company may be unable to achieve intended or expected benefits, goals, outlooks, synergies, growth opportunities and operating efficiencies in connection with divestitures, acquisitions, strategic alliances, collaborations, or other transactions, or restructuring programs, within the expected timeframes or at all; the ongoing risks and uncertainties associated with our recent divestitures; goodwill or impairment charges or other losses; the Company’s failure to achieve expected or targeted future financial and operating performance and results; the potential impact of natural or man-made disasters, public health outbreaks, epidemics, pandemics or social disruption in regions where we or our partners or suppliers operate;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the Company’s liquidity, capital resources and ability to obtain financing; any regulatory, legal or other impediments to the Company’s ability to bring new products to market, including but not limited to “at-risk launches”; products in development that receive regulatory approval may not achieve expected levels of market acceptance, efficacy or safety; longer review, response and approval times as a result of evolving regulatory priorities and reductions in personnel at health agencies;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IT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adverse regulatory action,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7" w:right="339" w:bottom="1440" w:gutter="0" w:footer="0" w:header="0"/>
        </w:sectPr>
      </w:pPr>
    </w:p>
    <w:bookmarkStart w:id="13" w:name="page14"/>
    <w:bookmarkEnd w:id="13"/>
    <w:p>
      <w:pPr>
        <w:spacing w:after="0" w:line="233" w:lineRule="auto"/>
        <w:rPr>
          <w:sz w:val="20"/>
          <w:szCs w:val="20"/>
          <w:color w:val="auto"/>
        </w:rPr>
      </w:pPr>
      <w:r>
        <w:rPr>
          <w:rFonts w:ascii="Arial" w:cs="Arial" w:eastAsia="Arial" w:hAnsi="Arial"/>
          <w:sz w:val="20"/>
          <w:szCs w:val="20"/>
          <w:color w:val="auto"/>
        </w:rPr>
        <w:t>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potential for adverse impacts from future tariffs and trade restrictions,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of the Company’s Annual Report on Form 10-K for the year ended December 31, 2024, as amended, Part II, Item 1A of the Company’s Quarterly Report on Form 10-Q for the quarter ended March 31, 2025,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press release or our filings with the SEC. Viatris undertakes no obligation to update any statements herein for revisions or changes after the date of this press release other than as required by law.</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Contacts</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Media:</w:t>
      </w:r>
    </w:p>
    <w:p>
      <w:pPr>
        <w:spacing w:after="0" w:line="31" w:lineRule="exact"/>
        <w:rPr>
          <w:sz w:val="20"/>
          <w:szCs w:val="20"/>
          <w:color w:val="auto"/>
        </w:rPr>
      </w:pPr>
    </w:p>
    <w:p>
      <w:pPr>
        <w:ind w:left="280" w:hanging="254"/>
        <w:spacing w:after="0"/>
        <w:tabs>
          <w:tab w:leader="none" w:pos="2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1.724.514.1968</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Communications@viatris.com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 Mauer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Jennifer.Mauer@viatris.com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 Klein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Matthew.Klein@viatris.com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Investors:</w:t>
      </w:r>
    </w:p>
    <w:p>
      <w:pPr>
        <w:spacing w:after="0" w:line="31" w:lineRule="exact"/>
        <w:rPr>
          <w:sz w:val="20"/>
          <w:szCs w:val="20"/>
          <w:color w:val="auto"/>
        </w:rPr>
      </w:pPr>
    </w:p>
    <w:p>
      <w:pPr>
        <w:ind w:left="280" w:hanging="254"/>
        <w:spacing w:after="0"/>
        <w:tabs>
          <w:tab w:leader="none" w:pos="2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1.724.514.1813</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InvestorRelations@viatris.com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Bill Szablewski</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William.Szablewski@viatris.com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887" w:right="3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222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3,569.0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3,785.9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6,812.2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7,439.4</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3,582.1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3,796.6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6,836.4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7,460.0</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4,342.3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4,510.6</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2,494.1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2,949.4</w:t>
            </w:r>
          </w:p>
        </w:tc>
        <w:tc>
          <w:tcPr>
            <w:tcW w:w="0" w:type="dxa"/>
            <w:vAlign w:val="bottom"/>
          </w:tcPr>
          <w:p>
            <w:pPr>
              <w:spacing w:after="0"/>
              <w:rPr>
                <w:sz w:val="1"/>
                <w:szCs w:val="1"/>
                <w:color w:val="auto"/>
              </w:rPr>
            </w:pPr>
          </w:p>
        </w:tc>
      </w:tr>
      <w:tr>
        <w:trPr>
          <w:trHeight w:val="19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403.8</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IPR&amp;D</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61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2,054.5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c>
          <w:tcPr>
            <w:tcW w:w="0" w:type="dxa"/>
            <w:vAlign w:val="bottom"/>
          </w:tcPr>
          <w:p>
            <w:pPr>
              <w:spacing w:after="0"/>
              <w:rPr>
                <w:sz w:val="1"/>
                <w:szCs w:val="1"/>
                <w:color w:val="auto"/>
              </w:rPr>
            </w:pPr>
          </w:p>
        </w:tc>
      </w:tr>
      <w:tr>
        <w:trPr>
          <w:trHeight w:val="215"/>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5,143.3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2,985.4</w:t>
            </w: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rPr>
                <w:sz w:val="20"/>
                <w:szCs w:val="20"/>
                <w:color w:val="auto"/>
              </w:rPr>
            </w:pPr>
            <w:r>
              <w:rPr>
                <w:rFonts w:ascii="Arial" w:cs="Arial" w:eastAsia="Arial" w:hAnsi="Arial"/>
                <w:sz w:val="16"/>
                <w:szCs w:val="16"/>
                <w:color w:val="auto"/>
              </w:rPr>
              <w:t>Earnings (loss) from operations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(2,649.2)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284.2</w:t>
            </w:r>
          </w:p>
        </w:tc>
        <w:tc>
          <w:tcPr>
            <w:tcW w:w="0" w:type="dxa"/>
            <w:vAlign w:val="bottom"/>
          </w:tcPr>
          <w:p>
            <w:pPr>
              <w:spacing w:after="0"/>
              <w:rPr>
                <w:sz w:val="1"/>
                <w:szCs w:val="1"/>
                <w:color w:val="auto"/>
              </w:rPr>
            </w:pPr>
          </w:p>
        </w:tc>
      </w:tr>
      <w:tr>
        <w:trPr>
          <w:trHeight w:val="215"/>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15"/>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provision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35"/>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60" w:type="dxa"/>
            <w:vAlign w:val="bottom"/>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1,193.1</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hanging="328"/>
        <w:spacing w:after="0" w:line="234" w:lineRule="auto"/>
        <w:tabs>
          <w:tab w:leader="none" w:pos="567"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Certain reclassifications were made to conform the prior period consolidated financial statements to the current period presentation. Charges related to the impairment of goodwill, which were previously presented in Selling, General and Administrative, are now presented in Impairment of Goodwill in the condensed consolidated statements of operations.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0" w:type="dxa"/>
            <w:vAlign w:val="bottom"/>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3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8340" w:type="dxa"/>
            <w:vAlign w:val="bottom"/>
            <w:shd w:val="clear" w:color="auto" w:fill="CCEEFF"/>
          </w:tcPr>
          <w:p>
            <w:pPr>
              <w:ind w:left="528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566.4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734.8</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3,221.3</w:t>
            </w:r>
          </w:p>
        </w:tc>
        <w:tc>
          <w:tcPr>
            <w:tcW w:w="0" w:type="dxa"/>
            <w:vAlign w:val="bottom"/>
          </w:tcPr>
          <w:p>
            <w:pPr>
              <w:spacing w:after="0"/>
              <w:rPr>
                <w:sz w:val="1"/>
                <w:szCs w:val="1"/>
                <w:color w:val="auto"/>
              </w:rPr>
            </w:pPr>
          </w:p>
        </w:tc>
      </w:tr>
      <w:tr>
        <w:trPr>
          <w:trHeight w:val="215"/>
        </w:trPr>
        <w:tc>
          <w:tcPr>
            <w:tcW w:w="834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4,264.3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3,854.1</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1,710.5</w:t>
            </w:r>
          </w:p>
        </w:tc>
        <w:tc>
          <w:tcPr>
            <w:tcW w:w="0" w:type="dxa"/>
            <w:vAlign w:val="bottom"/>
          </w:tcPr>
          <w:p>
            <w:pPr>
              <w:spacing w:after="0"/>
              <w:rPr>
                <w:sz w:val="1"/>
                <w:szCs w:val="1"/>
                <w:color w:val="auto"/>
              </w:rPr>
            </w:pPr>
          </w:p>
        </w:tc>
      </w:tr>
      <w:tr>
        <w:trPr>
          <w:trHeight w:val="209"/>
        </w:trPr>
        <w:tc>
          <w:tcPr>
            <w:tcW w:w="834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9,774.6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9,520.7</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17,070.9</w:t>
            </w:r>
          </w:p>
        </w:tc>
        <w:tc>
          <w:tcPr>
            <w:tcW w:w="0" w:type="dxa"/>
            <w:vAlign w:val="bottom"/>
          </w:tcPr>
          <w:p>
            <w:pPr>
              <w:spacing w:after="0"/>
              <w:rPr>
                <w:sz w:val="1"/>
                <w:szCs w:val="1"/>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9,133.3</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5,776.0</w:t>
            </w:r>
          </w:p>
        </w:tc>
        <w:tc>
          <w:tcPr>
            <w:tcW w:w="0" w:type="dxa"/>
            <w:vAlign w:val="bottom"/>
          </w:tcPr>
          <w:p>
            <w:pPr>
              <w:spacing w:after="0"/>
              <w:rPr>
                <w:sz w:val="1"/>
                <w:szCs w:val="1"/>
                <w:color w:val="auto"/>
              </w:rPr>
            </w:pPr>
          </w:p>
        </w:tc>
      </w:tr>
      <w:tr>
        <w:trPr>
          <w:trHeight w:val="210"/>
        </w:trPr>
        <w:tc>
          <w:tcPr>
            <w:tcW w:w="83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38,411.5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41,500.9</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462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5,452.7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5,771.1</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14,038.9</w:t>
            </w:r>
          </w:p>
        </w:tc>
        <w:tc>
          <w:tcPr>
            <w:tcW w:w="0" w:type="dxa"/>
            <w:vAlign w:val="bottom"/>
          </w:tcPr>
          <w:p>
            <w:pPr>
              <w:spacing w:after="0"/>
              <w:rPr>
                <w:sz w:val="1"/>
                <w:szCs w:val="1"/>
                <w:color w:val="auto"/>
              </w:rPr>
            </w:pPr>
          </w:p>
        </w:tc>
      </w:tr>
      <w:tr>
        <w:trPr>
          <w:trHeight w:val="215"/>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3,047.1</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22,865.4</w:t>
            </w:r>
          </w:p>
        </w:tc>
        <w:tc>
          <w:tcPr>
            <w:tcW w:w="0" w:type="dxa"/>
            <w:vAlign w:val="bottom"/>
          </w:tcPr>
          <w:p>
            <w:pPr>
              <w:spacing w:after="0"/>
              <w:rPr>
                <w:sz w:val="1"/>
                <w:szCs w:val="1"/>
                <w:color w:val="auto"/>
              </w:rPr>
            </w:pP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18,635.5</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38,411.5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41,500.9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40" w:top="890"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8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r>
      <w:tr>
        <w:trPr>
          <w:trHeight w:val="197"/>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Global Products</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Lipitor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387.9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348.4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775.9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737.3</w:t>
            </w: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Norvasc ®</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EpiPen® Auto-Injectors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195.7</w:t>
            </w: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Lyrica ®</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Viagra ®</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206.8</w:t>
            </w: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Creon ®</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Celebrex ®</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144.4</w:t>
            </w: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Effexor ®</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Zoloft ®</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116.9</w:t>
            </w: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Xalabrands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Segment Products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Yupelri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124.9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109.7</w:t>
            </w: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Dymista ®</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Amitiza ®</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Xanax ®</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7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8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Amounts for the three and six months ended June 30, 2025, include the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931" w:right="4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Loss to Adjusted Net Earnings and U.S. GAAP Loss Per Share to Adjusted EPS</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Below is a reconciliation of U.S. GAAP net loss and diluted loss per share to adjusted net earnings and adjusted EPS for the three and six months ended June 30, 2025,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8"/>
          </w:tcPr>
          <w:p>
            <w:pPr>
              <w:jc w:val="right"/>
              <w:ind w:right="99"/>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94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U.S. GAAP net loss and U.S. GAAP diluted loss per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3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(3,046.6)</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6"/>
                <w:szCs w:val="16"/>
                <w:color w:val="auto"/>
              </w:rPr>
              <w:t>Purchase accounting amortization (primarily included</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597.8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709.9</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1,181.3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1,321.6</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in cost of sales)</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Impairment of goodwill </w:t>
            </w:r>
            <w:r>
              <w:rPr>
                <w:rFonts w:ascii="Arial" w:cs="Arial" w:eastAsia="Arial" w:hAnsi="Arial"/>
                <w:sz w:val="21"/>
                <w:szCs w:val="21"/>
                <w:color w:val="auto"/>
                <w:vertAlign w:val="superscript"/>
              </w:rPr>
              <w:t>(a)</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131.0</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expense (primarily amortization of premiums</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discounts on long term debt)</w:t>
            </w: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6"/>
                <w:szCs w:val="16"/>
                <w:color w:val="auto"/>
              </w:rPr>
              <w:t>Loss on divestitures of businesses (included in other</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258.8</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80.7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188.4</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expense (income), net)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Acquisition and divestiture-related costs (primarily</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included in SG&amp;A) </w:t>
            </w:r>
            <w:r>
              <w:rPr>
                <w:rFonts w:ascii="Arial" w:cs="Arial" w:eastAsia="Arial" w:hAnsi="Arial"/>
                <w:sz w:val="21"/>
                <w:szCs w:val="21"/>
                <w:color w:val="auto"/>
                <w:vertAlign w:val="superscript"/>
              </w:rPr>
              <w:t>(c)</w:t>
            </w: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Restructuring costs </w:t>
            </w:r>
            <w:r>
              <w:rPr>
                <w:rFonts w:ascii="Arial" w:cs="Arial" w:eastAsia="Arial" w:hAnsi="Arial"/>
                <w:sz w:val="21"/>
                <w:szCs w:val="21"/>
                <w:color w:val="auto"/>
                <w:vertAlign w:val="superscript"/>
              </w:rPr>
              <w:t>(d)</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Other special items included in:</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20"/>
              <w:spacing w:after="0"/>
              <w:rPr>
                <w:sz w:val="20"/>
                <w:szCs w:val="20"/>
                <w:color w:val="auto"/>
              </w:rPr>
            </w:pPr>
            <w:r>
              <w:rPr>
                <w:rFonts w:ascii="Arial" w:cs="Arial" w:eastAsia="Arial" w:hAnsi="Arial"/>
                <w:sz w:val="16"/>
                <w:szCs w:val="16"/>
                <w:color w:val="auto"/>
              </w:rPr>
              <w:t>Research and development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0.4</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Other expense (income), net </w:t>
            </w:r>
            <w:r>
              <w:rPr>
                <w:rFonts w:ascii="Arial" w:cs="Arial" w:eastAsia="Arial" w:hAnsi="Arial"/>
                <w:sz w:val="21"/>
                <w:szCs w:val="21"/>
                <w:color w:val="auto"/>
                <w:vertAlign w:val="superscript"/>
              </w:rPr>
              <w:t>(f)</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(233.7)</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(278.2)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Tax effect of the above items and other income tax</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(286.9)</w:t>
            </w: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related items </w:t>
            </w:r>
            <w:r>
              <w:rPr>
                <w:rFonts w:ascii="Arial" w:cs="Arial" w:eastAsia="Arial" w:hAnsi="Arial"/>
                <w:sz w:val="21"/>
                <w:szCs w:val="21"/>
                <w:color w:val="auto"/>
                <w:vertAlign w:val="superscript"/>
              </w:rPr>
              <w:t>(g)</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Adjusted net earnings and adjusted EPS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1,326.3</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1,197.7</w:t>
            </w:r>
          </w:p>
        </w:tc>
        <w:tc>
          <w:tcPr>
            <w:tcW w:w="3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1,203.6</w:t>
            </w:r>
          </w:p>
        </w:tc>
        <w:tc>
          <w:tcPr>
            <w:tcW w:w="3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include the following:</w:t>
      </w:r>
    </w:p>
    <w:p>
      <w:pPr>
        <w:spacing w:after="0" w:line="73" w:lineRule="exact"/>
        <w:rPr>
          <w:sz w:val="20"/>
          <w:szCs w:val="20"/>
          <w:color w:val="auto"/>
        </w:rPr>
      </w:pPr>
    </w:p>
    <w:p>
      <w:pPr>
        <w:ind w:left="660" w:hanging="328"/>
        <w:spacing w:after="0" w:line="227"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six months ended June 30, 2025, includes a goodwill impairment charge of $2.9 billion as a result of the interim goodwill impairment test performed as of March 31, 2025.</w:t>
      </w:r>
    </w:p>
    <w:p>
      <w:pPr>
        <w:spacing w:after="0" w:line="29" w:lineRule="exact"/>
        <w:rPr>
          <w:rFonts w:ascii="Arial" w:cs="Arial" w:eastAsia="Arial" w:hAnsi="Arial"/>
          <w:sz w:val="21"/>
          <w:szCs w:val="21"/>
          <w:color w:val="auto"/>
          <w:vertAlign w:val="superscript"/>
        </w:rPr>
      </w:pPr>
    </w:p>
    <w:p>
      <w:pPr>
        <w:jc w:val="both"/>
        <w:ind w:left="660" w:hanging="328"/>
        <w:spacing w:after="0" w:line="238"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2025, consists of pre-tax charges related to the divestitures primarily due to an increase in estimated transaction related costs, including the assumption of additional contractual obligations, as well as the impact of working capital and other transaction-related adjustments.</w:t>
      </w:r>
    </w:p>
    <w:p>
      <w:pPr>
        <w:spacing w:after="0" w:line="16"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Acquisition and divestiture-related costs consist primarily of transaction costs including legal and consulting fees, and integration activities.</w:t>
      </w:r>
    </w:p>
    <w:p>
      <w:pPr>
        <w:spacing w:after="0" w:line="44" w:lineRule="exact"/>
        <w:rPr>
          <w:rFonts w:ascii="Arial" w:cs="Arial" w:eastAsia="Arial" w:hAnsi="Arial"/>
          <w:sz w:val="21"/>
          <w:szCs w:val="21"/>
          <w:color w:val="auto"/>
          <w:vertAlign w:val="superscript"/>
        </w:rPr>
      </w:pPr>
    </w:p>
    <w:p>
      <w:pPr>
        <w:ind w:left="660" w:hanging="328"/>
        <w:spacing w:after="0" w:line="218"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2025, charges include approximately $11.3 million and $31.1 million, respectively, in cost of sales, approximately $1.4 million and $2.2 million, respectively, in R&amp;D, and approximately $14.0 million and $86.3 million, respectively, in SG&amp;A.</w:t>
      </w:r>
    </w:p>
    <w:p>
      <w:pPr>
        <w:spacing w:after="0" w:line="43" w:lineRule="exact"/>
        <w:rPr>
          <w:rFonts w:ascii="Arial" w:cs="Arial" w:eastAsia="Arial" w:hAnsi="Arial"/>
          <w:sz w:val="21"/>
          <w:szCs w:val="21"/>
          <w:color w:val="auto"/>
          <w:vertAlign w:val="superscript"/>
        </w:rPr>
      </w:pPr>
    </w:p>
    <w:p>
      <w:pPr>
        <w:ind w:left="660" w:hanging="328"/>
        <w:spacing w:after="0" w:line="227"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2025, charges include incremental manufacturing variances at plants slated for sale or closure or undergoing remediation activities of approximately $36.7 million and $68.4 million, respectively.</w:t>
      </w:r>
    </w:p>
    <w:p>
      <w:pPr>
        <w:spacing w:after="0" w:line="38" w:lineRule="exact"/>
        <w:rPr>
          <w:rFonts w:ascii="Arial" w:cs="Arial" w:eastAsia="Arial" w:hAnsi="Arial"/>
          <w:sz w:val="21"/>
          <w:szCs w:val="21"/>
          <w:color w:val="auto"/>
          <w:vertAlign w:val="superscript"/>
        </w:rPr>
      </w:pPr>
    </w:p>
    <w:p>
      <w:pPr>
        <w:ind w:left="660" w:hanging="328"/>
        <w:spacing w:after="0" w:line="252" w:lineRule="auto"/>
        <w:tabs>
          <w:tab w:leader="none" w:pos="651"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2025, includes a loss of approximately $284.0 million and $399.8 million</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respectively, as a result of remeasuring the compulsory convertible preferred shares in Biocon Biologics to fair value.</w:t>
      </w:r>
    </w:p>
    <w:p>
      <w:pPr>
        <w:ind w:left="640" w:hanging="308"/>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Reconciliation of U.S. GAAP Net Loss to EBITDA and Adjusted EBITDA</w:t>
      </w:r>
    </w:p>
    <w:p>
      <w:pPr>
        <w:spacing w:after="0" w:line="304"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Below is a reconciliation of U.S. GAAP net loss to EBITDA and adjusted EBITDA for the three and six months ended June 30, 2025,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 provision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16"/>
        </w:trPr>
        <w:tc>
          <w:tcPr>
            <w:tcW w:w="60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284.2</w:t>
            </w:r>
          </w:p>
        </w:tc>
      </w:tr>
      <w:tr>
        <w:trPr>
          <w:trHeight w:val="216"/>
        </w:trPr>
        <w:tc>
          <w:tcPr>
            <w:tcW w:w="60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1,343.0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1,477.3</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577.8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540.3</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(1,739.0)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1,574.3</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81.4</w:t>
            </w: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Loss on divestitures of businesses</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188.4</w:t>
            </w: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r>
      <w:tr>
        <w:trPr>
          <w:trHeight w:val="216"/>
        </w:trPr>
        <w:tc>
          <w:tcPr>
            <w:tcW w:w="606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Restructuring, acquisition and divestiture-related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1,078.8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2,002.3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2,401.3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57"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Loss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Constant</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2024 Adjusted</w:t>
            </w: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8"/>
        </w:trPr>
        <w:tc>
          <w:tcPr>
            <w:tcW w:w="1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Currency %</w:t>
            </w:r>
          </w:p>
        </w:tc>
        <w:tc>
          <w:tcPr>
            <w:tcW w:w="200" w:type="dxa"/>
            <w:vAlign w:val="bottom"/>
          </w:tcPr>
          <w:p>
            <w:pPr>
              <w:spacing w:after="0"/>
              <w:rPr>
                <w:sz w:val="5"/>
                <w:szCs w:val="5"/>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Closed</w:t>
            </w: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44"/>
        </w:trPr>
        <w:tc>
          <w:tcPr>
            <w:tcW w:w="1860" w:type="dxa"/>
            <w:vAlign w:val="bottom"/>
            <w:vMerge w:val="restart"/>
          </w:tcPr>
          <w:p>
            <w:pPr>
              <w:jc w:val="center"/>
              <w:ind w:right="148"/>
              <w:spacing w:after="0"/>
              <w:rPr>
                <w:sz w:val="20"/>
                <w:szCs w:val="20"/>
                <w:color w:val="auto"/>
              </w:rPr>
            </w:pPr>
            <w:r>
              <w:rPr>
                <w:rFonts w:ascii="Arial" w:cs="Arial" w:eastAsia="Arial" w:hAnsi="Arial"/>
                <w:sz w:val="14"/>
                <w:szCs w:val="14"/>
                <w:b w:val="1"/>
                <w:bCs w:val="1"/>
                <w:i w:val="1"/>
                <w:iCs w:val="1"/>
                <w:color w:val="auto"/>
              </w:rPr>
              <w:t>(In millions, except %s)</w:t>
            </w: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Ex Divestitures</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8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1"/>
                <w:szCs w:val="11"/>
                <w:color w:val="auto"/>
              </w:rPr>
            </w:pPr>
          </w:p>
        </w:tc>
        <w:tc>
          <w:tcPr>
            <w:tcW w:w="10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 xml:space="preserve">Divestitures </w:t>
            </w:r>
            <w:r>
              <w:rPr>
                <w:rFonts w:ascii="Arial" w:cs="Arial" w:eastAsia="Arial" w:hAnsi="Arial"/>
                <w:sz w:val="15"/>
                <w:szCs w:val="15"/>
                <w:b w:val="1"/>
                <w:bCs w:val="1"/>
                <w:color w:val="auto"/>
                <w:vertAlign w:val="superscript"/>
              </w:rPr>
              <w:t>(3)</w:t>
            </w:r>
          </w:p>
        </w:tc>
        <w:tc>
          <w:tcPr>
            <w:tcW w:w="280" w:type="dxa"/>
            <w:vAlign w:val="bottom"/>
          </w:tcPr>
          <w:p>
            <w:pPr>
              <w:spacing w:after="0"/>
              <w:rPr>
                <w:sz w:val="11"/>
                <w:szCs w:val="11"/>
                <w:color w:val="auto"/>
              </w:rPr>
            </w:pPr>
          </w:p>
        </w:tc>
        <w:tc>
          <w:tcPr>
            <w:tcW w:w="800" w:type="dxa"/>
            <w:vAlign w:val="bottom"/>
          </w:tcPr>
          <w:p>
            <w:pPr>
              <w:jc w:val="center"/>
              <w:ind w:right="211"/>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5"/>
                <w:szCs w:val="15"/>
                <w:b w:val="1"/>
                <w:bCs w:val="1"/>
                <w:color w:val="auto"/>
                <w:vertAlign w:val="superscript"/>
              </w:rPr>
              <w:t>(5)</w:t>
            </w:r>
          </w:p>
        </w:tc>
        <w:tc>
          <w:tcPr>
            <w:tcW w:w="0" w:type="dxa"/>
            <w:vAlign w:val="bottom"/>
          </w:tcPr>
          <w:p>
            <w:pPr>
              <w:spacing w:after="0"/>
              <w:rPr>
                <w:sz w:val="1"/>
                <w:szCs w:val="1"/>
                <w:color w:val="auto"/>
              </w:rPr>
            </w:pPr>
          </w:p>
        </w:tc>
      </w:tr>
      <w:tr>
        <w:trPr>
          <w:trHeight w:val="183"/>
        </w:trPr>
        <w:tc>
          <w:tcPr>
            <w:tcW w:w="1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6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2,119.3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2,319.2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2,058.5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174.8</w:t>
            </w: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2,144.4</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8"/>
        </w:trPr>
        <w:tc>
          <w:tcPr>
            <w:tcW w:w="1860" w:type="dxa"/>
            <w:vAlign w:val="bottom"/>
          </w:tcPr>
          <w:p>
            <w:pPr>
              <w:ind w:left="220"/>
              <w:spacing w:after="0"/>
              <w:rPr>
                <w:sz w:val="20"/>
                <w:szCs w:val="20"/>
                <w:color w:val="auto"/>
              </w:rPr>
            </w:pPr>
            <w:r>
              <w:rPr>
                <w:rFonts w:ascii="Arial" w:cs="Arial" w:eastAsia="Arial" w:hAnsi="Arial"/>
                <w:sz w:val="14"/>
                <w:szCs w:val="14"/>
                <w:color w:val="auto"/>
              </w:rPr>
              <w:t>JANZ</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349.6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301.0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338.6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7"/>
        </w:trPr>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2"/>
        </w:trPr>
        <w:tc>
          <w:tcPr>
            <w:tcW w:w="1860" w:type="dxa"/>
            <w:vAlign w:val="bottom"/>
          </w:tcPr>
          <w:p>
            <w:pPr>
              <w:jc w:val="center"/>
              <w:ind w:right="168"/>
              <w:spacing w:after="0"/>
              <w:rPr>
                <w:sz w:val="20"/>
                <w:szCs w:val="20"/>
                <w:color w:val="auto"/>
              </w:rPr>
            </w:pPr>
            <w:r>
              <w:rPr>
                <w:rFonts w:ascii="Arial" w:cs="Arial" w:eastAsia="Arial" w:hAnsi="Arial"/>
                <w:sz w:val="14"/>
                <w:szCs w:val="14"/>
                <w:color w:val="auto"/>
                <w:w w:val="98"/>
              </w:rPr>
              <w:t>Total net sales</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3,569.0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3,785.9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3,507.5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212.2</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3,573.7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12"/>
        </w:trPr>
        <w:tc>
          <w:tcPr>
            <w:tcW w:w="1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6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(6)</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ind w:left="620"/>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ind w:left="740"/>
              <w:spacing w:after="0"/>
              <w:rPr>
                <w:sz w:val="20"/>
                <w:szCs w:val="20"/>
                <w:color w:val="auto"/>
              </w:rPr>
            </w:pPr>
            <w:r>
              <w:rPr>
                <w:rFonts w:ascii="Arial" w:cs="Arial" w:eastAsia="Arial" w:hAnsi="Arial"/>
                <w:sz w:val="14"/>
                <w:szCs w:val="14"/>
                <w:color w:val="auto"/>
              </w:rPr>
              <w:t>NM</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220"/>
              <w:spacing w:after="0" w:line="131" w:lineRule="exact"/>
              <w:rPr>
                <w:sz w:val="20"/>
                <w:szCs w:val="20"/>
                <w:color w:val="auto"/>
              </w:rPr>
            </w:pPr>
            <w:r>
              <w:rPr>
                <w:rFonts w:ascii="Arial" w:cs="Arial" w:eastAsia="Arial" w:hAnsi="Arial"/>
                <w:sz w:val="14"/>
                <w:szCs w:val="14"/>
                <w:color w:val="auto"/>
              </w:rPr>
              <w:t>Consolidated total</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3,582.1</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3,796.6</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3,520.3</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212.8</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3,583.8</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4"/>
        </w:trPr>
        <w:tc>
          <w:tcPr>
            <w:tcW w:w="1860" w:type="dxa"/>
            <w:vAlign w:val="bottom"/>
            <w:tcBorders>
              <w:bottom w:val="single" w:sz="8" w:color="CCEEFF"/>
            </w:tcBorders>
            <w:shd w:val="clear" w:color="auto" w:fill="CCEEFF"/>
          </w:tcPr>
          <w:p>
            <w:pPr>
              <w:ind w:left="220"/>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(7)</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Constant</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2024 Adjusted</w:t>
            </w: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8"/>
        </w:trPr>
        <w:tc>
          <w:tcPr>
            <w:tcW w:w="1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Currency %</w:t>
            </w:r>
          </w:p>
        </w:tc>
        <w:tc>
          <w:tcPr>
            <w:tcW w:w="200" w:type="dxa"/>
            <w:vAlign w:val="bottom"/>
          </w:tcPr>
          <w:p>
            <w:pPr>
              <w:spacing w:after="0"/>
              <w:rPr>
                <w:sz w:val="5"/>
                <w:szCs w:val="5"/>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Closed</w:t>
            </w: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44"/>
        </w:trPr>
        <w:tc>
          <w:tcPr>
            <w:tcW w:w="1860" w:type="dxa"/>
            <w:vAlign w:val="bottom"/>
            <w:vMerge w:val="restart"/>
          </w:tcPr>
          <w:p>
            <w:pPr>
              <w:jc w:val="center"/>
              <w:ind w:right="148"/>
              <w:spacing w:after="0"/>
              <w:rPr>
                <w:sz w:val="20"/>
                <w:szCs w:val="20"/>
                <w:color w:val="auto"/>
              </w:rPr>
            </w:pPr>
            <w:r>
              <w:rPr>
                <w:rFonts w:ascii="Arial" w:cs="Arial" w:eastAsia="Arial" w:hAnsi="Arial"/>
                <w:sz w:val="14"/>
                <w:szCs w:val="14"/>
                <w:b w:val="1"/>
                <w:bCs w:val="1"/>
                <w:i w:val="1"/>
                <w:iCs w:val="1"/>
                <w:color w:val="auto"/>
              </w:rPr>
              <w:t>(In millions, except %s)</w:t>
            </w: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Ex Divestitures</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8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1"/>
                <w:szCs w:val="11"/>
                <w:color w:val="auto"/>
              </w:rPr>
            </w:pPr>
          </w:p>
        </w:tc>
        <w:tc>
          <w:tcPr>
            <w:tcW w:w="10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 xml:space="preserve">Divestitures </w:t>
            </w:r>
            <w:r>
              <w:rPr>
                <w:rFonts w:ascii="Arial" w:cs="Arial" w:eastAsia="Arial" w:hAnsi="Arial"/>
                <w:sz w:val="15"/>
                <w:szCs w:val="15"/>
                <w:b w:val="1"/>
                <w:bCs w:val="1"/>
                <w:color w:val="auto"/>
                <w:vertAlign w:val="superscript"/>
              </w:rPr>
              <w:t>(3)</w:t>
            </w:r>
          </w:p>
        </w:tc>
        <w:tc>
          <w:tcPr>
            <w:tcW w:w="280" w:type="dxa"/>
            <w:vAlign w:val="bottom"/>
          </w:tcPr>
          <w:p>
            <w:pPr>
              <w:spacing w:after="0"/>
              <w:rPr>
                <w:sz w:val="11"/>
                <w:szCs w:val="11"/>
                <w:color w:val="auto"/>
              </w:rPr>
            </w:pPr>
          </w:p>
        </w:tc>
        <w:tc>
          <w:tcPr>
            <w:tcW w:w="800" w:type="dxa"/>
            <w:vAlign w:val="bottom"/>
          </w:tcPr>
          <w:p>
            <w:pPr>
              <w:jc w:val="center"/>
              <w:ind w:right="211"/>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5"/>
                <w:szCs w:val="15"/>
                <w:b w:val="1"/>
                <w:bCs w:val="1"/>
                <w:color w:val="auto"/>
                <w:vertAlign w:val="superscript"/>
              </w:rPr>
              <w:t>(5)</w:t>
            </w:r>
          </w:p>
        </w:tc>
        <w:tc>
          <w:tcPr>
            <w:tcW w:w="0" w:type="dxa"/>
            <w:vAlign w:val="bottom"/>
          </w:tcPr>
          <w:p>
            <w:pPr>
              <w:spacing w:after="0"/>
              <w:rPr>
                <w:sz w:val="1"/>
                <w:szCs w:val="1"/>
                <w:color w:val="auto"/>
              </w:rPr>
            </w:pPr>
          </w:p>
        </w:tc>
      </w:tr>
      <w:tr>
        <w:trPr>
          <w:trHeight w:val="183"/>
        </w:trPr>
        <w:tc>
          <w:tcPr>
            <w:tcW w:w="1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6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4,011.0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4,484.6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3,983.5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354.5</w:t>
            </w: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4,130.1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8"/>
        </w:trPr>
        <w:tc>
          <w:tcPr>
            <w:tcW w:w="1860" w:type="dxa"/>
            <w:vAlign w:val="bottom"/>
          </w:tcPr>
          <w:p>
            <w:pPr>
              <w:ind w:left="220"/>
              <w:spacing w:after="0"/>
              <w:rPr>
                <w:sz w:val="20"/>
                <w:szCs w:val="20"/>
                <w:color w:val="auto"/>
              </w:rPr>
            </w:pPr>
            <w:r>
              <w:rPr>
                <w:rFonts w:ascii="Arial" w:cs="Arial" w:eastAsia="Arial" w:hAnsi="Arial"/>
                <w:sz w:val="14"/>
                <w:szCs w:val="14"/>
                <w:color w:val="auto"/>
              </w:rPr>
              <w:t>JANZ</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667.4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589.3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646.6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186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6,812.2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7,439.4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6,835.8</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449.6</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6,989.8</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12"/>
        </w:trPr>
        <w:tc>
          <w:tcPr>
            <w:tcW w:w="1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6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(6)</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ind w:left="620"/>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ind w:left="740"/>
              <w:spacing w:after="0"/>
              <w:rPr>
                <w:sz w:val="20"/>
                <w:szCs w:val="20"/>
                <w:color w:val="auto"/>
              </w:rPr>
            </w:pPr>
            <w:r>
              <w:rPr>
                <w:rFonts w:ascii="Arial" w:cs="Arial" w:eastAsia="Arial" w:hAnsi="Arial"/>
                <w:sz w:val="14"/>
                <w:szCs w:val="14"/>
                <w:color w:val="auto"/>
              </w:rPr>
              <w:t>NM</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220"/>
              <w:spacing w:after="0" w:line="131" w:lineRule="exact"/>
              <w:rPr>
                <w:sz w:val="20"/>
                <w:szCs w:val="20"/>
                <w:color w:val="auto"/>
              </w:rPr>
            </w:pPr>
            <w:r>
              <w:rPr>
                <w:rFonts w:ascii="Arial" w:cs="Arial" w:eastAsia="Arial" w:hAnsi="Arial"/>
                <w:sz w:val="14"/>
                <w:szCs w:val="14"/>
                <w:color w:val="auto"/>
              </w:rPr>
              <w:t>Consolidated total</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6,836.4</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7,460.0</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6,859.8</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452.0</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7,008.0</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4"/>
        </w:trPr>
        <w:tc>
          <w:tcPr>
            <w:tcW w:w="1860" w:type="dxa"/>
            <w:vAlign w:val="bottom"/>
            <w:tcBorders>
              <w:bottom w:val="single" w:sz="8" w:color="CCEEFF"/>
            </w:tcBorders>
            <w:shd w:val="clear" w:color="auto" w:fill="CCEEFF"/>
          </w:tcPr>
          <w:p>
            <w:pPr>
              <w:ind w:left="220"/>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(7)</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4"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44" w:lineRule="exact"/>
        <w:rPr>
          <w:rFonts w:ascii="Arial" w:cs="Arial" w:eastAsia="Arial" w:hAnsi="Arial"/>
          <w:sz w:val="21"/>
          <w:szCs w:val="21"/>
          <w:color w:val="auto"/>
          <w:vertAlign w:val="superscript"/>
        </w:rPr>
      </w:pPr>
    </w:p>
    <w:p>
      <w:pPr>
        <w:jc w:val="both"/>
        <w:ind w:left="660" w:hanging="328"/>
        <w:spacing w:after="0" w:line="232" w:lineRule="auto"/>
        <w:tabs>
          <w:tab w:leader="none" w:pos="636"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2025 constant currency net sales or revenues to the corresponding amount in the prior year.</w:t>
      </w:r>
    </w:p>
    <w:p>
      <w:pPr>
        <w:spacing w:after="0" w:line="2"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Represents proportionate net sales relating to divestitures that closed during 2024 in the relevant period.</w:t>
      </w:r>
    </w:p>
    <w:p>
      <w:pPr>
        <w:spacing w:after="0" w:line="57"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Represents U.S. GAAP net sales minus proportionate net sales relating to divestitures that closed during 2024 for the relevant period.</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See “Certain Key Terms and Presentation Matters” in this release for more information.</w:t>
      </w:r>
    </w:p>
    <w:p>
      <w:pPr>
        <w:spacing w:after="0" w:line="44" w:lineRule="exact"/>
        <w:rPr>
          <w:rFonts w:ascii="Arial" w:cs="Arial" w:eastAsia="Arial" w:hAnsi="Arial"/>
          <w:sz w:val="21"/>
          <w:szCs w:val="21"/>
          <w:color w:val="auto"/>
          <w:vertAlign w:val="superscript"/>
        </w:rPr>
      </w:pPr>
    </w:p>
    <w:p>
      <w:pPr>
        <w:jc w:val="both"/>
        <w:ind w:left="660" w:hanging="328"/>
        <w:spacing w:after="0" w:line="232" w:lineRule="auto"/>
        <w:tabs>
          <w:tab w:leader="none" w:pos="65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June 30, 2025, other revenues in Developed Markets, JANZ, and Emerging Markets were approximately $10.3 million, $1.0 million, and $1.8 million, respectively. For the six months ended June 30, 2025, other revenues in Developed Markets, JANZ, and Emerging Markets were approximately $17.2 million, $2.0 million, and $5.0 million, respectively.</w:t>
      </w:r>
    </w:p>
    <w:p>
      <w:pPr>
        <w:spacing w:after="0" w:line="15"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0" w:right="339" w:bottom="1440" w:gutter="0" w:footer="0" w:header="0"/>
        </w:sectPr>
      </w:pPr>
    </w:p>
    <w:bookmarkStart w:id="20" w:name="page21"/>
    <w:bookmarkEnd w:id="20"/>
    <w:p>
      <w:pPr>
        <w:ind w:left="3640"/>
        <w:spacing w:after="0"/>
        <w:rPr>
          <w:sz w:val="20"/>
          <w:szCs w:val="20"/>
          <w:color w:val="auto"/>
        </w:rPr>
      </w:pPr>
      <w:r>
        <w:rPr>
          <w:rFonts w:ascii="Arial" w:cs="Arial" w:eastAsia="Arial" w:hAnsi="Arial"/>
          <w:sz w:val="18"/>
          <w:szCs w:val="18"/>
          <w:b w:val="1"/>
          <w:bCs w:val="1"/>
          <w:color w:val="auto"/>
        </w:rPr>
        <w:t>Reconciliation of Statements of Operations Line Items</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09"/>
        </w:trPr>
        <w:tc>
          <w:tcPr>
            <w:tcW w:w="57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2,249.2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2,351.2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4,342.3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4,510.6</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(597.8)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(1,181.3)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(1,321.4)</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costs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 including restructuring related costs</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1,553.7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1,592.7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2,988.4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3,101.3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2,028.4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2,203.9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3,848.0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4,358.7</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GAAP R&amp;D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Deduct: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Acquisition and divestiture-related costs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Restructuring costs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Share-based compensation expense</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(b)</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special items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R&amp;D</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R&amp;D as % of total revenues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91"/>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r>
      <w:tr>
        <w:trPr>
          <w:trHeight w:val="189"/>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204.1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440.8</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403.8</w:t>
            </w:r>
          </w:p>
        </w:tc>
      </w:tr>
      <w:tr>
        <w:trPr>
          <w:trHeight w:val="405"/>
        </w:trPr>
        <w:tc>
          <w:tcPr>
            <w:tcW w:w="28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(7.7)</w:t>
            </w:r>
          </w:p>
        </w:tc>
      </w:tr>
      <w:tr>
        <w:trPr>
          <w:trHeight w:val="203"/>
        </w:trPr>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w:t>
            </w:r>
          </w:p>
        </w:tc>
      </w:tr>
      <w:tr>
        <w:trPr>
          <w:trHeight w:val="203"/>
        </w:trPr>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(3.7)</w:t>
            </w:r>
          </w:p>
        </w:tc>
      </w:tr>
      <w:tr>
        <w:trPr>
          <w:trHeight w:val="203"/>
        </w:trPr>
        <w:tc>
          <w:tcPr>
            <w:tcW w:w="28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w:t>
            </w:r>
          </w:p>
        </w:tc>
      </w:tr>
      <w:tr>
        <w:trPr>
          <w:trHeight w:val="207"/>
        </w:trPr>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w:t>
            </w:r>
          </w:p>
        </w:tc>
      </w:tr>
      <w:tr>
        <w:trPr>
          <w:trHeight w:val="196"/>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211.2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197.8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428.7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386.9</w:t>
            </w:r>
          </w:p>
        </w:tc>
      </w:tr>
      <w:tr>
        <w:trPr>
          <w:trHeight w:val="25"/>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81"/>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r>
      <w:tr>
        <w:trPr>
          <w:trHeight w:val="25"/>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-1362075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-1096645</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-839470</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-582295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-299720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5420"/>
          </w:cols>
          <w:pgMar w:left="320" w:top="890" w:right="339" w:bottom="1440" w:gutter="0" w:footer="0" w:header="0"/>
          <w:type w:val="continuous"/>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5"/>
                <w:szCs w:val="15"/>
                <w:color w:val="auto"/>
              </w:rPr>
            </w:pPr>
          </w:p>
        </w:tc>
        <w:tc>
          <w:tcPr>
            <w:tcW w:w="9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09"/>
        </w:trPr>
        <w:tc>
          <w:tcPr>
            <w:tcW w:w="58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U.S. GAAP SG&amp;A </w:t>
            </w:r>
            <w:r>
              <w:rPr>
                <w:rFonts w:ascii="Arial" w:cs="Arial" w:eastAsia="Arial" w:hAnsi="Arial"/>
                <w:sz w:val="9"/>
                <w:szCs w:val="9"/>
                <w:b w:val="1"/>
                <w:bCs w:val="1"/>
                <w:color w:val="auto"/>
              </w:rPr>
              <w:t>(c)</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928.7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1,037.0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1,876.8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2,054.5</w:t>
            </w:r>
          </w:p>
        </w:tc>
        <w:tc>
          <w:tcPr>
            <w:tcW w:w="0" w:type="dxa"/>
            <w:vAlign w:val="bottom"/>
          </w:tcPr>
          <w:p>
            <w:pPr>
              <w:spacing w:after="0"/>
              <w:rPr>
                <w:sz w:val="1"/>
                <w:szCs w:val="1"/>
                <w:color w:val="auto"/>
              </w:rPr>
            </w:pPr>
          </w:p>
        </w:tc>
      </w:tr>
      <w:tr>
        <w:trPr>
          <w:trHeight w:val="198"/>
        </w:trPr>
        <w:tc>
          <w:tcPr>
            <w:tcW w:w="580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198"/>
        </w:trPr>
        <w:tc>
          <w:tcPr>
            <w:tcW w:w="5800" w:type="dxa"/>
            <w:vAlign w:val="bottom"/>
          </w:tcPr>
          <w:p>
            <w:pPr>
              <w:ind w:left="220"/>
              <w:spacing w:after="0"/>
              <w:rPr>
                <w:sz w:val="20"/>
                <w:szCs w:val="20"/>
                <w:color w:val="auto"/>
              </w:rPr>
            </w:pPr>
            <w:r>
              <w:rPr>
                <w:rFonts w:ascii="Arial" w:cs="Arial" w:eastAsia="Arial" w:hAnsi="Arial"/>
                <w:sz w:val="14"/>
                <w:szCs w:val="14"/>
                <w:color w:val="auto"/>
              </w:rPr>
              <w:t>Restructuring costs</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(86.3)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8"/>
        </w:trPr>
        <w:tc>
          <w:tcPr>
            <w:tcW w:w="580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9"/>
                <w:szCs w:val="9"/>
                <w:color w:val="auto"/>
              </w:rPr>
              <w:t>(b)</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8"/>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2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826.0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899.8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1,604.7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1,759.4</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 as % of 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0"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96"/>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09"/>
        </w:trPr>
        <w:tc>
          <w:tcPr>
            <w:tcW w:w="6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2,985.4</w:t>
            </w:r>
          </w:p>
        </w:tc>
        <w:tc>
          <w:tcPr>
            <w:tcW w:w="0" w:type="dxa"/>
            <w:vAlign w:val="bottom"/>
          </w:tcPr>
          <w:p>
            <w:pPr>
              <w:spacing w:after="0"/>
              <w:rPr>
                <w:sz w:val="1"/>
                <w:szCs w:val="1"/>
                <w:color w:val="auto"/>
              </w:rPr>
            </w:pPr>
          </w:p>
        </w:tc>
      </w:tr>
      <w:tr>
        <w:trPr>
          <w:trHeight w:val="198"/>
        </w:trPr>
        <w:tc>
          <w:tcPr>
            <w:tcW w:w="610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0" w:type="dxa"/>
            <w:vAlign w:val="bottom"/>
          </w:tcPr>
          <w:p>
            <w:pPr>
              <w:spacing w:after="0"/>
              <w:rPr>
                <w:sz w:val="1"/>
                <w:szCs w:val="1"/>
                <w:color w:val="auto"/>
              </w:rPr>
            </w:pPr>
          </w:p>
        </w:tc>
      </w:tr>
      <w:tr>
        <w:trPr>
          <w:trHeight w:val="198"/>
        </w:trPr>
        <w:tc>
          <w:tcPr>
            <w:tcW w:w="610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SG&amp;A adjustments </w:t>
            </w:r>
            <w:r>
              <w:rPr>
                <w:rFonts w:ascii="Arial" w:cs="Arial" w:eastAsia="Arial" w:hAnsi="Arial"/>
                <w:sz w:val="18"/>
                <w:szCs w:val="18"/>
                <w:color w:val="auto"/>
                <w:vertAlign w:val="superscript"/>
              </w:rPr>
              <w:t>(c)</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198"/>
        </w:trPr>
        <w:tc>
          <w:tcPr>
            <w:tcW w:w="6100" w:type="dxa"/>
            <w:vAlign w:val="bottom"/>
          </w:tcPr>
          <w:p>
            <w:pPr>
              <w:ind w:left="220"/>
              <w:spacing w:after="0"/>
              <w:rPr>
                <w:sz w:val="20"/>
                <w:szCs w:val="20"/>
                <w:color w:val="auto"/>
              </w:rPr>
            </w:pPr>
            <w:r>
              <w:rPr>
                <w:rFonts w:ascii="Arial" w:cs="Arial" w:eastAsia="Arial" w:hAnsi="Arial"/>
                <w:sz w:val="14"/>
                <w:szCs w:val="14"/>
                <w:color w:val="auto"/>
              </w:rPr>
              <w:t>Impairment of goodwill adjustments</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(2,936.8)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(321.0)</w:t>
            </w:r>
          </w:p>
        </w:tc>
        <w:tc>
          <w:tcPr>
            <w:tcW w:w="0" w:type="dxa"/>
            <w:vAlign w:val="bottom"/>
          </w:tcPr>
          <w:p>
            <w:pPr>
              <w:spacing w:after="0"/>
              <w:rPr>
                <w:sz w:val="1"/>
                <w:szCs w:val="1"/>
                <w:color w:val="auto"/>
              </w:rPr>
            </w:pPr>
          </w:p>
        </w:tc>
      </w:tr>
      <w:tr>
        <w:trPr>
          <w:trHeight w:val="225"/>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total operating expenses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1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2,214.1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GAAP interest expense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 (Deduct):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Accretion of contingent consideration liability</w:t>
      </w:r>
    </w:p>
    <w:p>
      <w:pPr>
        <w:spacing w:after="0" w:line="42" w:lineRule="exact"/>
        <w:rPr>
          <w:sz w:val="20"/>
          <w:szCs w:val="20"/>
          <w:color w:val="auto"/>
        </w:rPr>
      </w:pPr>
    </w:p>
    <w:p>
      <w:pPr>
        <w:ind w:left="220" w:right="1100"/>
        <w:spacing w:after="0" w:line="332" w:lineRule="auto"/>
        <w:rPr>
          <w:sz w:val="20"/>
          <w:szCs w:val="20"/>
          <w:color w:val="auto"/>
        </w:rPr>
      </w:pPr>
      <w:r>
        <w:rPr>
          <w:rFonts w:ascii="Arial" w:cs="Arial" w:eastAsia="Arial" w:hAnsi="Arial"/>
          <w:sz w:val="14"/>
          <w:szCs w:val="14"/>
          <w:color w:val="auto"/>
        </w:rPr>
        <w:t>Amortization of premiums and discounts on long-term debt Other special items</w:t>
      </w:r>
    </w:p>
    <w:p>
      <w:pPr>
        <w:ind w:left="20"/>
        <w:spacing w:after="0"/>
        <w:rPr>
          <w:sz w:val="20"/>
          <w:szCs w:val="20"/>
          <w:color w:val="auto"/>
        </w:rPr>
      </w:pPr>
      <w:r>
        <w:rPr>
          <w:rFonts w:ascii="Arial" w:cs="Arial" w:eastAsia="Arial" w:hAnsi="Arial"/>
          <w:sz w:val="14"/>
          <w:szCs w:val="14"/>
          <w:color w:val="auto"/>
        </w:rPr>
        <w:t>Adjusted interest expense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GAAP other expense (income), net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 (Deduct):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Fair value adjustments on non-marketable equity investments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9"/>
          <w:szCs w:val="9"/>
          <w:color w:val="auto"/>
        </w:rPr>
        <w:t>(b)</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Loss on divestitures of businesses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items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380" w:type="dxa"/>
        <w:tblCellMar>
          <w:top w:w="0" w:type="dxa"/>
          <w:left w:w="0" w:type="dxa"/>
          <w:bottom w:w="0" w:type="dxa"/>
          <w:right w:w="0" w:type="dxa"/>
        </w:tblCellMar>
      </w:tblPr>
      <w:tr>
        <w:trPr>
          <w:trHeight w:val="196"/>
        </w:trPr>
        <w:tc>
          <w:tcPr>
            <w:tcW w:w="20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290"/>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r>
      <w:tr>
        <w:trPr>
          <w:trHeight w:val="189"/>
        </w:trPr>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116.6</w:t>
            </w:r>
          </w:p>
        </w:tc>
        <w:tc>
          <w:tcPr>
            <w:tcW w:w="10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145.8</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232.1</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284.2</w:t>
            </w:r>
          </w:p>
        </w:tc>
      </w:tr>
      <w:tr>
        <w:trPr>
          <w:trHeight w:val="405"/>
        </w:trPr>
        <w:tc>
          <w:tcPr>
            <w:tcW w:w="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03"/>
        </w:trPr>
        <w:tc>
          <w:tcPr>
            <w:tcW w:w="7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207"/>
        </w:trPr>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126.1</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148.9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298.5</w:t>
            </w:r>
          </w:p>
        </w:tc>
      </w:tr>
      <w:tr>
        <w:trPr>
          <w:trHeight w:val="24"/>
        </w:trPr>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-822325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-556895</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-299720</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7"/>
                <w:szCs w:val="17"/>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14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r>
      <w:tr>
        <w:trPr>
          <w:trHeight w:val="290"/>
        </w:trPr>
        <w:tc>
          <w:tcPr>
            <w:tcW w:w="38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r>
      <w:tr>
        <w:trPr>
          <w:trHeight w:val="189"/>
        </w:trPr>
        <w:tc>
          <w:tcPr>
            <w:tcW w:w="3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432.8</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(133.0)</w:t>
            </w:r>
          </w:p>
        </w:tc>
      </w:tr>
      <w:tr>
        <w:trPr>
          <w:trHeight w:val="405"/>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248.8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295.7</w:t>
            </w:r>
          </w:p>
        </w:tc>
      </w:tr>
      <w:tr>
        <w:trPr>
          <w:trHeight w:val="203"/>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3"/>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(258.8)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(188.4)</w:t>
            </w:r>
          </w:p>
        </w:tc>
      </w:tr>
      <w:tr>
        <w:trPr>
          <w:trHeight w:val="207"/>
        </w:trPr>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r>
      <w:tr>
        <w:trPr>
          <w:trHeight w:val="196"/>
        </w:trPr>
        <w:tc>
          <w:tcPr>
            <w:tcW w:w="3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r>
      <w:tr>
        <w:trPr>
          <w:trHeight w:val="25"/>
        </w:trPr>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5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7"/>
          </w:tcPr>
          <w:p>
            <w:pPr>
              <w:jc w:val="center"/>
              <w:ind w:right="8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23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left="368"/>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290"/>
        </w:trPr>
        <w:tc>
          <w:tcPr>
            <w:tcW w:w="380" w:type="dxa"/>
            <w:vAlign w:val="bottom"/>
          </w:tcPr>
          <w:p>
            <w:pPr>
              <w:spacing w:after="0"/>
              <w:rPr>
                <w:sz w:val="24"/>
                <w:szCs w:val="24"/>
                <w:color w:val="auto"/>
              </w:rPr>
            </w:pPr>
          </w:p>
        </w:tc>
        <w:tc>
          <w:tcPr>
            <w:tcW w:w="120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-1617980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-1352550</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-1095375</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-838200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60" w:space="720"/>
            <w:col w:w="546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loss before income taxes</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(217.1)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(391.8)</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(3,314.1)</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(187.2)</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1,097.1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1,375.8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4,921.8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2,138.7</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880.0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984.0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1,607.7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1,951.5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(benefit) provision</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(267.5)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366.5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222.8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548.8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286.9</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154.0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157.4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281.3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312.2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40" w:right="339" w:bottom="1440" w:gutter="0" w:footer="0" w:header="0"/>
          <w:type w:val="continuous"/>
        </w:sectPr>
      </w:pPr>
    </w:p>
    <w:bookmarkStart w:id="22" w:name="page23"/>
    <w:bookmarkEnd w:id="22"/>
    <w:p>
      <w:pPr>
        <w:jc w:val="both"/>
        <w:ind w:left="660" w:hanging="328"/>
        <w:spacing w:after="0"/>
        <w:tabs>
          <w:tab w:leader="none" w:pos="65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26" w:lineRule="exact"/>
        <w:rPr>
          <w:rFonts w:ascii="Arial" w:cs="Arial" w:eastAsia="Arial" w:hAnsi="Arial"/>
          <w:sz w:val="19"/>
          <w:szCs w:val="19"/>
          <w:color w:val="auto"/>
          <w:vertAlign w:val="superscript"/>
        </w:rPr>
      </w:pPr>
    </w:p>
    <w:p>
      <w:pPr>
        <w:ind w:left="640" w:hanging="308"/>
        <w:spacing w:after="0"/>
        <w:tabs>
          <w:tab w:leader="none" w:pos="640" w:val="left"/>
        </w:tabs>
        <w:numPr>
          <w:ilvl w:val="0"/>
          <w:numId w:val="18"/>
        </w:numPr>
        <w:rPr>
          <w:rFonts w:ascii="Arial" w:cs="Arial" w:eastAsia="Arial" w:hAnsi="Arial"/>
          <w:sz w:val="9"/>
          <w:szCs w:val="9"/>
          <w:color w:val="auto"/>
        </w:rPr>
      </w:pPr>
      <w:r>
        <w:rPr>
          <w:rFonts w:ascii="Arial" w:cs="Arial" w:eastAsia="Arial" w:hAnsi="Arial"/>
          <w:sz w:val="14"/>
          <w:szCs w:val="14"/>
          <w:color w:val="auto"/>
        </w:rPr>
        <w:t>Refer to "Certain Key Terms and Presentation Matters" section in this release for more information on reclassifications related to TSA reimbursements.</w:t>
      </w:r>
    </w:p>
    <w:p>
      <w:pPr>
        <w:spacing w:after="0" w:line="68" w:lineRule="exact"/>
        <w:rPr>
          <w:rFonts w:ascii="Arial" w:cs="Arial" w:eastAsia="Arial" w:hAnsi="Arial"/>
          <w:sz w:val="9"/>
          <w:szCs w:val="9"/>
          <w:color w:val="auto"/>
        </w:rPr>
      </w:pPr>
    </w:p>
    <w:p>
      <w:pPr>
        <w:jc w:val="both"/>
        <w:ind w:left="660" w:hanging="328"/>
        <w:spacing w:after="0"/>
        <w:tabs>
          <w:tab w:leader="none" w:pos="64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Certain reclassifications were made to conform the prior period consolidated financial statements to the current period presentation. Charges related to the impairment of goodwill, which were previously presented in Selling, General and Administrative, are now presented in Impairment of Goodwill in the condensed consolidated statements of operations.</w:t>
      </w:r>
    </w:p>
    <w:p>
      <w:pPr>
        <w:spacing w:after="0" w:line="40" w:lineRule="exact"/>
        <w:rPr>
          <w:rFonts w:ascii="Arial" w:cs="Arial" w:eastAsia="Arial" w:hAnsi="Arial"/>
          <w:sz w:val="19"/>
          <w:szCs w:val="19"/>
          <w:color w:val="auto"/>
          <w:vertAlign w:val="superscript"/>
        </w:rPr>
      </w:pPr>
    </w:p>
    <w:p>
      <w:pPr>
        <w:ind w:left="660" w:hanging="328"/>
        <w:spacing w:after="0" w:line="222" w:lineRule="auto"/>
        <w:tabs>
          <w:tab w:leader="none" w:pos="65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2025 U.S. GAAP Net Cash Provided by Operating Activities to Free Cash Flow as of August 7, 2025</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2025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$2,500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$(400)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$2,200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57"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Excludes the impact of any transaction-related costs.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2025 U.S. GAAP Net Cash Provided by Operating Activities to Free Cash Flow as of May 8, 2025</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2025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$2,500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$(400)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$2,200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57"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Excluded the impact of any transaction-related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2025-08-07T07:01:24Z</dcterms:created>
  <dcterms:modified xsi:type="dcterms:W3CDTF">2025-08-07T07:01:24Z</dcterms:modified>
</cp:coreProperties>
</file>