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2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994"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5"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994"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94" w:right="399" w:bottom="1440" w:gutter="0" w:footer="0" w:header="0"/>
          <w:type w:val="continuous"/>
        </w:sectPr>
      </w:pPr>
    </w:p>
    <w:p>
      <w:pPr>
        <w:spacing w:after="0" w:line="2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number of shares of common stock outstanding, par value $0.01 per share, of the registrant as of August 3, 2022 was 1,212,580,940.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100330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r>
      <w:tr>
        <w:trPr>
          <w:trHeight w:val="215"/>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9"/>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60" w:type="dxa"/>
            <w:vAlign w:val="bottom"/>
            <w:gridSpan w:val="13"/>
          </w:tcPr>
          <w:p>
            <w:pPr>
              <w:spacing w:after="0" w:line="190"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Condensed Consolidated Statements of Operations — Three and Six Months Ended June 30, 2022 and 2021</w:t>
              </w:r>
            </w:hyperlink>
          </w:p>
        </w:tc>
        <w:tc>
          <w:tcPr>
            <w:tcW w:w="980" w:type="dxa"/>
            <w:vAlign w:val="bottom"/>
            <w:gridSpan w:val="4"/>
          </w:tcPr>
          <w:p>
            <w:pPr>
              <w:jc w:val="right"/>
              <w:ind w:right="20"/>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20" w:type="dxa"/>
            <w:vAlign w:val="bottom"/>
            <w:gridSpan w:val="1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Condensed Consolidated Statements of Comprehensive Loss — Three and Six Months Ended June </w:t>
              </w:r>
            </w:hyperlink>
            <w:r>
              <w:rPr>
                <w:rFonts w:ascii="Arial" w:cs="Arial" w:eastAsia="Arial" w:hAnsi="Arial"/>
                <w:sz w:val="18"/>
                <w:szCs w:val="18"/>
                <w:color w:val="0000FF"/>
                <w:w w:val="89"/>
              </w:rPr>
              <w:t xml:space="preserve">30, </w:t>
            </w:r>
            <w:hyperlink w:anchor="page7">
              <w:r>
                <w:rPr>
                  <w:rFonts w:ascii="Arial" w:cs="Arial" w:eastAsia="Arial" w:hAnsi="Arial"/>
                  <w:sz w:val="18"/>
                  <w:szCs w:val="18"/>
                  <w:color w:val="0000FF"/>
                  <w:w w:val="89"/>
                </w:rPr>
                <w:t>2022 and 2021</w:t>
              </w:r>
            </w:hyperlink>
          </w:p>
        </w:tc>
        <w:tc>
          <w:tcPr>
            <w:tcW w:w="140" w:type="dxa"/>
            <w:vAlign w:val="bottom"/>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20" w:type="dxa"/>
            <w:vAlign w:val="bottom"/>
            <w:gridSpan w:val="1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 — June 30, 2022 and December 31, 2021</w:t>
              </w:r>
            </w:hyperlink>
          </w:p>
        </w:tc>
        <w:tc>
          <w:tcPr>
            <w:tcW w:w="140" w:type="dxa"/>
            <w:vAlign w:val="bottom"/>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Equity — Three and Six Months Ended June 30, 2022 and 2021</w:t>
              </w:r>
            </w:hyperlink>
          </w:p>
        </w:tc>
        <w:tc>
          <w:tcPr>
            <w:tcW w:w="11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Condensed Consolidated Statements of Cash Flows — Six Months Ended June 30, 2022 and 2021</w:t>
              </w:r>
            </w:hyperlink>
          </w:p>
        </w:tc>
        <w:tc>
          <w:tcPr>
            <w:tcW w:w="15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60" w:type="dxa"/>
            <w:vAlign w:val="bottom"/>
            <w:gridSpan w:val="13"/>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Condensed Consolidated Financial Statements</w:t>
              </w:r>
            </w:hyperlink>
          </w:p>
        </w:tc>
        <w:tc>
          <w:tcPr>
            <w:tcW w:w="96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c>
          <w:tcPr>
            <w:tcW w:w="20" w:type="dxa"/>
            <w:vAlign w:val="bottom"/>
          </w:tcPr>
          <w:p>
            <w:pPr>
              <w:spacing w:after="0"/>
              <w:rPr>
                <w:sz w:val="24"/>
                <w:szCs w:val="24"/>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Quantitative and Qualitative Disclosures About Market Risk</w:t>
              </w:r>
            </w:hyperlink>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c>
          <w:tcPr>
            <w:tcW w:w="20" w:type="dxa"/>
            <w:vAlign w:val="bottom"/>
          </w:tcPr>
          <w:p>
            <w:pPr>
              <w:spacing w:after="0"/>
              <w:rPr>
                <w:sz w:val="24"/>
                <w:szCs w:val="24"/>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Controls and Procedures</w:t>
              </w:r>
            </w:hyperlink>
          </w:p>
        </w:tc>
        <w:tc>
          <w:tcPr>
            <w:tcW w:w="43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c>
          <w:tcPr>
            <w:tcW w:w="20" w:type="dxa"/>
            <w:vAlign w:val="bottom"/>
          </w:tcPr>
          <w:p>
            <w:pPr>
              <w:spacing w:after="0"/>
              <w:rPr>
                <w:sz w:val="24"/>
                <w:szCs w:val="24"/>
                <w:color w:val="auto"/>
              </w:rPr>
            </w:pPr>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line="190" w:lineRule="exact"/>
              <w:rPr>
                <w:rFonts w:ascii="Arial" w:cs="Arial" w:eastAsia="Arial" w:hAnsi="Arial"/>
                <w:sz w:val="18"/>
                <w:szCs w:val="18"/>
                <w:color w:val="0000FF"/>
              </w:rPr>
            </w:pPr>
            <w:hyperlink w:anchor="page70">
              <w:r>
                <w:rPr>
                  <w:rFonts w:ascii="Arial" w:cs="Arial" w:eastAsia="Arial" w:hAnsi="Arial"/>
                  <w:sz w:val="18"/>
                  <w:szCs w:val="18"/>
                  <w:color w:val="0000FF"/>
                </w:rPr>
                <w:t>Legal Proceedings</w:t>
              </w:r>
            </w:hyperlink>
          </w:p>
        </w:tc>
        <w:tc>
          <w:tcPr>
            <w:tcW w:w="960" w:type="dxa"/>
            <w:vAlign w:val="bottom"/>
            <w:gridSpan w:val="3"/>
          </w:tcPr>
          <w:p>
            <w:pPr>
              <w:jc w:val="right"/>
              <w:spacing w:after="0" w:line="190" w:lineRule="exact"/>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20" w:type="dxa"/>
            <w:vAlign w:val="bottom"/>
          </w:tcPr>
          <w:p>
            <w:pPr>
              <w:spacing w:after="0"/>
              <w:rPr>
                <w:sz w:val="16"/>
                <w:szCs w:val="16"/>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Risk Factors</w:t>
              </w:r>
            </w:hyperlink>
          </w:p>
        </w:tc>
        <w:tc>
          <w:tcPr>
            <w:tcW w:w="420" w:type="dxa"/>
            <w:vAlign w:val="bottom"/>
            <w:tcBorders>
              <w:top w:val="single" w:sz="8" w:color="0000FF"/>
            </w:tcBorders>
          </w:tcPr>
          <w:p>
            <w:pPr>
              <w:spacing w:after="0"/>
              <w:rPr>
                <w:sz w:val="24"/>
                <w:szCs w:val="24"/>
                <w:color w:val="auto"/>
              </w:rPr>
            </w:pPr>
          </w:p>
        </w:tc>
        <w:tc>
          <w:tcPr>
            <w:tcW w:w="73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24"/>
                <w:szCs w:val="24"/>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Exhibits</w:t>
              </w:r>
            </w:hyperlink>
          </w:p>
        </w:tc>
        <w:tc>
          <w:tcPr>
            <w:tcW w:w="80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24"/>
                <w:szCs w:val="24"/>
                <w:color w:val="auto"/>
              </w:rPr>
            </w:pPr>
          </w:p>
        </w:tc>
      </w:tr>
      <w:tr>
        <w:trPr>
          <w:trHeight w:val="479"/>
        </w:trPr>
        <w:tc>
          <w:tcPr>
            <w:tcW w:w="1540" w:type="dxa"/>
            <w:vAlign w:val="bottom"/>
            <w:gridSpan w:val="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c>
          <w:tcPr>
            <w:tcW w:w="20" w:type="dxa"/>
            <w:vAlign w:val="bottom"/>
          </w:tcPr>
          <w:p>
            <w:pPr>
              <w:spacing w:after="0"/>
              <w:rPr>
                <w:sz w:val="24"/>
                <w:szCs w:val="24"/>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Amended and Restated 2003 Long-Term Incentive Plan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2021 Form 10-K</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2021,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ARV</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Antiretroviral medicines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Biologics Limited, a majority owned subsidiary of Biocon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2"/>
              </w:rPr>
              <w:t>The pending transaction between Viatris and Biocon Biologics pursuant 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 Transaction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which Viatris will contribute its biosimilars portfolio to Biocon Biologics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Biocon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The transaction agreement between Viatris and Biocon Biologics,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27, 2022, relating to the Biocon Biologics Transaction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Appeals Tribunal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CJEU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Court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Commission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CP Notes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Unsecured, short-term commercial paper notes issued pursuant to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Commercial Paper Program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DCGI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 Controller General of India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DRIP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Dividend Reinvestment and Share Purchase Plan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ERP system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resource planning system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FCA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Conduct Authority in the U.K.</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This quarterly report on Form 10-Q for the quarterly period ended June 30,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The private letter ruling issued by the IRS to Pfizer with respect to the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 Ruling</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 dated as of March 17, 2020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Viatris’ business segment that includes our operations in the following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markets: Japan, Australia and New Zealand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II</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an indirect wholly owned subsidiary of Viatris, in which legacy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with and into</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2.125% Senior Notes due 2025 issued by Mylan Inc., which are fully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Euro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and unconditionally guaranteed on a senior unsecured basis by Mylan II</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B.V., Viatris Inc. and 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The 4.200% Senior Notes due 2023, 3.125% Senior Notes due 2023,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4.550% Senior Notes due 2028, 5.400% Senior Notes due 2043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5.200% Senior Notes due 2048 issued by Mylan Inc., which are fully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unconditionally guaranteed on a senior unsecured basis by Mylan II B.V.,</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and 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Securitization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Securitization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note securitization facility entered into in July 2021 for borrowings up</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 $200 million and expiring in August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The 1.650% Senior Notes due 2025, 2.300% Senior Notes due 2027,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9"/>
              </w:rPr>
              <w:t>2.700% Senior Notes due 2030, 3.850% Senior Notes due 2040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4.000% Senior Notes due 2050 originally issued on October 29, 2021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registered with the SEC in exchange for the corresponding Unregistered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2"/>
              </w:rPr>
              <w:t>Upjohn U.S. Dollar Notes in a similar aggregate principal amount and with</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terms substantially identical to the corresponding Unregistered Upjohn</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U.S. Dollar Notes and fully and unconditionally guaranteed by Mylan Inc.,</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Upjohn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and Utah Acquisition Sub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Company's unvested restricted stock unit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Senior U.S. Dollar Notes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Upjohn U.S. Dollar Notes, the Utah U.S. Dollar Notes and the Mylan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U.S. Dollar Notes,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SOFR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Secured overnight financial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awards</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options and SARs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 agreements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1.650% Senior Notes due 2025, 2.300% Senior Notes due 2027,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2.700% Senior Notes due 2030, 3.850% Senior Notes due 2040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4.000% Senior Notes due 2050 originally issued on June 22, 2020 by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Upjohn Inc. (now Viatris Inc.) in a private offering exempt from the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registration requirements of the Securities Act and fully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Unregistered 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unconditionally guaranteed by Mylan Inc., Mylan II and Utah Acquisition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Senior unsecured notes denominated in U.S. dollars and originally issued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by Upjohn Inc. or Viatris Inc. pursuant to an indenture dated June 22, 2020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fully and unconditionally guaranteed by Mylan Inc., Mylan II B.V.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Acquisition Sub</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Utah Acquisition Sub Inc., a Delaware corporation and an indirect wholly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owned subsidiary of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2.250% Senior Notes due 2024 and 3.125%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Euro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3.950% Senior Notes due 2026 and 5.250% Senior Notes due 2046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The ¥40 billion term loan agreement dated as of July 1, 2021, by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among Viatris, MUFG Bank, Ltd. and Mizuho Bank, Ltd., as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YEN Term Loan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administrative agent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8,283.6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8,961.8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9,008.1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6,553.1</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(loss) earnings,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175"/>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w w:val="97"/>
              </w:rPr>
              <w:t>Change in unrecognized gain (loss) and prior service cost related to defined</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benefit plans</w:t>
            </w: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76"/>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rPr>
              <w:t>Net unrecognized gain (loss) on derivatives in net investment hedging</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gain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100" w:type="dxa"/>
            <w:vAlign w:val="bottom"/>
          </w:tcPr>
          <w:p>
            <w:pPr>
              <w:ind w:left="480"/>
              <w:spacing w:after="0"/>
              <w:rPr>
                <w:sz w:val="20"/>
                <w:szCs w:val="20"/>
                <w:color w:val="auto"/>
              </w:rPr>
            </w:pPr>
            <w:r>
              <w:rPr>
                <w:rFonts w:ascii="Arial" w:cs="Arial" w:eastAsia="Arial" w:hAnsi="Arial"/>
                <w:sz w:val="18"/>
                <w:szCs w:val="18"/>
                <w:color w:val="auto"/>
              </w:rPr>
              <w:t>Other comprehensive (loss) earnings, before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 earnings,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20"/>
          </w:cols>
          <w:pgMar w:left="320" w:top="118" w:right="35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480" w:right="320" w:firstLine="14"/>
        <w:spacing w:after="0" w:line="273" w:lineRule="auto"/>
        <w:rPr>
          <w:sz w:val="20"/>
          <w:szCs w:val="20"/>
          <w:color w:val="auto"/>
        </w:rPr>
      </w:pPr>
      <w:r>
        <w:rPr>
          <w:rFonts w:ascii="Arial" w:cs="Arial" w:eastAsia="Arial" w:hAnsi="Arial"/>
          <w:sz w:val="18"/>
          <w:szCs w:val="18"/>
          <w:color w:val="auto"/>
        </w:rPr>
        <w:t>Prepaid expenses and other current assets Assets held for sale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4,266.4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3,977.7</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1,957.6</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10,902.9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3,188.6</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26,134.2</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12,113.7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1,332.7</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54,842.8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-1653540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-1362075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-1070610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Liabilities held for sale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9,884.4</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19,717.1</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34,350.1</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Common stock: $0.01 par value, 3,000,000,000 shares authorized; shares issued and outstanding: 1,212,447,457</w:t>
            </w: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1,209,507,463, respectively</w:t>
            </w:r>
          </w:p>
        </w:tc>
        <w:tc>
          <w:tcPr>
            <w:tcW w:w="3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18,536.1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3,688.8</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20,492.7</w:t>
            </w:r>
          </w:p>
        </w:tc>
        <w:tc>
          <w:tcPr>
            <w:tcW w:w="0" w:type="dxa"/>
            <w:vAlign w:val="bottom"/>
          </w:tcPr>
          <w:p>
            <w:pPr>
              <w:spacing w:after="0"/>
              <w:rPr>
                <w:sz w:val="1"/>
                <w:szCs w:val="1"/>
                <w:color w:val="auto"/>
              </w:rPr>
            </w:pPr>
          </w:p>
        </w:tc>
      </w:tr>
      <w:tr>
        <w:trPr>
          <w:trHeight w:val="236"/>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54,842.8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amounts)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1,212,323,483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$18,555.1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$ 3,941.5</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$20,447.7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59,682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Cash dividends declared, $0.12 per common share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1,212,447,457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18,585.7</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$ 4,106.8</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$19,805.4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1,209,507,463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$18,536.1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$ 3,688.8</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$20,492.7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2,880,312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59,682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Cash dividends declared, $0.24 per common share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1,212,447,457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18,585.7</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$ 4,106.8</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$19,805.4</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1,208,530,970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$18,464.6</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$ 4,323.6</w:t>
            </w:r>
          </w:p>
        </w:tc>
        <w:tc>
          <w:tcPr>
            <w:tcW w:w="8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$21,414.7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Other comprehensive earnings,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681,368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w w:val="92"/>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1,209,212,338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$ 3,909.9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$21,206.9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1,206,895,644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$18,438.8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$ 5,361.2</w:t>
            </w:r>
          </w:p>
        </w:tc>
        <w:tc>
          <w:tcPr>
            <w:tcW w:w="8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$22,954.1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(1,316.8)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2,316,694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w w:val="92"/>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1,209,212,338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$ 3,909.9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$21,206.9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2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Six Months Ended</w:t>
      </w:r>
    </w:p>
    <w:p>
      <w:pPr>
        <w:spacing w:after="0" w:line="28"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23495</wp:posOffset>
            </wp:positionV>
            <wp:extent cx="15944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(1,316.8)</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2,739.6</w:t>
            </w: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581.6</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87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(341.0)</w:t>
            </w:r>
          </w:p>
        </w:tc>
      </w:tr>
      <w:tr>
        <w:trPr>
          <w:trHeight w:val="229"/>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870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29"/>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23"/>
        </w:trPr>
        <w:tc>
          <w:tcPr>
            <w:tcW w:w="8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Cash received from acquisitions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Payments for product rights and other,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assets and subsidiaries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10"/>
        </w:trPr>
        <w:tc>
          <w:tcPr>
            <w:tcW w:w="8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(2,250.7)</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Non-contingent payments for product rights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financing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on cash of changes in exchange rates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These interim financial statements should be read in conjunction with the consolidated financial statements and notes thereto in Viatris’ 2021 Form 10-K. The December 31, 2021 condensed consolidated balance sheet was derived from audited financial statements.</w:t>
      </w:r>
    </w:p>
    <w:p>
      <w:pPr>
        <w:spacing w:after="0" w:line="14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 xml:space="preserve">Turkey Highly Inflationary </w:t>
      </w:r>
      <w:r>
        <w:rPr>
          <w:rFonts w:ascii="Arial" w:cs="Arial" w:eastAsia="Arial" w:hAnsi="Arial"/>
          <w:sz w:val="16"/>
          <w:szCs w:val="16"/>
          <w:color w:val="auto"/>
        </w:rPr>
        <w:t>- Under ASC 830,</w:t>
      </w:r>
      <w:r>
        <w:rPr>
          <w:rFonts w:ascii="Arial" w:cs="Arial" w:eastAsia="Arial" w:hAnsi="Arial"/>
          <w:sz w:val="16"/>
          <w:szCs w:val="16"/>
          <w:i w:val="1"/>
          <w:iCs w:val="1"/>
          <w:color w:val="auto"/>
        </w:rPr>
        <w:t xml:space="preserve"> Foreign Currency Matters </w:t>
      </w:r>
      <w:r>
        <w:rPr>
          <w:rFonts w:ascii="Arial" w:cs="Arial" w:eastAsia="Arial" w:hAnsi="Arial"/>
          <w:sz w:val="16"/>
          <w:szCs w:val="16"/>
          <w:color w:val="auto"/>
        </w:rPr>
        <w:t>(“ASC 830”), a highly inflationary economy is one that has cumulative</w:t>
      </w:r>
      <w:r>
        <w:rPr>
          <w:rFonts w:ascii="Arial" w:cs="Arial" w:eastAsia="Arial" w:hAnsi="Arial"/>
          <w:sz w:val="16"/>
          <w:szCs w:val="16"/>
          <w:i w:val="1"/>
          <w:iCs w:val="1"/>
          <w:color w:val="auto"/>
        </w:rPr>
        <w:t xml:space="preserve"> </w:t>
      </w:r>
      <w:r>
        <w:rPr>
          <w:rFonts w:ascii="Arial" w:cs="Arial" w:eastAsia="Arial" w:hAnsi="Arial"/>
          <w:sz w:val="16"/>
          <w:szCs w:val="16"/>
          <w:color w:val="auto"/>
        </w:rPr>
        <w:t>inflation of approximately 100% or more over a three-year period. Effective April 1, 2022, we classified Turkey as highly inflationary. In accordance with ASC 830, starting with the second quarter of 2022, we began to utilize the U.S. dollar as our functional currency in Turkey, which historically utilized the Turkish lira as the functional currency. The impact of applying the guidance in ASC 830 did not have a material impact on our results of operations, comprehensive earnings, financial position, equity and cash flows for the three months ended June 30, 2022. The impacted net sales for the three months ended June 30, 2022 and total assets at June 30, 2022 represented less than 1% of our consolidated net sales and total assets, respectively.</w:t>
      </w:r>
    </w:p>
    <w:p>
      <w:pPr>
        <w:spacing w:after="0" w:line="1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interim results of operations and comprehensive earnings for the three and six months ended June 30, 2022, and cash flows for the six months ended June 30, 2022, are not necessarily indicative of the results to be expected for the full fiscal year or any other future period.</w:t>
      </w:r>
    </w:p>
    <w:p>
      <w:pPr>
        <w:spacing w:after="0" w:line="14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The Company recognizes revenues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net sales by product category for each of our reportable segments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 respectively:</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3"/>
              </w:rPr>
              <w:t>Three Months Ended June 30, 2022</w:t>
            </w:r>
          </w:p>
        </w:tc>
        <w:tc>
          <w:tcPr>
            <w:tcW w:w="1160" w:type="dxa"/>
            <w:vAlign w:val="bottom"/>
            <w:tcBorders>
              <w:bottom w:val="single" w:sz="8" w:color="auto"/>
            </w:tcBorders>
          </w:tcPr>
          <w:p>
            <w:pPr>
              <w:spacing w:after="0"/>
              <w:rPr>
                <w:sz w:val="16"/>
                <w:szCs w:val="16"/>
                <w:color w:val="auto"/>
              </w:rPr>
            </w:pPr>
          </w:p>
        </w:tc>
      </w:tr>
      <w:tr>
        <w:trPr>
          <w:trHeight w:val="186"/>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Product Category</w:t>
            </w: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Developed Markets</w:t>
            </w: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Greater China</w:t>
            </w:r>
          </w:p>
        </w:tc>
        <w:tc>
          <w:tcPr>
            <w:tcW w:w="1100" w:type="dxa"/>
            <w:vAlign w:val="bottom"/>
          </w:tcPr>
          <w:p>
            <w:pPr>
              <w:jc w:val="center"/>
              <w:ind w:left="8"/>
              <w:spacing w:after="0"/>
              <w:rPr>
                <w:sz w:val="20"/>
                <w:szCs w:val="20"/>
                <w:color w:val="auto"/>
              </w:rPr>
            </w:pPr>
            <w:r>
              <w:rPr>
                <w:rFonts w:ascii="Arial" w:cs="Arial" w:eastAsia="Arial" w:hAnsi="Arial"/>
                <w:sz w:val="14"/>
                <w:szCs w:val="14"/>
                <w:b w:val="1"/>
                <w:bCs w:val="1"/>
                <w:color w:val="auto"/>
              </w:rPr>
              <w:t>JANZ</w:t>
            </w: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Emerging Markets</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20" w:type="dxa"/>
            <w:vAlign w:val="bottom"/>
            <w:tcBorders>
              <w:top w:val="single" w:sz="8" w:color="auto"/>
            </w:tcBorders>
            <w:gridSpan w:val="2"/>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40" w:type="dxa"/>
            <w:vAlign w:val="bottom"/>
          </w:tcPr>
          <w:p>
            <w:pPr>
              <w:spacing w:after="0"/>
              <w:rPr>
                <w:sz w:val="19"/>
                <w:szCs w:val="19"/>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354.8</w:t>
            </w:r>
          </w:p>
        </w:tc>
        <w:tc>
          <w:tcPr>
            <w:tcW w:w="40" w:type="dxa"/>
            <w:vAlign w:val="bottom"/>
          </w:tcPr>
          <w:p>
            <w:pPr>
              <w:spacing w:after="0"/>
              <w:rPr>
                <w:sz w:val="19"/>
                <w:szCs w:val="19"/>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40" w:type="dxa"/>
            <w:vAlign w:val="bottom"/>
          </w:tcPr>
          <w:p>
            <w:pPr>
              <w:spacing w:after="0"/>
              <w:rPr>
                <w:sz w:val="19"/>
                <w:szCs w:val="19"/>
                <w:color w:val="auto"/>
              </w:rPr>
            </w:pP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4,105.4</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76"/>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jc w:val="center"/>
              <w:ind w:left="555"/>
              <w:spacing w:after="0"/>
              <w:rPr>
                <w:sz w:val="20"/>
                <w:szCs w:val="20"/>
                <w:color w:val="auto"/>
              </w:rPr>
            </w:pPr>
            <w:r>
              <w:rPr>
                <w:rFonts w:ascii="Arial" w:cs="Arial" w:eastAsia="Arial" w:hAnsi="Arial"/>
                <w:sz w:val="14"/>
                <w:szCs w:val="14"/>
                <w:b w:val="1"/>
                <w:bCs w:val="1"/>
                <w:color w:val="auto"/>
                <w:w w:val="92"/>
              </w:rPr>
              <w:t>Six Months Ended June 30, 2022</w:t>
            </w: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Developed Markets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w:t>
            </w:r>
          </w:p>
        </w:tc>
        <w:tc>
          <w:tcPr>
            <w:tcW w:w="40" w:type="dxa"/>
            <w:vAlign w:val="bottom"/>
            <w:tcBorders>
              <w:top w:val="single" w:sz="8" w:color="auto"/>
            </w:tcBorders>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745.6</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8,283.6</w:t>
            </w:r>
          </w:p>
        </w:tc>
        <w:tc>
          <w:tcPr>
            <w:tcW w:w="4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16"/>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jc w:val="center"/>
              <w:ind w:left="535"/>
              <w:spacing w:after="0"/>
              <w:rPr>
                <w:sz w:val="20"/>
                <w:szCs w:val="20"/>
                <w:color w:val="auto"/>
              </w:rPr>
            </w:pPr>
            <w:r>
              <w:rPr>
                <w:rFonts w:ascii="Arial" w:cs="Arial" w:eastAsia="Arial" w:hAnsi="Arial"/>
                <w:sz w:val="14"/>
                <w:szCs w:val="14"/>
                <w:b w:val="1"/>
                <w:bCs w:val="1"/>
                <w:color w:val="auto"/>
                <w:w w:val="93"/>
              </w:rPr>
              <w:t>Three Months Ended June 30, 2021</w:t>
            </w: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Developed Markets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2,701.7</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332.8</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4,561.7</w:t>
            </w:r>
          </w:p>
        </w:tc>
        <w:tc>
          <w:tcPr>
            <w:tcW w:w="4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jc w:val="center"/>
              <w:ind w:left="555"/>
              <w:spacing w:after="0"/>
              <w:rPr>
                <w:sz w:val="20"/>
                <w:szCs w:val="20"/>
                <w:color w:val="auto"/>
              </w:rPr>
            </w:pPr>
            <w:r>
              <w:rPr>
                <w:rFonts w:ascii="Arial" w:cs="Arial" w:eastAsia="Arial" w:hAnsi="Arial"/>
                <w:sz w:val="14"/>
                <w:szCs w:val="14"/>
                <w:b w:val="1"/>
                <w:bCs w:val="1"/>
                <w:color w:val="auto"/>
                <w:w w:val="92"/>
              </w:rPr>
              <w:t>Six Months Ended June 30, 2021</w:t>
            </w: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Developed Markets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5,426.3</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661.7</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8,961.8</w:t>
            </w:r>
          </w:p>
        </w:tc>
        <w:tc>
          <w:tcPr>
            <w:tcW w:w="4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net sales on a consolidated basis for select key products for the three and six months ended June 30, 2022 and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b w:val="1"/>
                <w:bCs w:val="1"/>
                <w:color w:val="auto"/>
              </w:rPr>
              <w:t>Select Key Global Products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Lipitor ®</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Norvasc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437.5</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Lyrica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Viagra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EpiPen® Auto-Injectors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Celebrex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171.3</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Creon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Effexor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Zoloft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Xalabrands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16"/>
        </w:trPr>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b w:val="1"/>
                <w:bCs w:val="1"/>
                <w:color w:val="auto"/>
              </w:rPr>
              <w:t>Select Key Segment Products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Dymista ®</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Yupelri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Amitiza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Xanax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launches.</w:t>
      </w:r>
    </w:p>
    <w:p>
      <w:pPr>
        <w:spacing w:after="0" w:line="56" w:lineRule="exact"/>
        <w:rPr>
          <w:rFonts w:ascii="Arial" w:cs="Arial" w:eastAsia="Arial" w:hAnsi="Arial"/>
          <w:sz w:val="23"/>
          <w:szCs w:val="23"/>
          <w:color w:val="auto"/>
          <w:vertAlign w:val="superscript"/>
        </w:rPr>
      </w:pPr>
    </w:p>
    <w:p>
      <w:pPr>
        <w:ind w:left="660" w:right="20" w:hanging="328"/>
        <w:spacing w:after="0" w:line="219" w:lineRule="auto"/>
        <w:tabs>
          <w:tab w:leader="none" w:pos="655"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for the three and six months ended June 30, 2022 include the unfavorable impact of foreign currency translations compared to the prior year period.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and six months ended June 30, 2022 and 2021,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(3,135.1)</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r>
      <w:tr>
        <w:trPr>
          <w:trHeight w:val="223"/>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gross to net adjustments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(6,357.5)</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8,961.8</w:t>
            </w: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and six months ended June 30, 2022. Such allowances were comprised of the following at June 30, 2022 and December 31, 2021, respectively:</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June 30, 2022 and December 31, 2021, respectively:</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$41.9 million and $29.6 million of accounts receivable as of June 30, 2022 and December 31, 2021, respectively, under these factoring arrangements.</w:t>
      </w:r>
    </w:p>
    <w:p>
      <w:pPr>
        <w:spacing w:after="0" w:line="184" w:lineRule="exact"/>
        <w:rPr>
          <w:sz w:val="20"/>
          <w:szCs w:val="20"/>
          <w:color w:val="auto"/>
        </w:rPr>
      </w:pPr>
    </w:p>
    <w:p>
      <w:pPr>
        <w:jc w:val="both"/>
        <w:ind w:left="340" w:right="8120" w:hanging="332"/>
        <w:spacing w:after="0" w:line="603" w:lineRule="auto"/>
        <w:tabs>
          <w:tab w:leader="none" w:pos="34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color w:val="auto"/>
        </w:rPr>
        <w:t>Adoption of New Accounting Standard</w:t>
      </w:r>
    </w:p>
    <w:p>
      <w:pPr>
        <w:spacing w:after="0" w:line="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November 2021, the FASB issued Accounting Standards Update 2021-10, </w:t>
      </w:r>
      <w:r>
        <w:rPr>
          <w:rFonts w:ascii="Arial" w:cs="Arial" w:eastAsia="Arial" w:hAnsi="Arial"/>
          <w:sz w:val="17"/>
          <w:szCs w:val="17"/>
          <w:i w:val="1"/>
          <w:iCs w:val="1"/>
          <w:color w:val="auto"/>
        </w:rPr>
        <w:t>Government Assistance (Topic 832): Disclosures by Business Entities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about Government Assistance </w:t>
      </w:r>
      <w:r>
        <w:rPr>
          <w:rFonts w:ascii="Arial" w:cs="Arial" w:eastAsia="Arial" w:hAnsi="Arial"/>
          <w:sz w:val="17"/>
          <w:szCs w:val="17"/>
          <w:color w:val="auto"/>
        </w:rPr>
        <w:t>(“ASU 2021-10”), which requires entities to provide annual disclosures about transactions with a government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by applying a grant or contribution accounting model by analogy. We adopted the ASU prospectively on January 1, 2022. The additional annual disclosures required are not expected to have a material impact on our consolidated financial statements.</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other significant changes in new accounting standards from those disclosed in Viatris’ 2021 Form 10-K. Refer to Viatris’ 2021 Form 10-K for additional information.</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Prior to the Distribution, Viatris adopted and Pfizer, in the capacity as Viatris’ sole stockholder at such time, approved the Plan which became effective as of the Distribution. In connection with the Combination, as of November 16, 2020, the Company assumed the 2003 LTIP,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awards (stock options and SARs) activity under the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(782,735)</w:t>
            </w:r>
          </w:p>
        </w:tc>
        <w:tc>
          <w:tcPr>
            <w:tcW w:w="4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4,793,755</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June 30, 2022</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line="20" w:lineRule="exact"/>
              <w:rPr>
                <w:sz w:val="1"/>
                <w:szCs w:val="1"/>
                <w:color w:val="auto"/>
              </w:rPr>
            </w:pPr>
          </w:p>
        </w:tc>
      </w:tr>
      <w:tr>
        <w:trPr>
          <w:trHeight w:val="203"/>
        </w:trPr>
        <w:tc>
          <w:tcPr>
            <w:tcW w:w="85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4,748,296</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4,518,196</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June 30, 2022, stock awards outstanding, stock awards vested and expected to vest and stock awards exercisable had average remaining contractual terms of 4.5 years, 4.5 years and 4.3 years, respectively. Also, as of June 30, 2022, stock awards outstanding, stock awards vested and expected to vest and stock awards exercisable had no aggregate intrinsic value.</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(restricted stock and restricted stock unit awards, including PSUs) as of June 30, 2022 and the changes during the six months ended June 30, 2022 are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16,778,913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29,330,502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June 30, 2022, the Company had $238.6 million of total unrecognized compensation expense, net of estimated forfeitures, related to all of its stock-based awards, which we expect to recognize over the remaining weighted average vesting period of 1.8 years. The total intrinsic value of restricted stock units released during the six months ended June 30, 2022 and 2021 was $64.1 million and $71.9 million, respectively.</w:t>
      </w:r>
    </w:p>
    <w:p>
      <w:pPr>
        <w:spacing w:after="0" w:line="16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and six months ended June 30, 2022 and 2021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Pension and Other Postretirement Benefits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79"/>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gain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second quarter of 2021, the Company recognized a settlement gain as a result of cash payments from lump sum elections related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Puerto Rico pension plans.</w:t>
      </w:r>
    </w:p>
    <w:p>
      <w:pPr>
        <w:spacing w:after="0" w:line="211"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The Company is making the minimum mandatory contributions to its defined benefit pension plans in the U.S. and Puerto Rico for the 2022 plan year. The Company expects to make total benefit payments of approximately $118.0 million from pension and other postretirement benefit plans in 2022. The Company anticipates making contributions to pension and other postretirement benefit plans of approximately $52.0 million in 2022.</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320" w:type="dxa"/>
            <w:vAlign w:val="bottom"/>
          </w:tcPr>
          <w:p>
            <w:pPr>
              <w:jc w:val="center"/>
              <w:ind w:left="3108"/>
              <w:spacing w:after="0"/>
              <w:rPr>
                <w:sz w:val="20"/>
                <w:szCs w:val="20"/>
                <w:color w:val="auto"/>
              </w:rPr>
            </w:pPr>
            <w:r>
              <w:rPr>
                <w:rFonts w:ascii="Arial" w:cs="Arial" w:eastAsia="Arial" w:hAnsi="Arial"/>
                <w:sz w:val="14"/>
                <w:szCs w:val="14"/>
                <w:b w:val="1"/>
                <w:bCs w:val="1"/>
                <w:color w:val="auto"/>
                <w:w w:val="89"/>
              </w:rPr>
              <w:t>June 30,</w:t>
            </w:r>
          </w:p>
        </w:tc>
        <w:tc>
          <w:tcPr>
            <w:tcW w:w="140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43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Arial" w:cs="Arial" w:eastAsia="Arial" w:hAnsi="Arial"/>
                <w:sz w:val="18"/>
                <w:szCs w:val="18"/>
                <w:color w:val="auto"/>
                <w:w w:val="98"/>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allowances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Legal and professional accruals, including litigation accruals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employee benefit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Fair value of financial instruments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22"/>
                <w:szCs w:val="2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February 27, 2022, the Company entered into an agreement to contribute its biosimilars portfolio to Biocon Biologics. Under the terms of the Biocon Agreement, at closing Viatris will receive an up-front cash payment of $2.0 billion, subject to certain adjustments, ownership of at least 12.9% of Biocon Biologics, on a fully diluted basis, in the form of convertible preferred equity which will have certain priority rights with respect to certain liquidity events, and $335 million as additional cash payments that are expected to be paid in 2024. Upon closing of the transaction, we expect to record a gain for the difference between the consideration received, including the fair value of the convertible preferred equity, and the carrying value of the biosimilars portfolio. The companies will also enter into a two-year transition services agreement, subject to extension in certain circumstances, during which time Viatris will provide certain commercial and administrative services for an applicable service fee. The transaction is expected to close in the second half of 2022 and is subject to various closing conditions (including regulatory approvals). Assets and liabilities associated with the biosimilars portfolio were reclassified as held for sale in the condensed consolidated balance sheets as of June 30, 2022.</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associated with the biosimilars portfolio, as well as other assets classified as held for sale,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As of</w:t>
            </w:r>
          </w:p>
        </w:tc>
      </w:tr>
      <w:tr>
        <w:trPr>
          <w:trHeight w:val="195"/>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June 30, 2022</w:t>
            </w:r>
          </w:p>
        </w:tc>
      </w:tr>
      <w:tr>
        <w:trPr>
          <w:trHeight w:val="21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936.9</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3"/>
        </w:trPr>
        <w:tc>
          <w:tcPr>
            <w:tcW w:w="9900" w:type="dxa"/>
            <w:vAlign w:val="bottom"/>
          </w:tcPr>
          <w:p>
            <w:pPr>
              <w:ind w:left="180"/>
              <w:spacing w:after="0"/>
              <w:rPr>
                <w:sz w:val="20"/>
                <w:szCs w:val="20"/>
                <w:color w:val="auto"/>
              </w:rPr>
            </w:pPr>
            <w:r>
              <w:rPr>
                <w:rFonts w:ascii="Arial" w:cs="Arial" w:eastAsia="Arial" w:hAnsi="Arial"/>
                <w:sz w:val="18"/>
                <w:szCs w:val="18"/>
                <w:b w:val="1"/>
                <w:bCs w:val="1"/>
                <w:color w:val="auto"/>
              </w:rPr>
              <w:t>Total assets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w:t>
            </w:r>
          </w:p>
        </w:tc>
      </w:tr>
      <w:tr>
        <w:trPr>
          <w:trHeight w:val="20"/>
        </w:trPr>
        <w:tc>
          <w:tcPr>
            <w:tcW w:w="9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9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r>
      <w:tr>
        <w:trPr>
          <w:trHeight w:val="248"/>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the three and six months ended June 30, 2022, total revenues relating to the biosimilars portfolio expected to be contributed to Biocon Biologics were approximately $166.9 million and $336.0 million, respectively.</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law that provides for IRC Section 45 tax credits expired during the year ended December 31, 2021 for all three clean energy investments and all of the clean energy investments have wound down operations. Summarized financial information, in the aggregate, for the Company’s three equity method, clean energy investments on a 100% basis for the three and six months ended June 30, 2021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80"/>
        </w:trPr>
        <w:tc>
          <w:tcPr>
            <w:tcW w:w="8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June 30, 2021</w:t>
            </w:r>
          </w:p>
        </w:tc>
        <w:tc>
          <w:tcPr>
            <w:tcW w:w="0" w:type="dxa"/>
            <w:vAlign w:val="bottom"/>
          </w:tcPr>
          <w:p>
            <w:pPr>
              <w:spacing w:after="0"/>
              <w:rPr>
                <w:sz w:val="1"/>
                <w:szCs w:val="1"/>
                <w:color w:val="auto"/>
              </w:rPr>
            </w:pPr>
          </w:p>
        </w:tc>
      </w:tr>
      <w:tr>
        <w:trPr>
          <w:trHeight w:val="229"/>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86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net losses from its equity method investments included amortization expense related to the excess of the cost basis of the Company’s investment over the underlying assets of each individual investee. For the three and six months ended June 30, 2021, the Company recognized net losses from equity method investments of $16.7 million and $34.6 million, respectively, which were recognized as a component of other expense, net in the condensed consolidated statements of operations. The Company recognized the income tax credits and benefits from the clean energy investments as part of its provision for income taxes.</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earnings (loss) per share is computed by dividing net earnings (loss) by the weighted average number of shares outstanding during the period. Diluted earnings (loss) per share is computed by dividing net earnings (loss) by the weighted average number of shares outstanding during the period increased by the number of additional shares that would have been outstanding related to potentially dilutive securities or instruments, if the impact is 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(loss)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attributable to Viatris Inc. common shareholders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Basic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Diluted earnings (loss) attributable to Viatris Inc. common shareholders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1,208.2</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Diluted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Additional stock awards and restricted stock awards were outstanding during the three and six months ended June 30, 2022 and 2021, but were not included in the computation of diluted earnings per share for each respective period because the effect would be anti-dilutive. Excluded shares at June 30, 2022 include certain share-based compensation awards whose performance conditions had not been fully met. Such excluded shares and anti-dilutive awards represented 9.8 million shares and 12.6 million shares for the three and six months ended June 30, 2022, respectively, and 10.0 million shares and 10.5 million shares for the three and six months ended June 30, 2021, respectively.</w:t>
      </w:r>
    </w:p>
    <w:p>
      <w:pPr>
        <w:spacing w:after="0" w:line="17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paid quarterly dividends of $0.12 per share on the Company’s issued and outstanding common stock on March 16, 2022 and June 16, 2022. On August 4, 2022, the Company’s Board of Directors declared a quarterly cash dividend of $0.12 per share on the Company’s issued and outstanding common stock, which will be payable on September 16, 2022 to shareholders of record as of the close of business on August 24, 2022.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February 28, 2022, the Company announced that its Board of Directors had authorized a share repurchase program for the repurchase of up to $1.0 billion of the Company’s shares of common stock. The Company has not yet repurchased any shares of common stock under the share repurchase program and the share repurchase program does not obligate the Company to acquire any particular amount of common stock.</w:t>
      </w:r>
    </w:p>
    <w:p>
      <w:pPr>
        <w:spacing w:after="0" w:line="200" w:lineRule="exact"/>
        <w:rPr>
          <w:sz w:val="20"/>
          <w:szCs w:val="20"/>
          <w:color w:val="auto"/>
        </w:rPr>
      </w:pPr>
    </w:p>
    <w:p>
      <w:pPr>
        <w:spacing w:after="0" w:line="204" w:lineRule="exact"/>
        <w:rPr>
          <w:sz w:val="20"/>
          <w:szCs w:val="20"/>
          <w:color w:val="auto"/>
        </w:rPr>
      </w:pPr>
    </w:p>
    <w:p>
      <w:pPr>
        <w:ind w:left="340" w:right="8520" w:hanging="332"/>
        <w:spacing w:after="0" w:line="503"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2022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Developed</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Emerging Markets</w:t>
            </w:r>
          </w:p>
        </w:tc>
        <w:tc>
          <w:tcPr>
            <w:tcW w:w="28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12,498.7</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12,113.7</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Reclassification to assets held for sale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June 30, 2022: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10,908.0</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640" w:hanging="308"/>
        <w:spacing w:after="0" w:line="217"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Primarily reflects goodwill relating to the biosimilars portfolio.</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The Company reviews goodwill for impairment annually on April 1st or more frequently if events or changes in circumstances indicate that the carrying value of goodwill may not be recoverable. As a result of the Biocon Biologics Transaction (refer to Note 6 </w:t>
      </w:r>
      <w:r>
        <w:rPr>
          <w:rFonts w:ascii="Arial" w:cs="Arial" w:eastAsia="Arial" w:hAnsi="Arial"/>
          <w:sz w:val="17"/>
          <w:szCs w:val="17"/>
          <w:i w:val="1"/>
          <w:iCs w:val="1"/>
          <w:color w:val="auto"/>
        </w:rPr>
        <w:t>Balance Sheet Components</w:t>
      </w:r>
      <w:r>
        <w:rPr>
          <w:rFonts w:ascii="Arial" w:cs="Arial" w:eastAsia="Arial" w:hAnsi="Arial"/>
          <w:sz w:val="17"/>
          <w:szCs w:val="17"/>
          <w:color w:val="auto"/>
        </w:rPr>
        <w:t xml:space="preserve"> for additional information) and the decline in the Company’s share price during the first quarter of 2022, the Company performed an interim goodwill impairment test as of March 31, 2022. The Company performed the annual goodwill impairment test as of April 1, 2022. There were no significant changes from the interim goodwill test performed at March 31, 2022 and the results were consistent with the interim goodwill impairment test.</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2022 and April 1, 2022, the Company determined that the fair value of the North America and Greater China reporting units was substantially in excess of the respective unit’s carrying value.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2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2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Subsequent to the completion of the interim goodwill impairment test, the Company allocated goodwill of $926.9 million as of June 30, 2022 to its biosimilars portfolio using a relative fair value approach and then reclassified the amount to assets held for sale in conjunction with the Biocon Biologics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June 30, 2022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88"/>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37,498.2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13,440.9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24,057.3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13,440.9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24,101.1</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2021</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26,087.7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26,134.2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9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and six months ended June 30, 2022 and 2021 totaled: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Total intangible asset amortization expense (including impairment charges)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six months ended June 30, 2021.</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2022 and for the years ending December 31, 2023 through 2026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2023</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2025</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investments. In addition, the Company manages the related foreign exchange risk of the Euro and Yen borrowings not designated as net investment hedges through certain Euro and Yen denominated financial assets and forward currency swaps.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principal amounts of the Company’s outstanding Euro and Yen borrowings and the notional amounts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Yen borrowings designated as net investment hedges:</w:t>
      </w:r>
    </w:p>
    <w:p>
      <w:pPr>
        <w:spacing w:after="0" w:line="11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Notional Amount Designated as a Net</w:t>
      </w:r>
    </w:p>
    <w:p>
      <w:pPr>
        <w:jc w:val="center"/>
        <w:ind w:left="8540"/>
        <w:spacing w:after="0"/>
        <w:rPr>
          <w:sz w:val="20"/>
          <w:szCs w:val="20"/>
          <w:color w:val="auto"/>
        </w:rPr>
      </w:pPr>
      <w:r>
        <w:rPr>
          <w:rFonts w:ascii="Arial" w:cs="Arial" w:eastAsia="Arial" w:hAnsi="Arial"/>
          <w:sz w:val="14"/>
          <w:szCs w:val="14"/>
          <w:b w:val="1"/>
          <w:bCs w:val="1"/>
          <w:color w:val="auto"/>
        </w:rPr>
        <w:t>Investment Hedge</w:t>
      </w:r>
    </w:p>
    <w:tbl>
      <w:tblPr>
        <w:tblLayout w:type="fixed"/>
        <w:tblInd w:w="40" w:type="dxa"/>
        <w:tblCellMar>
          <w:top w:w="0" w:type="dxa"/>
          <w:left w:w="0" w:type="dxa"/>
          <w:bottom w:w="0" w:type="dxa"/>
          <w:right w:w="0" w:type="dxa"/>
        </w:tblCellMar>
      </w:tblPr>
      <w:tr>
        <w:trPr>
          <w:trHeight w:val="156"/>
        </w:trPr>
        <w:tc>
          <w:tcPr>
            <w:tcW w:w="4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2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Principal Amount</w:t>
            </w: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9"/>
              </w:rPr>
              <w:t>June 30,</w:t>
            </w:r>
          </w:p>
        </w:tc>
        <w:tc>
          <w:tcPr>
            <w:tcW w:w="1180" w:type="dxa"/>
            <w:vAlign w:val="bottom"/>
          </w:tcPr>
          <w:p>
            <w:pPr>
              <w:jc w:val="center"/>
              <w:ind w:left="268"/>
              <w:spacing w:after="0" w:line="156"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4620" w:type="dxa"/>
            <w:vAlign w:val="bottom"/>
            <w:vMerge w:val="continue"/>
          </w:tcPr>
          <w:p>
            <w:pPr>
              <w:spacing w:after="0"/>
              <w:rPr>
                <w:sz w:val="16"/>
                <w:szCs w:val="16"/>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2.250% Euro Senior Notes due 2024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3.125% Euro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2.125% Euro Senior Notes due 2025</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0.816% Euro Senior Notes due 2022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1.023% Euro Senior Notes due 2024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1.362% Euro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1.908% Euro Senior Notes due 2032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YEN Term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Yen Total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w:t>
      </w:r>
    </w:p>
    <w:p>
      <w:pPr>
        <w:spacing w:after="0" w:line="10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Senior Notes were repaid at maturity during the second quarter of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5"/>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20" w:lineRule="exact"/>
        <w:rPr>
          <w:sz w:val="20"/>
          <w:szCs w:val="20"/>
          <w:color w:val="auto"/>
        </w:rPr>
      </w:pPr>
    </w:p>
    <w:p>
      <w:pPr>
        <w:sectPr>
          <w:pgSz w:w="11900" w:h="16838" w:orient="portrait"/>
          <w:cols w:equalWidth="0" w:num="2">
            <w:col w:w="6480" w:space="720"/>
            <w:col w:w="4020"/>
          </w:cols>
          <w:pgMar w:left="320" w:top="118" w:right="359" w:bottom="1440" w:gutter="0" w:footer="0" w:header="0"/>
          <w:type w:val="continuous"/>
        </w:sectPr>
      </w:pPr>
    </w:p>
    <w:p>
      <w:pPr>
        <w:spacing w:after="0" w:line="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June 30, 2022, the principal amount of the Company’s outstanding Yen borrowings and the notional amount of the Yen borrowings designated as net investment hedge was $294.7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80" w:type="dxa"/>
            <w:vAlign w:val="bottom"/>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 2022</w:t>
            </w:r>
          </w:p>
        </w:tc>
        <w:tc>
          <w:tcPr>
            <w:tcW w:w="10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Balance Sheet</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30, 2022</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378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2021 Fair 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2021 Fair Value</w:t>
            </w: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hedges:</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80" w:type="dxa"/>
            <w:vAlign w:val="bottom"/>
            <w:vMerge w:val="restart"/>
          </w:tcPr>
          <w:p>
            <w:pPr>
              <w:ind w:left="240"/>
              <w:spacing w:after="0"/>
              <w:rPr>
                <w:sz w:val="20"/>
                <w:szCs w:val="20"/>
                <w:color w:val="auto"/>
              </w:rPr>
            </w:pPr>
            <w:r>
              <w:rPr>
                <w:rFonts w:ascii="Arial" w:cs="Arial" w:eastAsia="Arial" w:hAnsi="Arial"/>
                <w:sz w:val="18"/>
                <w:szCs w:val="18"/>
                <w:color w:val="auto"/>
              </w:rPr>
              <w:t>Foreign currency forward contracts</w:t>
            </w: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70.6</w:t>
            </w: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1320" w:type="dxa"/>
            <w:vAlign w:val="bottom"/>
          </w:tcPr>
          <w:p>
            <w:pPr>
              <w:ind w:left="20"/>
              <w:spacing w:after="0" w:line="176" w:lineRule="exact"/>
              <w:rPr>
                <w:sz w:val="20"/>
                <w:szCs w:val="20"/>
                <w:color w:val="auto"/>
              </w:rPr>
            </w:pPr>
            <w:r>
              <w:rPr>
                <w:rFonts w:ascii="Arial" w:cs="Arial" w:eastAsia="Arial" w:hAnsi="Arial"/>
                <w:sz w:val="18"/>
                <w:szCs w:val="18"/>
                <w:color w:val="auto"/>
              </w:rPr>
              <w:t>Other current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36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vMerge w:val="continue"/>
          </w:tcPr>
          <w:p>
            <w:pPr>
              <w:spacing w:after="0"/>
              <w:rPr>
                <w:sz w:val="19"/>
                <w:szCs w:val="19"/>
                <w:color w:val="auto"/>
              </w:rPr>
            </w:pPr>
          </w:p>
        </w:tc>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derivatives designated as hedges</w:t>
            </w:r>
          </w:p>
        </w:tc>
        <w:tc>
          <w:tcPr>
            <w:tcW w:w="1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Foreign currency forward contracts</w:t>
            </w:r>
          </w:p>
        </w:tc>
        <w:tc>
          <w:tcPr>
            <w:tcW w:w="186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Other current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3780" w:type="dxa"/>
            <w:vAlign w:val="bottom"/>
            <w:vMerge w:val="continue"/>
            <w:shd w:val="clear" w:color="auto" w:fill="CCEEFF"/>
          </w:tcPr>
          <w:p>
            <w:pPr>
              <w:spacing w:after="0"/>
              <w:rPr>
                <w:sz w:val="19"/>
                <w:szCs w:val="19"/>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Total derivatives not designated as hedges</w:t>
            </w:r>
          </w:p>
        </w:tc>
        <w:tc>
          <w:tcPr>
            <w:tcW w:w="1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7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3"/>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3"/>
          </w:tcPr>
          <w:p>
            <w:pPr>
              <w:jc w:val="center"/>
              <w:spacing w:after="0" w:line="130" w:lineRule="exact"/>
              <w:rPr>
                <w:sz w:val="20"/>
                <w:szCs w:val="20"/>
                <w:color w:val="auto"/>
              </w:rPr>
            </w:pPr>
            <w:r>
              <w:rPr>
                <w:rFonts w:ascii="Arial" w:cs="Arial" w:eastAsia="Arial" w:hAnsi="Arial"/>
                <w:sz w:val="14"/>
                <w:szCs w:val="14"/>
                <w:b w:val="1"/>
                <w:bCs w:val="1"/>
                <w:color w:val="auto"/>
                <w:w w:val="91"/>
              </w:rPr>
              <w:t>Three months ended June</w:t>
            </w:r>
          </w:p>
        </w:tc>
        <w:tc>
          <w:tcPr>
            <w:tcW w:w="17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0"/>
              </w:rPr>
              <w:t>Three months ended June</w:t>
            </w:r>
          </w:p>
        </w:tc>
        <w:tc>
          <w:tcPr>
            <w:tcW w:w="174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1"/>
              </w:rPr>
              <w:t>Three months ended June</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left="477"/>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 $</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shd w:val="clear" w:color="auto" w:fill="CCEEFF"/>
          </w:tcPr>
          <w:p>
            <w:pPr>
              <w:ind w:left="40"/>
              <w:spacing w:after="0" w:line="232"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(2)</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53.1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53.1 $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60" w:type="dxa"/>
            <w:vAlign w:val="bottom"/>
            <w:vMerge w:val="restart"/>
          </w:tcPr>
          <w:p>
            <w:pPr>
              <w:ind w:left="154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7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3"/>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0"/>
              </w:rPr>
              <w:t>Recognized in Earnings</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shd w:val="clear" w:color="auto" w:fill="CCEEFF"/>
          </w:tcPr>
          <w:p>
            <w:pPr>
              <w:ind w:left="40"/>
              <w:spacing w:after="0" w:line="232"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(2)</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74.8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74.8 $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4" w:lineRule="exact"/>
        <w:rPr>
          <w:sz w:val="20"/>
          <w:szCs w:val="20"/>
          <w:color w:val="auto"/>
        </w:rPr>
      </w:pPr>
    </w:p>
    <w:p>
      <w:pPr>
        <w:ind w:left="660" w:right="40" w:hanging="328"/>
        <w:spacing w:after="0" w:line="224"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At June 30, 2022, the Company expects that approximately $37.0 million of pre-tax net gains on cash flow hedges will be reclassified from AOCE into earnings during the next twelve months.</w:t>
      </w:r>
    </w:p>
    <w:p>
      <w:pPr>
        <w:spacing w:after="0" w:line="34"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82" w:lineRule="exact"/>
        <w:rPr>
          <w:rFonts w:ascii="Arial" w:cs="Arial" w:eastAsia="Arial" w:hAnsi="Arial"/>
          <w:sz w:val="23"/>
          <w:szCs w:val="23"/>
          <w:color w:val="auto"/>
          <w:vertAlign w:val="superscript"/>
        </w:rPr>
      </w:pPr>
    </w:p>
    <w:p>
      <w:pPr>
        <w:ind w:left="640" w:hanging="308"/>
        <w:spacing w:after="0" w:line="207" w:lineRule="auto"/>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117" w:lineRule="exact"/>
        <w:rPr>
          <w:rFonts w:ascii="Arial" w:cs="Arial" w:eastAsia="Arial" w:hAnsi="Arial"/>
          <w:sz w:val="18"/>
          <w:szCs w:val="18"/>
          <w:i w:val="1"/>
          <w:iCs w:val="1"/>
          <w:color w:val="auto"/>
        </w:rPr>
      </w:pPr>
    </w:p>
    <w:p>
      <w:pPr>
        <w:ind w:left="980" w:right="14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2021</w:t>
            </w:r>
          </w:p>
        </w:tc>
        <w:tc>
          <w:tcPr>
            <w:tcW w:w="740" w:type="dxa"/>
            <w:vAlign w:val="bottom"/>
            <w:tcBorders>
              <w:bottom w:val="single" w:sz="8" w:color="auto"/>
            </w:tcBorders>
          </w:tcPr>
          <w:p>
            <w:pPr>
              <w:spacing w:after="0"/>
              <w:rPr>
                <w:sz w:val="16"/>
                <w:szCs w:val="16"/>
                <w:color w:val="auto"/>
              </w:rPr>
            </w:pPr>
          </w:p>
        </w:tc>
      </w:tr>
      <w:tr>
        <w:trPr>
          <w:trHeight w:val="188"/>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Agency mortgage-backed securities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Asset backed securities</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assets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7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attributable to changes in fair value are included in other expense, net, in the condensed consolidated statements of operations.</w:t>
      </w:r>
    </w:p>
    <w:p>
      <w:pPr>
        <w:spacing w:after="0" w:line="15" w:lineRule="exact"/>
        <w:rPr>
          <w:rFonts w:ascii="Arial" w:cs="Arial" w:eastAsia="Arial" w:hAnsi="Arial"/>
          <w:sz w:val="16"/>
          <w:szCs w:val="16"/>
          <w:color w:val="auto"/>
        </w:rPr>
      </w:pPr>
    </w:p>
    <w:p>
      <w:pPr>
        <w:ind w:left="980" w:right="400" w:hanging="324"/>
        <w:spacing w:after="0" w:line="263" w:lineRule="auto"/>
        <w:tabs>
          <w:tab w:leader="none" w:pos="97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right="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June 30, 2022 and December 31, 2021, discount rates ranging from 8.0% to 8.5% were utilized in the valuations. Significant changes in unobservable inputs could result in material changes to the contingent consideration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2021 to June 30, 2022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189"/>
        </w:trPr>
        <w:tc>
          <w:tcPr>
            <w:tcW w:w="738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1"/>
              </w:rPr>
              <w:t xml:space="preserve">Portion </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2021 Form 10-K.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$1.02 billion and $1.49 billion of short-term borrowings as of June 30, 2022 and December 31, 2021,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Securitization Facility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a $400 million Receivables Facility (the “Receivables Facility”), which originally was to expire on April 22, 2022. On April 22, 2022, the Company entered into an agreement to extend the expiration date of the Receivables Facility to April 22,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Under the terms of the Receivables Facility, our subsidiary, MPI, sells certain accounts receivable to Mylan Securitization LLC (“Mylan Securitization”), a wholly-owned special purpose entity which in turn sells a percentage ownership interest in the receivables to financial institutions and commercial paper conduits sponsored by financial institutions. Mylan Securitization’s assets have been pledged to MUFG Bank, Ltd., as agent, in support of its obligations under the Receivables Facility. Any amounts outstanding under the facility are recorded as borrowings and the underlying receivables are included in accounts receivable, net, in the condensed consolidated balance sheets.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tbl>
      <w:tblPr>
        <w:tblLayout w:type="fixed"/>
        <w:tblInd w:w="800" w:type="dxa"/>
        <w:tblCellMar>
          <w:top w:w="0" w:type="dxa"/>
          <w:left w:w="0" w:type="dxa"/>
          <w:bottom w:w="0" w:type="dxa"/>
          <w:right w:w="0" w:type="dxa"/>
        </w:tblCellMar>
      </w:tblPr>
      <w:tr>
        <w:trPr>
          <w:trHeight w:val="158"/>
        </w:trPr>
        <w:tc>
          <w:tcPr>
            <w:tcW w:w="2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720" w:type="dxa"/>
            <w:vAlign w:val="bottom"/>
          </w:tcPr>
          <w:p>
            <w:pPr>
              <w:ind w:left="2060"/>
              <w:spacing w:after="0" w:line="159" w:lineRule="exact"/>
              <w:rPr>
                <w:sz w:val="20"/>
                <w:szCs w:val="20"/>
                <w:color w:val="auto"/>
              </w:rPr>
            </w:pPr>
            <w:r>
              <w:rPr>
                <w:rFonts w:ascii="Arial" w:cs="Arial" w:eastAsia="Arial" w:hAnsi="Arial"/>
                <w:sz w:val="14"/>
                <w:szCs w:val="14"/>
                <w:b w:val="1"/>
                <w:bCs w:val="1"/>
                <w:color w:val="auto"/>
              </w:rPr>
              <w:t>Interest Rate as of</w:t>
            </w:r>
          </w:p>
        </w:tc>
        <w:tc>
          <w:tcPr>
            <w:tcW w:w="2020" w:type="dxa"/>
            <w:vAlign w:val="bottom"/>
          </w:tcPr>
          <w:p>
            <w:pPr>
              <w:jc w:val="right"/>
              <w:ind w:right="668"/>
              <w:spacing w:after="0" w:line="159" w:lineRule="exact"/>
              <w:rPr>
                <w:sz w:val="20"/>
                <w:szCs w:val="20"/>
                <w:color w:val="auto"/>
              </w:rPr>
            </w:pPr>
            <w:r>
              <w:rPr>
                <w:rFonts w:ascii="Arial" w:cs="Arial" w:eastAsia="Arial" w:hAnsi="Arial"/>
                <w:sz w:val="14"/>
                <w:szCs w:val="14"/>
                <w:b w:val="1"/>
                <w:bCs w:val="1"/>
                <w:color w:val="auto"/>
              </w:rPr>
              <w:t>June 30,</w:t>
            </w:r>
          </w:p>
        </w:tc>
        <w:tc>
          <w:tcPr>
            <w:tcW w:w="16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3720" w:type="dxa"/>
            <w:vAlign w:val="bottom"/>
          </w:tcPr>
          <w:p>
            <w:pPr>
              <w:ind w:left="1880"/>
              <w:spacing w:after="0"/>
              <w:rPr>
                <w:sz w:val="20"/>
                <w:szCs w:val="20"/>
                <w:color w:val="auto"/>
              </w:rPr>
            </w:pPr>
            <w:r>
              <w:rPr>
                <w:rFonts w:ascii="Arial" w:cs="Arial" w:eastAsia="Arial" w:hAnsi="Arial"/>
                <w:sz w:val="14"/>
                <w:szCs w:val="14"/>
                <w:b w:val="1"/>
                <w:bCs w:val="1"/>
                <w:color w:val="auto"/>
              </w:rPr>
              <w:t>June 30, 2022</w:t>
            </w:r>
          </w:p>
        </w:tc>
        <w:tc>
          <w:tcPr>
            <w:tcW w:w="2020" w:type="dxa"/>
            <w:vAlign w:val="bottom"/>
          </w:tcPr>
          <w:p>
            <w:pPr>
              <w:jc w:val="right"/>
              <w:ind w:right="1108"/>
              <w:spacing w:after="0"/>
              <w:rPr>
                <w:sz w:val="20"/>
                <w:szCs w:val="20"/>
                <w:color w:val="auto"/>
              </w:rPr>
            </w:pPr>
            <w:r>
              <w:rPr>
                <w:rFonts w:ascii="Arial" w:cs="Arial" w:eastAsia="Arial" w:hAnsi="Arial"/>
                <w:sz w:val="14"/>
                <w:szCs w:val="14"/>
                <w:b w:val="1"/>
                <w:bCs w:val="1"/>
                <w:color w:val="auto"/>
              </w:rPr>
              <w:t>2022</w:t>
            </w:r>
          </w:p>
        </w:tc>
        <w:tc>
          <w:tcPr>
            <w:tcW w:w="16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2022</w:t>
            </w:r>
          </w:p>
        </w:tc>
        <w:tc>
          <w:tcPr>
            <w:tcW w:w="3260" w:type="dxa"/>
            <w:vAlign w:val="bottom"/>
          </w:tcPr>
          <w:p>
            <w:pPr>
              <w:ind w:left="20"/>
              <w:spacing w:after="0" w:line="255"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(a) ****</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0.816</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2022</w:t>
            </w:r>
          </w:p>
        </w:tc>
        <w:tc>
          <w:tcPr>
            <w:tcW w:w="3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(b) ***</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1.125</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2023</w:t>
            </w:r>
          </w:p>
        </w:tc>
        <w:tc>
          <w:tcPr>
            <w:tcW w:w="3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(c) *</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3.125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452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Deferred financing fees</w:t>
            </w:r>
          </w:p>
        </w:tc>
        <w:tc>
          <w:tcPr>
            <w:tcW w:w="1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4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Current portion of long-term debt</w:t>
            </w:r>
          </w:p>
        </w:tc>
        <w:tc>
          <w:tcPr>
            <w:tcW w:w="1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2023</w:t>
            </w:r>
          </w:p>
        </w:tc>
        <w:tc>
          <w:tcPr>
            <w:tcW w:w="29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(c) *</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3.125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2023</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4.200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2024</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2.250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2024</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1.023</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2025</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2.125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2025</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1.650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2026</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3.950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2027</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1.362</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2027</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2.300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2028</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3.125</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2028</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4.550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2030</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2.700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2032</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1.908</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2040</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3.850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2043</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5.400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2046</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5.250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2048</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5.200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2050</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880"/>
              <w:spacing w:after="0"/>
              <w:rPr>
                <w:sz w:val="20"/>
                <w:szCs w:val="20"/>
                <w:color w:val="auto"/>
              </w:rPr>
            </w:pPr>
            <w:r>
              <w:rPr>
                <w:rFonts w:ascii="Arial" w:cs="Arial" w:eastAsia="Arial" w:hAnsi="Arial"/>
                <w:sz w:val="18"/>
                <w:szCs w:val="18"/>
                <w:color w:val="auto"/>
              </w:rPr>
              <w:t>YEN Term Loan Facility</w:t>
            </w:r>
          </w:p>
        </w:tc>
        <w:tc>
          <w:tcPr>
            <w:tcW w:w="2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Revolving Facility</w:t>
            </w:r>
          </w:p>
        </w:tc>
        <w:tc>
          <w:tcPr>
            <w:tcW w:w="2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Deferred financing fees</w:t>
            </w:r>
          </w:p>
        </w:tc>
        <w:tc>
          <w:tcPr>
            <w:tcW w:w="2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1120"/>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19,206.4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40" w:type="dxa"/>
            <w:vAlign w:val="bottom"/>
            <w:vMerge w:val="restart"/>
          </w:tcPr>
          <w:p>
            <w:pPr>
              <w:jc w:val="right"/>
              <w:ind w:right="43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2022 Euro Senior Notes were repaid at maturity in the second quarter of 2022.</w:t>
      </w:r>
    </w:p>
    <w:p>
      <w:pPr>
        <w:spacing w:after="0" w:line="1"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2022 Senior Notes were repaid at maturity in the second quarter of 2022.</w:t>
      </w:r>
    </w:p>
    <w:p>
      <w:pPr>
        <w:spacing w:after="0" w:line="2" w:lineRule="exact"/>
        <w:rPr>
          <w:rFonts w:ascii="Arial" w:cs="Arial" w:eastAsia="Arial" w:hAnsi="Arial"/>
          <w:sz w:val="23"/>
          <w:szCs w:val="23"/>
          <w:color w:val="auto"/>
          <w:vertAlign w:val="superscript"/>
        </w:rPr>
      </w:pPr>
    </w:p>
    <w:p>
      <w:pPr>
        <w:ind w:left="660" w:hanging="328"/>
        <w:spacing w:after="0" w:line="214" w:lineRule="auto"/>
        <w:tabs>
          <w:tab w:leader="none" w:pos="582"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ind w:left="500" w:hanging="168"/>
        <w:spacing w:after="0" w:line="205" w:lineRule="auto"/>
        <w:tabs>
          <w:tab w:leader="none" w:pos="5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283"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At June 30, 2022 and December 31, 2021, the aggregate fair value of the Company’s outstanding notes was approximately $15.58 billion and $22.01 billion, respectively. The fair values of the outstanding notes were valued at quoted market prices from broker or dealer quotations and were classified as Level 2 in the fair value hierarchy.</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June 30, 2022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loss on marketable securities, net of tax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and prior service cost related to defined benefit plans,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gain on derivatives in cash flow hedging relationships, net of tax</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net investment hedging relationships,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accumulated other comprehensive loss, before tax, consist of the following, for the three and six months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Three Months Ended June 30, 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60" w:type="dxa"/>
            <w:vAlign w:val="bottom"/>
          </w:tcPr>
          <w:p>
            <w:pPr>
              <w:spacing w:after="0"/>
              <w:rPr>
                <w:sz w:val="24"/>
                <w:szCs w:val="2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7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190"/>
              <w:spacing w:after="0" w:line="135" w:lineRule="exact"/>
              <w:rPr>
                <w:sz w:val="20"/>
                <w:szCs w:val="20"/>
                <w:color w:val="auto"/>
              </w:rPr>
            </w:pPr>
            <w:r>
              <w:rPr>
                <w:rFonts w:ascii="Arial" w:cs="Arial" w:eastAsia="Arial" w:hAnsi="Arial"/>
                <w:sz w:val="14"/>
                <w:szCs w:val="14"/>
                <w:b w:val="1"/>
                <w:bCs w:val="1"/>
                <w:color w:val="auto"/>
                <w:w w:val="98"/>
              </w:rPr>
              <w:t>Rate</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156"/>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320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8"/>
              </w:rPr>
              <w:t>Six Months Ended June 30, 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7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190"/>
              <w:spacing w:after="0" w:line="135" w:lineRule="exact"/>
              <w:rPr>
                <w:sz w:val="20"/>
                <w:szCs w:val="20"/>
                <w:color w:val="auto"/>
              </w:rPr>
            </w:pPr>
            <w:r>
              <w:rPr>
                <w:rFonts w:ascii="Arial" w:cs="Arial" w:eastAsia="Arial" w:hAnsi="Arial"/>
                <w:sz w:val="14"/>
                <w:szCs w:val="14"/>
                <w:b w:val="1"/>
                <w:bCs w:val="1"/>
                <w:color w:val="auto"/>
                <w:w w:val="98"/>
              </w:rPr>
              <w:t>Rate</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2021,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156"/>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(1,619.1)</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320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20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(1,619.1)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Balance at June 30, 2022,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June 30,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7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70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Plan Items</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9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9"/>
        </w:trPr>
        <w:tc>
          <w:tcPr>
            <w:tcW w:w="328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w w:val="92"/>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June 30, 2021,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8"/>
              </w:rPr>
              <w:t>Six Months Ended June 30, 2021</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Gains and</w:t>
            </w:r>
          </w:p>
        </w:tc>
        <w:tc>
          <w:tcPr>
            <w:tcW w:w="160" w:type="dxa"/>
            <w:vAlign w:val="bottom"/>
          </w:tcPr>
          <w:p>
            <w:pPr>
              <w:spacing w:after="0"/>
              <w:rPr>
                <w:sz w:val="24"/>
                <w:szCs w:val="2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7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Losses on</w:t>
            </w: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70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Plan Items</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9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 2020,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auto"/>
            </w:tcBorders>
            <w:shd w:val="clear" w:color="auto" w:fill="CCEEFF"/>
          </w:tcPr>
          <w:p>
            <w:pPr>
              <w:jc w:val="center"/>
              <w:ind w:left="438"/>
              <w:spacing w:after="0"/>
              <w:rPr>
                <w:sz w:val="20"/>
                <w:szCs w:val="20"/>
                <w:color w:val="auto"/>
              </w:rPr>
            </w:pPr>
            <w:r>
              <w:rPr>
                <w:rFonts w:ascii="Arial" w:cs="Arial" w:eastAsia="Arial" w:hAnsi="Arial"/>
                <w:sz w:val="18"/>
                <w:szCs w:val="18"/>
                <w:color w:val="auto"/>
                <w:w w:val="87"/>
              </w:rPr>
              <w:t>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398"/>
              <w:spacing w:after="0"/>
              <w:rPr>
                <w:sz w:val="20"/>
                <w:szCs w:val="20"/>
                <w:color w:val="auto"/>
              </w:rPr>
            </w:pPr>
            <w:r>
              <w:rPr>
                <w:rFonts w:ascii="Arial" w:cs="Arial" w:eastAsia="Arial" w:hAnsi="Arial"/>
                <w:sz w:val="18"/>
                <w:szCs w:val="18"/>
                <w:color w:val="auto"/>
                <w:w w:val="91"/>
              </w:rPr>
              <w:t>(0.7)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w w:val="92"/>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398"/>
              <w:spacing w:after="0"/>
              <w:rPr>
                <w:sz w:val="20"/>
                <w:szCs w:val="20"/>
                <w:color w:val="auto"/>
              </w:rPr>
            </w:pPr>
            <w:r>
              <w:rPr>
                <w:rFonts w:ascii="Arial" w:cs="Arial" w:eastAsia="Arial" w:hAnsi="Arial"/>
                <w:sz w:val="18"/>
                <w:szCs w:val="18"/>
                <w:color w:val="auto"/>
                <w:w w:val="91"/>
              </w:rPr>
              <w:t>(0.7)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29"/>
        </w:trPr>
        <w:tc>
          <w:tcPr>
            <w:tcW w:w="328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June 30, 2021,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87"/>
              </w:rPr>
              <w:t>0.4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intangible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right="20" w:firstLine="320"/>
        <w:spacing w:after="0" w:line="272" w:lineRule="auto"/>
        <w:tabs>
          <w:tab w:leader="none" w:pos="13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69" w:lineRule="exact"/>
        <w:rPr>
          <w:rFonts w:ascii="Arial" w:cs="Arial" w:eastAsia="Arial" w:hAnsi="Arial"/>
          <w:sz w:val="17"/>
          <w:szCs w:val="17"/>
          <w:color w:val="auto"/>
        </w:rPr>
      </w:pPr>
    </w:p>
    <w:p>
      <w:pPr>
        <w:ind w:left="660" w:right="20" w:firstLine="320"/>
        <w:spacing w:after="0" w:line="257"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the 2021 Form 10-K.</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Segment Profitability</w:t>
            </w:r>
          </w:p>
        </w:tc>
      </w:tr>
      <w:tr>
        <w:trPr>
          <w:trHeight w:val="210"/>
        </w:trPr>
        <w:tc>
          <w:tcPr>
            <w:tcW w:w="4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2,479.1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2,640.4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1,255.3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1,319.9</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JANZ</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(920.7)</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 unallocated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1"/>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6"/>
                <w:szCs w:val="16"/>
                <w:b w:val="1"/>
                <w:bCs w:val="1"/>
                <w:color w:val="auto"/>
              </w:rPr>
              <w:t>Net Sales</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Segment Profitability</w:t>
            </w:r>
          </w:p>
        </w:tc>
      </w:tr>
      <w:tr>
        <w:trPr>
          <w:trHeight w:val="210"/>
        </w:trPr>
        <w:tc>
          <w:tcPr>
            <w:tcW w:w="474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4,955.2</w:t>
            </w:r>
          </w:p>
        </w:tc>
        <w:tc>
          <w:tcPr>
            <w:tcW w:w="100" w:type="dxa"/>
            <w:vAlign w:val="bottom"/>
          </w:tcPr>
          <w:p>
            <w:pPr>
              <w:spacing w:after="0"/>
              <w:rPr>
                <w:sz w:val="19"/>
                <w:szCs w:val="19"/>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5,212.0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2,466.8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2,605.3</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JANZ</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369.6</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8,283.6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8,961.8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Intangible asset impairment charges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(1,914.1)</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9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w:t>
      </w:r>
    </w:p>
    <w:p>
      <w:pPr>
        <w:spacing w:after="0" w:line="18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2021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7"/>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7"/>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7"/>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 w:hanging="328"/>
        <w:spacing w:after="0" w:line="227" w:lineRule="auto"/>
        <w:tabs>
          <w:tab w:leader="none" w:pos="809"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June 30, 2022, total restructuring charges in Developed Markets, Emerging Markets, Greater China, JANZ and Corporate/Other were approximately $7.6 million, $1.1 million, $0.8 million, $0.2 million, and $0.1 million, respectively.</w:t>
      </w:r>
    </w:p>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six months ended June 30, 2022, total restructuring charges in Developed Markets, Emerging Markets, Greater China, JANZ, and Corporate/Other were approximately $20.3 million, $3.7 million, $2.1 million, $0.3 million, and $0.2 million, respectively.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June 30, 2022 and December 31, 2021, accrued liabilities for restructuring and other cost reduction programs were primarily included in other current liabilities and other long-term obligations in the condensed consolidated balance sheets.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Licensing and Other Partner Agreements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10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potential maximum development milestones not accrued for at June 30, 2022 totaled approximately $338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We estimate that the amounts that may be paid through the end of 2022 to be approximately $10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significant changes to our licensing and other partner agreements as disclosed in Note 18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2019 and we have commenced litigation in the Australian Federal Court challenging that decision. On July 28, 2022, we received notice that the tax authority has denied our objection for the year ended December 2020. We intend to include the year ended December 2020 in the litigation which has already commenced for years ended December 2009 to December 2019. The Company made a partial payment of $56.0 million in 2021 and $5.2 million in 2022 in order to stay potential interest and penalties resulting from this litigation.</w:t>
      </w:r>
    </w:p>
    <w:p>
      <w:pPr>
        <w:spacing w:after="0" w:line="19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assessments remain in the audit phase where we are challenging them before the tax authorities while we are challenging some of the other assessments in the Indian tax courts.</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has recorded a net reserve for uncertain tax positions of $299.9 million and $315.6 million, including interest and penalties, in connection with its international audits at June 30, 2022 and December 31, 2021, respectively. In connection with our international tax audits, it is possible that we will incur material losses above the amounts reserved.</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2020, with several state audits currently in progress. The Company’s major international taxing jurisdictions remain open from 2012 through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has appealed this decision.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The Company and a former Mylan N.V. officer (collectively the “Mylan Defendants”) were named as defendants in indirect purchaser class actions relating to the pricing and/or marketing of the EpiPen® Auto-Injector. The plaintiffs in these cases asserted violations of various federal and state antitrust and consumer protection laws, RICO as well as common law claims. Plaintiffs’ sought monetary damages, attorneys’ fees and costs. These lawsuits were filed in various federal and state courts and were either dismissed or transferred into a MDL in the U.S. District Court for the District of Kansas and have been consolidated or centralized. An antitrust class consisting of certain states was ultimately certified. On June 23, 2021, the Court granted – in substantial part – the Mylan Defendants’ motion for summary judgment by dismissing certain antitrust claims and the RICO claims, which included RICO claims asserted against the former Mylan N.V. officer. In February 2022, the parties reached an agreement to fully resolve this matter for $264 million, which was accrued for during the year ended December 31, 2021. During the first quarter of 2022, $5.0 million of the settlement was paid with the remaining amount of the settlement being paid in July 2022. The settlement was approved by the Court on July 11, 2022 and contains an express provision disclaiming and denying any wrongdoing or liability by the Mylan Defendants.</w:t>
      </w:r>
    </w:p>
    <w:p>
      <w:pPr>
        <w:spacing w:after="0" w:line="18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was denied.</w:t>
      </w:r>
    </w:p>
    <w:p>
      <w:pPr>
        <w:spacing w:after="0" w:line="15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Company has a total accrual of approximately $269.0 million related to these matters at June 30, 2022, which is included in other current liabilities in the condensed consolidated balance sheets. Subsequent to June 30, 2022, the accrual has been reduced to $10.0 million as a result of the settlement payment discussed above.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Court has ordered certain plaintiffs’ complaints regarding two single-drug product cases to proceed as bellwethers. The Company is named in those plaintiffs’ complaints that regard one of the two individual drug products.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w:t>
      </w:r>
    </w:p>
    <w:p>
      <w:pPr>
        <w:spacing w:after="0" w:line="17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and has been ordered to proceed as a bellwether.</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A decision on Defendants’ motion for summary judgment seeking to dismiss the case in its entirety and Plaintiffs’ cross-motion for partial summary judgment as to portions of certain claims is pending.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On October 28, 2021, the Company and certain of its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 and 15 of the Securities Act of 1933 for purportedly failing to disclose or misrepresenting material information in the registration statement and related prospectus issued in connection with the Combination. Plaintiffs seek monetary damages, reasonable costs and expenses, and certain other equitable and injunctive relief.</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 </w:t>
      </w:r>
      <w:r>
        <w:rPr>
          <w:rFonts w:ascii="Arial" w:cs="Arial" w:eastAsia="Arial" w:hAnsi="Arial"/>
          <w:sz w:val="16"/>
          <w:szCs w:val="16"/>
          <w:color w:val="242424"/>
        </w:rPr>
        <w:t>A liability-only trial has been ordered to take</w:t>
      </w:r>
      <w:r>
        <w:rPr>
          <w:rFonts w:ascii="Arial" w:cs="Arial" w:eastAsia="Arial" w:hAnsi="Arial"/>
          <w:sz w:val="16"/>
          <w:szCs w:val="16"/>
          <w:color w:val="auto"/>
        </w:rPr>
        <w:t xml:space="preserve"> </w:t>
      </w:r>
      <w:r>
        <w:rPr>
          <w:rFonts w:ascii="Arial" w:cs="Arial" w:eastAsia="Arial" w:hAnsi="Arial"/>
          <w:sz w:val="16"/>
          <w:szCs w:val="16"/>
          <w:color w:val="242424"/>
        </w:rPr>
        <w:t>place by April 2023 in a coordinated proceeding in West Virginia state court involving the Company and other manufacturers and pharmacies.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Company has accrued approximately $73.9 million as of June 30, 2022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Class certification motions are pending in the valsartan MDL.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was not named as a defendant in the amended master complaints, though it was still named in certain short form personal injury complaints. The end-payor plaintiffs and certain of the plaintiffs named in the short form personal injury complaints in the ranitidine matter have filed appeals to the U.S. Court of Appeals for the Eleventh Circuit.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Company’s motion for summary judgment in connection with the 10, 20, and 40 mg plaintiffs was granted, resulting in their dismissal. On November 3, 2021, the Court granted the Company’s motion seeking the dismissal of the remaining cases involving the highest dose of Lipitor (80 mg).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Viagra</w:t>
      </w:r>
    </w:p>
    <w:p>
      <w:pPr>
        <w:spacing w:after="0" w:line="225" w:lineRule="exact"/>
        <w:rPr>
          <w:sz w:val="20"/>
          <w:szCs w:val="20"/>
          <w:color w:val="auto"/>
        </w:rPr>
      </w:pPr>
    </w:p>
    <w:p>
      <w:pPr>
        <w:jc w:val="both"/>
        <w:ind w:right="180" w:firstLine="648"/>
        <w:spacing w:after="0" w:line="275"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The parties have settled this matter.</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accrued approximately $192.7 million as of June 30, 2022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 infringed six U.S. patents that Biogen had listed in the Orange Book: 6,509,376, 7,320,999, 7,619,001, 7,803,840, 8,759,393, and 8,399,514. All patents except for the ‘514 expired during the litigation and were dismissed from the case.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a trial involving only the ’514 patent on June 18, 2020, the District Court issued a judgment finding all claims of the ’514 patent invalid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lack of adequate written description. On appeal, the Federal Circuit affirmed the District Court’s judgment. Biogen’s petition for rehearing was denied.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Biogen’s petition seeking review by the U.S. Supreme Court is pending.</w:t>
      </w:r>
    </w:p>
    <w:p>
      <w:pPr>
        <w:spacing w:after="0" w:line="20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of the PTAB decision is stayed pending resolution of Biogen’s request for U.S. Supreme Court review of the Federal Circuit’s affirmance of the District Court’s invalidity judgment.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Scotland and Northern Ireland) filed their claims. The claims filed by Sandoz, Teva, Actavis, and Ranbaxy have been resolved. A trial on the remaining claims has been set for November 2023.</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is involved in various other legal proceedings including commercial, contractual, employment, or other similar matters that are considered normal to its business. The Company has approximately $34.7 million accrued related to these various other legal proceedings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2021 Form 10-K, the unaudited interim financial statements and related Notes included in Part I — ITEM 1 of this Form 10-Q and our other SEC filings and public disclosures. The interim results of operations and comprehensive loss for the three and six months ended June 30, 2022, and cash flows for the six months ended June 30, 2022 are not necessarily indicative of the results to be expected for the full fiscal year or any other future period.</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Form 10-Q contains “forward-looking statements”. These statements are made pursuant to the safe harbor provisions of the Private Securities Litigation Reform Act of 1995. Such forward-looking statements may include, without limitation, statements about the Biocon Biologics Transaction,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95" w:lineRule="exact"/>
        <w:rPr>
          <w:sz w:val="20"/>
          <w:szCs w:val="20"/>
          <w:color w:val="auto"/>
        </w:rPr>
      </w:pPr>
    </w:p>
    <w:p>
      <w:pPr>
        <w:ind w:left="660" w:right="760" w:hanging="328"/>
        <w:spacing w:after="0" w:line="22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pending Biocon Biologics Transaction and other strategic initiatives, including potential divestitures, may not achieve their intended benefits;</w:t>
      </w:r>
    </w:p>
    <w:p>
      <w:pPr>
        <w:spacing w:after="0" w:line="5" w:lineRule="exact"/>
        <w:rPr>
          <w:rFonts w:ascii="Arial" w:cs="Arial" w:eastAsia="Arial" w:hAnsi="Arial"/>
          <w:sz w:val="16"/>
          <w:szCs w:val="16"/>
          <w:color w:val="auto"/>
        </w:rPr>
      </w:pPr>
    </w:p>
    <w:p>
      <w:pPr>
        <w:ind w:left="660" w:right="94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ind w:left="660" w:right="6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1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72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7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ind w:left="660" w:right="3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32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ind w:left="660" w:right="5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40" w:hanging="328"/>
        <w:spacing w:after="0" w:line="22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inflation rates and global exchange rates; and</w:t>
      </w:r>
    </w:p>
    <w:p>
      <w:pPr>
        <w:ind w:left="660" w:right="280" w:hanging="328"/>
        <w:spacing w:after="0" w:line="23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2021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more than 10 major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1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8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Reinvestment and Share Purchase Plan</w:t>
      </w:r>
    </w:p>
    <w:p>
      <w:pPr>
        <w:spacing w:after="0" w:line="117"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International Operations</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ongoing conflict between Russia and Ukraine did not have a material impact on our business as the combined total revenues for both countries were less than 1% of consolidated total revenues during each of the three and six months ended June 30, 2022 and 2021. However, trade controls, sanctions, supply chain and staffing challenges and other economic considerations related to the conflict have impacted our operations in these markets and may negatively impact our financial results in future periods. In addition, a significant escalation or expansion of the conflict’s current scope may have a negative impact on our operations and financial results in future periods. For a further discussion of the risks we encounter in our business, including the risks of conducting our business internationally, please refer to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2021 Form 10-K.</w:t>
      </w:r>
    </w:p>
    <w:p>
      <w:pPr>
        <w:spacing w:after="0" w:line="20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Under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(“ASC 830”), a highly inflationary economy is one that has cumulative inflation of approximately 100% or more over a three-year period. Effective April 1, 2022, we classified Turkey as highly inflationary. In accordance with ASC 830, starting with the second quarter of 2022, we began to utilize the U.S. dollar as our functional currency in Turkey, which historically utilized the Turkish lira as the functional currency. The impact of applying the guidance in ASC 830 did not have a material impact on our results of operations, comprehensive earnings, financial position, equity and cash flows for the three months ended June 30, 2022. The impacted net sales for the three months ended June 30, 2022 and total assets at June 30, 2022 represented less than 1% of our consolidated net sales and total assets,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 Biologics Agreement</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27, 2022, the Company entered into an agreement to contribute its biosimilars portfolio to Biocon Biologics. Under the terms of the Biocon Agreement, at closing Viatris will receive an up-front cash payment of $2.0 billion, subject to certain adjustments, ownership of at least 12.9% of Biocon Biologics, on a fully diluted basis, in the form of convertible preferred equity which will have certain priority rights with respect to certain liquidity events, and $335 million as additional cash payments that are expected to be paid in 2024. Upon closing of the transaction, we expect to record a gain for the difference between the consideration received, including the fair value of the convertible preferred equity, and the carrying value of the biosimilars portfolio. The companies will also enter into a two-year transition services agreement, subject to extension in certain circumstances, during which time Viatris will provide certain commercial and administrative services for an applicable service fee. The transaction is expected to close in the second half of 2022 and is subject to various closing conditions (including regulatory approvals).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February 28, 2022, the Company announced that its Board of Directors had authorized a share repurchase program for the repurchase of up to $1.0 billion of the Company’s shares of common stock. The Company has not yet repurchased 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shares of common stock under the share repurchase program and the share repurchase program does not obligate the Company to acquire any particular amount of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Cyclosporine Ophthalmic Emulsion</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February 3, 2022, the Company announced that it had received approval from the FDA for its ANDA for Cyclosporine Ophthalmic Emulsion 0.05%, the first generic version of Allergan's Restasis®. Cyclosporine Ophthalmic Emulsion is indicated to increase tear production in patients whose tear production is presumed to be suppressed due to ocular inflammation associated with keratoconjunctivitis sicca, also known as dry eye. The commercial launch of the product occurred in February 2022.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Coronavirus Pandemic</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 As a result, many Viatris administrative offices continue operating under work from home protocols and some of our customer facing field personnel continue on a remote engagement model to ensure continued support for healthcare professionals, patient care and access to needed products. Additionally, all of our manufacturing facilities, and those of our key global partners, are currently operational and, at this time, we are not experiencing any significant disruptions. Current inventory levels, both ours and those in our distribution channel, remain in-line with normal levels.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global spread of COVID-19 has created and continues to create significant volatility, uncertainty and economic disruption affecting the markets we serve, including impacts on supply chain partners, third-party manufacturers, logistics providers and other vendors. The extent to which the COVID-19 pandemic will impact our business, operations and financial results in future periods will depend on numerous evolving factors that are beyond our control and that we may not be able to accurately predict, and could adversely impact our results of operations in future periods. Due to the Company’s ability to generate significant cash flows from operations, combined with our access to borrowing facilities and capital markets, we believe that we currently have, and will maintain, the ability to meet foreseeable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is a summary of the Company’s financial results for the three and six months ended June 30, 2022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 and %s)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4,116.8</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446"/>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5"/>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 and %s)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8,308.5</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9,008.1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(699.6)</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1,570.1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0.59</w:t>
            </w:r>
          </w:p>
        </w:tc>
        <w:tc>
          <w:tcPr>
            <w:tcW w:w="3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r>
    </w:tbl>
    <w:p>
      <w:pPr>
        <w:spacing w:after="0" w:line="2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w:t>
      </w:r>
      <w:r>
        <w:rPr>
          <w:rFonts w:ascii="Arial" w:cs="Arial" w:eastAsia="Arial" w:hAnsi="Arial"/>
          <w:sz w:val="18"/>
          <w:szCs w:val="18"/>
          <w:i w:val="1"/>
          <w:iCs w:val="1"/>
          <w:color w:val="auto"/>
        </w:rPr>
        <w:t xml:space="preserve">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2022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2022 Constant</w:t>
            </w:r>
          </w:p>
        </w:tc>
        <w:tc>
          <w:tcPr>
            <w:tcW w:w="100" w:type="dxa"/>
            <w:vAlign w:val="bottom"/>
          </w:tcPr>
          <w:p>
            <w:pPr>
              <w:spacing w:after="0"/>
              <w:rPr>
                <w:sz w:val="11"/>
                <w:szCs w:val="11"/>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2,640.4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4,561.7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4,411.1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June 30, 2022, other revenues in Developed Markets and Emerging Markets were approximately $4.8 million and $6.6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For the current quarter, Viatris reported total revenues of $4.12 billion, compared to $4.58 billion for the comparable prior year period, representing a decrease of $461.0 million, or 10%. Total revenues include both net sales and other revenues from third parties. Net sales for the current quarter were $4.11 billion, compared to $4.56 billion for the comparable prior year period, representing a decrease of $456.3 million, or 10%. Other revenues for the current quarter were $11.4 million, compared to $16.1 million for the comparable prior year period.</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 decrease in net sales was primarily driven by the unfavorable impact of foreign currency translation of approximately $305.7 million, or 7%, primarily reflecting changes in the U.S. Dollar as compared to the currencies of subsidiaries in countries within the EU and Japan. On a constant currency basis, the decrease in net sales was approximately $150.6 million, or 3% for the three months ended June 30, 2022. This decrease was due to competition on certain key U.S. products representing a decline of approximately $70 million and approximately $164 million as a result of other base business erosion. The decrease in net sales from existing products was partially offset by approximately $83.8 million of new product sales. New product sales include new products launched in 2022 and the carryover impact of new products, including business development, launched within the last twelve months.</w:t>
      </w:r>
    </w:p>
    <w:p>
      <w:pPr>
        <w:spacing w:after="0" w:line="188"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34% and 33% for the three months ended June 30, 2022 and 2021,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5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Net sales from Developed Markets decreased by $161.3 million or 6% during the three months ended June 30, 2022 when compared to the prior year period. This decrease was due primarily to the unfavorable impact of foreign currency translation of approximately $181.4 million, or 7%. Constant currency net sales increased by approximately $20.1 million, or 1% when compared to the prior year period. Net sales within North America totaled approximately $1.10 billion and net sales within Europe totaled approximately $1.38 billion. The increase was driven by new product sales, including Insulin Glargine and Semglee® in the U.S., and higher volumes of existing products in Europe. These increases were partially offset by lower net sales of certain key products within the U.S., including Miacalcin® and Perforomist®, as a result of additional competition.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sales from Greater China decreased by $2.0 million or less than 1% for the three months ended June 30, 2022 when compared to the prior year period. This decrease was primarily the result of the unfavorable impact of foreign currency translation. The unfavorable impact of foreign currency translation was approximately $5.4 million, or 1%. Constant currency net sales increased by approximately $3.4 million or 1% when compared to the prior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Net sales from JANZ decreased by $73.9 million or 15% for the three months ended June 30, 2022 when compared to the prior year period. This decrease was primarily the result of the unfavorable impact of foreign currency translation of approximately $64.9 million, or 13%. Constant currency net sales decreased by approximately $9.0 million, or 2% when compared to the prior year period. The decrease was primarily due to lower net sales of existing products mainly driven by lower pricing in Japan as a result of government price reductions and additional competition. This decrease was partially offset by higher volumes on net sales of existing products in Japan, including for Celebrex®.</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Net sales from Emerging Markets decreased by $219.1 million or 25% for the three months ended June 30, 2022 when compared to the prior year period. This decrease was mainly driven by lower volumes of COVID-19 related products in India, primarily remdesivir and ambisome, and lower sales of ARV products as a result of competitive market conditions. The decrease was further driven by the unfavorable impact of foreign currency translation.</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These decreases were partially offset by higher volumes in certain markets in the segment. The unfavorable impact of foreign currency translation was $54.0 million or 6%. Constant currency net sales decreased by approximately $165.1 million, or 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Cost of sales decreased from $3.25 billion for the three months ended June 30, 2021 to $2.41 billion for the three months ended June 30, 2022. Cost of sales was primarily impacted by purchase accounting related amortization of the fair value of step-up of acquired inventory of $477.3 million in the comparable prior year period, lower restructuring costs in the current period related to the 2020 restructuring program versus the comparable prior year period, and lower costs associated with other special items, which are described further in the section titled </w:t>
      </w:r>
      <w:r>
        <w:rPr>
          <w:rFonts w:ascii="Arial" w:cs="Arial" w:eastAsia="Arial" w:hAnsi="Arial"/>
          <w:sz w:val="16"/>
          <w:szCs w:val="16"/>
          <w:i w:val="1"/>
          <w:iCs w:val="1"/>
          <w:color w:val="auto"/>
        </w:rPr>
        <w:t>Use of Non-GAAP Financial Measures.</w:t>
      </w:r>
    </w:p>
    <w:p>
      <w:pPr>
        <w:spacing w:after="0" w:line="15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Gross profit for the three months ended June 30, 2022 was $1.70 billion and gross margins were 41%. For the three months ended June 30, 2021, gross profit was $1.33 billion and gross margins were 29%. This change is primarily related to the decrease in cost of sales. Adjusted gross margins were 59% for the three months ended June 30, 2022, essentially flat when compared to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June 30, 2022 compared to the three months ended June 30, 2021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3,250.1</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Deduct: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(1,169.8)</w:t>
            </w:r>
          </w:p>
        </w:tc>
        <w:tc>
          <w:tcPr>
            <w:tcW w:w="0" w:type="dxa"/>
            <w:vAlign w:val="bottom"/>
          </w:tcPr>
          <w:p>
            <w:pPr>
              <w:spacing w:after="0"/>
              <w:rPr>
                <w:sz w:val="1"/>
                <w:szCs w:val="1"/>
                <w:color w:val="auto"/>
              </w:rPr>
            </w:pPr>
          </w:p>
        </w:tc>
      </w:tr>
      <w:tr>
        <w:trPr>
          <w:trHeight w:val="230"/>
        </w:trPr>
        <w:tc>
          <w:tcPr>
            <w:tcW w:w="87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8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1,705.1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1,900.6</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2,411.7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R&amp;D expense for the three months ended June 30, 2022 was $162.6 million, compared to $147.7 million for the comparable prior year period, an increase of $14.9 million. This increase was primarily due to higher costs for products under development.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SG&amp;A expense for the current quarter was $981.1 million, compared to $1.20 billion for the comparable prior year period, a decrease of $223.7 million. The decrease was primarily due to lower restructuring costs of approximately $162.3 million related to the 2020 restructuring program and the impact of synergies.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includes the losses recognized in litigation settlements and other contingencies, net during the three months ended June 30, 2022 and 2021, respectively: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r>
      <w:tr>
        <w:trPr>
          <w:trHeight w:val="194"/>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(primarily related to respiratory delivery platform)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9.6</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Interest expense for the three months ended June 30, 2022 totaled $145.9 million, compared to $167.1 million for the three months ended June 30, 2021, a decrease of $21.2 million. The decrease is primarily due to the impact of debt repayments.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expense, net includes losses from equity affiliates, foreign exchange gains and losses, expense (income) related to post-employment benefit plans and interest and dividend income. Other expense, net for the three months ended June 30, 2022 totaled $13.5 million, compared to $4.2 million for the three months ended June 30, 2021. The increase was primarily driven by lower costs associated with post-employment benefit plans in the prior year period.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For the three months ended June 30, 2022, the Company recognized an income tax provision of $75.4 million, compared to $60.1 million for the comparable prior year period, an increase of $15.3 million. The increase in the current year provision was due to the changing mix of income earned in jurisdictions with differing rates. The income tax provision for the three months ended June 30,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2022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2022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2"/>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5,212.0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5,225.8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8,283.6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8,961.8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8,759.6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For the six months ended June 30, 2022, other revenues in Developed Markets, JANZ, and Emerging Markets were approximately $11.1 million, $0.9 million, and $12.9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For the six months ended June 30, 2022, Viatris reported total revenues of $8.31 billion, compared to $9.01 billion for the comparable prior year period, representing a decrease of $699.6 million, or 8%. Total revenues include both net sales and other revenues from third parties. Net sales for the six months ended June 30, 2022 were $8.28 billion, compared to $8.96 billion for the comparable prior year period, representing a decrease of $678.2 million, or 8%. Other revenues for the six months ended June 30, 2022 were $24.9 million, compared to $46.3 million for the comparable prior year period.</w:t>
      </w:r>
    </w:p>
    <w:p>
      <w:pPr>
        <w:spacing w:after="0" w:line="15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6"/>
          <w:szCs w:val="16"/>
          <w:color w:val="auto"/>
        </w:rPr>
        <w:t>The decrease in net sales was primarily driven by the unfavorable impact of foreign currency translation of approximately $476.0 million, or 5%, primarily reflecting changes in the U.S. Dollar as compared to the currencies of subsidiaries in countries within the EU and Japan. On a constant currency basis, the decrease in net sales was approximately $202.2 million, or 2% for the six months ended June 30, 2022. This decrease was due to competition on certain key U.S. products representing a decline of approximately $140 million and approximately $267 million as a result of other base business erosion.</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The decrease in net sales from existing products was partially offset by approximately $204.6 million of new product sales. New product sales include new products launched in 2022 and the carryover impact of new products, including business development, launched within the last twelve months.</w:t>
      </w:r>
    </w:p>
    <w:p>
      <w:pPr>
        <w:spacing w:after="0" w:line="138"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34% for the six months ended June 30, 2022 and 2021.</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sales from Developed Markets decreased by $256.8 million or 5% during the six months ended June 30, 2022 when compared to the prior year period. This decrease was due primarily to the unfavorable impact of foreign currency translation of approximately $270.5 million, or 5%. Constant currency net sales increased by approximately $13.7 million, or less than 1% when compared to the prior year period. Net sales within North America totaled approximately $2.22 billion and net sales within Europe totaled approximately $2.74 billion. The increase was driven by new product sales, including Cyclosporine Ophthalmic Emulsion, Insulin Glargine and Semglee® in the U.S., and higher volumes of existing products in Europe. These increases were partially offset by lower net sales of certain key products within the U.S., including Miacalcin® and Perforomist®, as a result of additional competition.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Net sales from Greater China decreased by $20.8 million or 2% for the six months ended June 30, 2022 when compared to the prior year period. This decrease was the result of lower net sales of existing products, driven by lower volumes. Volumes on net sales of existing products were negatively impacted by competitive and other market conditions. The favorable impact of foreign currency translation was approximately $2.7 million, or less than 1%. Constant currency net sales decreased by approximately $23.5 million or 2% when compared to the prior year.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Net sales from JANZ decreased by $132.0 million or 13% for the six months ended June 30, 2022 when compared to the prior year period. This decrease was primarily the result of the unfavorable impact of foreign currency translation of approximately $102.7 million, or 10%. Constant currency net sales decreased by approximately $29.3 million, or 3% when compared to the prior year period. The decrease was primarily due to lower net sales of existing products mainly driven by lower pricing in Japan as a result of government price reductions and additional competition, and lower volumes on net sales of existing products in Australia. These decreases were partially offset by higher volumes on net sales of existing products in Japan, including for Celebrex®.</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Net sales from Emerging Markets decreased by $268.6 million or 17% for the six months ended June 30, 2022 when compared to the prior year period. This decrease was mainly driven by lower volumes of COVID-19 related products in India, primarily remdesivir and ambisome, and lower sales of ARV products as a result of competitive market conditions. The decrease was further driven by the unfavorable impact of foreign currency translation. These decreases were partially offset by higher volumes in certain markets in Asia. The unfavorable impact of foreign currency translation was $105.5 million or 7%. Constant currency net sales decreased by approximately $163.1 million, or 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Cost of sales decreased from $6.55 billion for the six months ended June 30, 2021 to $4.83 billion for the six months ended June 30, 2022. Cost of sales was primarily impacted by purchase accounting related amortization of the fair value of step-up of acquired inventory of $953.7 million in the comparable prior year period, lower restructuring costs in the current period related to the 2020 restructuring program versus the comparable prior year period, and lower costs associated with other special items, which are described further in the section titled </w:t>
      </w:r>
      <w:r>
        <w:rPr>
          <w:rFonts w:ascii="Arial" w:cs="Arial" w:eastAsia="Arial" w:hAnsi="Arial"/>
          <w:sz w:val="16"/>
          <w:szCs w:val="16"/>
          <w:i w:val="1"/>
          <w:iCs w:val="1"/>
          <w:color w:val="auto"/>
        </w:rPr>
        <w:t>Use of Non-GAAP Financial Measures.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Gross profit for the six months ended June 30, 2022 was $3.47 billion and gross margins were 42%. For the six months ended June 30, 2021, gross profit was $2.46 billion and gross margins were 27%. This change is primarily related to the decrease in cost of sales. Adjusted gross margins were 59% for the six months ended June 30, 2022, essentially flat when compared to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six months ended June 30, 2022 compared to the six months ended June 30, 2021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4,834.0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6,553.1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(1,303.7)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(2,424.8)</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3,403.4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3,691.0</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4,905.1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5,317.1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R&amp;D expense for the six months ended June 30, 2022 was $304.9 million, compared to $331.8 million for the comparable prior year period, a decrease of $26.9 million. This decrease was primarily due to lower costs for products under development and the impact of synergies.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SG&amp;A expense for the six months ended June 30, 2022 was $1.90 billion, compared to $2.39 billion for the comparable prior year period, a decrease of $494.9 million. The decrease was due to lower restructuring costs of approximately $299.8 million related to the 2020 restructuring program and the impact of synergies.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includes the losses recognized in litigation settlements and other contingencies, net during the six months ended June 30, 2022 and June 30,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(primarily related to respiratory delivery platform)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Interest expense for the six months ended June 30, 2022 totaled $292.1 million, compared to $336.1 million for the six months ended June 30, 2021, a decrease of $44.0 million. The decrease is primarily due to the impact of debt repayments.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expense, net includes losses from equity affiliates, foreign exchange gains and losses, expense (income) related to post-employment benefit plans and interest and dividend income. Other expense, net was $47.2 million for the six months ended June 30, 2022, compared to $10.3 million for the comparable prior year period. The increase was primarily driven by higher foreign exchange costs. The increase was partially offset by lower losses from clean energy investments.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9" w:lineRule="exact"/>
        <w:rPr>
          <w:sz w:val="20"/>
          <w:szCs w:val="20"/>
          <w:color w:val="auto"/>
        </w:rPr>
      </w:pPr>
    </w:p>
    <w:p>
      <w:pPr>
        <w:ind w:right="60" w:firstLine="198"/>
        <w:spacing w:after="0" w:line="296" w:lineRule="auto"/>
        <w:rPr>
          <w:sz w:val="20"/>
          <w:szCs w:val="20"/>
          <w:color w:val="auto"/>
        </w:rPr>
      </w:pPr>
      <w:r>
        <w:rPr>
          <w:rFonts w:ascii="Arial" w:cs="Arial" w:eastAsia="Arial" w:hAnsi="Arial"/>
          <w:sz w:val="16"/>
          <w:szCs w:val="16"/>
          <w:color w:val="auto"/>
        </w:rPr>
        <w:t>For the six months ended June 30, 2022, the Company recognized an income tax provision of $203.7 million, compared to $656.4 million for the comparable prior year period, a decrease of $452.7 million. The income tax provision for the six months ended June 30,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 Also impacting the current year income tax expense was the changing mix of income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acquisition 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Beginning in 2022, upfront and milestone-related R&amp;D expenses related to collaboration and licensing arrangements are no longer excluded from adjusted net earnings and adjusted EBITDA. This change had no impact on the three and six months ended June 30, 2022. For all prior periods presented, these expenses and payments were excluded from adjusted net earnings and adjusted EBITDA. Prior period adjusted net earnings and adjusted EBITDA have not been recast to reflect this change in policy because the excluded amount was income of approximately $6.3 million and $5.8 million for the three and six months ended June 30, 2021, respectively, and is considered immaterial.</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4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right="14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net earnings and adjusted EBITDA because it believes it is helpful to understanding the underlying, ongoing operational performance of the business.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17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earnings (loss) as reported under U.S. GAAP, and adjusted net earnings for the periods shown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8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Purchase accounting related amortization (primarily included in cost of sales)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2,424.8</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settlements and other contingencies, net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Interest expense (primarily amortization of premiums and discounts on long term debt)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Clean energy investments pre-tax loss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6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related costs (primarily included in SG&amp;A)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special items included in:</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9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(c)</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2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 xml:space="preserve">For the three and six months ended June 30, 2022, charges include approximately $6.7 million and $19.8 million, respectively, in cost of sales and approximately $3.5 million and $7.2 million, respectively, in SG&amp;A. Refer to Note 14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this Form 10-Q for additional information.</w:t>
      </w:r>
    </w:p>
    <w:p>
      <w:pPr>
        <w:spacing w:after="0" w:line="41" w:lineRule="exact"/>
        <w:rPr>
          <w:rFonts w:ascii="Arial" w:cs="Arial" w:eastAsia="Arial" w:hAnsi="Arial"/>
          <w:sz w:val="23"/>
          <w:szCs w:val="23"/>
          <w:color w:val="auto"/>
          <w:vertAlign w:val="superscript"/>
        </w:rPr>
      </w:pPr>
    </w:p>
    <w:p>
      <w:pPr>
        <w:ind w:left="660" w:right="20" w:hanging="328"/>
        <w:spacing w:after="0" w:line="227" w:lineRule="auto"/>
        <w:tabs>
          <w:tab w:leader="none" w:pos="655"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2022, charges include incremental manufacturing variances at plants in the 2020 restructuring program of approximately $16.5 million and $47.8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Below is a reconciliation of U.S. GAAP net earnings (loss) to EBITDA and adjusted EBITDA for the three and six months ended June 30, 2022 compared to the prior year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8"/>
              </w:rPr>
              <w:t>Three Months Ended June 30,</w:t>
            </w: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Add adjustments: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656.4</w:t>
            </w:r>
          </w:p>
        </w:tc>
      </w:tr>
      <w:tr>
        <w:trPr>
          <w:trHeight w:val="230"/>
        </w:trPr>
        <w:tc>
          <w:tcPr>
            <w:tcW w:w="60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29"/>
        </w:trPr>
        <w:tc>
          <w:tcPr>
            <w:tcW w:w="60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2,739.6</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2,449.9</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Add adjustments: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60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related and other special items </w:t>
            </w:r>
            <w:r>
              <w:rPr>
                <w:rFonts w:ascii="Arial" w:cs="Arial" w:eastAsia="Arial" w:hAnsi="Arial"/>
                <w:sz w:val="23"/>
                <w:szCs w:val="23"/>
                <w:color w:val="auto"/>
                <w:vertAlign w:val="superscript"/>
              </w:rPr>
              <w:t>(c)</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3,312.0</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80" w:hanging="248"/>
        <w:spacing w:after="0"/>
        <w:tabs>
          <w:tab w:leader="none" w:pos="58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primary source of liquidity is net cash provided by operating activities, which was $1.94 billion for the six months ended June 30, 2022.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Net cash provided by operating activities increased by $532.8 million to $1.94 billion for the six months ended June 30, 2022, as compared to net cash provided by operating activities of $1.41 billion for the six months ended June 30, 2021.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increase in net cash provided by operating activities was principally due to lower payments for restructuring activities and other special items, and the impact of synergies, partially offset by the timing of cash payments and collections.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cash used in investing activities was $149.0 million for the six months ended June 30, 2022, as compared to net cash provided by investing activities of $219.5 million for the six months ended June 30, 2021, a net decrease of $368.5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investing activities included the following:</w:t>
      </w:r>
    </w:p>
    <w:p>
      <w:pPr>
        <w:spacing w:after="0" w:line="121" w:lineRule="exact"/>
        <w:rPr>
          <w:sz w:val="20"/>
          <w:szCs w:val="20"/>
          <w:color w:val="auto"/>
        </w:rPr>
      </w:pPr>
    </w:p>
    <w:p>
      <w:pPr>
        <w:ind w:left="980" w:right="200" w:hanging="324"/>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$148.4 million. While there can be no assurance that current expectations will be realized, capital expenditures for the 2022 calendar year are expected to be approximately $425 million to $575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42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sale of assets of $83.4 million related to a group of OTC products in the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$138.8 million; and</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$17.3 million, primarily related to the acquisition of intellectual property rights and marketing authorizations.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Net cash used in financing activities was $1.79 billion for the six months ended June 30, 2022, as compared to $1.79 billion for the six months ended June 30, 2021, an increase of $3.3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financing activities included the following:</w:t>
      </w:r>
    </w:p>
    <w:p>
      <w:pPr>
        <w:spacing w:after="0" w:line="121" w:lineRule="exact"/>
        <w:rPr>
          <w:sz w:val="20"/>
          <w:szCs w:val="20"/>
          <w:color w:val="auto"/>
        </w:rPr>
      </w:pPr>
    </w:p>
    <w:p>
      <w:pPr>
        <w:ind w:left="980" w:right="4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long-term debt payments of approximately $1.79 billion consisting of the repayment of the 0.816% Euro Senior Notes due 2022 and the 1.125% Senior Notes due 2022;</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long-term debt borrowings of $795.4 million primarily consisting of Revolving Facility borrowings;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repayments of short-term borrowings of $473.5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dividends paid of $290.6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debt payments of $2.25 billion consisting of the repayment of the 3.150% Senior Notes due 2021;</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borrowings under the Revolving Facility of $900.0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short-term borrowings of $199.7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dividends paid of $133.0 million;</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deferred non-contingent payments for product rights totaling approximately $456.0 million primarily related to the acquisition of Aspen’s thrombosis product portfolio in Europe;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milestone payments totaling approximately $28.6 million related to the respiratory delivery platform contingent consideration.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cash and cash equivalents totaled $664.7 million at June 30, 2022, and the majority of these funds are held by our non-U.S. subsidiaries.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7"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Company has access to $4.0 billion under the Revolving Facility which matures in July 2026. Up to $1.65 billion of the Revolving Facility may be used to support borrowings under our Commercial Paper Program. As of June 30, 2022, the Company had $620.8 million outstanding under the Commercial Paper Program and had borrowings outstanding of $795.0 million under the Revolving Facility.</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to the Revolving Facility, MPI, a wholly owned subsidiary of the Company, has access to $400 million under the Receivables Facility. On April 22, 2022, the Company entered into an agreement to extend the expiration date of the Receivables Facility to April 22, 2025. As of June 30, 2022, the Company had $198.7 million outstanding under the Receivables Facility.</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August 2020, the Company entered into the Note Securitization Facility for borrowings up to $200 million, which was amended on July 1, 2021 to extend the term to August 30, 2022. As of June 30, 2022, the Company had borrowings of $200.0 million outstanding under the Note Securitization Facility.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7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$41.9 million and $29.6 million of accounts receivable as of June 30, 2022 and December 31, 2021 under these factoring arrangements,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information regarding our dividends paid and declared, refer to Note 8 </w:t>
      </w:r>
      <w:r>
        <w:rPr>
          <w:rFonts w:ascii="Arial" w:cs="Arial" w:eastAsia="Arial" w:hAnsi="Arial"/>
          <w:sz w:val="17"/>
          <w:szCs w:val="17"/>
          <w:i w:val="1"/>
          <w:iCs w:val="1"/>
          <w:color w:val="auto"/>
        </w:rPr>
        <w:t>Earnings (Loss) per Share</w:t>
      </w:r>
      <w:r>
        <w:rPr>
          <w:rFonts w:ascii="Arial" w:cs="Arial" w:eastAsia="Arial" w:hAnsi="Arial"/>
          <w:sz w:val="17"/>
          <w:szCs w:val="17"/>
          <w:color w:val="auto"/>
        </w:rPr>
        <w:t xml:space="preserve"> in Part I, Item 1 of this Form 10-Q.</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For information regarding our debt agreements and mandatory minimum repayments remaining on the outstanding notional amount of long-term debt at June 30, 2022,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17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in compliance with its covenants at June 30, 2022 and expects to remain in compliance for the next twelve months.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Viatris Inc. is the issuer of the Registered Upjohn Notes, which are fully and unconditionally guaranteed on a senior unsecured basis by Mylan Inc., Mylan II B.V. and Utah Acquisition Sub Inc.</w:t>
      </w:r>
    </w:p>
    <w:p>
      <w:pPr>
        <w:spacing w:after="0" w:line="11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Mylan Inc. is the issuer of the Mylan Inc. U.S. Dollar Notes, which are fully and unconditionally guaranteed on a senior unsecured basis by Mylan II B.V., Viatris Inc. and Utah Acquisition Sub Inc.</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6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table presents unaudited summarized financial information of Viatris Inc., Mylan Inc., Utah Acquisition Sub Inc., and Mylan II B.V. on a combined basis as of and for the six months ended June 30, 2022 and as of and for the year ended December 31, 2021. All intercompany balances have been eliminated in consolidation. This unaudited combined summarized financial information is presented utilizing the equity method of accounting.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5"/>
              </w:rPr>
              <w:t>Viatris Inc., Mylan Inc., Utah Acquisition Sub Inc.</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8"/>
              </w:rPr>
              <w:t>and Mylan II B.V.</w:t>
            </w:r>
          </w:p>
        </w:tc>
        <w:tc>
          <w:tcPr>
            <w:tcW w:w="0" w:type="dxa"/>
            <w:vAlign w:val="bottom"/>
          </w:tcPr>
          <w:p>
            <w:pPr>
              <w:spacing w:after="0"/>
              <w:rPr>
                <w:sz w:val="1"/>
                <w:szCs w:val="1"/>
                <w:color w:val="auto"/>
              </w:rPr>
            </w:pPr>
          </w:p>
        </w:tc>
      </w:tr>
      <w:tr>
        <w:trPr>
          <w:trHeight w:val="2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2"/>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60,171.7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60,298.0</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3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23,619.9</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16,465.6</w:t>
            </w:r>
          </w:p>
        </w:tc>
        <w:tc>
          <w:tcPr>
            <w:tcW w:w="0" w:type="dxa"/>
            <w:vAlign w:val="bottom"/>
          </w:tcPr>
          <w:p>
            <w:pPr>
              <w:spacing w:after="0"/>
              <w:rPr>
                <w:sz w:val="1"/>
                <w:szCs w:val="1"/>
                <w:color w:val="auto"/>
              </w:rPr>
            </w:pPr>
          </w:p>
        </w:tc>
      </w:tr>
      <w:tr>
        <w:trPr>
          <w:trHeight w:val="904"/>
        </w:trPr>
        <w:tc>
          <w:tcPr>
            <w:tcW w:w="3920" w:type="dxa"/>
            <w:vAlign w:val="bottom"/>
          </w:tcPr>
          <w:p>
            <w:pPr>
              <w:spacing w:after="0"/>
              <w:rPr>
                <w:sz w:val="24"/>
                <w:szCs w:val="24"/>
                <w:color w:val="auto"/>
              </w:rPr>
            </w:pPr>
          </w:p>
        </w:tc>
        <w:tc>
          <w:tcPr>
            <w:tcW w:w="3940" w:type="dxa"/>
            <w:vAlign w:val="bottom"/>
          </w:tcPr>
          <w:p>
            <w:pPr>
              <w:jc w:val="right"/>
              <w:ind w:right="205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346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Combined Summarized Income Statement Information</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w w:val="95"/>
              </w:rPr>
              <w:t>of Viatris Inc., Mylan Inc., Utah Acquisition Sub Inc.</w:t>
            </w: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4"/>
          </w:tcPr>
          <w:p>
            <w:pPr>
              <w:ind w:left="1080"/>
              <w:spacing w:after="0"/>
              <w:rPr>
                <w:sz w:val="20"/>
                <w:szCs w:val="20"/>
                <w:color w:val="auto"/>
              </w:rPr>
            </w:pPr>
            <w:r>
              <w:rPr>
                <w:rFonts w:ascii="Arial" w:cs="Arial" w:eastAsia="Arial" w:hAnsi="Arial"/>
                <w:sz w:val="14"/>
                <w:szCs w:val="14"/>
                <w:b w:val="1"/>
                <w:bCs w:val="1"/>
                <w:color w:val="auto"/>
              </w:rPr>
              <w:t>and Mylan II B.V.</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9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Six Months Ended June 30,</w:t>
            </w:r>
          </w:p>
        </w:tc>
        <w:tc>
          <w:tcPr>
            <w:tcW w:w="15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6"/>
        </w:trPr>
        <w:tc>
          <w:tcPr>
            <w:tcW w:w="77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620" w:type="dxa"/>
            <w:vAlign w:val="bottom"/>
          </w:tcPr>
          <w:p>
            <w:pPr>
              <w:ind w:left="1060"/>
              <w:spacing w:after="0"/>
              <w:rPr>
                <w:sz w:val="20"/>
                <w:szCs w:val="20"/>
                <w:color w:val="auto"/>
              </w:rPr>
            </w:pPr>
            <w:r>
              <w:rPr>
                <w:rFonts w:ascii="Arial" w:cs="Arial" w:eastAsia="Arial" w:hAnsi="Arial"/>
                <w:sz w:val="18"/>
                <w:szCs w:val="18"/>
                <w:color w:val="auto"/>
                <w:w w:val="94"/>
              </w:rPr>
              <w:t>(483.9)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 xml:space="preserve">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$570.3 million accrued for legal contingencies at June 30, 2022. In July 2022, the accrual was reduced by $259.0 million as a result of the EpiPen® Auto-Injector settlement payment. Refer to Note 17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in Part I, Item 1 of this Form 10-Q for additional information.</w:t>
      </w:r>
    </w:p>
    <w:p>
      <w:pPr>
        <w:spacing w:after="0" w:line="16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During the three and six months ended June 30, 2022, the Company incurred approximately $9.5 million and $26.1 million, respectively, related to this provision of the TSA and approximately $109.6 million during the period beginning on the closing date of the Combination and ended June 30, 2022.</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Application of Critical Accounting Policies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have been no changes to the Critical Accounting Policies disclosed in Viatris’ 2021 Form 10-K. The following discussion supplements our Critical Accounting Policy for Acquisitions, Intangible Assets, Goodwill and Contingent Consideration as it relates to the interim and annual goodwill impairment test performed as of March 31, 2022 and April 1, 2022, respectively.</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2022 and April 1, 2022, the Company determined that the fair value of the North America and Greater China reporting units was substantially in excess of the respective unit’s carrying value.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2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2021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2022.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Management identified the following change in the Company’s internal control over financial reporting (“ICFR”) that occurred during the quarter that has materially affected, or is reasonably likely to materially affect, the Company’s ICFR. During the quarter ended June 30, 2022, the Company continued to transition certain support services from Pfizer, as well as certain subsidiaries, to a new ERP system. The Company has modified and will continue to modify its internal controls relating to its business and financial processes throughout the transition period, which is expected through the end of calendar year 2022. While the Company believes that this new system and the related changes to internal controls will ultimately strengthen its ICFR, there are inherent risks in implementing any new ERP system and the Company will continue to evaluate and test control changes in order to provide certification as of its fiscal year ending December 31, 2022 on the effectiveness of its ICFR.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17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Company’s risk factors from those disclosed in Viatris’ 2021 Form 10-K.</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43" w:lineRule="exact"/>
        <w:rPr>
          <w:sz w:val="20"/>
          <w:szCs w:val="20"/>
          <w:color w:val="auto"/>
        </w:rPr>
      </w:pPr>
    </w:p>
    <w:p>
      <w:pPr>
        <w:ind w:left="1120" w:hanging="1094"/>
        <w:spacing w:after="0"/>
        <w:tabs>
          <w:tab w:leader="none" w:pos="1120" w:val="left"/>
        </w:tabs>
        <w:numPr>
          <w:ilvl w:val="0"/>
          <w:numId w:val="42"/>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7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425"/>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7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43"/>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8, 2022</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20"/>
          </w:cols>
          <w:pgMar w:left="320" w:top="118" w:right="85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Guarantors and Issuers of Guaranteed Securities</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As of June 30, 2022,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As of June 30, 2022, Viatris, Utah and Mylan II were the guarantors of the 4.200% Senior Notes due 2023, 3.125% Senior Notes due 2023, 4.550% Senior Notes due 2028, 5.400% Senior Notes due 2043 and 5.200% Senior Notes due 2048 issued by Mylan Inc.</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As of June 30, 2022, Utah, Mylan Inc. and Mylan II were the guarantors of the 1.650% Senior Notes due 2025, 2.300% Senior Notes due 2027, 2.700% Senior Notes due 2030, 3.850% Senior Notes due 2040 and 4.000% Senior Notes due 2050 issued by Viatris.</w:t>
      </w:r>
    </w:p>
    <w:p>
      <w:pPr>
        <w:sectPr>
          <w:pgSz w:w="11900" w:h="16838" w:orient="portrait"/>
          <w:cols w:equalWidth="0" w:num="1">
            <w:col w:w="11240"/>
          </w:cols>
          <w:pgMar w:left="320" w:top="139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31" w:lineRule="exact"/>
        <w:rPr>
          <w:sz w:val="20"/>
          <w:szCs w:val="20"/>
          <w:color w:val="auto"/>
        </w:rPr>
      </w:pPr>
    </w:p>
    <w:p>
      <w:pPr>
        <w:ind w:left="640" w:hanging="187"/>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17" w:lineRule="exact"/>
        <w:rPr>
          <w:rFonts w:ascii="Arial" w:cs="Arial" w:eastAsia="Arial" w:hAnsi="Arial"/>
          <w:sz w:val="18"/>
          <w:szCs w:val="18"/>
          <w:color w:val="auto"/>
        </w:rPr>
      </w:pPr>
    </w:p>
    <w:p>
      <w:pPr>
        <w:ind w:right="140" w:firstLine="453"/>
        <w:spacing w:after="0" w:line="377" w:lineRule="auto"/>
        <w:tabs>
          <w:tab w:leader="none" w:pos="6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08" w:lineRule="auto"/>
        <w:tabs>
          <w:tab w:leader="none" w:pos="6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295" w:lineRule="auto"/>
        <w:tabs>
          <w:tab w:leader="none" w:pos="6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295" w:lineRule="auto"/>
        <w:tabs>
          <w:tab w:leader="none" w:pos="12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295" w:lineRule="auto"/>
        <w:tabs>
          <w:tab w:leader="none" w:pos="12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369" w:lineRule="auto"/>
        <w:tabs>
          <w:tab w:leader="none" w:pos="123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280" w:firstLine="480"/>
        <w:spacing w:after="0" w:line="295" w:lineRule="auto"/>
        <w:tabs>
          <w:tab w:leader="none" w:pos="12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41" w:lineRule="auto"/>
        <w:tabs>
          <w:tab w:leader="none" w:pos="6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25031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ectPr>
          <w:pgSz w:w="11900" w:h="16838" w:orient="portrait"/>
          <w:cols w:equalWidth="0" w:num="1">
            <w:col w:w="11240"/>
          </w:cols>
          <w:pgMar w:left="320" w:top="90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31" w:lineRule="exact"/>
        <w:rPr>
          <w:sz w:val="20"/>
          <w:szCs w:val="20"/>
          <w:color w:val="auto"/>
        </w:rPr>
      </w:pPr>
    </w:p>
    <w:p>
      <w:pPr>
        <w:ind w:left="640" w:hanging="187"/>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17" w:lineRule="exact"/>
        <w:rPr>
          <w:rFonts w:ascii="Arial" w:cs="Arial" w:eastAsia="Arial" w:hAnsi="Arial"/>
          <w:sz w:val="18"/>
          <w:szCs w:val="18"/>
          <w:color w:val="auto"/>
        </w:rPr>
      </w:pPr>
    </w:p>
    <w:p>
      <w:pPr>
        <w:ind w:right="140" w:firstLine="453"/>
        <w:spacing w:after="0" w:line="377" w:lineRule="auto"/>
        <w:tabs>
          <w:tab w:leader="none" w:pos="6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08" w:lineRule="auto"/>
        <w:tabs>
          <w:tab w:leader="none" w:pos="6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295" w:lineRule="auto"/>
        <w:tabs>
          <w:tab w:leader="none" w:pos="6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295" w:lineRule="auto"/>
        <w:tabs>
          <w:tab w:leader="none" w:pos="12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295" w:lineRule="auto"/>
        <w:tabs>
          <w:tab w:leader="none" w:pos="12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369" w:lineRule="auto"/>
        <w:tabs>
          <w:tab w:leader="none" w:pos="123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280" w:firstLine="480"/>
        <w:spacing w:after="0" w:line="295" w:lineRule="auto"/>
        <w:tabs>
          <w:tab w:leader="none" w:pos="12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41" w:lineRule="auto"/>
        <w:tabs>
          <w:tab w:leader="none" w:pos="6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ectPr>
          <w:pgSz w:w="11900" w:h="16838" w:orient="portrait"/>
          <w:cols w:equalWidth="0" w:num="1">
            <w:col w:w="11240"/>
          </w:cols>
          <w:pgMar w:left="320" w:top="9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140" w:firstLine="445"/>
        <w:spacing w:after="0" w:line="319" w:lineRule="auto"/>
        <w:rPr>
          <w:sz w:val="20"/>
          <w:szCs w:val="20"/>
          <w:color w:val="auto"/>
        </w:rPr>
      </w:pPr>
      <w:r>
        <w:rPr>
          <w:rFonts w:ascii="Arial" w:cs="Arial" w:eastAsia="Arial" w:hAnsi="Arial"/>
          <w:sz w:val="17"/>
          <w:szCs w:val="17"/>
          <w:color w:val="auto"/>
        </w:rPr>
        <w:t>In connection with the Quarterly Report on Form 10-Q of Viatris Inc. (the “Company”) for the period ended June 30, 2022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4" w:lineRule="exact"/>
        <w:rPr>
          <w:sz w:val="20"/>
          <w:szCs w:val="20"/>
          <w:color w:val="auto"/>
        </w:rPr>
      </w:pPr>
    </w:p>
    <w:p>
      <w:pPr>
        <w:ind w:left="1080" w:hanging="181"/>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80" w:hanging="181"/>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198" w:lineRule="exact"/>
        <w:rPr>
          <w:sz w:val="20"/>
          <w:szCs w:val="20"/>
          <w:color w:val="auto"/>
        </w:rPr>
      </w:pPr>
    </w:p>
    <w:p>
      <w:pPr>
        <w:ind w:right="420" w:firstLine="445"/>
        <w:spacing w:after="0" w:line="30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4"/>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22"/>
    </w:lvl>
  </w:abstractNum>
  <w:abstractNum w:abstractNumId="42">
    <w:nsid w:val="57E4CCAF"/>
    <w:multiLevelType w:val="hybridMultilevel"/>
    <w:lvl w:ilvl="0">
      <w:lvlJc w:val="left"/>
      <w:lvlText w:val="%1"/>
      <w:numFmt w:val="decimal"/>
      <w:start w:val="32"/>
    </w:lvl>
  </w:abstractNum>
  <w:abstractNum w:abstractNumId="43">
    <w:nsid w:val="7A6D8D3C"/>
    <w:multiLevelType w:val="hybridMultilevel"/>
    <w:lvl w:ilvl="0">
      <w:lvlJc w:val="left"/>
      <w:lvlText w:val="%1"/>
      <w:numFmt w:val="decimal"/>
      <w:start w:val="104"/>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2022-08-09T02:22:25Z</dcterms:created>
  <dcterms:modified xsi:type="dcterms:W3CDTF">2022-08-09T02:22:25Z</dcterms:modified>
</cp:coreProperties>
</file>