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_____________to___________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001-39695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VIATRIS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(724) 514-1800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par value $0.01 per share, of the registrant as of November 3, 2025 was 1,151,769,872.</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September 30, 2025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35"/>
        <w:gridCol w:w="2773"/>
        <w:gridCol w:w="2779"/>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9">
              <w:r>
                <w:rPr>
                  <w:rStyle w:val="InternetLink"/>
                  <w:rFonts w:ascii="Times New Roman;serif" w:hAnsi="Times New Roman;serif"/>
                  <w:b w:val="false"/>
                  <w:color w:val="000080"/>
                  <w:sz w:val="20"/>
                  <w:u w:val="single"/>
                </w:rPr>
                <w:t xml:space="preserve">Condensed Consolidated Statements of Operations — Three and </w:t>
              </w:r>
            </w:hyperlink>
            <w:hyperlink w:anchor="ie5d7f09b83374928806c87fab9c24d33_19">
              <w:r>
                <w:rPr>
                  <w:rStyle w:val="InternetLink"/>
                  <w:rFonts w:ascii="Times New Roman;serif" w:hAnsi="Times New Roman;serif"/>
                  <w:b w:val="false"/>
                  <w:color w:val="000080"/>
                  <w:sz w:val="20"/>
                  <w:u w:val="single"/>
                </w:rPr>
                <w:t>Nine</w:t>
              </w:r>
            </w:hyperlink>
            <w:hyperlink w:anchor="ie5d7f09b83374928806c87fab9c24d33_19">
              <w:r>
                <w:rPr>
                  <w:rStyle w:val="InternetLink"/>
                  <w:rFonts w:ascii="Times New Roman;serif" w:hAnsi="Times New Roman;serif"/>
                  <w:b w:val="false"/>
                  <w:color w:val="000080"/>
                  <w:sz w:val="20"/>
                  <w:u w:val="single"/>
                </w:rPr>
                <w:t xml:space="preserve"> Months Ended </w:t>
              </w:r>
            </w:hyperlink>
            <w:hyperlink w:anchor="ie5d7f09b83374928806c87fab9c24d33_19">
              <w:r>
                <w:rPr>
                  <w:rStyle w:val="InternetLink"/>
                  <w:rFonts w:ascii="Times New Roman;serif" w:hAnsi="Times New Roman;serif"/>
                  <w:b w:val="false"/>
                  <w:color w:val="000080"/>
                  <w:sz w:val="20"/>
                  <w:u w:val="single"/>
                </w:rPr>
                <w:t>September</w:t>
              </w:r>
            </w:hyperlink>
            <w:hyperlink w:anchor="ie5d7f09b83374928806c87fab9c24d33_19">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9">
              <w:r>
                <w:rPr>
                  <w:rStyle w:val="InternetLink"/>
                  <w:rFonts w:ascii="Times New Roman;serif" w:hAnsi="Times New Roman;serif"/>
                  <w:b w:val="false"/>
                  <w:color w:val="0000FF"/>
                  <w:sz w:val="20"/>
                  <w:u w:val="singl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22">
              <w:r>
                <w:rPr>
                  <w:rStyle w:val="InternetLink"/>
                  <w:rFonts w:ascii="Times New Roman;serif" w:hAnsi="Times New Roman;serif"/>
                  <w:b w:val="false"/>
                  <w:color w:val="000080"/>
                  <w:sz w:val="20"/>
                  <w:u w:val="single"/>
                </w:rPr>
                <w:t>Condensed Consolidated Statements of Comprehensive</w:t>
              </w:r>
            </w:hyperlink>
            <w:hyperlink w:anchor="ie5d7f09b83374928806c87fab9c24d33_22">
              <w:r>
                <w:rPr>
                  <w:rStyle w:val="InternetLink"/>
                  <w:rFonts w:ascii="Times New Roman;serif" w:hAnsi="Times New Roman;serif"/>
                  <w:b w:val="false"/>
                  <w:color w:val="000080"/>
                  <w:sz w:val="20"/>
                  <w:u w:val="single"/>
                </w:rPr>
                <w:t xml:space="preserve"> (Loss)</w:t>
              </w:r>
            </w:hyperlink>
            <w:hyperlink w:anchor="ie5d7f09b83374928806c87fab9c24d33_22">
              <w:r>
                <w:rPr>
                  <w:rStyle w:val="InternetLink"/>
                  <w:rFonts w:ascii="Times New Roman;serif" w:hAnsi="Times New Roman;serif"/>
                  <w:b w:val="false"/>
                  <w:color w:val="000080"/>
                  <w:sz w:val="20"/>
                  <w:u w:val="single"/>
                </w:rPr>
                <w:t xml:space="preserve"> Earnings</w:t>
              </w:r>
            </w:hyperlink>
            <w:hyperlink w:anchor="ie5d7f09b83374928806c87fab9c24d33_22">
              <w:r>
                <w:rPr>
                  <w:rStyle w:val="InternetLink"/>
                  <w:rFonts w:ascii="Times New Roman;serif" w:hAnsi="Times New Roman;serif"/>
                  <w:b w:val="false"/>
                  <w:color w:val="000080"/>
                  <w:sz w:val="20"/>
                  <w:u w:val="single"/>
                </w:rPr>
                <w:t xml:space="preserve"> — Three</w:t>
              </w:r>
            </w:hyperlink>
            <w:hyperlink w:anchor="ie5d7f09b83374928806c87fab9c24d33_19">
              <w:r>
                <w:rPr>
                  <w:rStyle w:val="InternetLink"/>
                  <w:rFonts w:ascii="Times New Roman;serif" w:hAnsi="Times New Roman;serif"/>
                  <w:b w:val="false"/>
                  <w:color w:val="000080"/>
                  <w:sz w:val="20"/>
                  <w:u w:val="single"/>
                </w:rPr>
                <w:t xml:space="preserve"> and </w:t>
              </w:r>
            </w:hyperlink>
            <w:hyperlink w:anchor="ie5d7f09b83374928806c87fab9c24d33_19">
              <w:r>
                <w:rPr>
                  <w:rStyle w:val="InternetLink"/>
                  <w:rFonts w:ascii="Times New Roman;serif" w:hAnsi="Times New Roman;serif"/>
                  <w:b w:val="false"/>
                  <w:color w:val="000080"/>
                  <w:sz w:val="20"/>
                  <w:u w:val="single"/>
                </w:rPr>
                <w:t>Nine</w:t>
              </w:r>
            </w:hyperlink>
            <w:hyperlink w:anchor="ie5d7f09b83374928806c87fab9c24d33_22">
              <w:r>
                <w:rPr>
                  <w:rStyle w:val="InternetLink"/>
                  <w:rFonts w:ascii="Times New Roman;serif" w:hAnsi="Times New Roman;serif"/>
                  <w:b w:val="false"/>
                  <w:color w:val="000080"/>
                  <w:sz w:val="20"/>
                  <w:u w:val="single"/>
                </w:rPr>
                <w:t xml:space="preserve"> Months Ended </w:t>
              </w:r>
            </w:hyperlink>
            <w:hyperlink w:anchor="ie5d7f09b83374928806c87fab9c24d33_22">
              <w:r>
                <w:rPr>
                  <w:rStyle w:val="InternetLink"/>
                  <w:rFonts w:ascii="Times New Roman;serif" w:hAnsi="Times New Roman;serif"/>
                  <w:b w:val="false"/>
                  <w:color w:val="000080"/>
                  <w:sz w:val="20"/>
                  <w:u w:val="single"/>
                </w:rPr>
                <w:t>September</w:t>
              </w:r>
            </w:hyperlink>
            <w:hyperlink w:anchor="ie5d7f09b83374928806c87fab9c24d33_22">
              <w:r>
                <w:rPr>
                  <w:rStyle w:val="InternetLink"/>
                  <w:rFonts w:ascii="Times New Roman;serif" w:hAnsi="Times New Roman;serif"/>
                  <w:b w:val="false"/>
                  <w:color w:val="000080"/>
                  <w:sz w:val="20"/>
                  <w:u w:val="single"/>
                </w:rPr>
                <w:t xml:space="preserve"> 30,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22">
              <w:r>
                <w:rPr>
                  <w:rStyle w:val="InternetLink"/>
                  <w:rFonts w:ascii="Times New Roman;serif" w:hAnsi="Times New Roman;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25">
              <w:r>
                <w:rPr>
                  <w:rStyle w:val="InternetLink"/>
                  <w:rFonts w:ascii="Times New Roman;serif" w:hAnsi="Times New Roman;serif"/>
                  <w:b w:val="false"/>
                  <w:color w:val="000080"/>
                  <w:sz w:val="20"/>
                  <w:u w:val="single"/>
                </w:rPr>
                <w:t xml:space="preserve">Condensed Consolidated Balance Sheets — </w:t>
              </w:r>
            </w:hyperlink>
            <w:hyperlink w:anchor="ie5d7f09b83374928806c87fab9c24d33_25">
              <w:r>
                <w:rPr>
                  <w:rStyle w:val="InternetLink"/>
                  <w:rFonts w:ascii="Times New Roman;serif" w:hAnsi="Times New Roman;serif"/>
                  <w:b w:val="false"/>
                  <w:color w:val="000080"/>
                  <w:sz w:val="20"/>
                  <w:u w:val="single"/>
                </w:rPr>
                <w:t>Se</w:t>
              </w:r>
            </w:hyperlink>
            <w:hyperlink w:anchor="ie5d7f09b83374928806c87fab9c24d33_25">
              <w:r>
                <w:rPr>
                  <w:rStyle w:val="InternetLink"/>
                  <w:rFonts w:ascii="Times New Roman;serif" w:hAnsi="Times New Roman;serif"/>
                  <w:b w:val="false"/>
                  <w:color w:val="000080"/>
                  <w:sz w:val="20"/>
                  <w:u w:val="single"/>
                </w:rPr>
                <w:t>ptember</w:t>
              </w:r>
            </w:hyperlink>
            <w:hyperlink w:anchor="ie5d7f09b83374928806c87fab9c24d33_25">
              <w:r>
                <w:rPr>
                  <w:rStyle w:val="InternetLink"/>
                  <w:rFonts w:ascii="Times New Roman;serif" w:hAnsi="Times New Roman;serif"/>
                  <w:b w:val="false"/>
                  <w:color w:val="000080"/>
                  <w:sz w:val="20"/>
                  <w:u w:val="single"/>
                </w:rPr>
                <w:t xml:space="preserve"> 30, 2025 and December 31,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25">
              <w:r>
                <w:rPr>
                  <w:rStyle w:val="InternetLink"/>
                  <w:rFonts w:ascii="Times New Roman;serif" w:hAnsi="Times New Roman;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31">
              <w:r>
                <w:rPr>
                  <w:rStyle w:val="InternetLink"/>
                  <w:rFonts w:ascii="Times New Roman;serif" w:hAnsi="Times New Roman;serif"/>
                  <w:b w:val="false"/>
                  <w:color w:val="000080"/>
                  <w:sz w:val="20"/>
                  <w:u w:val="single"/>
                </w:rPr>
                <w:t>Condensed Consolidated Statements of Equity — Three</w:t>
              </w:r>
            </w:hyperlink>
            <w:hyperlink w:anchor="ie5d7f09b83374928806c87fab9c24d33_19">
              <w:r>
                <w:rPr>
                  <w:rStyle w:val="InternetLink"/>
                  <w:rFonts w:ascii="Times New Roman;serif" w:hAnsi="Times New Roman;serif"/>
                  <w:b w:val="false"/>
                  <w:color w:val="000080"/>
                  <w:sz w:val="20"/>
                  <w:u w:val="single"/>
                </w:rPr>
                <w:t xml:space="preserve"> and </w:t>
              </w:r>
            </w:hyperlink>
            <w:hyperlink w:anchor="ie5d7f09b83374928806c87fab9c24d33_19">
              <w:r>
                <w:rPr>
                  <w:rStyle w:val="InternetLink"/>
                  <w:rFonts w:ascii="Times New Roman;serif" w:hAnsi="Times New Roman;serif"/>
                  <w:b w:val="false"/>
                  <w:color w:val="000080"/>
                  <w:sz w:val="20"/>
                  <w:u w:val="single"/>
                </w:rPr>
                <w:t>Nine</w:t>
              </w:r>
            </w:hyperlink>
            <w:hyperlink w:anchor="ie5d7f09b83374928806c87fab9c24d33_31">
              <w:r>
                <w:rPr>
                  <w:rStyle w:val="InternetLink"/>
                  <w:rFonts w:ascii="Times New Roman;serif" w:hAnsi="Times New Roman;serif"/>
                  <w:b w:val="false"/>
                  <w:color w:val="000080"/>
                  <w:sz w:val="20"/>
                  <w:u w:val="single"/>
                </w:rPr>
                <w:t xml:space="preserve"> Months Ended</w:t>
              </w:r>
            </w:hyperlink>
            <w:hyperlink w:anchor="ie5d7f09b83374928806c87fab9c24d33_31">
              <w:r>
                <w:rPr>
                  <w:rStyle w:val="InternetLink"/>
                  <w:rFonts w:ascii="Times New Roman;serif" w:hAnsi="Times New Roman;serif"/>
                  <w:b w:val="false"/>
                  <w:color w:val="000080"/>
                  <w:sz w:val="20"/>
                  <w:u w:val="single"/>
                </w:rPr>
                <w:t xml:space="preserve"> September</w:t>
              </w:r>
            </w:hyperlink>
            <w:hyperlink w:anchor="ie5d7f09b83374928806c87fab9c24d33_31">
              <w:r>
                <w:rPr>
                  <w:rStyle w:val="InternetLink"/>
                  <w:rFonts w:ascii="Times New Roman;serif" w:hAnsi="Times New Roman;serif"/>
                  <w:b w:val="false"/>
                  <w:color w:val="000080"/>
                  <w:sz w:val="20"/>
                  <w:u w:val="single"/>
                </w:rPr>
                <w:t xml:space="preserve"> </w:t>
              </w:r>
            </w:hyperlink>
            <w:hyperlink w:anchor="ie5d7f09b83374928806c87fab9c24d33_25">
              <w:r>
                <w:rPr>
                  <w:rStyle w:val="InternetLink"/>
                  <w:rFonts w:ascii="Times New Roman;serif" w:hAnsi="Times New Roman;serif"/>
                  <w:b w:val="false"/>
                  <w:color w:val="000080"/>
                  <w:sz w:val="20"/>
                  <w:u w:val="single"/>
                </w:rPr>
                <w:t>30</w:t>
              </w:r>
            </w:hyperlink>
            <w:hyperlink w:anchor="ie5d7f09b83374928806c87fab9c24d33_31">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31">
              <w:r>
                <w:rPr>
                  <w:rStyle w:val="InternetLink"/>
                  <w:rFonts w:ascii="Times New Roman;serif" w:hAnsi="Times New Roman;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34">
              <w:r>
                <w:rPr>
                  <w:rStyle w:val="InternetLink"/>
                  <w:rFonts w:ascii="Times New Roman;serif" w:hAnsi="Times New Roman;serif"/>
                  <w:b w:val="false"/>
                  <w:color w:val="000080"/>
                  <w:sz w:val="20"/>
                  <w:u w:val="single"/>
                </w:rPr>
                <w:t xml:space="preserve">Condensed Consolidated Statements of Cash Flows — </w:t>
              </w:r>
            </w:hyperlink>
            <w:hyperlink w:anchor="ie5d7f09b83374928806c87fab9c24d33_34">
              <w:r>
                <w:rPr>
                  <w:rStyle w:val="InternetLink"/>
                  <w:rFonts w:ascii="Times New Roman;serif" w:hAnsi="Times New Roman;serif"/>
                  <w:b w:val="false"/>
                  <w:color w:val="000080"/>
                  <w:sz w:val="20"/>
                  <w:u w:val="single"/>
                </w:rPr>
                <w:t>Nine</w:t>
              </w:r>
            </w:hyperlink>
            <w:hyperlink w:anchor="ie5d7f09b83374928806c87fab9c24d33_34">
              <w:r>
                <w:rPr>
                  <w:rStyle w:val="InternetLink"/>
                  <w:rFonts w:ascii="Times New Roman;serif" w:hAnsi="Times New Roman;serif"/>
                  <w:b w:val="false"/>
                  <w:color w:val="000080"/>
                  <w:sz w:val="20"/>
                  <w:u w:val="single"/>
                </w:rPr>
                <w:t xml:space="preserve"> Months Ended </w:t>
              </w:r>
            </w:hyperlink>
            <w:hyperlink w:anchor="ie5d7f09b83374928806c87fab9c24d33_25">
              <w:r>
                <w:rPr>
                  <w:rStyle w:val="InternetLink"/>
                  <w:rFonts w:ascii="Times New Roman;serif" w:hAnsi="Times New Roman;serif"/>
                  <w:b w:val="false"/>
                  <w:color w:val="000080"/>
                  <w:sz w:val="20"/>
                  <w:u w:val="single"/>
                </w:rPr>
                <w:t xml:space="preserve">September </w:t>
              </w:r>
            </w:hyperlink>
            <w:hyperlink w:anchor="ie5d7f09b83374928806c87fab9c24d33_25">
              <w:r>
                <w:rPr>
                  <w:rStyle w:val="InternetLink"/>
                  <w:rFonts w:ascii="Times New Roman;serif" w:hAnsi="Times New Roman;serif"/>
                  <w:b w:val="false"/>
                  <w:color w:val="000080"/>
                  <w:sz w:val="20"/>
                  <w:u w:val="single"/>
                </w:rPr>
                <w:t>30</w:t>
              </w:r>
            </w:hyperlink>
            <w:hyperlink w:anchor="ie5d7f09b83374928806c87fab9c24d33_34">
              <w:r>
                <w:rPr>
                  <w:rStyle w:val="InternetLink"/>
                  <w:rFonts w:ascii="Times New Roman;serif" w:hAnsi="Times New Roman;serif"/>
                  <w:b w:val="false"/>
                  <w:color w:val="000080"/>
                  <w:sz w:val="20"/>
                  <w:u w:val="single"/>
                </w:rPr>
                <w:t>, 2025 and 2024</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34">
              <w:r>
                <w:rPr>
                  <w:rStyle w:val="InternetLink"/>
                  <w:rFonts w:ascii="Times New Roman;serif" w:hAnsi="Times New Roman;serif"/>
                  <w:b w:val="false"/>
                  <w:color w:val="0000FF"/>
                  <w:sz w:val="20"/>
                  <w:u w:val="single"/>
                </w:rPr>
                <w:t>11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37">
              <w:r>
                <w:rPr>
                  <w:rStyle w:val="InternetLink"/>
                  <w:rFonts w:ascii="Times New Roman;serif" w:hAnsi="Times New Roman;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37">
              <w:r>
                <w:rPr>
                  <w:rStyle w:val="InternetLink"/>
                  <w:rFonts w:ascii="Times New Roman;serif" w:hAnsi="Times New Roman;serif"/>
                  <w:b w:val="false"/>
                  <w:color w:val="0000FF"/>
                  <w:sz w:val="20"/>
                  <w:u w:val="single"/>
                </w:rPr>
                <w:t>12</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33">
              <w:r>
                <w:rPr>
                  <w:rStyle w:val="InternetLink"/>
                  <w:rFonts w:ascii="Times New Roman;serif" w:hAnsi="Times New Roman;serif"/>
                  <w:b w:val="false"/>
                  <w:color w:val="0000FF"/>
                  <w:sz w:val="20"/>
                  <w:u w:val="single"/>
                </w:rPr>
                <w:t>53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63">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63">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66">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66">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72">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72">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75">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75">
              <w:r>
                <w:rPr>
                  <w:rStyle w:val="InternetLink"/>
                  <w:rFonts w:ascii="Times New Roman;serif" w:hAnsi="Times New Roman;serif"/>
                  <w:b w:val="false"/>
                  <w:color w:val="0000FF"/>
                  <w:sz w:val="20"/>
                  <w:u w:val="single"/>
                </w:rPr>
                <w:t>76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78">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78">
              <w:r>
                <w:rPr>
                  <w:rStyle w:val="InternetLink"/>
                  <w:rFonts w:ascii="Times New Roman;serif" w:hAnsi="Times New Roman;serif"/>
                  <w:b w:val="false"/>
                  <w:color w:val="0000FF"/>
                  <w:sz w:val="20"/>
                  <w:u w:val="single"/>
                </w:rPr>
                <w:t>77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81">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81">
              <w:r>
                <w:rPr>
                  <w:rStyle w:val="InternetLink"/>
                  <w:rFonts w:ascii="Times New Roman;serif" w:hAnsi="Times New Roman;serif"/>
                  <w:b w:val="false"/>
                  <w:color w:val="0000FF"/>
                  <w:sz w:val="20"/>
                  <w:u w:val="single"/>
                </w:rPr>
                <w:t>77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87">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87">
              <w:r>
                <w:rPr>
                  <w:rStyle w:val="InternetLink"/>
                  <w:rFonts w:ascii="Times New Roman;serif" w:hAnsi="Times New Roman;serif"/>
                  <w:b w:val="false"/>
                  <w:color w:val="0000FF"/>
                  <w:sz w:val="20"/>
                  <w:u w:val="single"/>
                </w:rPr>
                <w:t>78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d7f09b83374928806c87fab9c24d33_190">
              <w:r>
                <w:rPr>
                  <w:rStyle w:val="InternetLink"/>
                  <w:rFonts w:ascii="Times New Roman;serif" w:hAnsi="Times New Roman;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d7f09b83374928806c87fab9c24d33_190">
              <w:r>
                <w:rPr>
                  <w:rStyle w:val="InternetLink"/>
                  <w:rFonts w:ascii="Times New Roman;serif" w:hAnsi="Times New Roman;serif"/>
                  <w:b w:val="false"/>
                  <w:color w:val="0000FF"/>
                  <w:sz w:val="20"/>
                  <w:u w:val="single"/>
                </w:rPr>
                <w:t>79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7"/>
        <w:gridCol w:w="449"/>
        <w:gridCol w:w="370"/>
        <w:gridCol w:w="2879"/>
        <w:gridCol w:w="2378"/>
        <w:gridCol w:w="3372"/>
      </w:tblGrid>
      <w:tr>
        <w:trPr/>
        <w:tc>
          <w:tcPr>
            <w:tcW w:w="7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2003 LTIP</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2024 Form 10-K </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Viatris’ annual report on Form 10-K for the fiscal year ended December 31, 2024, as amended </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Revolving Facility</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divestitures-related and other special items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per diluted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ARV</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medicines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Limited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Limited, a majority owned subsidiary of Biocon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Transaction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Biocon Biologics pursuant to which Viatris contributed its biosimilars portfolio, composed of the Biocon collaboration programs, biosimilars to Humira®, Enbrel®, and Eylea®, as well as related assets and liabilities to Biocon Biologics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July 29, 2019, as amended from time to time, among Viatris, Mylan, Pfizer and certain of their affiliates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corporate alternative minimum tax</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Compulsory convertible preferred shares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CNS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Central Nervous System</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U.S. Internal Revenue Code of 1986, as amended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Combination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Mylan combining with Pfizer's Upjohn Business in a Reverse Morris Trust transaction to form Viatris on November 16, 2020</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Program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North America and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Pfizer's distribution to Pfizer stockholders of all the issued and outstanding shares of Upjohn Inc.</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Eastern District of Pennsylvania</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5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09"/>
        <w:gridCol w:w="532"/>
        <w:gridCol w:w="475"/>
        <w:gridCol w:w="2838"/>
        <w:gridCol w:w="2373"/>
        <w:gridCol w:w="3378"/>
      </w:tblGrid>
      <w:tr>
        <w:trPr/>
        <w:tc>
          <w:tcPr>
            <w:tcW w:w="6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September 30, 2025</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 Depot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Long-acting glatiramer acetate depot product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Systemically Important Banks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institutions that are considered systemically important by the Financial Stability Board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 segment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mainland China, Taiwan and Hong Kong</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Idorsia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Pharmaceuticals Ltd.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Transaction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Indore Impact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estimated negative financial impact on 2025 total revenues and earnings (loss) from operations versus the comparable 2024 periods as a result of supply disruptions and the FDA issued warning letter and import alert related to our oral finished dose manufacturing facility in Indore, India</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 segment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in the following markets: Japan, Australia and New Zealand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 Pharma Ltd.</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Leverage Ratio</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and its subsidiaries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Inc. U.S. Dollar Notes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Over-the-counter</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Business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Transaction</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 2023, Viatris announced it had received an offer for the divestiture of its OTC Business. In January 2024, we exercised our option to accept the offer and entered into a definitive transaction agreement with respect to such OTC Transaction. The OTC Transaction closed in July 2024.</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 Pharma,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r>
      <w:tr>
        <w:trPr/>
        <w:tc>
          <w:tcPr>
            <w:tcW w:w="16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58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6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w:t>
            </w:r>
          </w:p>
        </w:tc>
        <w:tc>
          <w:tcPr>
            <w:tcW w:w="858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accounts receivable facility for up to an aggregate amount of $600 million entered into in May 2025 and expiring in April 2028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43"/>
        <w:gridCol w:w="445"/>
        <w:gridCol w:w="448"/>
        <w:gridCol w:w="2539"/>
        <w:gridCol w:w="2539"/>
        <w:gridCol w:w="3591"/>
      </w:tblGrid>
      <w:tr>
        <w:trPr/>
        <w:tc>
          <w:tcPr>
            <w:tcW w:w="6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Upjohn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Respiratory Delivery Platform</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proprietary dry powder inhaler delivery platform</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and restricted stock unit awards, including PSUs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RICO</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Racketeer Influenced and Corrupt Organizations Act</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appreciation rights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SDNY</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Southern District of New York</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Upjohn U.S. Dollar Notes, the Utah U.S. Dollar Notes and the Mylan Inc. U.S. Dollar Notes, collectively</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between Viatris and Pfizer, dated as of July 29, 2019, as amended from time to time</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SARs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 Industries Ltd.</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agreements, including related distribution services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Upjohn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Inc., a wholly owned subsidiary of Pfizer prior to the Distribution, that combined with Mylan and was renamed Viatris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Business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off-patent branded and generic established medicines business that, in connection with the Combination, was separated from Pfizer and combined with Mylan to form Viatris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Distributor Markets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 Inc., a Delaware corporation and an indirect wholly owned subsidiary of Viatris</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U.S. Dollar Notes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5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w:t>
            </w:r>
          </w:p>
        </w:tc>
        <w:tc>
          <w:tcPr>
            <w:tcW w:w="86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formerly known as Upjohn Inc. prior to the completion of the Combination</w:t>
            </w:r>
          </w:p>
        </w:tc>
      </w:tr>
      <w:tr>
        <w:trPr/>
        <w:tc>
          <w:tcPr>
            <w:tcW w:w="15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86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1718"/>
        <w:gridCol w:w="1449"/>
        <w:gridCol w:w="1457"/>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5"/>
      </w:tblGrid>
      <w:tr>
        <w:trPr/>
        <w:tc>
          <w:tcPr>
            <w:tcW w:w="171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earnings per share attributable to Viatris Inc. shareholders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62660"/>
                <wp:effectExtent l="0" t="0" r="0" b="0"/>
                <wp:wrapNone/>
                <wp:docPr id="6" name="Frame6"/>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Earnings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1923"/>
        <w:gridCol w:w="1640"/>
        <w:gridCol w:w="1556"/>
        <w:gridCol w:w="211"/>
        <w:gridCol w:w="671"/>
        <w:gridCol w:w="109"/>
        <w:gridCol w:w="109"/>
        <w:gridCol w:w="109"/>
        <w:gridCol w:w="109"/>
        <w:gridCol w:w="211"/>
        <w:gridCol w:w="616"/>
        <w:gridCol w:w="109"/>
        <w:gridCol w:w="109"/>
        <w:gridCol w:w="109"/>
        <w:gridCol w:w="109"/>
        <w:gridCol w:w="211"/>
        <w:gridCol w:w="821"/>
        <w:gridCol w:w="109"/>
        <w:gridCol w:w="109"/>
        <w:gridCol w:w="109"/>
        <w:gridCol w:w="109"/>
        <w:gridCol w:w="211"/>
        <w:gridCol w:w="671"/>
        <w:gridCol w:w="155"/>
      </w:tblGrid>
      <w:tr>
        <w:trPr/>
        <w:tc>
          <w:tcPr>
            <w:tcW w:w="1923"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loss and prior service cost related to defined benefit plans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cash flow hedging relationships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net investment hedging relationships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available-for-sale fixed income securities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tax</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net of tax</w:t>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818"/>
        <w:gridCol w:w="2333"/>
        <w:gridCol w:w="2299"/>
        <w:gridCol w:w="211"/>
        <w:gridCol w:w="871"/>
        <w:gridCol w:w="109"/>
        <w:gridCol w:w="109"/>
        <w:gridCol w:w="109"/>
        <w:gridCol w:w="109"/>
        <w:gridCol w:w="211"/>
        <w:gridCol w:w="871"/>
        <w:gridCol w:w="155"/>
      </w:tblGrid>
      <w:tr>
        <w:trPr/>
        <w:tc>
          <w:tcPr>
            <w:tcW w:w="2818"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3,000,000,000 shares authorized; shares issued: 1,245,284,268 and 1,234,131,491 as of September 30, 2025 and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 at cost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86,122,122 and 40,483,663 as of September 30, 2025 and December 31, 2024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3396" w:type="dxa"/>
        <w:jc w:val="center"/>
        <w:tblInd w:w="0" w:type="dxa"/>
        <w:tblLayout w:type="fixed"/>
        <w:tblCellMar>
          <w:top w:w="28" w:type="dxa"/>
          <w:left w:w="28" w:type="dxa"/>
          <w:bottom w:w="28" w:type="dxa"/>
          <w:right w:w="28" w:type="dxa"/>
        </w:tblCellMar>
      </w:tblPr>
      <w:tblGrid>
        <w:gridCol w:w="783"/>
        <w:gridCol w:w="318"/>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1,245,047,557 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79,334,807 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6,787,315 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$0.12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1,245,284,268 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86,122,122 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1,234,131,491 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10,943,849 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45,638,459 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$0.36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1,245,284,268 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86,122,122 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tbl>
      <w:tblPr>
        <w:tblW w:w="13396" w:type="dxa"/>
        <w:jc w:val="center"/>
        <w:tblInd w:w="0" w:type="dxa"/>
        <w:tblLayout w:type="fixed"/>
        <w:tblCellMar>
          <w:top w:w="28" w:type="dxa"/>
          <w:left w:w="28" w:type="dxa"/>
          <w:bottom w:w="28" w:type="dxa"/>
          <w:right w:w="28" w:type="dxa"/>
        </w:tblCellMar>
      </w:tblPr>
      <w:tblGrid>
        <w:gridCol w:w="783"/>
        <w:gridCol w:w="318"/>
        <w:gridCol w:w="250"/>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8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1,233,752,840 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$0.12 per common share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1,234,064,628 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1,221,994,491 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21,239,521 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11,900,724 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19,244,142 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$0.36 per common share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1,234,064,628 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8003" w:type="dxa"/>
        <w:jc w:val="center"/>
        <w:tblInd w:w="0" w:type="dxa"/>
        <w:tblLayout w:type="fixed"/>
        <w:tblCellMar>
          <w:top w:w="28" w:type="dxa"/>
          <w:left w:w="28" w:type="dxa"/>
          <w:bottom w:w="28" w:type="dxa"/>
          <w:right w:w="28" w:type="dxa"/>
        </w:tblCellMar>
      </w:tblPr>
      <w:tblGrid>
        <w:gridCol w:w="2016"/>
        <w:gridCol w:w="1767"/>
        <w:gridCol w:w="1781"/>
        <w:gridCol w:w="196"/>
        <w:gridCol w:w="766"/>
        <w:gridCol w:w="109"/>
        <w:gridCol w:w="109"/>
        <w:gridCol w:w="109"/>
        <w:gridCol w:w="109"/>
        <w:gridCol w:w="196"/>
        <w:gridCol w:w="691"/>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business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contingencies,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marketable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product rights and other,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refunds of IPR&amp;D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subsidiaries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short-term borrowings,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cash of changes in exchange rates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62660"/>
                <wp:effectExtent l="0" t="0" r="0" b="0"/>
                <wp:wrapNone/>
                <wp:docPr id="11" name="Frame11"/>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(loss) earnings, financial position, equity and cash flows for the periods presented.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financial statements should be read in conjunction with the consolidated financial statements and notes thereto in Viatris’ 2024 Form 10-K. The December 31, 2024 condensed consolidated balance sheet was derived from audited financial statements.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interim results of operations and comprehensive (loss) earnings for the three and nine months ended September 30, 2025, and cash flows for the nine months ended September 30, 2025, are not necessarily indicative of the results to be expected for the full fiscal year or any other future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Certain reclassifications were made to conform the prior period consolidated financial statements to the current period presentation. Charges related to the impairment of goodwill, which were previously presented in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 xml:space="preserve">in the condensed consolidated statements of operations, and which were previously presented in </w:t>
      </w:r>
      <w:r>
        <w:rPr>
          <w:rFonts w:ascii="Times New Roman;serif" w:hAnsi="Times New Roman;serif"/>
          <w:b w:val="false"/>
          <w:i/>
          <w:color w:val="000000"/>
          <w:sz w:val="20"/>
        </w:rPr>
        <w:t xml:space="preserve">Other non-cash items </w:t>
      </w:r>
      <w:r>
        <w:rPr>
          <w:rFonts w:ascii="Times New Roman;serif" w:hAnsi="Times New Roman;serif"/>
          <w:b w:val="false"/>
          <w:color w:val="000000"/>
          <w:sz w:val="20"/>
        </w:rPr>
        <w:t xml:space="preserve">in the condensed consolidated statements of cash flows, are now presented in </w:t>
      </w:r>
      <w:r>
        <w:rPr>
          <w:rFonts w:ascii="Times New Roman;serif" w:hAnsi="Times New Roman;serif"/>
          <w:b w:val="false"/>
          <w:i/>
          <w:color w:val="000000"/>
          <w:sz w:val="20"/>
        </w:rPr>
        <w:t>Impairment of Goodwill</w:t>
      </w:r>
      <w:r>
        <w:rPr>
          <w:color w:val="000000"/>
        </w:rPr>
        <w:t xml:space="preserve"> </w:t>
      </w:r>
      <w:r>
        <w:rPr>
          <w:rFonts w:ascii="Times New Roman;serif" w:hAnsi="Times New Roman;serif"/>
          <w:b w:val="false"/>
          <w:color w:val="000000"/>
          <w:sz w:val="20"/>
        </w:rPr>
        <w:t>in the condensed consolidated statements of operations and the condensed consolidated statements of cash flows.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recognizes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by product category for each of our reportable segments for the three and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Three Months Ended September 30, 2025 </w:t>
            </w:r>
            <w:r>
              <w:rPr>
                <w:rFonts w:ascii="Times New Roman;serif" w:hAnsi="Times New Roman;serif"/>
                <w:b/>
                <w:color w:val="000000"/>
                <w:sz w:val="10"/>
              </w:rPr>
              <w:t>(a)</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895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61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6103"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602"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Nine Months Ended September 30, 2025 </w:t>
            </w:r>
            <w:r>
              <w:rPr>
                <w:rFonts w:ascii="Times New Roman;serif" w:hAnsi="Times New Roman;serif"/>
                <w:b/>
                <w:color w:val="000000"/>
                <w:sz w:val="10"/>
              </w:rPr>
              <w:t>(a)</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left"/>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101"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27"/>
        <w:gridCol w:w="825"/>
        <w:gridCol w:w="117"/>
        <w:gridCol w:w="109"/>
        <w:gridCol w:w="109"/>
        <w:gridCol w:w="109"/>
        <w:gridCol w:w="211"/>
        <w:gridCol w:w="766"/>
        <w:gridCol w:w="109"/>
        <w:gridCol w:w="109"/>
        <w:gridCol w:w="109"/>
        <w:gridCol w:w="109"/>
        <w:gridCol w:w="282"/>
        <w:gridCol w:w="1026"/>
        <w:gridCol w:w="146"/>
        <w:gridCol w:w="109"/>
        <w:gridCol w:w="109"/>
        <w:gridCol w:w="109"/>
        <w:gridCol w:w="211"/>
        <w:gridCol w:w="871"/>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6253"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7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for the three and nine months ended September 30, 2025 include the Indore Impact and the impact of foreign currency translations and divested businesses compared to the prior year period.</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sales on a consolidated basis for select key products for the three and nine months ended September 30, 2025 and 2024, respectively: </w:t>
      </w:r>
    </w:p>
    <w:tbl>
      <w:tblPr>
        <w:tblW w:w="8540"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257"/>
        <w:gridCol w:w="752"/>
        <w:gridCol w:w="133"/>
        <w:gridCol w:w="133"/>
        <w:gridCol w:w="133"/>
        <w:gridCol w:w="133"/>
        <w:gridCol w:w="257"/>
        <w:gridCol w:w="752"/>
        <w:gridCol w:w="133"/>
        <w:gridCol w:w="109"/>
        <w:gridCol w:w="109"/>
        <w:gridCol w:w="109"/>
        <w:gridCol w:w="219"/>
        <w:gridCol w:w="795"/>
        <w:gridCol w:w="113"/>
        <w:gridCol w:w="113"/>
        <w:gridCol w:w="113"/>
        <w:gridCol w:w="113"/>
        <w:gridCol w:w="219"/>
        <w:gridCol w:w="795"/>
        <w:gridCol w:w="159"/>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Global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Lipitor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Norvasc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EpiPen® Auto-Injectors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Viagra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Celebrex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Effexor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Zoloft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Xalabrands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Segment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Influvac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Yupelri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Amitiza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Xanax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Dymista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Products disclosed may change in future periods, including as a result of seasonality, competition or new product launches.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Amounts for the three and nine months ended September 30, 2025 include the impact of foreign currency translations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Refer to intellectual property matters included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for additional information regarding Yupelri® and Amitiza®.</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sales to net sales by each significant category of variable consideration during the three and nine months ended September 30, 2025 and 2024, respectively:</w:t>
      </w:r>
    </w:p>
    <w:tbl>
      <w:tblPr>
        <w:tblW w:w="10205" w:type="dxa"/>
        <w:jc w:val="center"/>
        <w:tblInd w:w="0" w:type="dxa"/>
        <w:tblLayout w:type="fixed"/>
        <w:tblCellMar>
          <w:top w:w="28" w:type="dxa"/>
          <w:left w:w="28" w:type="dxa"/>
          <w:bottom w:w="28" w:type="dxa"/>
          <w:right w:w="28" w:type="dxa"/>
        </w:tblCellMar>
      </w:tblPr>
      <w:tblGrid>
        <w:gridCol w:w="1635"/>
        <w:gridCol w:w="1419"/>
        <w:gridCol w:w="1431"/>
        <w:gridCol w:w="211"/>
        <w:gridCol w:w="834"/>
        <w:gridCol w:w="109"/>
        <w:gridCol w:w="109"/>
        <w:gridCol w:w="109"/>
        <w:gridCol w:w="109"/>
        <w:gridCol w:w="211"/>
        <w:gridCol w:w="834"/>
        <w:gridCol w:w="109"/>
        <w:gridCol w:w="109"/>
        <w:gridCol w:w="109"/>
        <w:gridCol w:w="109"/>
        <w:gridCol w:w="211"/>
        <w:gridCol w:w="871"/>
        <w:gridCol w:w="109"/>
        <w:gridCol w:w="109"/>
        <w:gridCol w:w="109"/>
        <w:gridCol w:w="109"/>
        <w:gridCol w:w="211"/>
        <w:gridCol w:w="871"/>
        <w:gridCol w:w="158"/>
      </w:tblGrid>
      <w:tr>
        <w:trPr/>
        <w:tc>
          <w:tcPr>
            <w:tcW w:w="163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to net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for the three and nine months ended September 30, 2025 include the Indore Impact and the impact of foreign currency translations and divested businesses compared to the prior year period.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significant revisions were made to the methodology used in determining these provisions or the nature of the provisions during the three and nine months ended September 30, 2025. Such allowances were comprised of the following at September 30, 2025 and December 31, 2024, respectively:</w:t>
      </w:r>
    </w:p>
    <w:tbl>
      <w:tblPr>
        <w:tblW w:w="4719" w:type="dxa"/>
        <w:jc w:val="center"/>
        <w:tblInd w:w="0" w:type="dxa"/>
        <w:tblLayout w:type="fixed"/>
        <w:tblCellMar>
          <w:top w:w="28" w:type="dxa"/>
          <w:left w:w="28" w:type="dxa"/>
          <w:bottom w:w="28" w:type="dxa"/>
          <w:right w:w="28" w:type="dxa"/>
        </w:tblCellMar>
      </w:tblPr>
      <w:tblGrid>
        <w:gridCol w:w="765"/>
        <w:gridCol w:w="670"/>
        <w:gridCol w:w="679"/>
        <w:gridCol w:w="221"/>
        <w:gridCol w:w="804"/>
        <w:gridCol w:w="114"/>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comprised of the following at September 30, 2025 and December 31, 2024, respectively:</w:t>
      </w:r>
    </w:p>
    <w:tbl>
      <w:tblPr>
        <w:tblW w:w="4765" w:type="dxa"/>
        <w:jc w:val="center"/>
        <w:tblInd w:w="0" w:type="dxa"/>
        <w:tblLayout w:type="fixed"/>
        <w:tblCellMar>
          <w:top w:w="28" w:type="dxa"/>
          <w:left w:w="28" w:type="dxa"/>
          <w:bottom w:w="28" w:type="dxa"/>
          <w:right w:w="28" w:type="dxa"/>
        </w:tblCellMar>
      </w:tblPr>
      <w:tblGrid>
        <w:gridCol w:w="780"/>
        <w:gridCol w:w="686"/>
        <w:gridCol w:w="694"/>
        <w:gridCol w:w="221"/>
        <w:gridCol w:w="804"/>
        <w:gridCol w:w="114"/>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$126.8 million and $68.5 million of accounts receivable as of September 30, 2025 and December 31, 2024, respectively, under these factoring arrangements. Additionally, we have a similar arrangement for certain European countries. As of September 30, 2025 and December 31, 2024, we assigned and derecognized approximately $51.6 million and $29.9 million, respectively, of </w:t>
      </w:r>
      <w:r>
        <w:rPr>
          <w:rFonts w:ascii="Times New Roman;serif" w:hAnsi="Times New Roman;serif"/>
          <w:b w:val="false"/>
          <w:i/>
          <w:color w:val="000000"/>
          <w:sz w:val="20"/>
        </w:rPr>
        <w:t xml:space="preserve">Trade Receivables, Net, </w:t>
      </w:r>
      <w:r>
        <w:rPr>
          <w:rFonts w:ascii="Times New Roman;serif" w:hAnsi="Times New Roman;serif"/>
          <w:b w:val="false"/>
          <w:color w:val="000000"/>
          <w:sz w:val="20"/>
        </w:rPr>
        <w:t xml:space="preserve">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3.Recent Accounting Pronouncements</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and Disclosure Rules Issued Not Yet Adopted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rFonts w:ascii="Times New Roman;serif" w:hAnsi="Times New Roman;serif"/>
          <w:b w:val="false"/>
          <w:color w:val="000000"/>
          <w:sz w:val="20"/>
        </w:rPr>
        <w:t xml:space="preserve">, which amends certain aspects of the accounting for, and disclosure of, internal-use software costs under ASC 350-40, </w:t>
      </w:r>
      <w:r>
        <w:rPr>
          <w:rFonts w:ascii="Times New Roman;serif" w:hAnsi="Times New Roman;serif"/>
          <w:b w:val="false"/>
          <w:i/>
          <w:color w:val="000000"/>
          <w:sz w:val="20"/>
        </w:rPr>
        <w:t>Intangibles - Goodwill and Other - Internal-Use Software</w:t>
      </w:r>
      <w:r>
        <w:rPr>
          <w:rFonts w:ascii="Times New Roman;serif" w:hAnsi="Times New Roman;serif"/>
          <w:b w:val="false"/>
          <w:color w:val="000000"/>
          <w:sz w:val="20"/>
        </w:rPr>
        <w:t>. ASU 2025-06 is intended to simplify and modernize the accounting for internal-use software costs by removing all references to prescriptive and sequential software development stages under Subtopic 350-40. The amendments in ASU 2025-06 are effective for annual reporting periods beginning after December 15, 2027, and interim reporting periods within those annual reporting periods, with early adoption permitted as of the beginning of an annual reporting period. The guidance can be applied prospectively, retrospectively or under a modified transition approach. The Company is currently assessing the impact of the adoption of this guidance on its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permitting an entity to assume that conditions as of the balance sheet date remain unchanged over the life of the asset when estimating expected credit losses for current accounts receivable and current contract assets. ASU 2025-05 is effective for annual reporting periods beginning after December 15, 2025, and interim reporting periods within those annual reporting periods, with early adoption permitted. Entities should apply the new guidance prospectively. The Company is currently assessing the impact of the adoption of this guidance on its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the SEC adopted final rules under SEC Release No. 34-99678 and No. 33-11275, “The Enhancement and Standardization of Climate-Related Disclosures for Investors” (the “Final Rules”), which would require registrants to provide certain climate-related information in their registration statements and annual reports. The Final Rules would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Final Rules would also require disclosure outside of the financial statements of material scope 1 and scope 2 greenhouse gas emissions, among other climate-related disclosures. In April 2024, the SEC stayed the effectiveness of the Final Rules pending completion of litigation in the U.S. Court of Appeals for the Eighth Circuit. Prior to the effectiveness of the Final Rules being stayed, the disclosure requirements of the Final Rules were scheduled to begin phasing in for the Company for fiscal year 2025. On March 27, 2025, the SEC voted to end its defense of the Final Rules and withdrew its defense of the Final Rules in the pending litigation. The Company continues to monitor the status of the Final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significant changes in new accounting standards from those disclosed in Viatris’ 2024 Form 10-K. Refer to Viatris’ 2024 Form 10-K for additional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4.Acquisitions and Other Transactions</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and Idorsia are both contractually obligated to contribute to the development costs for both programs.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The transaction expanded our portfolio of innovative assets by adding two Phase 3 assets and combines our financial strength and worldwide operational infrastructure with Idorsia’s proven, highly-productive drug development team and innovation engine.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In accordance with U.S. GAAP, the transaction has been accounted for as a business combination under the acquisition method of accounting. Under the acquisition method of accounting, the assets acquired and liabilities assumed in the transaction were recorded at their respective estimated fair values at the acquisition date. During the nine months ended September 30, 2025 and 2024, the Company incurred acquisition-related costs of approximately $14.8 million and $3.9 million, respectively, which were recorded primarily in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The U.S. GAAP purchase price allocated to the transaction was $695 million, which consisted of $350 million of cash consideration paid and estimated contingent consideration at the date of acquisition valued at approximately $345 million. The fair value of the contingent consideration was valued using a Monte Carlo simulation model using Level 3 inputs. The fair value is sensitive to changes in the forecasts of operating metrics, probability of success, and discount rates. Refer to Note 11, </w:t>
      </w:r>
      <w:r>
        <w:rPr>
          <w:rFonts w:ascii="Times New Roman;serif" w:hAnsi="Times New Roman;serif"/>
          <w:b w:val="false"/>
          <w:i/>
          <w:color w:val="000000"/>
          <w:sz w:val="20"/>
        </w:rPr>
        <w:t xml:space="preserve">Financial Instruments and Risk Management </w:t>
      </w:r>
      <w:r>
        <w:rPr>
          <w:rFonts w:ascii="Times New Roman;serif" w:hAnsi="Times New Roman;serif"/>
          <w:b w:val="false"/>
          <w:color w:val="000000"/>
          <w:sz w:val="20"/>
        </w:rPr>
        <w:t>for additional information. The allocation of the purchase price to the assets acquired and liabilities assumed is shown below. There were no measurement period adjustments.</w:t>
      </w:r>
    </w:p>
    <w:tbl>
      <w:tblPr>
        <w:tblW w:w="3232" w:type="dxa"/>
        <w:jc w:val="left"/>
        <w:tblInd w:w="0" w:type="dxa"/>
        <w:tblLayout w:type="fixed"/>
        <w:tblCellMar>
          <w:top w:w="28" w:type="dxa"/>
          <w:left w:w="28" w:type="dxa"/>
          <w:bottom w:w="28" w:type="dxa"/>
          <w:right w:w="28" w:type="dxa"/>
        </w:tblCellMar>
      </w:tblPr>
      <w:tblGrid>
        <w:gridCol w:w="658"/>
        <w:gridCol w:w="578"/>
        <w:gridCol w:w="579"/>
        <w:gridCol w:w="211"/>
        <w:gridCol w:w="616"/>
        <w:gridCol w:w="109"/>
        <w:gridCol w:w="109"/>
        <w:gridCol w:w="109"/>
        <w:gridCol w:w="109"/>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$675 million was based on the excess earnings method, which utilizes forecasts of expected cash inflows (including estimates for ongoing costs) and other contributory charges. A discount rate of 20%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asset. Viatris and Idorsia are both contractually obligated to contribute to the development costs for both programs, which are expected to be incurred through 2026. There are risks and uncertainties associated with the timely and successful completion of the projects included in IPR&amp;D, including but not limited to the high cost and uncertainty of conducting clinical trials (particularly with respect to new and/or complex or innovative drugs), obtaining approval by relevant regulatory bodies and our partner’s financial condition, and no assurances can be given that the underlying assumptions used to estimate the fair value of IPR&amp;D will not change or the timely completion of each project to commercial success will occur.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goodwill of $19.5 million arising from the acquisition consisted largely of the value of the employee workforce and the expected value of products, including additional indications, to be developed in the future. All of the goodwill was assigned to the Developed Markets segment. None of the goodwill recognized in this transaction is expected to be deductible for income tax purposes. The acquisition did not have a material impact on the Company’s results of operations since the acquisition date or on a pro forma basis during the three and nine months ended September 30, 2024.</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has been replaced with a transition committee to oversee the transition of both development programs to Viatris.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for additional information on the fair value adjustment to the Idorsia Transaction contingent consideration liability recorded during the nine months ended September 30, 2025 as a result of the February 25, 2025 letter agreement.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Acquisition of Aculys Pharma</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October 15, 2025, the Company acquired Aculys Pharma, Inc. (“Aculys Pharma”), a clinical stage biopharmaceutical company focused on commercializing innovative treatments for neurological conditions. Viatris received rights to develop and commercialize pitolisant and Spydia®, two assets in the CNS therapy area, further expanding Viatris' portfolio of innovative products in Japan. As part of the transaction, Viatris has acquired exclusive development and commercialization rights in Japan for pitolisant, a selective/inverse agonist of the histamine H3 receptor. The transaction also includes exclusive rights in Japan and certain other markets in the Asia-Pacific region for Spydia® Nasal Spray, which was approved in Japan in June 2025 for the treatment of status epilepticus. Under the terms of the acquisition agreement, the Company made a $35.0 million upfront payment to Aculys Pharma shareholders as consideration for the acquisition, with additional consideration contingent upon the achievement of specified regulatory and commercial milestones, and royalties on net sales. The transaction is expected to be accounted for as an asset acquisition, with the upfront payment expensed as </w:t>
      </w:r>
      <w:r>
        <w:rPr>
          <w:rFonts w:ascii="Times New Roman;serif" w:hAnsi="Times New Roman;serif"/>
          <w:b w:val="false"/>
          <w:i/>
          <w:color w:val="000000"/>
          <w:sz w:val="20"/>
        </w:rPr>
        <w:t>Acquired IPR&amp;D</w:t>
      </w:r>
      <w:r>
        <w:rPr>
          <w:rFonts w:ascii="Times New Roman;serif" w:hAnsi="Times New Roman;serif"/>
          <w:b w:val="false"/>
          <w:color w:val="000000"/>
          <w:sz w:val="20"/>
        </w:rPr>
        <w:t>.</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5.Divestitures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and nine months ended September 30, 2025, the Company recorded additional pre-tax (gain) charges of approximately $(1.6) million and $79.1 million, respectively, related to the divestitures. The additional charges were recorded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condensed consolidated statements of operations, and were primarily due to an increase in estimated transaction related costs, including the assumption of additional contractual obligations, as well as the impact of working capital and other transaction-related adjustments.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During the three months ended September 30, 2025 and 2024, the Company recognized TSA income related to all divestitures of approximately $6.5 million and $27.5 million, respectively. During the nine months ended September 30, 2025 and 2024, the Company recognized TSA income related to all divestitures of approximately $36.3 million and $47.0 million, respectively. TSA income is recorded as a component of </w:t>
      </w:r>
      <w:r>
        <w:rPr>
          <w:rFonts w:ascii="Times New Roman;serif" w:hAnsi="Times New Roman;serif"/>
          <w:b w:val="false"/>
          <w:i/>
          <w:color w:val="000000"/>
          <w:sz w:val="20"/>
        </w:rPr>
        <w:t>Other Expense (Income), Net</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6.Share-Based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Prior to the Distribution, Viatris adopted and Pfizer, in the capacity as Viatris’ sole stockholder at such time, approved the 2020 Incentive Plan (the </w:t>
      </w:r>
      <w:r>
        <w:rPr>
          <w:rFonts w:ascii="Times New Roman;serif" w:hAnsi="Times New Roman;serif"/>
          <w:b w:val="false"/>
          <w:i/>
          <w:color w:val="000000"/>
          <w:sz w:val="20"/>
        </w:rPr>
        <w:t>Viatris Inc.</w:t>
      </w:r>
      <w:r>
        <w:rPr>
          <w:color w:val="000000"/>
        </w:rPr>
        <w:t xml:space="preserve"> </w:t>
      </w:r>
      <w:r>
        <w:rPr>
          <w:rFonts w:ascii="Times New Roman;serif" w:hAnsi="Times New Roman;serif"/>
          <w:b w:val="false"/>
          <w:i/>
          <w:color w:val="000000"/>
          <w:sz w:val="20"/>
        </w:rPr>
        <w:t>2020 Stock Incentive Plan</w:t>
      </w:r>
      <w:r>
        <w:rPr>
          <w:rFonts w:ascii="Times New Roman;serif" w:hAnsi="Times New Roman;serif"/>
          <w:b w:val="false"/>
          <w:color w:val="000000"/>
          <w:sz w:val="20"/>
        </w:rPr>
        <w:t>) which became effective as of the Distribution. In connection with the Combination, as of November 16, 2020, the Company assumed the 2003 LTIP (</w:t>
      </w:r>
      <w:r>
        <w:rPr>
          <w:rFonts w:ascii="Times New Roman;serif" w:hAnsi="Times New Roman;serif"/>
          <w:b w:val="false"/>
          <w:i/>
          <w:color w:val="000000"/>
          <w:sz w:val="20"/>
        </w:rPr>
        <w:t>Mylan N.V. Amended and Restated 2003 Long-Term Incentive Plan</w:t>
      </w:r>
      <w:r>
        <w:rPr>
          <w:rFonts w:ascii="Times New Roman;serif" w:hAnsi="Times New Roman;serif"/>
          <w:b w:val="false"/>
          <w:color w:val="000000"/>
          <w:sz w:val="20"/>
        </w:rPr>
        <w:t xml:space="preserve">),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approved an amendment to the 2020 Incentive Plan, which was approved by Viatris shareholders on December 6, 2024, to increase the maximum aggregate number of shares of Viatris common stock available for issuance under the 2020 Incentive Plan by 49,000,000.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2020 Incentive Plan,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awards (stock options and SARs) activity:</w:t>
      </w:r>
    </w:p>
    <w:tbl>
      <w:tblPr>
        <w:tblW w:w="10205" w:type="dxa"/>
        <w:jc w:val="left"/>
        <w:tblInd w:w="0" w:type="dxa"/>
        <w:tblLayout w:type="fixed"/>
        <w:tblCellMar>
          <w:top w:w="28" w:type="dxa"/>
          <w:left w:w="28" w:type="dxa"/>
          <w:bottom w:w="28" w:type="dxa"/>
          <w:right w:w="28" w:type="dxa"/>
        </w:tblCellMar>
      </w:tblPr>
      <w:tblGrid>
        <w:gridCol w:w="1438"/>
        <w:gridCol w:w="1262"/>
        <w:gridCol w:w="1268"/>
        <w:gridCol w:w="962"/>
        <w:gridCol w:w="916"/>
        <w:gridCol w:w="921"/>
        <w:gridCol w:w="109"/>
        <w:gridCol w:w="109"/>
        <w:gridCol w:w="109"/>
        <w:gridCol w:w="668"/>
        <w:gridCol w:w="1952"/>
        <w:gridCol w:w="491"/>
      </w:tblGrid>
      <w:tr>
        <w:trPr/>
        <w:tc>
          <w:tcPr>
            <w:tcW w:w="143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Under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3,350,786 </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1" w:type="dxa"/>
            <w:gridSpan w:val="3"/>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(16,129)</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(608,203)</w:t>
            </w:r>
          </w:p>
        </w:tc>
        <w:tc>
          <w:tcPr>
            <w:tcW w:w="9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2,726,454 </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September 30, 2025</w:t>
            </w:r>
          </w:p>
        </w:tc>
        <w:tc>
          <w:tcPr>
            <w:tcW w:w="18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2,725,215 </w:t>
            </w:r>
          </w:p>
        </w:tc>
        <w:tc>
          <w:tcPr>
            <w:tcW w:w="9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2,718,591 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stock awards outstanding, stock awards vested and expected to vest, and stock awards exercisable each had average remaining contractual terms of 2.4 years. Also, at September 30, 2025, stock awards outstanding, stock awards vested and expected to vest, and stock awards exercisable each had aggregate intrinsic values of less than $0.1 million.</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changes in the Company’s nonvested Restricted Stock Awards (restricted stock and restricted stock unit awards, including PSUs) from December 31, 2024 to September 30, 2025 is presented below:</w:t>
      </w:r>
    </w:p>
    <w:tbl>
      <w:tblPr>
        <w:tblW w:w="9880" w:type="dxa"/>
        <w:jc w:val="left"/>
        <w:tblInd w:w="0" w:type="dxa"/>
        <w:tblLayout w:type="fixed"/>
        <w:tblCellMar>
          <w:top w:w="28" w:type="dxa"/>
          <w:left w:w="28" w:type="dxa"/>
          <w:bottom w:w="28" w:type="dxa"/>
          <w:right w:w="28" w:type="dxa"/>
        </w:tblCellMar>
      </w:tblPr>
      <w:tblGrid>
        <w:gridCol w:w="1033"/>
        <w:gridCol w:w="905"/>
        <w:gridCol w:w="912"/>
        <w:gridCol w:w="904"/>
        <w:gridCol w:w="904"/>
        <w:gridCol w:w="906"/>
        <w:gridCol w:w="109"/>
        <w:gridCol w:w="109"/>
        <w:gridCol w:w="109"/>
        <w:gridCol w:w="855"/>
        <w:gridCol w:w="2502"/>
        <w:gridCol w:w="632"/>
      </w:tblGrid>
      <w:tr>
        <w:trPr/>
        <w:tc>
          <w:tcPr>
            <w:tcW w:w="103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Share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2024</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29,083,934 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19,466,357 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(12,882,340)</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(2,275,184)</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2025</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33,392,767 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$200.3 million of total unrecognized compensation expense, net of estimated forfeitures, related to all of its stock-based awards, which we expect to recognize over the remaining weighted average vesting period of 1.5 years. The total intrinsic value of Restricted Stock Awards released and stock options exercised during the nine months ended September 30, 2025 and 2024 was $120.9 million and $141.5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7.Pensions and Other Postretirement Benefits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Periodic Benefit Cost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three and nine months ended September 30, 2025 and 2024 were as follows:</w:t>
      </w:r>
    </w:p>
    <w:tbl>
      <w:tblPr>
        <w:tblW w:w="7050" w:type="dxa"/>
        <w:jc w:val="left"/>
        <w:tblInd w:w="0" w:type="dxa"/>
        <w:tblLayout w:type="fixed"/>
        <w:tblCellMar>
          <w:top w:w="28" w:type="dxa"/>
          <w:left w:w="28" w:type="dxa"/>
          <w:bottom w:w="28" w:type="dxa"/>
          <w:right w:w="28" w:type="dxa"/>
        </w:tblCellMar>
      </w:tblPr>
      <w:tblGrid>
        <w:gridCol w:w="1056"/>
        <w:gridCol w:w="926"/>
        <w:gridCol w:w="928"/>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making the minimum mandatory contributions to its defined benefit pension plans in the U.S. and Puerto Rico for the 2025 plan year. The Company expects to make total benefit payments of approximately $112.2 million from pension and other postretirement benefit plans in 2025. The Company anticipates making contributions to pension and other postretirement benefit plans of approximately $68.8 million in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the Company approved an amendment to terminate one of its defined benefit plans in the United States (the "U.S. Plan"). The distribution of the U.S. Plan assets pursuant to the termination will not be made until the plan termination satisfies all regulatory requirements, which is expected to be completed by the end of 2026. U.S. Plan participants will receive their full accrued benefits from plan assets by electing either lump sum distributions or annuity contracts with a qualifying third-party annuity provider. The resulting settlement effect of the U.S. Plan termination will be determined based on prevailing market conditions, the lump sum offer participation rate of eligible participants, the actual lump sum distributions, and annuity purchase rates at the date of distribution. As a result, the Company is currently unable to reasonably estimate either the timing or the final amount of such settlement charges. Based on the valuation performed as of January 1, 2025, the U.S. Plan had an overfunded status of approximately $1.8 million.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8.Balance Sheet Components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balance sheet components consist of the following: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restricted cash</w:t>
      </w:r>
    </w:p>
    <w:tbl>
      <w:tblPr>
        <w:tblW w:w="10205" w:type="dxa"/>
        <w:jc w:val="left"/>
        <w:tblInd w:w="0" w:type="dxa"/>
        <w:tblLayout w:type="fixed"/>
        <w:tblCellMar>
          <w:top w:w="28" w:type="dxa"/>
          <w:left w:w="28" w:type="dxa"/>
          <w:bottom w:w="28" w:type="dxa"/>
          <w:right w:w="28" w:type="dxa"/>
        </w:tblCellMar>
      </w:tblPr>
      <w:tblGrid>
        <w:gridCol w:w="2075"/>
        <w:gridCol w:w="1822"/>
        <w:gridCol w:w="1832"/>
        <w:gridCol w:w="220"/>
        <w:gridCol w:w="803"/>
        <w:gridCol w:w="113"/>
        <w:gridCol w:w="109"/>
        <w:gridCol w:w="109"/>
        <w:gridCol w:w="109"/>
        <w:gridCol w:w="246"/>
        <w:gridCol w:w="720"/>
        <w:gridCol w:w="126"/>
        <w:gridCol w:w="109"/>
        <w:gridCol w:w="109"/>
        <w:gridCol w:w="109"/>
        <w:gridCol w:w="295"/>
        <w:gridCol w:w="1076"/>
        <w:gridCol w:w="223"/>
      </w:tblGrid>
      <w:tr>
        <w:trPr/>
        <w:tc>
          <w:tcPr>
            <w:tcW w:w="207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w:t>
      </w:r>
    </w:p>
    <w:tbl>
      <w:tblPr>
        <w:tblW w:w="4029" w:type="dxa"/>
        <w:jc w:val="left"/>
        <w:tblInd w:w="0" w:type="dxa"/>
        <w:tblLayout w:type="fixed"/>
        <w:tblCellMar>
          <w:top w:w="28" w:type="dxa"/>
          <w:left w:w="28" w:type="dxa"/>
          <w:bottom w:w="28" w:type="dxa"/>
          <w:right w:w="28" w:type="dxa"/>
        </w:tblCellMar>
      </w:tblPr>
      <w:tblGrid>
        <w:gridCol w:w="517"/>
        <w:gridCol w:w="453"/>
        <w:gridCol w:w="454"/>
        <w:gridCol w:w="221"/>
        <w:gridCol w:w="804"/>
        <w:gridCol w:w="114"/>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tbl>
      <w:tblPr>
        <w:tblW w:w="7061" w:type="dxa"/>
        <w:jc w:val="left"/>
        <w:tblInd w:w="0" w:type="dxa"/>
        <w:tblLayout w:type="fixed"/>
        <w:tblCellMar>
          <w:top w:w="28" w:type="dxa"/>
          <w:left w:w="28" w:type="dxa"/>
          <w:bottom w:w="28" w:type="dxa"/>
          <w:right w:w="28" w:type="dxa"/>
        </w:tblCellMar>
      </w:tblPr>
      <w:tblGrid>
        <w:gridCol w:w="1610"/>
        <w:gridCol w:w="1261"/>
        <w:gridCol w:w="1179"/>
        <w:gridCol w:w="221"/>
        <w:gridCol w:w="804"/>
        <w:gridCol w:w="114"/>
        <w:gridCol w:w="109"/>
        <w:gridCol w:w="109"/>
        <w:gridCol w:w="109"/>
        <w:gridCol w:w="288"/>
        <w:gridCol w:w="1047"/>
        <w:gridCol w:w="210"/>
      </w:tblGrid>
      <w:tr>
        <w:trPr/>
        <w:tc>
          <w:tcPr>
            <w:tcW w:w="16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securities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 for taxes on intercompany profit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consist primarily of prepaid rent, insurance and other individually insignificant items.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6086" w:type="dxa"/>
        <w:jc w:val="left"/>
        <w:tblInd w:w="0" w:type="dxa"/>
        <w:tblLayout w:type="fixed"/>
        <w:tblCellMar>
          <w:top w:w="28" w:type="dxa"/>
          <w:left w:w="28" w:type="dxa"/>
          <w:bottom w:w="28" w:type="dxa"/>
          <w:right w:w="28" w:type="dxa"/>
        </w:tblCellMar>
      </w:tblPr>
      <w:tblGrid>
        <w:gridCol w:w="1112"/>
        <w:gridCol w:w="975"/>
        <w:gridCol w:w="988"/>
        <w:gridCol w:w="221"/>
        <w:gridCol w:w="804"/>
        <w:gridCol w:w="114"/>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4,869.3 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assets</w:t>
      </w:r>
    </w:p>
    <w:tbl>
      <w:tblPr>
        <w:tblW w:w="5890" w:type="dxa"/>
        <w:jc w:val="center"/>
        <w:tblInd w:w="0" w:type="dxa"/>
        <w:tblLayout w:type="fixed"/>
        <w:tblCellMar>
          <w:top w:w="28" w:type="dxa"/>
          <w:left w:w="28" w:type="dxa"/>
          <w:bottom w:w="28" w:type="dxa"/>
          <w:right w:w="28" w:type="dxa"/>
        </w:tblCellMar>
      </w:tblPr>
      <w:tblGrid>
        <w:gridCol w:w="1044"/>
        <w:gridCol w:w="916"/>
        <w:gridCol w:w="919"/>
        <w:gridCol w:w="221"/>
        <w:gridCol w:w="804"/>
        <w:gridCol w:w="114"/>
        <w:gridCol w:w="109"/>
        <w:gridCol w:w="109"/>
        <w:gridCol w:w="109"/>
        <w:gridCol w:w="288"/>
        <w:gridCol w:w="1047"/>
        <w:gridCol w:w="21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payable</w:t>
      </w:r>
    </w:p>
    <w:tbl>
      <w:tblPr>
        <w:tblW w:w="5051" w:type="dxa"/>
        <w:jc w:val="center"/>
        <w:tblInd w:w="0" w:type="dxa"/>
        <w:tblLayout w:type="fixed"/>
        <w:tblCellMar>
          <w:top w:w="28" w:type="dxa"/>
          <w:left w:w="28" w:type="dxa"/>
          <w:bottom w:w="28" w:type="dxa"/>
          <w:right w:w="28" w:type="dxa"/>
        </w:tblCellMar>
      </w:tblPr>
      <w:tblGrid>
        <w:gridCol w:w="740"/>
        <w:gridCol w:w="649"/>
        <w:gridCol w:w="651"/>
        <w:gridCol w:w="221"/>
        <w:gridCol w:w="804"/>
        <w:gridCol w:w="114"/>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1,853.7 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current liabilities</w:t>
      </w:r>
    </w:p>
    <w:tbl>
      <w:tblPr>
        <w:tblW w:w="8081" w:type="dxa"/>
        <w:jc w:val="left"/>
        <w:tblInd w:w="0" w:type="dxa"/>
        <w:tblLayout w:type="fixed"/>
        <w:tblCellMar>
          <w:top w:w="28" w:type="dxa"/>
          <w:left w:w="28" w:type="dxa"/>
          <w:bottom w:w="28" w:type="dxa"/>
          <w:right w:w="28" w:type="dxa"/>
        </w:tblCellMar>
      </w:tblPr>
      <w:tblGrid>
        <w:gridCol w:w="1838"/>
        <w:gridCol w:w="1609"/>
        <w:gridCol w:w="1623"/>
        <w:gridCol w:w="221"/>
        <w:gridCol w:w="804"/>
        <w:gridCol w:w="114"/>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benefit liabilities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accruals, including litigation accruals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3,724.7 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long-term obligations</w:t>
      </w:r>
    </w:p>
    <w:tbl>
      <w:tblPr>
        <w:tblW w:w="6596" w:type="dxa"/>
        <w:jc w:val="left"/>
        <w:tblInd w:w="0" w:type="dxa"/>
        <w:tblLayout w:type="fixed"/>
        <w:tblCellMar>
          <w:top w:w="28" w:type="dxa"/>
          <w:left w:w="28" w:type="dxa"/>
          <w:bottom w:w="28" w:type="dxa"/>
          <w:right w:w="28" w:type="dxa"/>
        </w:tblCellMar>
      </w:tblPr>
      <w:tblGrid>
        <w:gridCol w:w="1300"/>
        <w:gridCol w:w="1141"/>
        <w:gridCol w:w="1144"/>
        <w:gridCol w:w="221"/>
        <w:gridCol w:w="804"/>
        <w:gridCol w:w="114"/>
        <w:gridCol w:w="109"/>
        <w:gridCol w:w="109"/>
        <w:gridCol w:w="109"/>
        <w:gridCol w:w="288"/>
        <w:gridCol w:w="1047"/>
        <w:gridCol w:w="21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liabilities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related items, including contingencies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obligations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9.(Loss) Earnings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 is computed by dividing net (loss) earnings attributable to holders of Viatris Inc. common stock by the weighted average number of shares outstanding during the period. Diluted (loss) earnings per share is computed by dividing net (loss)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(loss) earnings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2001"/>
        <w:gridCol w:w="1584"/>
        <w:gridCol w:w="1598"/>
        <w:gridCol w:w="211"/>
        <w:gridCol w:w="669"/>
        <w:gridCol w:w="109"/>
        <w:gridCol w:w="109"/>
        <w:gridCol w:w="109"/>
        <w:gridCol w:w="109"/>
        <w:gridCol w:w="223"/>
        <w:gridCol w:w="543"/>
        <w:gridCol w:w="109"/>
        <w:gridCol w:w="109"/>
        <w:gridCol w:w="109"/>
        <w:gridCol w:w="109"/>
        <w:gridCol w:w="211"/>
        <w:gridCol w:w="819"/>
        <w:gridCol w:w="109"/>
        <w:gridCol w:w="109"/>
        <w:gridCol w:w="109"/>
        <w:gridCol w:w="109"/>
        <w:gridCol w:w="211"/>
        <w:gridCol w:w="669"/>
        <w:gridCol w:w="158"/>
      </w:tblGrid>
      <w:tr>
        <w:trPr/>
        <w:tc>
          <w:tcPr>
            <w:tcW w:w="200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earnings attributable to Viatris Inc. common shareholders (numerator):</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(loss) earnings per share attributable to Viatris Inc. shareholders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earnings attributable to Viatris Inc. common shareholders (numerator):</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 attributable to Viatris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9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 outstanding</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earnings per share attributable to Viatris Inc. shareholders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stock awards and Restricted Stock Awards were outstanding during the three and nine months ended September 30, 2025 and 2024, but were not included in the computation of diluted (loss) earnings per share for each respective period because the effect would be anti-dilutive. Excluded shares also include certain PSUs whose performance conditions had not been fully met. Such excluded shares and anti-dilutive awards represented 12.9 million shares and 22.6 million shares for the three and nine months ended September 30, 2025, respectively, and 9.1 million shares and 20.5 million shares for the three and nine months ended September 30, 2024,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paid a quarterly dividend of $0.12 per share on the Company’s issued and outstanding common stock in March 2025, June 2025, and September 2025. On November 3, 2025, the Company’s Board of Directors declared a quarterly cash dividend of $0.12 per share on the Company’s issued and outstanding common stock, which will be payable on December 15, 2025 to shareholders of record as of the close of business on November 24, 2025.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industry practice, and other factors that the Board of Directors deems relevant.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 Company repurchased approximately 6.8 million shares of common stock at a cost of approximately $67.9 million. During the nine months ended September 30, 2025 and 2024, the Company repurchased approximately 45.6 million shares of common stock at a cost of approximately $418.3 million, and approximately 19.2 million shares of common stock at a cost of approximately $250 million, respectively, under the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repurchased a total of approximately 86.1 million shares of common stock at a cost of approximately $918.3 million under the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subsequent to September 30, 2025, the Company repurchased approximately 8.1 million shares of common stock at a cost of approximately $82.1 million, bringing the total shares of common stock repurchased under the program to approximately 94.2 million at a cost of approximately $1.00 billion, in each case through and including November 5, 2025.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10.Goodwill and Intangible Assets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nine months ended September 30, 2025 are as follows:</w:t>
      </w:r>
    </w:p>
    <w:tbl>
      <w:tblPr>
        <w:tblW w:w="10205" w:type="dxa"/>
        <w:jc w:val="left"/>
        <w:tblInd w:w="0" w:type="dxa"/>
        <w:tblLayout w:type="fixed"/>
        <w:tblCellMar>
          <w:top w:w="28" w:type="dxa"/>
          <w:left w:w="28" w:type="dxa"/>
          <w:bottom w:w="28" w:type="dxa"/>
          <w:right w:w="28" w:type="dxa"/>
        </w:tblCellMar>
      </w:tblPr>
      <w:tblGrid>
        <w:gridCol w:w="955"/>
        <w:gridCol w:w="824"/>
        <w:gridCol w:w="824"/>
        <w:gridCol w:w="316"/>
        <w:gridCol w:w="1151"/>
        <w:gridCol w:w="163"/>
        <w:gridCol w:w="109"/>
        <w:gridCol w:w="109"/>
        <w:gridCol w:w="109"/>
        <w:gridCol w:w="259"/>
        <w:gridCol w:w="761"/>
        <w:gridCol w:w="134"/>
        <w:gridCol w:w="109"/>
        <w:gridCol w:w="109"/>
        <w:gridCol w:w="109"/>
        <w:gridCol w:w="233"/>
        <w:gridCol w:w="452"/>
        <w:gridCol w:w="109"/>
        <w:gridCol w:w="109"/>
        <w:gridCol w:w="109"/>
        <w:gridCol w:w="109"/>
        <w:gridCol w:w="356"/>
        <w:gridCol w:w="1039"/>
        <w:gridCol w:w="183"/>
        <w:gridCol w:w="109"/>
        <w:gridCol w:w="109"/>
        <w:gridCol w:w="109"/>
        <w:gridCol w:w="211"/>
        <w:gridCol w:w="766"/>
        <w:gridCol w:w="161"/>
      </w:tblGrid>
      <w:tr>
        <w:trPr/>
        <w:tc>
          <w:tcPr>
            <w:tcW w:w="95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6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Developed Markets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JANZ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Emerging Markets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1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6,752.9 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Balances as of September 30, 2025 and December 31, 2024 include an accumulated impairment loss of $3.19 billion and $929.0 million, respectively.</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Balances as of September 30, 2025 and December 31, 2024 include an accumulated impairment loss of $651.8 million and $351.0 million, respectively.</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Balances as of September 30, 2025 and December 31, 2024 include an accumulated impairment loss of $499.0 million and $124.0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lineRule="auto" w:line="288" w:before="0" w:after="0"/>
        <w:ind w:left="0" w:right="0" w:firstLine="720"/>
        <w:jc w:val="left"/>
        <w:rPr/>
      </w:pPr>
      <w:r>
        <w:rPr>
          <w:rFonts w:ascii="Times New Roman;serif" w:hAnsi="Times New Roman;serif"/>
          <w:b w:val="false"/>
          <w:color w:val="000000"/>
          <w:sz w:val="20"/>
        </w:rPr>
        <w:t>In conjunction with its April 1, 2024 annual goodwill impairment test, the Company recorded a goodwill impairment charge of $321.0 million during the second quarter of 2024 related to its JANZ reporting unit.</w:t>
      </w:r>
      <w:r>
        <w:rPr>
          <w:color w:val="000000"/>
        </w:rPr>
        <w:t xml:space="preserve"> </w:t>
      </w:r>
      <w:r>
        <w:rPr>
          <w:rFonts w:ascii="Times New Roman;serif" w:hAnsi="Times New Roman;serif"/>
          <w:b w:val="false"/>
          <w:color w:val="000000"/>
          <w:sz w:val="20"/>
        </w:rPr>
        <w:t>The impairment charge was primarily the result of a 1.0% increase in the discount rate and a 0.5% reduction in the terminal growth rate assumption for the reporting unit compared with the assumptions used for the April 1, 2023 annual goodwill impairment test.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components at September 30, 2025 and December 31, 2024:</w:t>
      </w:r>
    </w:p>
    <w:tbl>
      <w:tblPr>
        <w:tblW w:w="10205" w:type="dxa"/>
        <w:jc w:val="left"/>
        <w:tblInd w:w="0" w:type="dxa"/>
        <w:tblLayout w:type="fixed"/>
        <w:tblCellMar>
          <w:top w:w="28" w:type="dxa"/>
          <w:left w:w="28" w:type="dxa"/>
          <w:bottom w:w="28" w:type="dxa"/>
          <w:right w:w="28" w:type="dxa"/>
        </w:tblCellMar>
      </w:tblPr>
      <w:tblGrid>
        <w:gridCol w:w="1018"/>
        <w:gridCol w:w="864"/>
        <w:gridCol w:w="874"/>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1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2025</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15,722.9 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amortizable intangible assets. Other intangible assets consist principally of customer lists and contractual rights.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18, 2025, the Company announced that a randomized, double-masked, vehicle-controlled, Phase 3 study to evaluate the efficacy and safety of pimecrolimus 0.3% (MR-139) ophthalmic ointment in subjects with blepharitis did not meet its primary endpoint of complete resolution of debris after six weeks of twice daily dosing. The Company is evaluating the appropriate next steps for the Phase 3 program, which may include revising the planned additional Phase 3 study. At September 30, 2025, the Company has an IPR&amp;D asset of approximately $72 million related to this program in the condensed consolidated financial statements.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Amortization expense, intangible asset disposal &amp; impairment charges and IPR&amp;D intangible asset impairment charges (which are included as a component of amortization expense) are classified primarily within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condensed consolidated statements of operations and were as follows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877"/>
        <w:gridCol w:w="1619"/>
        <w:gridCol w:w="163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1877"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5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IPR&amp;D intangible asset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 amortization expense (including disposal &amp; impairment charges)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over the remainder of 2025 and for the years ending December 31, 2026 through 2029 is estimated to be as follows:</w:t>
      </w:r>
    </w:p>
    <w:tbl>
      <w:tblPr>
        <w:tblW w:w="1821" w:type="dxa"/>
        <w:jc w:val="left"/>
        <w:tblInd w:w="0" w:type="dxa"/>
        <w:tblLayout w:type="fixed"/>
        <w:tblCellMar>
          <w:top w:w="28" w:type="dxa"/>
          <w:left w:w="28" w:type="dxa"/>
          <w:bottom w:w="28" w:type="dxa"/>
          <w:right w:w="28" w:type="dxa"/>
        </w:tblCellMar>
      </w:tblPr>
      <w:tblGrid>
        <w:gridCol w:w="359"/>
        <w:gridCol w:w="315"/>
        <w:gridCol w:w="316"/>
        <w:gridCol w:w="211"/>
        <w:gridCol w:w="46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11.Financial Instruments and Risk Management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349" w:type="dxa"/>
        <w:jc w:val="center"/>
        <w:tblInd w:w="0" w:type="dxa"/>
        <w:tblLayout w:type="fixed"/>
        <w:tblCellMar>
          <w:top w:w="28" w:type="dxa"/>
          <w:left w:w="28" w:type="dxa"/>
          <w:bottom w:w="28" w:type="dxa"/>
          <w:right w:w="28" w:type="dxa"/>
        </w:tblCellMar>
      </w:tblPr>
      <w:tblGrid>
        <w:gridCol w:w="1115"/>
        <w:gridCol w:w="978"/>
        <w:gridCol w:w="981"/>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Designated as a Net Investment Hedge</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3.125% Euro Senior Notes due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September 30, 2025, the principal amount of the Company’s outstanding Yen borrowings and the notional amount of the Yen borrowings designated as net investment hedges was $270.4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2023, the Company executed fixed-rate cross-currency interest rate swaps with notional amounts totaling Japanese Yen 14.6 billion with settlement dates through 2026. During the second quarter of 2024, the Company executed fixed-rate cross-currency interest rate swaps with notional amounts totaling €500 million with settlement dates through 2026. The transactions hedge a portion of the Company’s net investment in certain Yen- and Euro-functional currency subsidiaries. All changes in the fair value of these derivative instruments, which are designated as net investment hedges, are marked-to-market using the current spot exchange rate as of the end of the period. The portion of these changes related to the excluded component will be amortized in interest expense over the life of the derivative while the remainder will be recorded in AOCE until the sale or substantial liquidation of the underlying net investments. The semiannual net interest payment received related to the fixed-rate component of the cross-currency interest rate swaps will be reflected in operating cash flows. During the third quarter of 2025, the Company terminated its Yen fixed-rate cross-currency interest rate swaps in exchange for $3.4 million in cash proceeds, net of fees.</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2023, the Company executed foreign currency forward contracts with notional amounts totaling €500 million. During the second quarter of 2024, the Company executed additional foreign currency forward contracts with notional amounts totaling €600 million. The transactions hedged a portion of the Company’s net investment in certain Euro functional currency subsidiaries. The contracts were designated as a net investment hedge and matured in July 2024.</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executed foreign currency forward contracts with notional amounts totaling Chinese Renminbi 1.42 billion (approximately $200 million) maturing in December 2026 and Chinese Renminbi 695 million (approximately $100 million) maturing in December 2027. The transactions hedge a portion of the Company’s net investment in certain Chinese Renminbi functional currency subsidiaries. The contracts were designated as net investment hedges.</w:t>
      </w:r>
    </w:p>
    <w:p>
      <w:pPr>
        <w:pStyle w:val="TextBody"/>
        <w:bidi w:val="0"/>
        <w:spacing w:lineRule="auto" w:line="276"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 Hedging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and fair values of derivative instruments in our condensed consolidated balance sheets:</w:t>
      </w:r>
    </w:p>
    <w:tbl>
      <w:tblPr>
        <w:tblW w:w="10205" w:type="dxa"/>
        <w:jc w:val="left"/>
        <w:tblInd w:w="0" w:type="dxa"/>
        <w:tblLayout w:type="fixed"/>
        <w:tblCellMar>
          <w:top w:w="28" w:type="dxa"/>
          <w:left w:w="28" w:type="dxa"/>
          <w:bottom w:w="28" w:type="dxa"/>
          <w:right w:w="28" w:type="dxa"/>
        </w:tblCellMar>
      </w:tblPr>
      <w:tblGrid>
        <w:gridCol w:w="803"/>
        <w:gridCol w:w="461"/>
        <w:gridCol w:w="452"/>
        <w:gridCol w:w="514"/>
        <w:gridCol w:w="445"/>
        <w:gridCol w:w="446"/>
        <w:gridCol w:w="360"/>
        <w:gridCol w:w="875"/>
        <w:gridCol w:w="188"/>
        <w:gridCol w:w="283"/>
        <w:gridCol w:w="827"/>
        <w:gridCol w:w="146"/>
        <w:gridCol w:w="109"/>
        <w:gridCol w:w="109"/>
        <w:gridCol w:w="109"/>
        <w:gridCol w:w="593"/>
        <w:gridCol w:w="374"/>
        <w:gridCol w:w="375"/>
        <w:gridCol w:w="321"/>
        <w:gridCol w:w="936"/>
        <w:gridCol w:w="167"/>
        <w:gridCol w:w="279"/>
        <w:gridCol w:w="817"/>
        <w:gridCol w:w="216"/>
      </w:tblGrid>
      <w:tr>
        <w:trPr/>
        <w:tc>
          <w:tcPr>
            <w:tcW w:w="80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 Fair Value</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 Fair Value</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 Fair Value</w:t>
            </w:r>
          </w:p>
        </w:tc>
      </w:tr>
      <w:tr>
        <w:trP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w:t>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not designated as hedges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derivatives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gains/(losses) incurred to hedge or offset operational foreign exchange or interest rate risk:</w:t>
      </w:r>
    </w:p>
    <w:tbl>
      <w:tblPr>
        <w:tblW w:w="10205" w:type="dxa"/>
        <w:jc w:val="left"/>
        <w:tblInd w:w="0" w:type="dxa"/>
        <w:tblLayout w:type="fixed"/>
        <w:tblCellMar>
          <w:top w:w="28" w:type="dxa"/>
          <w:left w:w="28" w:type="dxa"/>
          <w:bottom w:w="28" w:type="dxa"/>
          <w:right w:w="28" w:type="dxa"/>
        </w:tblCellMar>
      </w:tblPr>
      <w:tblGrid>
        <w:gridCol w:w="835"/>
        <w:gridCol w:w="609"/>
        <w:gridCol w:w="614"/>
        <w:gridCol w:w="403"/>
        <w:gridCol w:w="339"/>
        <w:gridCol w:w="340"/>
        <w:gridCol w:w="242"/>
        <w:gridCol w:w="707"/>
        <w:gridCol w:w="125"/>
        <w:gridCol w:w="242"/>
        <w:gridCol w:w="621"/>
        <w:gridCol w:w="125"/>
        <w:gridCol w:w="109"/>
        <w:gridCol w:w="109"/>
        <w:gridCol w:w="109"/>
        <w:gridCol w:w="273"/>
        <w:gridCol w:w="662"/>
        <w:gridCol w:w="141"/>
        <w:gridCol w:w="273"/>
        <w:gridCol w:w="845"/>
        <w:gridCol w:w="141"/>
        <w:gridCol w:w="109"/>
        <w:gridCol w:w="109"/>
        <w:gridCol w:w="109"/>
        <w:gridCol w:w="276"/>
        <w:gridCol w:w="578"/>
        <w:gridCol w:w="142"/>
        <w:gridCol w:w="276"/>
        <w:gridCol w:w="531"/>
        <w:gridCol w:w="211"/>
      </w:tblGrid>
      <w:tr>
        <w:trPr/>
        <w:tc>
          <w:tcPr>
            <w:tcW w:w="83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5"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1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(2)</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6"/>
        <w:gridCol w:w="609"/>
        <w:gridCol w:w="614"/>
        <w:gridCol w:w="403"/>
        <w:gridCol w:w="339"/>
        <w:gridCol w:w="340"/>
        <w:gridCol w:w="243"/>
        <w:gridCol w:w="624"/>
        <w:gridCol w:w="125"/>
        <w:gridCol w:w="243"/>
        <w:gridCol w:w="624"/>
        <w:gridCol w:w="125"/>
        <w:gridCol w:w="109"/>
        <w:gridCol w:w="109"/>
        <w:gridCol w:w="109"/>
        <w:gridCol w:w="273"/>
        <w:gridCol w:w="845"/>
        <w:gridCol w:w="141"/>
        <w:gridCol w:w="273"/>
        <w:gridCol w:w="662"/>
        <w:gridCol w:w="141"/>
        <w:gridCol w:w="109"/>
        <w:gridCol w:w="109"/>
        <w:gridCol w:w="109"/>
        <w:gridCol w:w="274"/>
        <w:gridCol w:w="527"/>
        <w:gridCol w:w="141"/>
        <w:gridCol w:w="274"/>
        <w:gridCol w:w="664"/>
        <w:gridCol w:w="211"/>
      </w:tblGrid>
      <w:tr>
        <w:trPr/>
        <w:tc>
          <w:tcPr>
            <w:tcW w:w="8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(3)</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(2)</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At September 30, 2025, the Company expects that approximately $22.0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location of the gain/(loss) reclassified from AOCE into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2: </w:t>
      </w:r>
      <w:r>
        <w:rPr>
          <w:rFonts w:ascii="Times New Roman;serif" w:hAnsi="Times New Roman;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Level 3: </w:t>
      </w:r>
      <w:r>
        <w:rPr>
          <w:rFonts w:ascii="Times New Roman;serif" w:hAnsi="Times New Roman;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85"/>
        <w:gridCol w:w="832"/>
        <w:gridCol w:w="84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traded 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fixed income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recurring fair value measurement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Cash equivalents</w:t>
      </w:r>
      <w:r>
        <w:rPr>
          <w:color w:val="000000"/>
        </w:rPr>
        <w:t xml:space="preserve"> — </w:t>
      </w:r>
      <w:r>
        <w:rPr>
          <w:rFonts w:ascii="Times New Roman;serif" w:hAnsi="Times New Roman;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exchange traded funds</w:t>
      </w:r>
      <w:r>
        <w:rPr>
          <w:color w:val="000000"/>
        </w:rPr>
        <w:t xml:space="preserve"> — </w:t>
      </w:r>
      <w:r>
        <w:rPr>
          <w:rFonts w:ascii="Times New Roman;serif" w:hAnsi="Times New Roman;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marketable securities</w:t>
      </w:r>
      <w:r>
        <w:rPr>
          <w:color w:val="000000"/>
        </w:rPr>
        <w:t xml:space="preserve"> — </w:t>
      </w:r>
      <w:r>
        <w:rPr>
          <w:rFonts w:ascii="Times New Roman;serif" w:hAnsi="Times New Roman;serif"/>
          <w:b w:val="false"/>
          <w:color w:val="000000"/>
          <w:sz w:val="20"/>
        </w:rPr>
        <w:t xml:space="preserve">valued using quoted stock prices from public exchanges at the reporting date. Unrealized gains and losses attributable to changes in fair value are included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CCPS in Biocon Biologics</w:t>
      </w:r>
      <w:r>
        <w:rPr>
          <w:color w:val="000000"/>
        </w:rPr>
        <w:t xml:space="preserve"> — </w:t>
      </w:r>
      <w:r>
        <w:rPr>
          <w:rFonts w:ascii="Times New Roman;serif" w:hAnsi="Times New Roman;serif"/>
          <w:b w:val="false"/>
          <w:color w:val="000000"/>
          <w:sz w:val="20"/>
        </w:rPr>
        <w:t xml:space="preserve">The Company elected the fair value option for the CCPS under </w:t>
      </w:r>
      <w:r>
        <w:rPr>
          <w:rFonts w:ascii="Times New Roman;serif" w:hAnsi="Times New Roman;serif"/>
          <w:b w:val="false"/>
          <w:i/>
          <w:color w:val="000000"/>
          <w:sz w:val="20"/>
        </w:rPr>
        <w:t xml:space="preserve">ASC 825. </w:t>
      </w:r>
      <w:r>
        <w:rPr>
          <w:rFonts w:ascii="Times New Roman;serif" w:hAnsi="Times New Roman;serif"/>
          <w:b w:val="false"/>
          <w:color w:val="000000"/>
          <w:sz w:val="20"/>
        </w:rPr>
        <w:t xml:space="preserve">Through March 31, 2025, the CCPS were valued using a Monte Carlo simulation model using Level 3 inputs. The fair value of the CCPS is sensitive to changes in the forecasts of operating metrics, changes in volatility and discount rates, and share dilution. During the second quarter of 2025, there was an observable third-party transaction that indicated the fair value of the CCPS was lower than the amount calculated utilizing the Monte Carlo simulation model. Accordingly, the Company recognized a reduction in the fair value of $284.0 million during the second quarter of 2025 based upon this third-party transaction. During the third quarter of 2025, the Company recognized an additional reduction in the fair value of $100.0 million as a result of the impact of certain business and market factors. The fair value is reassessed quarterly and any change in the fair value estimate is recorded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 xml:space="preserve">in the condensed consolidated statements of operations for that period. During the three months ended September 30, 2025 and 2024, the Company recorded a loss (gain) of $100.0 million and $(39.4) million, respectively, and during the nine months ended September 30, 2025 and 2024, the Company recorded a loss (gain) of $499.8 million and $(368.7) million, respectively, as a result of remeasuring the CCPS in Biocon Biologics to fair value. The Company’s CCPS in Biocon Biologics are classified as equity securities and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condensed consolidated balance sheets.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Available-for-sale fixed income investments</w:t>
      </w:r>
      <w:r>
        <w:rPr>
          <w:color w:val="000000"/>
        </w:rPr>
        <w:t xml:space="preserve"> — </w:t>
      </w:r>
      <w:r>
        <w:rPr>
          <w:rFonts w:ascii="Times New Roman;serif" w:hAnsi="Times New Roman;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Foreign exchange derivative assets and liabilities</w:t>
      </w:r>
      <w:r>
        <w:rPr>
          <w:color w:val="000000"/>
        </w:rPr>
        <w:t xml:space="preserve"> — </w:t>
      </w:r>
      <w:r>
        <w:rPr>
          <w:rFonts w:ascii="Times New Roman;serif" w:hAnsi="Times New Roman;serif"/>
          <w:b w:val="false"/>
          <w:color w:val="000000"/>
          <w:sz w:val="20"/>
        </w:rPr>
        <w:t>valued using quoted forward foreign exchange prices and spot rates at the reporting date. Counterparties to these contracts are highly rated financial institutions.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September 30, 2025 and December 31, 2024, the Company had a contingent consideration liability of </w:t>
      </w:r>
      <w:r>
        <w:rPr>
          <w:rFonts w:ascii="Times New Roman;serif" w:hAnsi="Times New Roman;serif"/>
          <w:b w:val="false"/>
          <w:color w:val="000000"/>
          <w:sz w:val="20"/>
          <w:shd w:fill="FFFFFF" w:val="clear"/>
        </w:rPr>
        <w:t>$300.0 million</w:t>
      </w:r>
      <w:r>
        <w:rPr>
          <w:color w:val="000000"/>
        </w:rPr>
        <w:t xml:space="preserve"> </w:t>
      </w:r>
      <w:r>
        <w:rPr>
          <w:rFonts w:ascii="Times New Roman;serif" w:hAnsi="Times New Roman;serif"/>
          <w:b w:val="false"/>
          <w:color w:val="000000"/>
          <w:sz w:val="20"/>
        </w:rPr>
        <w:t xml:space="preserve">and $378.0 million, respectively, related to the Idorsia Transaction. During the nine months ended September 30, 2025, the Company recorded a fair value adjustment gain related to the Idorsia Transaction contingent consideration liability, primarily as a result of the February 25, 2025 letter agreement entered into that amended certain terms of the original development agreement for selatogrel and cenerimod.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September 30, 2025 and December 31, 2024, the Company had a contingent consideration liability of $79.8 million and $176.3 million, respectively, related to the Respiratory Delivery Platform. 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September 30, 2025, discount rates ranging from </w:t>
      </w:r>
      <w:r>
        <w:rPr>
          <w:rFonts w:ascii="Times New Roman;serif" w:hAnsi="Times New Roman;serif"/>
          <w:b w:val="false"/>
          <w:color w:val="000000"/>
          <w:sz w:val="20"/>
          <w:shd w:fill="FFFFFF" w:val="clear"/>
        </w:rPr>
        <w:t>8.5%</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18.0%</w:t>
      </w:r>
      <w:r>
        <w:rPr>
          <w:rFonts w:ascii="Times New Roman;serif" w:hAnsi="Times New Roman;serif"/>
          <w:b w:val="false"/>
          <w:color w:val="000000"/>
          <w:sz w:val="20"/>
        </w:rPr>
        <w:t>, and at December 31, 2024, discount rates ranging from 9.0% and 19.0% were utilized in the valuations. Significant changes in unobservable inputs could result in material changes to the contingent consideration liabilities.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activity in the Company’s fair value of contingent consideration from December 31, 2024 to September 30, 2025 is as follows:</w:t>
      </w:r>
    </w:p>
    <w:tbl>
      <w:tblPr>
        <w:tblW w:w="9006" w:type="dxa"/>
        <w:jc w:val="left"/>
        <w:tblInd w:w="0" w:type="dxa"/>
        <w:tblLayout w:type="fixed"/>
        <w:tblCellMar>
          <w:top w:w="28" w:type="dxa"/>
          <w:left w:w="28" w:type="dxa"/>
          <w:bottom w:w="28" w:type="dxa"/>
          <w:right w:w="28" w:type="dxa"/>
        </w:tblCellMar>
      </w:tblPr>
      <w:tblGrid>
        <w:gridCol w:w="990"/>
        <w:gridCol w:w="868"/>
        <w:gridCol w:w="871"/>
        <w:gridCol w:w="373"/>
        <w:gridCol w:w="904"/>
        <w:gridCol w:w="192"/>
        <w:gridCol w:w="109"/>
        <w:gridCol w:w="109"/>
        <w:gridCol w:w="109"/>
        <w:gridCol w:w="382"/>
        <w:gridCol w:w="1116"/>
        <w:gridCol w:w="197"/>
        <w:gridCol w:w="109"/>
        <w:gridCol w:w="109"/>
        <w:gridCol w:w="109"/>
        <w:gridCol w:w="527"/>
        <w:gridCol w:w="1544"/>
        <w:gridCol w:w="388"/>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Current Portion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Long-Term Portion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Contingent Consideration</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gain </w:t>
            </w:r>
            <w:r>
              <w:rPr>
                <w:rFonts w:ascii="Times New Roman;serif" w:hAnsi="Times New Roman;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has not elected the fair value option for financial assets and liabilities other than the CCPS,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12.Debt</w:t>
      </w:r>
    </w:p>
    <w:p>
      <w:pPr>
        <w:pStyle w:val="TextBody"/>
        <w:bidi w:val="0"/>
        <w:spacing w:lineRule="auto" w:line="240" w:before="0" w:after="240"/>
        <w:ind w:left="0" w:right="0" w:firstLine="720"/>
        <w:jc w:val="left"/>
        <w:rPr/>
      </w:pPr>
      <w:r>
        <w:rPr>
          <w:rFonts w:ascii="Times New Roman;serif" w:hAnsi="Times New Roman;serif"/>
          <w:b w:val="false"/>
          <w:color w:val="000000"/>
          <w:sz w:val="20"/>
        </w:rPr>
        <w:t xml:space="preserve">For additional information, see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Viatris’ 2024 Form 10-K.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Receivables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Amounts outstanding under the Receivables Facility are included as a component of short-term borrowings, while the accounts receivable securing these obligations remain as a component of accounts receivable, net, in our condensed consolidated balance sheets.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40"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long-term debt is as follows:</w:t>
      </w:r>
    </w:p>
    <w:tbl>
      <w:tblPr>
        <w:tblW w:w="9395" w:type="dxa"/>
        <w:jc w:val="left"/>
        <w:tblInd w:w="0" w:type="dxa"/>
        <w:tblLayout w:type="fixed"/>
        <w:tblCellMar>
          <w:top w:w="28" w:type="dxa"/>
          <w:left w:w="28" w:type="dxa"/>
          <w:bottom w:w="28" w:type="dxa"/>
          <w:right w:w="28" w:type="dxa"/>
        </w:tblCellMar>
      </w:tblPr>
      <w:tblGrid>
        <w:gridCol w:w="1229"/>
        <w:gridCol w:w="1079"/>
        <w:gridCol w:w="1082"/>
        <w:gridCol w:w="651"/>
        <w:gridCol w:w="651"/>
        <w:gridCol w:w="1622"/>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2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long-term debt:</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Euro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Senior Notes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Euro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Euro Senior Notes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2040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2043 Senior Notes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2046 Senior Notes</w:t>
            </w:r>
            <w:r>
              <w:rPr>
                <w:color w:val="000000"/>
              </w:rPr>
              <w:t xml:space="preserve">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Senior Notes</w:t>
            </w:r>
            <w:r>
              <w:rPr>
                <w:color w:val="000000"/>
              </w:rPr>
              <w:t xml:space="preserve"> </w:t>
            </w:r>
            <w:r>
              <w:rPr>
                <w:rFonts w:ascii="Times New Roman;serif" w:hAnsi="Times New Roman;serif"/>
                <w:b w:val="false"/>
                <w:color w:val="000000"/>
                <w:sz w:val="13"/>
              </w:rPr>
              <w:t>*</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2050 Senior Notes </w:t>
            </w:r>
            <w:r>
              <w:rPr>
                <w:rFonts w:ascii="Times New Roman;serif" w:hAnsi="Times New Roman;serif"/>
                <w:b w:val="false"/>
                <w:color w:val="000000"/>
                <w:sz w:val="13"/>
              </w:rPr>
              <w:t>***</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Upjohn Finance B.V.</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aggregate fair value of the Company’s outstanding notes was approximately $11.98 billion and $11.53 billion, respectively. The fair values of the outstanding notes were valued at quoted market prices from broker or dealer quotations and were classified as Level 2 in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minimum repayments remaining on the notional amount of outstanding long-term debt at September 30, 2025 were as follows for each of the periods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13.Comprehensive Loss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reflected in the condensed consolidated balance sheets, is comprised of the following:</w:t>
      </w:r>
    </w:p>
    <w:tbl>
      <w:tblPr>
        <w:tblW w:w="9984" w:type="dxa"/>
        <w:jc w:val="center"/>
        <w:tblInd w:w="0" w:type="dxa"/>
        <w:tblLayout w:type="fixed"/>
        <w:tblCellMar>
          <w:top w:w="28" w:type="dxa"/>
          <w:left w:w="28" w:type="dxa"/>
          <w:bottom w:w="28" w:type="dxa"/>
          <w:right w:w="28" w:type="dxa"/>
        </w:tblCellMar>
      </w:tblPr>
      <w:tblGrid>
        <w:gridCol w:w="2639"/>
        <w:gridCol w:w="2315"/>
        <w:gridCol w:w="2336"/>
        <w:gridCol w:w="211"/>
        <w:gridCol w:w="841"/>
        <w:gridCol w:w="109"/>
        <w:gridCol w:w="109"/>
        <w:gridCol w:w="109"/>
        <w:gridCol w:w="109"/>
        <w:gridCol w:w="211"/>
        <w:gridCol w:w="841"/>
        <w:gridCol w:w="154"/>
      </w:tblGrid>
      <w:tr>
        <w:trPr/>
        <w:tc>
          <w:tcPr>
            <w:tcW w:w="263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fixed income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loss, before tax, consist of the following,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53"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0"/>
        <w:gridCol w:w="250"/>
        <w:gridCol w:w="161"/>
        <w:gridCol w:w="109"/>
        <w:gridCol w:w="109"/>
        <w:gridCol w:w="109"/>
        <w:gridCol w:w="211"/>
        <w:gridCol w:w="526"/>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3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341"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38" w:type="dxa"/>
        <w:jc w:val="left"/>
        <w:tblInd w:w="0" w:type="dxa"/>
        <w:tblLayout w:type="fixed"/>
        <w:tblCellMar>
          <w:top w:w="28" w:type="dxa"/>
          <w:left w:w="28" w:type="dxa"/>
          <w:bottom w:w="28" w:type="dxa"/>
          <w:right w:w="28" w:type="dxa"/>
        </w:tblCellMar>
      </w:tblPr>
      <w:tblGrid>
        <w:gridCol w:w="1040"/>
        <w:gridCol w:w="215"/>
        <w:gridCol w:w="216"/>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other income,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548"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62"/>
        <w:gridCol w:w="262"/>
        <w:gridCol w:w="137"/>
        <w:gridCol w:w="109"/>
        <w:gridCol w:w="109"/>
        <w:gridCol w:w="109"/>
        <w:gridCol w:w="211"/>
        <w:gridCol w:w="421"/>
        <w:gridCol w:w="109"/>
        <w:gridCol w:w="109"/>
        <w:gridCol w:w="109"/>
        <w:gridCol w:w="109"/>
        <w:gridCol w:w="211"/>
        <w:gridCol w:w="616"/>
        <w:gridCol w:w="109"/>
        <w:gridCol w:w="109"/>
        <w:gridCol w:w="109"/>
        <w:gridCol w:w="109"/>
        <w:gridCol w:w="410"/>
        <w:gridCol w:w="818"/>
        <w:gridCol w:w="213"/>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251"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other income,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costs included in SG&amp;A </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14.Segment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Asset impairments (including of goodwill, intangible assets (including IPR&amp;D), and long-lived assets);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Net charges or net gains for litigation settlements and other contingencies;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Other Expense (Income), Net (including interest and dividend income, gains and losses from investments, business divestitures, and foreign exchange); and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report depreciation expense, total assets and capital expenditures by segment, as such information is not used by the CODM.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accounting policies of the segments are the same as those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included in the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902"/>
        <w:gridCol w:w="776"/>
        <w:gridCol w:w="761"/>
        <w:gridCol w:w="109"/>
        <w:gridCol w:w="109"/>
        <w:gridCol w:w="109"/>
        <w:gridCol w:w="243"/>
        <w:gridCol w:w="883"/>
        <w:gridCol w:w="125"/>
        <w:gridCol w:w="109"/>
        <w:gridCol w:w="109"/>
        <w:gridCol w:w="109"/>
        <w:gridCol w:w="217"/>
        <w:gridCol w:w="790"/>
        <w:gridCol w:w="112"/>
        <w:gridCol w:w="109"/>
        <w:gridCol w:w="109"/>
        <w:gridCol w:w="109"/>
        <w:gridCol w:w="211"/>
        <w:gridCol w:w="616"/>
        <w:gridCol w:w="109"/>
        <w:gridCol w:w="109"/>
        <w:gridCol w:w="109"/>
        <w:gridCol w:w="109"/>
        <w:gridCol w:w="239"/>
        <w:gridCol w:w="870"/>
        <w:gridCol w:w="123"/>
        <w:gridCol w:w="109"/>
        <w:gridCol w:w="109"/>
        <w:gridCol w:w="109"/>
        <w:gridCol w:w="271"/>
        <w:gridCol w:w="1119"/>
        <w:gridCol w:w="203"/>
      </w:tblGrid>
      <w:tr>
        <w:trPr/>
        <w:tc>
          <w:tcPr>
            <w:tcW w:w="90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742" w:type="dxa"/>
            <w:gridSpan w:val="18"/>
            <w:tcBorders/>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6"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0205" w:type="dxa"/>
        <w:jc w:val="left"/>
        <w:tblInd w:w="0" w:type="dxa"/>
        <w:tblLayout w:type="fixed"/>
        <w:tblCellMar>
          <w:top w:w="28" w:type="dxa"/>
          <w:left w:w="28" w:type="dxa"/>
          <w:bottom w:w="28" w:type="dxa"/>
          <w:right w:w="28" w:type="dxa"/>
        </w:tblCellMar>
      </w:tblPr>
      <w:tblGrid>
        <w:gridCol w:w="870"/>
        <w:gridCol w:w="747"/>
        <w:gridCol w:w="731"/>
        <w:gridCol w:w="109"/>
        <w:gridCol w:w="109"/>
        <w:gridCol w:w="109"/>
        <w:gridCol w:w="240"/>
        <w:gridCol w:w="873"/>
        <w:gridCol w:w="124"/>
        <w:gridCol w:w="109"/>
        <w:gridCol w:w="109"/>
        <w:gridCol w:w="109"/>
        <w:gridCol w:w="216"/>
        <w:gridCol w:w="788"/>
        <w:gridCol w:w="111"/>
        <w:gridCol w:w="109"/>
        <w:gridCol w:w="109"/>
        <w:gridCol w:w="109"/>
        <w:gridCol w:w="211"/>
        <w:gridCol w:w="766"/>
        <w:gridCol w:w="109"/>
        <w:gridCol w:w="109"/>
        <w:gridCol w:w="109"/>
        <w:gridCol w:w="109"/>
        <w:gridCol w:w="237"/>
        <w:gridCol w:w="861"/>
        <w:gridCol w:w="122"/>
        <w:gridCol w:w="109"/>
        <w:gridCol w:w="109"/>
        <w:gridCol w:w="109"/>
        <w:gridCol w:w="266"/>
        <w:gridCol w:w="1098"/>
        <w:gridCol w:w="200"/>
      </w:tblGrid>
      <w:tr>
        <w:trPr/>
        <w:tc>
          <w:tcPr>
            <w:tcW w:w="87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4851" w:type="dxa"/>
            <w:gridSpan w:val="18"/>
            <w:tcBorders/>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7"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(including IPR&amp;D) disposal &amp;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&amp;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15.Licensing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 related contingent consideration, including those related to the Idorsia Transaction.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of contingent consideration.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potential maximum development milestones not accrued for at September 30, 2025 totaled approximately $398 million</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This amount does not include milestones related to the acquisition of Aculys Pharma in October 2025. Refer to Note 4 </w:t>
      </w:r>
      <w:r>
        <w:rPr>
          <w:rFonts w:ascii="Times New Roman;serif" w:hAnsi="Times New Roman;serif"/>
          <w:b w:val="false"/>
          <w:i/>
          <w:color w:val="000000"/>
          <w:sz w:val="20"/>
        </w:rPr>
        <w:t>Acquisitions and Other Transactions</w:t>
      </w:r>
      <w:r>
        <w:rPr>
          <w:rFonts w:ascii="Times New Roman;serif" w:hAnsi="Times New Roman;serif"/>
          <w:b w:val="false"/>
          <w:color w:val="000000"/>
          <w:sz w:val="20"/>
        </w:rPr>
        <w:t>. We estimate that the amounts that may be paid through the end of 2025 to be approximately $2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Mapi</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2018, the Company entered into an exclusive license and commercialization agreement with Mapi for the development and commercialization on a world-wide basis of GA Depot. Under the terms of the license and commercialization agreement, as of September 30, 2025, Mapi is eligible to receive regulatory approval and commercial launch milestone payments of up to $90.0 million. Additionally, upon commercial launch of GA Depot, Mapi is eligible to receive potential contingent payments, such as tiered royalties and tiered sales-based milestones.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first quarter of 2024, the Company was informed that Mapi received a Complete Response Letter (“CRL”) regarding the NDA for GA Depot 40 mg from the FDA. In December 2024, the companies met with the FDA and reviewed the content of the CRL. As a result of the meeting, Viatris and Mapi are discussing and determining the appropriate next steps for the program. In the fourth quarter of 2024, as a result of the additional uncertainty of regulatory and commercial timing and success of GA Depot and the financial condition of Mapi, the Company impaired its equity investment and prepaid assets related to advances for the initial supply of commercial product. Total charges of $184.6 million were recorded during the year ended December 31, 2024 as a component of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December 2023, the Company entered into a letter agreement, as amended, with Mapi for the development and commercialization of certain additional products, which is subject to finalization pending the execution of a definitive agreement. The Company made an initial upfront payment of $75.0 million which was accounted for as </w:t>
      </w:r>
      <w:r>
        <w:rPr>
          <w:rFonts w:ascii="Times New Roman;serif" w:hAnsi="Times New Roman;serif"/>
          <w:b w:val="false"/>
          <w:i/>
          <w:color w:val="000000"/>
          <w:sz w:val="20"/>
        </w:rPr>
        <w:t>Acquired IPR&amp;D</w:t>
      </w:r>
      <w:r>
        <w:rPr>
          <w:color w:val="000000"/>
        </w:rPr>
        <w:t xml:space="preserve"> </w:t>
      </w:r>
      <w:r>
        <w:rPr>
          <w:rFonts w:ascii="Times New Roman;serif" w:hAnsi="Times New Roman;serif"/>
          <w:b w:val="false"/>
          <w:color w:val="000000"/>
          <w:sz w:val="20"/>
        </w:rPr>
        <w:t>expense in the consolidated statements of operations during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significant changes to our licensing and other partner agreements as disclosed in our 2024 Form 10-K.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16.Income Taxes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Legislative Updates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(“OBBBA”), which contains a broad range of tax reform provisions affecting businesses, including permanent extensions of most expiring Tax Cuts and Jobs Act provisions and international tax changes. The OBBBA did not have a significant impact on the Company’s provision for income taxes and deferred tax assets for the three and nine months ended September 30, 2025. We will continue to evaluate the full impact of these legislative changes as additional guidance becomes available.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August 16, 2022, the U.S. government enacted the Inflation Reduction Act of 2022 into law, which includes a new corporate alternative minimum tax (“CAMT”) and an excise tax of 1% on the fair market value of net stock repurchases. Both provisions are effective for years after December 31, 2022. The Company reflected the applicable estimated excise tax in treasury stock as part of the cost basis of the stock repurchased and recorded a corresponding liability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its condensed consolidated balance sheets as of September 30, 2025 and December 31, 2024. The share repurchase and authorization amounts otherwise disclosed in this Form 10-Q exclude the excise tax. The Company does not anticipate being subject to the 15% CAMT tax in 2025 based on enacted law and regulatory guidance; however, its CAMT status could change in the future, depending on new regulations or regulatory guidance issued by the U.S. Department of the Treasury, including with respect to the OBBBA.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many countries are actively considering or have proposed or enacted changes to their tax laws based on the Pillar Two Global Anti-Base Erosion Rules (“Pillar Two Rules”) proposed by the Organisation for Economic Co-operation and Development. The Pillar Two Rules impose a global minimum tax of 15%, and under these rules, the Company may be required to pay a “top-up” tax to the extent our effective tax rate in any given country is below 15%. Several countries have enacted the Pillar Two Rules effective January 1, 2024, with many countries postponing implementation to January 1, 2025 or later, if at all. After determining which jurisdictions are not required to calculate a Pillar Two liability as a result of the existing safe harbors, the Company has determined that, while the impact of the Pillar Two Rules in the countries that have enacted such rules effective for tax years ending on or before December 31, 2025 did increase its effective tax rate, the impact is not material to its results for the three and nine months ended September 30, 2025. The Company will continue to monitor and evaluate the evolving tax legislation in the jurisdictions in which it operates which could impact future tax provision and financial results, such as the recently announced understanding between the U.S. and the Group of Seven of a side-by-side system that would fully exclude U.S. parented groups from certain provisions of the Pillar Two Rules.</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Tax Examinations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ongoing IRS examinations. The years 2020 through 2023 are open years, with 2020 and 2021 under examination.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France, the tax authorities have issued notices of assessments to the Company for the years ended December 2013 to December 2015 concerning our tax position with respect to whether income earned by a Company entity not domiciled in France should be subject to French tax. We have commenced litigation before the French tax courts where the tax authorities will seek unpaid taxes, penalties, and interest. A decision is pending.</w:t>
      </w:r>
    </w:p>
    <w:p>
      <w:pPr>
        <w:pStyle w:val="TextBody"/>
        <w:bidi w:val="0"/>
        <w:spacing w:lineRule="auto" w:line="288" w:before="0" w:after="0"/>
        <w:ind w:left="0" w:right="0" w:firstLine="720"/>
        <w:jc w:val="left"/>
        <w:rPr/>
      </w:pPr>
      <w:r>
        <w:rPr>
          <w:rFonts w:ascii="Times New Roman;serif" w:hAnsi="Times New Roman;serif"/>
          <w:b w:val="false"/>
          <w:color w:val="000000"/>
          <w:sz w:val="20"/>
        </w:rPr>
        <w:t>In India, the tax authorities have issued notices of assessments to the Company seeking unpaid taxes and interest for the financial years covering 2013 to 2018 concerning our tax position with respect to certain corporate tax deductions and 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erif" w:hAnsi="Times New Roman;serif"/>
          <w:b w:val="false"/>
          <w:color w:val="000000"/>
          <w:sz w:val="20"/>
        </w:rPr>
        <w:t>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2020, the Swedish Tax Authorities (“STA”) asserted an underpayment of tax against Meda A.B. for the tax years 2014 to 2019. The claim was that profits earned by its Luxembourg subsidiary should have been attributed to Meda A.B. The Company appealed the STA’s assessment to the Administrative Court of Stockholm. On September 16, 2022, the Court ruled in favor of Meda A.B. that no tax was due. The STA appealed that decision. On April 10, 2024, the Administrative Court of Appeals overturned the lower Court’s ruling and issued a decision in favor of the STA upholding its original assessment. The amount due including interest and penalties is approximately $18.2 million, which was paid during the second quarter of 2024. The Company’s petition seeking review of the decision to the Supreme Administrative Court was denied and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net reserve for uncertain tax positions of $270.4 million and $277.0 million, including interest and penalties, in connection with its international audits at September 30, 2025 and December 31, 2024, respectively. In connection with our international tax audits, it is possible that we will incur material losses above the amounts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major U.S. state taxing jurisdictions remain open from fiscal year 2015 through 2024, with several state audits currently in progress. The Company’s major international taxing jurisdictions remain open from 2013 through 2024.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for Uncertainty in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17.Litigation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EpiPen® Auto-Injector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On September 21, 2021, Plaintiffs filed an amended complaint asserting federal antitrust claims which were based on allegations concerning a patent settlement between Pfizer and Teva and other alleged actions regarding the launch of Teva’s generic epinephrine auto-injector. Plaintiffs sought monetary damages, declaratory relief, attorneys’ fees and costs. In December 2024, the Company reached an agreement and paid $73.5 million to fully resolve this matter. The settlement was approved by the court and contains an express provision disclaiming and denying any wrongdoing by the Company.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Class certification was denied. The case is proceeding with Rochester Drug Company, Dakota Drug, and Morris &amp; Dickson Company as plaintiffs and they seek monetary damages, attorneys’ fees and costs. The Company has resolved this matter and the case has been dismissed.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State of Indiana filed a complaint in Superior Court in Marion County, Indiana against the Company and other non-Viatris affiliated companies alleging harm under Indiana state laws, including antitrust and consumer protection laws, and unjust enrichment claims. Indiana generally seeks monetary damages, restitution, disgorgement, civil penalties, injunctive relief, and attorneys’ fees and costs. The Company has reached a settlement-in-principle with the State of Indiana to resolve this matter.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received a civil subpoena from the Attorney General of the State of Mississippi seeking information relating to the sales and/or marketing of EpiPen® Auto-Injector. The Company is fully cooperating with this request and is in advanced discussions or has reached settlements-in-principle with certain other State Attorneys General regarding related issues.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issues covered in the Indiana complaint, Mississippi subpoena, and discussions or settlements-in-principle with certain other States, generally relate to issues from litigations and/or investigations that have been previously disclosed, including the indirect purchaser class action that was resolved in 2022 and the direct purchaser litigation matters described above, which are now also resolved.</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total accrual of approximately $50.0 million related to these matters at September 30, 2025,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Drug Pricing Matters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Civil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Some of the United States lawsuits also name as defendants the Company’s former President, including allegations against him with respect to a single drug product, and one of the Company’s sales employees, including allegations against him with respect to certain generic drugs. The vast majority of the lawsuits have been consolidated in an MDL proceeding in the Eastern District of Pennsylvania (“EDPA”). Plaintiffs generally seek monetary damages, restitution, declaratory and injunctive relief, attorneys’ fees and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The Defendants’ summary judgment motions in the direct purchaser case was denied and was largely denied with some narrowing of claims, and potentially reducing claimed damages, in the indirect purchaser case. Plaintiffs are asserting damages of approximately $350 million in each of the Clomipramine bellwether cases, which are subject to trebling under federal law in the direct purchaser case or multipliers under certain state laws in the indirect purchaser case.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has selected additional cases to proceed as bellwethers. The Company is named only in one of the cases scheduled for trial, which is a non-class case filed by a direct and indirect purchaser against the Company and other manufacturers and the trial is scheduled to begin in September 2026. The Company believes that it acted lawfully, is continuing to defend itself vigorously, and intends to vigorously contest all aspects of the cases, including the asserted damages.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Attorneys General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forty-two states, the District of Columbia and the Commonwealth of Puerto Rico. The Company is alleged to have engaged in anticompetitive conduct with respect to four generic drug products. The amended complaint also includes claims asserted by attorneys general of thirty-two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Company sales employee. The operative complaint seeks declaratory and injunctive relief, disgorgement, attorneys’ fees and costs, and certain states seek monetary damages, civil penalties, restitution, and other equitable monetary relief. This lawsuit was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On September 9, 2021, the complaint was amended, adding an additional state as a plaintiff. The operative complaint is brought by attorneys general of forty-two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 has filed motions for summary judgment, which remain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aforementioned complaints have been transferred back to the U.S. District Court for the District of Connecticut.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Securities Related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Litigation”). ADIA seeks monetary damages as well as fees and costs. Mylan has filed a motion for summary judgment to dismiss ADIA’s case in its entirety, which is pending. As previously disclosed, the allegations in ADIA’s complaint were the subject of a class action lawsuit filed in the same court in the SDNY against Mylan and certain individuals. In March 2023, the SDNY dismissed the class action lawsuit in its entirety on summary judgment, which was affirmed on appeal and concluded the class action lawsuit.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officer/current 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includes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In July 2025, the Court held that Plaintiffs’ misstatements claim as to 1 of the 46 challenged statements, and their scheme claim, may proceed to discovery. The complaint seeks monetary damages, as well as the plaintiff’s fees and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15, 2021, a complaint was filed in the SDNY by Skandia Mutual Life Ins. Co., Lansforsakringar AB, KBC Asset Management N.V., and GIC Private Limited, against the Company, certain of Mylan N.V.’s former directors and officers, a former officer/current director of the Company, and certain former and current employees of the Company (“Skandia Litigation”). The Complaint filed in the Skandia Litigation asserted claims which were based on allegations that were similar to those in the ADIA Litigation and WDPA Mylan N.V. Class Action Litigation. Plaintiffs sought compensatory damages, costs and expenses and attorneys’ fees. The parties reached an agreement that resolves this matter and it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May 2023, putative class action complaints were filed against the Company and certain of the Company’s current and former officers, directors, and employees in the WDPA on behalf of certain purchasers of securities of the Company. These actions have been consolidated and, on October 23, 2023, a consolidated amended putative class action complaint was filed in the WDPA against the Company, a director, and a former officer and director (“WDPA Viatris Class Action Litigation”). The operative complaint alleges that defendants made false or misleading statements and omissions of material fact, in violation of federal securities laws, in connection with disclosures relating to the Company’s projected financial performance and biosimilars business. Plaintiffs seek certification of a class of purchasers of Company securities between March 1, 2021 and February 25, 2022. Plaintiffs seek monetary damages, reasonable costs and expenses, and certain other relief. On September 20, 2024, the Court granted Defendants’ motion to dismiss all of Plaintiffs’ claims. Plaintiffs’ appeal to the United States Court of Appeals for the Third Circuit was rejected in November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is named as a nominal defendant in these derivative actions. Certain of the complaints also assert claims for corporate waste and unjust enrichment. Plaintiffs seek various forms of relief, including damages, disgorgement, restitution, costs and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a putative class action complaint, which was subsequently amended in September 2025, was filed against the Company and certain of the Company’s officers, one of whom is also a director, in the WDPA on behalf of certain purchasers of the Company’s securities. The amended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February 28, 2024 and February 26, 2025. Plaintiffs seek various forms of relief, including damages, costs and fees.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Opioids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reached a nationwide settlement framework to resolve opioid-related claims by States, local governments, and Native American tribes against the Company and certain of its subsidiaries. Under the agreed upon framework, which has been initiated by a process to determine the level of participation in the settlement, the Company would pay up to a maximum of $335 million, consisting of annual payments over a nine-year period of between approximately $27.5 and $40 million each, to help support state and local efforts to address opioid-related issues. The settlement framework is not an admission of wrongdoing or liability.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2023, the Company received a civil subpoena from the Attorney General of the State of New York seeking information relating to opioids manufactured, marketed, or sold by the Company and related subject matter. Beginning in January 2024, the Company received similar subpoenas from the Attorneys General of Alaska, Oregon, Utah, Maryland, and Louisiana. The Company is fully cooperating with these subpoena requests. Each of these States will have the option to participate in the settlement framework identified above.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$335 million in connection with the possible resolution of certain of these matters at September 30, 2025,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Citalopram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€12.0 million as of September 30, 2025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$67.3 million as of September 30, 2025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Nitrosamines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Company has reached an agreement in principle to resolve the valsartan personal injury lawsuits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original master complaints concerning ranitidine were dismissed on December 31, 2020. The end-payor plaintiff immediately appealed to the U.S. Court of Appeals for the Eleventh Circuit, which affirmed the dismissal. The personal injury and</w:t>
      </w:r>
      <w:r>
        <w:rPr>
          <w:color w:val="000000"/>
        </w:rPr>
        <w:t xml:space="preserve"> </w:t>
      </w:r>
      <w:r>
        <w:rPr>
          <w:rFonts w:ascii="Times New Roman;serif" w:hAnsi="Times New Roman;serif"/>
          <w:b w:val="false"/>
          <w:color w:val="000000"/>
          <w:sz w:val="20"/>
        </w:rPr>
        <w:t>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Lipitor</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State court proceedings remain pending in Missouri and New York.</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Depo-Provera</w:t>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October 2024, the Company (including Greenstone LLC), Pfizer and certain entities related to Pfizer, and Prasco Labs were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were also filed. In February</w:t>
      </w:r>
      <w:r>
        <w:rPr>
          <w:color w:val="FF0000"/>
        </w:rPr>
        <w:t xml:space="preserve"> </w:t>
      </w:r>
      <w:r>
        <w:rPr>
          <w:rFonts w:ascii="Times New Roman;serif" w:hAnsi="Times New Roman;serif"/>
          <w:b w:val="false"/>
          <w:color w:val="000000"/>
          <w:sz w:val="20"/>
        </w:rPr>
        <w:t>2025, the federal lawsuits were transferred for co</w:t>
      </w:r>
      <w:r>
        <w:rPr>
          <w:rFonts w:ascii="Times New Roman;serif" w:hAnsi="Times New Roman;serif"/>
          <w:b w:val="false"/>
          <w:color w:val="000000"/>
          <w:sz w:val="20"/>
          <w:shd w:fill="FFFFFF" w:val="clear"/>
        </w:rPr>
        <w:t xml:space="preserve">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pPr>
      <w:r>
        <w:rPr>
          <w:rFonts w:ascii="Times New Roman;serif" w:hAnsi="Times New Roman;serif"/>
          <w:b w:val="false"/>
          <w:color w:val="000000"/>
          <w:sz w:val="20"/>
          <w:shd w:fill="FFFFFF" w:val="clear"/>
        </w:rPr>
        <w:t>this process, the Company has been dismissed without prejudice from all cases originally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w:t>
      </w:r>
      <w:r>
        <w:rPr>
          <w:rFonts w:ascii="Times New Roman;serif" w:hAnsi="Times New Roman;serif"/>
          <w:b w:val="false"/>
          <w:color w:val="000000"/>
          <w:sz w:val="20"/>
        </w:rPr>
        <w:t>tone LLC.</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Company is involved in a number of patent litigation lawsuits involving the validity and/or infringement of patents held by branded pharmaceutical manufacturers.</w:t>
      </w:r>
      <w:r>
        <w:rPr>
          <w:color w:val="000000"/>
        </w:rPr>
        <w:t xml:space="preserve"> </w:t>
      </w:r>
      <w:r>
        <w:rPr>
          <w:rFonts w:ascii="Times New Roman;serif" w:hAnsi="Times New Roman;serif"/>
          <w:b w:val="false"/>
          <w:color w:val="000000"/>
          <w:sz w:val="20"/>
        </w:rPr>
        <w:t>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Yupelri</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January 2023, certain generic companies notified us that they had filed ANDAs with the FDA seeking approval to market generic versions of Yupelri® with associated Paragraph IV certifications. The companies assert the invalidity and/or non-infringement of polymorph patents expiring in 2030 and 2031, and method of use patents expiring in 2039. The companies have not filed Paragraph IV certifications to our compound patents, one of which is subject to a patent term extension to October 2028. Beginning in February 2023, we brought patent infringement actions against the generic filers in federal district courts, including the U.S. District Court for the District of New Jersey, the U.S. District Court for the District of Delaware, the U.S. District Court for the Middle District of North Carolina, and the U.S. District Court for the Eastern District of Pennsylvania asserting infringement of the patents by the generic companies. The actions filed in Delaware, North Carolina and Pennsylvania have been dismissed and the remaining actions will proceed in New Jersey. The Company has entered into settlement agreements with Teva, Accord, Orbicular, Lupin, Qilu, Eugia, and Cipla granting licenses to commercialize their generic versions of Yupelri® in April 2039 or earlier depending on certain circumstances. One ANDA filer remains in the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Tyrvaya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a generic company notified Oyster Point that it had filed an ANDA with the FDA seeking approval to market a generic version of Tyrvaya® with associated Paragraph IV certifications. The generic company asserted the invalidity and/or non-infringement of six Orange Book listed patents that all have expiration dates in October 2035. In July 2023, Oyster Point brought a patent infringement action against the generic filer in the U.S. District Court of the District of New Jersey. In March 2024, Oyster Point filed an amended complaint asserting infringement with respect to four additional patents that were recently listed in the Orange Book for Tyrvaya® and also have expiration dates in October 2035. The Company has entered into a settlement agreement with the generic company resolving the litigation and granting licenses to commercialize its generic version of Tyrvaya® in October 2034, or earlier depending on certain circumstances.</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Amitiza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September 2023, Sawai Pharmaceutical Co. (“Sawai”) and Towa Pharmaceutical Co. Ltd. (“Towa”) filed challenges with the Japanese Patent Office (“JPO”) asserting invalidity of JP ’4332353 (“the ’353 patent”) and its patent term extensions (“PTE”) relevant to Amitiza®, which the Company commercializes in Japan in 24µg and 12µg dosages as a licensee of the relevant patents. The remaining PTE for the ‘353 patent, which was granted based on the approval of the 12µg product, expires in April 2027. In April 2025 and June 2025, the JPO upheld the validity of the ‘353 patent and its PTE. Sawai has filed appeals against these JPO decisions with the Intellectual Property High Court. In October 2025, the Company filed an action before the Osaka District Court asserting that Sawai’s proposed 24µg generic product would infringe the remaining PTE for the ’353 patent, as well as the remaining PTE for JP ‘4889219, which was also granted based on the approval of the 12µg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and expires in December 2028. The Company is seeking a finding of infringement and an order prohibiting Sawai from commercializing its proposed 24µg product until PTE expiration.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April 2024, Sawai filed challenges with the JPO with respect to the 12µg strength, asserting invalidity of PTE of five patents expiring in October 2025, September 2026, August 2027, November 2027, and December 2028, and challenged the validity of the August 2027 patent itself.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Sawai filed an action before the Tokyo District Court alleging unfair competition and seeking to restrain the Company from communicating with the public and the Japan Ministry of Health Labor and Welfare about the patent coverage for Amitiza.</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Ryzumvi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This lawsuit automatically stays FDA approval of the generic company’s ANDA until August 3, 2027, or until an adverse court decision, if any, whichever may occur earlier.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$7.4 million accrued related to its intellectual property matters at September 30, 2025. It is reasonably possible that we may incur additional losses and fees but we cannot estimate a range of such reasonably possible losses or legal fees related to these claims at this time.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including commercial, contractual, employment, or other similar matters that are considered normal to its business. The Company has approximately $9 million accrued related to these various other legal proceedings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2024 Form 10-K, the unaudited interim financial statements and related Notes included in Part I — Item 1 of this Form 10-Q and our other SEC filings and public disclosures. The interim results of operations and comprehensive (loss) earnings for the three and nine months ended September 30, 2025, and cash flows for the nine months ended September 30, 2025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erif" w:hAnsi="Times New Roman;serif"/>
          <w:b w:val="false"/>
          <w:color w:val="000000"/>
          <w:sz w:val="20"/>
          <w:shd w:fill="FFFFFF" w:val="clear"/>
        </w:rPr>
        <w:t>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erif" w:hAnsi="Times New Roman;serif"/>
          <w:b w:val="false"/>
          <w:color w:val="000000"/>
          <w:sz w:val="20"/>
        </w:rPr>
        <w:t>the benefits and synergies of such divestitures, acquisitions, strategic alliances, collaborations, or other transactions, or restructuring programs; future opportunities for the Company and its products;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not realize the intended benefits of, or achieve the intended goals or outlooks with respect to, its strategic initiatives and priorities (including divestitures, acquisitions, strategic alliances, collaborations, or other potential transactions) or accelerate its growth by building on the strength of its base business with an expanding portfolio of innovative, best-in-class, patent-protected assets;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possibility that the Company may be unable to achieve intended or expected benefits, goals, outlooks, synergies, growth opportunities and operating efficiencies in connection with divestitures, acquisitions, strategic alliances, collaborations, or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ongoing risks and uncertainties associated with our recent divestitures;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goodwill or impairment charges or other losses;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potential impact of natural or man-made disasters, public health outbreaks, epidemics, pandemics or social disruption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regulatory, legal or other impediments to the Company’s ability to bring new products to market, including but not limited to “at-risk launches”;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products in development that receive regulatory approval may not achieve expected levels of market acceptance, efficacy or safety;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longer review, response and approval times as a result of evolving regulatory priorities and reductions in personnel at health agencies;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success of clinical trials and the Company’s or its partners’ ability to execute on new product opportunities and develop, manufacture and commercialize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changes in or difficulties with the Company’s manufacturing facilities, including with respect to inspections, remediation and restructuring activities, supply chain or inventory or the ability to meet anticipated demand;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risks associated with having significant operations globally;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third-party relationships;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and matters beyond the control of management, including but not limited to general political and economic conditions, potential for adverse impacts from future tariffs and trade restrictions,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detailed information on the risks and uncertainties associated with Viatris, see the risks described in Part I, Item 1A in the 2024 Form 10-K, Part II, Item 1A of this Form 10-Q,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more than 30,000 employees. The Company has 26 manufacturing and packaging sites worldwide, more than 1,400 approved molecules, and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Market and Industry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 of obtaining regulatory approval to manufacture and market new branded and generic pharmaceutical products is rigorous, time consuming, costly, and inherently unpredictable. Complex generic products are often more difficult, costly and time-consuming to receive regulatory approval and bring to market compared with commodity generic pharmaceutical products. Any delay in regulatory approval could impact the commercial or financial success of a product. 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for Amitiza® 24 μg may occur in Japan in June 2026 depending on the outcome of regulatory reviews of generic applications and patent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Sales continue to be negatively affected by the impact of tender systems in certain countries.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12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Acquisition of Aculys Pharma</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On October 15, 2025, the Company acquired Aculys Pharma, a clinical stage biopharmaceutical company focused on commercializing innovative treatments for neurological conditions. Viatris received rights to develop and commercialize pitolisant and Spydia®, two assets in the CNS therapy area, further expanding Viatris' portfolio of innovative products in Japan. As part of the transaction, Viatris has acquired exclusive development and commercialization rights in Japan for pitolisant, a selective/inverse agonist of the histamine H3 receptor. The transaction also includes exclusive rights in Japan and certain other markets in the Asia-Pacific region for Spydia® Nasal Spray, which was approved in Japan in June 2025 for the treatment of status epilepticus. Under the terms of the acquisition agreement, the Company made a $35.0 million upfront payment to Aculys Pharma shareholders as consideration for the acquisition, with additional consideration contingent upon the achievement of specified regulatory and commercial milestones, and royalties on net sales. The transaction is expected to be accounted for as an asset acquisition, with the upfront payment expensed as </w:t>
      </w:r>
      <w:r>
        <w:rPr>
          <w:rFonts w:ascii="Times New Roman;serif" w:hAnsi="Times New Roman;serif"/>
          <w:b w:val="false"/>
          <w:i/>
          <w:color w:val="000000"/>
          <w:sz w:val="20"/>
        </w:rPr>
        <w:t>Acquired IPR&amp;D</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 In the first quarter of 2025, the Company recorded a non-cash goodwill impairment charge of $2.9 billion as a result of the interim goodwill impairment test performed as of March 31, 2025.</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Indore Manufacturing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an inspection by the FDA at our oral finished dose manufacturing facility in Indore, India in 2024, the FDA has issued a warning letter, and an import alert related to this facility. The import alert affects 11 actively distributed products that will no longer be accepted into the U.S. until the warning letter is lifted. It makes exceptions, subject to certain conditions, for four products based on shortage concerns. Following discussions with the FDA, the Company does not expect additional product exceptions to be granted by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substance of FDA’s original inspection observations, the Company immediately implemented a comprehensive remediation plan at the site. During 2025, we have made substantial progress on our initial remediation activities at the facility, including but not limited to related personnel actions. Additionally, we have engaged independent third-party subject matter experts to support the remediation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FDA during this process and will continue to work to ensure that the FDA is satisfied with the steps we have taken to resolve all the points raised. Our responses to the warning letter and import alert were submitted within the required time periods. The facility will be subject to a reinspection by the FDA. The timing of the reinspection will be determined by the FDA; however, we anticipate that the facility will be ready for reinspection in 2026.</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While product continues to be shipped from the Indore facility to markets outside the U.S., as expected, we have also experienced a negative impact in other markets during 2025, including the ARV business in Emerging Markets and select generic products in Europe.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negative impact to third quarter 2025 total revenues versus the third quarter of 2024 was approximately $100 million and the estimated negative impact to total revenues for the nine months ended September 30, 2025 versus the nine months ended September 30, 2024 was approximately $400 million. We do not expect the negative impact to fourth quarter 2025 total revenues and earnings from operations versus the fourth quarter of 2024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Acquisition of Idorsia Products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15, 2024, the Company acquired exclusive global development and commercialization rights to two Phase 3 assets from Idorsia, as well as the potential to add additional innovative assets in the future. Under the terms of the original agreements, the development programs and certain personnel for selatogrel and cenerimod were transferred to Viatris from Idorsia in exchange for an upfront payment to Idorsia of $350 million, potential contingent milestone payments (including $300 million payable upon the achievement of certain development and regulatory milestones, and $2.1 billion payable upon the achievement of certain tiered sales milestones), as well as potential contingent tiered sales royalties. Viatris has worldwide commercialization rights for both selatogrel and cenerimod (which excluded, for cenerimod only, Japan, South Korea and certain countries in the Asia-Pacific region). A joint development committee was formed to oversee the development of the ongoing Phase 3 programs through regulatory approval. The agreements also provided Viatris a right of first refusal and a right of first negotiation for certain other assets in Idorsia’s pipeline. Viatris and Idorsia are both contractually obligated to contribute to the development costs for both programs, which are expected to be incurred through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25, 2025, in order to preserve the ongoing continuity of the development programs for selatogrel and cenerimod considering certain capital structuring steps announced by Idorsia to secure its ongoing operations, Viatris and Idorsia entered into a letter agreement to amend certain terms of the original agreements described above. Under the terms of the letter agreement, Viatris received additional territory rights in Japan, South Korea and certain other countries in the Asia-Pacific region for cenerimod, a $250 million reduction in contingent milestone payments, including $200 million of development milestones, and additional personnel to expedite transitioning the development programs to Viatris in exchange for Viatris assuming $100 million of Idorsia’s obligation to contribute to development costs. In addition, the joint development committee has been replaced with a transition committee to oversee the transition of both development programs to Viatris.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There are risks and uncertainties associated with the timely and successful completion of these programs, including but not limited to the high cost and uncertainty of conducting clinical trials (particularly with respect to new and/or complex or innovative drugs), obtaining approval by relevant regulatory bodies and our partner’s financial condition. 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included in Part I, Item 1 of this Form 10-Q for more information.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 Company repurchased approximately 6.8 million shares of common stock at a cost of approximately $67.9 million. During the nine months ended September 30, 2025 and 2024, the Company repurchased approximately 45.6 million shares of common stock at a cost of approximately $418.3 million, and approximately 19.2 million shares of common stock at a cost of approximately $250 million, respectively, under the program. As of September 30, 2025, the Company had repurchased a total of approximately 86.1 million shares of common stock at a cost of approximately $918.3 million under the program.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subsequent to September 30, 2025, the Company repurchased approximately 8.1 million shares of common stock at a cost of approximately $82.1 million, bringing the total shares of common stock repurchased under the program to approximately 94.2 million at a cost of approximately $1.00 billion, in each case through and including November 5, 2025.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a summary of the Company’s financial results for the three and nine months ended September 30, 2025 compared to the prior year period:</w:t>
      </w:r>
    </w:p>
    <w:tbl>
      <w:tblPr>
        <w:tblW w:w="7175" w:type="dxa"/>
        <w:jc w:val="left"/>
        <w:tblInd w:w="0" w:type="dxa"/>
        <w:tblLayout w:type="fixed"/>
        <w:tblCellMar>
          <w:top w:w="28" w:type="dxa"/>
          <w:left w:w="28" w:type="dxa"/>
          <w:bottom w:w="28" w:type="dxa"/>
          <w:right w:w="28" w:type="dxa"/>
        </w:tblCellMar>
      </w:tblPr>
      <w:tblGrid>
        <w:gridCol w:w="1037"/>
        <w:gridCol w:w="910"/>
        <w:gridCol w:w="918"/>
        <w:gridCol w:w="211"/>
        <w:gridCol w:w="871"/>
        <w:gridCol w:w="109"/>
        <w:gridCol w:w="109"/>
        <w:gridCol w:w="109"/>
        <w:gridCol w:w="109"/>
        <w:gridCol w:w="211"/>
        <w:gridCol w:w="871"/>
        <w:gridCol w:w="109"/>
        <w:gridCol w:w="109"/>
        <w:gridCol w:w="109"/>
        <w:gridCol w:w="109"/>
        <w:gridCol w:w="211"/>
        <w:gridCol w:w="691"/>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Diluted (loss) earnings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earnings from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Three Months Ended September 30, 2025 Compared to Three Months Ended September 30, 2024</w:t>
      </w:r>
    </w:p>
    <w:tbl>
      <w:tblPr>
        <w:tblW w:w="10205" w:type="dxa"/>
        <w:jc w:val="left"/>
        <w:tblInd w:w="0" w:type="dxa"/>
        <w:tblLayout w:type="fixed"/>
        <w:tblCellMar>
          <w:top w:w="28" w:type="dxa"/>
          <w:left w:w="28" w:type="dxa"/>
          <w:bottom w:w="28" w:type="dxa"/>
          <w:right w:w="28" w:type="dxa"/>
        </w:tblCellMar>
      </w:tblPr>
      <w:tblGrid>
        <w:gridCol w:w="772"/>
        <w:gridCol w:w="436"/>
        <w:gridCol w:w="394"/>
        <w:gridCol w:w="211"/>
        <w:gridCol w:w="766"/>
        <w:gridCol w:w="109"/>
        <w:gridCol w:w="109"/>
        <w:gridCol w:w="109"/>
        <w:gridCol w:w="109"/>
        <w:gridCol w:w="211"/>
        <w:gridCol w:w="766"/>
        <w:gridCol w:w="109"/>
        <w:gridCol w:w="109"/>
        <w:gridCol w:w="109"/>
        <w:gridCol w:w="109"/>
        <w:gridCol w:w="213"/>
        <w:gridCol w:w="199"/>
        <w:gridCol w:w="483"/>
        <w:gridCol w:w="109"/>
        <w:gridCol w:w="109"/>
        <w:gridCol w:w="109"/>
        <w:gridCol w:w="269"/>
        <w:gridCol w:w="703"/>
        <w:gridCol w:w="139"/>
        <w:gridCol w:w="109"/>
        <w:gridCol w:w="109"/>
        <w:gridCol w:w="109"/>
        <w:gridCol w:w="285"/>
        <w:gridCol w:w="1035"/>
        <w:gridCol w:w="147"/>
        <w:gridCol w:w="109"/>
        <w:gridCol w:w="109"/>
        <w:gridCol w:w="109"/>
        <w:gridCol w:w="269"/>
        <w:gridCol w:w="266"/>
        <w:gridCol w:w="788"/>
      </w:tblGrid>
      <w:tr>
        <w:trPr/>
        <w:tc>
          <w:tcPr>
            <w:tcW w:w="7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Developed Markets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Markets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pStyle w:val="TextBody"/>
        <w:bidi w:val="0"/>
        <w:spacing w:lineRule="auto" w:line="288" w:before="0" w:after="6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Reductions were driven primarily by the Indore Impact.</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For the three months ended September 30, 2025, other revenues in Developed Markets, JANZ, and Emerging Markets were approximately $10.0 million, $1.0 million, and $1.4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Viatris reported total revenues of $3.76 billion, compared to $3.75 billion for the comparable prior year period, representing an increase of $8.7 million, or essentially flat. Total revenues include both net sales and other revenues from third parties. Net sales for the current quarter were $3.75 billion, compared to $3.74 billion for the comparable prior year period, representing an increase of $9.5 million, or essentially flat. Other revenues for the current quarter were $12.4 million, compared to $13.2 million for the comparable prior year period.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approximately $18.6 million, or less than 1%, due to the inclusion of net sales in the prior year period related to divestitures that closed during 2024. The favorable impact of foreign currency translation was approximately $76.4 million, or 2%, primarily reflecting changes in the U.S. Dollar as compared to the currencies of subsidiaries in the EU. On a constant currency basis, net sales from the remaining business decreased by approximately $48.3 million, or 1%, for the three months ended September 30, 2025 compared to the prior year period. The decrease was the result of net base business erosion of approximately $147.8 million, of which approximately $100 million related to the Indore Impact. This decrease was partially offset by new product sales, primarily in Developed Markets, of approximately $99.5 million. New product sales include new products launched in 2025 and the carryover impact of new products, including business development, launched within the last twelve months.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38% and 36% for the three months ended September 30, 2025 and 2024,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are derived from our four reporting segments: Developed Markets, Greater China, JANZ, and Emerging Markets.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decreased by $43.1 million, or 2%, for the three months ended September 30, 2025 when compared to the prior year period. Net sales decreased by approximately $11.1 million, or less than 1%, due to the inclusion of net sales in the prior year period related to divestitures that closed during 2024. The favorable impact of foreign currency translation was approximately $76.0 million, or 3%. Constant currency net sales from the remaining business decreased by approximately $108.0 million, or 5%, when compared to the prior year period, driven primarily by lower net sales of certain existing products, including lenalidomide and everolimus in the U.S., as a result of the Indore Impact of approximately $100 million, partially offset by new product sales. Net sales within North America totaled approximately $868.4 million and net sales within Europe totaled approximately $1.39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Greater China increased by $53.4 million, or 10%, for the three months ended September 30, 2025 when compared to the prior year period. The favorable impact of foreign currency translation was approximately $2.3 million, or less than 1%. Constant currency net sales increased by approximately $51.1 million, or 9%, when compared to the prior year period, primarily driven by strong growth across multiple channels, including e-commerce, retail, and private hospitals, as well as benefits of timing of customer purchasing patterns. Divestitures did not have a significant impact on the net sales in either period and the Indore Impact for the three months ended September 30, 2025 was not significant.</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$38.0 million, or 11%, for the three months ended September 30, 2025 when compared to the prior year period. Net sales decreased by approximately $3.2 million, or 1%, due to the inclusion of net sales in the prior year period related to divestitures that closed during 2024. The unfavorable impact of foreign currency translation was approximately $4.3 million, or 1%. Constant currency net sales from the remaining business decreased by approximately $30.5 million, or 9%, when compared to the prior year period, driven primarily by lower net sales of existing products in Japan and Australia due to government price reductions and additional competition. The Indore Impact for the three months ended September 30, 2025 was not significant.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increased by $37.2 million or 7% for the three months ended September 30, 2025 when compared to the prior year period. Net sales decreased by approximately $4.3 million, or 1%, due to the inclusion of net sales in the prior year period related to divestitures that closed during 2024. The favorable impact of foreign currency translation was approximately $2.4 million, or less than 1%. Constant currency net sales from the remaining business increased by $39.1 million, or 7%, when compared to the prior year period, primarily driven by higher volumes and pricing of existing products in certain Middle Eastern and Asian countries. The Indore Impact for the three months ended September 30, 2025 was not significant.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240"/>
        <w:ind w:left="0" w:right="0" w:firstLine="720"/>
        <w:jc w:val="left"/>
        <w:rPr/>
      </w:pPr>
      <w:r>
        <w:rPr>
          <w:rFonts w:ascii="Times New Roman;serif" w:hAnsi="Times New Roman;serif"/>
          <w:b w:val="false"/>
          <w:color w:val="000000"/>
          <w:sz w:val="20"/>
        </w:rPr>
        <w:t>Cost of sales increased from $2.29 billion for the three months ended September 30, 2024 to $2.39 billion for the three months ended September 30, 2025. The increase in cost of sales was largely driven by product mix as a result of the Indore Impact</w:t>
      </w:r>
      <w:r>
        <w:rPr>
          <w:rFonts w:ascii="Times New Roman;serif" w:hAnsi="Times New Roman;serif"/>
          <w:b w:val="false"/>
          <w:i/>
          <w:color w:val="000000"/>
          <w:sz w:val="2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three months ended September 30, 2025 was $1.37 billion and gross margins were 36%. For the three months ended September 30, 2024, gross profit was $1.46 billion and gross margins were 39%. The changes in gross profit and gross margins are primarily related to the Indore Impact. Adjusted gross margins were approximately 56% for the three months ended September 30, 2025, compared to approximately 58% for the three months ended September 30,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three months ended September 30, 2025 compared to the three months ended September 30, 2024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R&amp;D expense for the three months ended September 30, 2025 was $250.4 million, compared to $198.4 million for the comparable prior year period, an increase of $52.0 million. This increase was primarily the result of higher expenses for the selatogrel and cenerimod development programs.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68" w:before="0" w:after="0"/>
        <w:ind w:left="0" w:right="0" w:firstLine="720"/>
        <w:jc w:val="left"/>
        <w:rPr/>
      </w:pPr>
      <w:r>
        <w:rPr>
          <w:rFonts w:ascii="Times New Roman;serif" w:hAnsi="Times New Roman;serif"/>
          <w:b w:val="false"/>
          <w:color w:val="000000"/>
          <w:sz w:val="20"/>
        </w:rPr>
        <w:t>SG&amp;A expense for the current quarter was $886.6 million, compared to $1.00 billion for the comparable prior year period, a decrease of $116.8 million. The decrease was primarily due to lower acquisition and divestiture-related costs of approximately $67.3 million and lower restructuring costs of approximately $18.1 million.</w:t>
      </w:r>
      <w:r>
        <w:rPr>
          <w:color w:val="000000"/>
        </w:rPr>
        <w:t xml:space="preserve"> </w:t>
      </w:r>
    </w:p>
    <w:p>
      <w:pPr>
        <w:pStyle w:val="TextBody"/>
        <w:bidi w:val="0"/>
        <w:spacing w:before="0" w:after="0"/>
        <w:ind w:left="0" w:right="0" w:firstLine="720"/>
        <w:jc w:val="left"/>
        <w:rPr/>
      </w:pPr>
      <w:r>
        <w:rPr/>
      </w:r>
    </w:p>
    <w:p>
      <w:pPr>
        <w:pStyle w:val="TextBody"/>
        <w:bidi w:val="0"/>
        <w:spacing w:lineRule="auto" w:line="26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losses recognized in litigation settlements and other contingencies, net during the three months ended September 30, 2025 and 2024, respectively:</w:t>
      </w:r>
    </w:p>
    <w:tbl>
      <w:tblPr>
        <w:tblW w:w="6804" w:type="dxa"/>
        <w:jc w:val="left"/>
        <w:tblInd w:w="0" w:type="dxa"/>
        <w:tblLayout w:type="fixed"/>
        <w:tblCellMar>
          <w:top w:w="28" w:type="dxa"/>
          <w:left w:w="28" w:type="dxa"/>
          <w:bottom w:w="28" w:type="dxa"/>
          <w:right w:w="28" w:type="dxa"/>
        </w:tblCellMar>
      </w:tblPr>
      <w:tblGrid>
        <w:gridCol w:w="1728"/>
        <w:gridCol w:w="1515"/>
        <w:gridCol w:w="1527"/>
        <w:gridCol w:w="211"/>
        <w:gridCol w:w="511"/>
        <w:gridCol w:w="109"/>
        <w:gridCol w:w="109"/>
        <w:gridCol w:w="109"/>
        <w:gridCol w:w="109"/>
        <w:gridCol w:w="211"/>
        <w:gridCol w:w="51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contingent consideration adjustment.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refer to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for more information on litigation settlements,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before="0" w:after="6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totaled $119.6 million, compared to $145.6 million for the three months ended September 30, 2024, a decrease of $26.0 million. The decrease was primarily due to the impact of 2024 debt repayments.</w:t>
      </w:r>
    </w:p>
    <w:p>
      <w:pPr>
        <w:pStyle w:val="TextBody"/>
        <w:bidi w:val="0"/>
        <w:spacing w:lineRule="auto" w:line="288" w:before="0" w:after="240"/>
        <w:jc w:val="left"/>
        <w:rPr/>
      </w:pPr>
      <w:r>
        <w:rPr>
          <w:rFonts w:ascii="Times New Roman;serif" w:hAnsi="Times New Roman;serif"/>
          <w:b/>
          <w:i/>
          <w:color w:val="000000"/>
          <w:sz w:val="20"/>
        </w:rPr>
        <w:t>Other Expense (Income), Net</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net for the three months ended September 30, 2025 totaled $67.1 million, compared to $10.2 million for the three months ended September 30, 2024.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increase in other expense, net was primarily driven by a loss of $100.0 million recorded in the current year period as a result of changes in the fair value of the CCPS in Biocon Biologics, compared to a gain in the prior year period of $39.4 million, lower interest income of $25.9 million, and lower TSA income of $21.0 million. This was partially offset by a decrease in loss on divestitures of $108.9 million compared to the prior year period.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change in the fair value of the CCPS in Biocon Biologics.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Provision (Benefit)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 recognized an income tax provision of $120.3 million, compared to an income tax benefit of $4.3 million for the comparable prior year period, a change of $124.6 million. The provision in the current year period is primarily driven by reduced tax benefits related to certain remediation costs as well as certain discrete tax items. The current quarter and prior quarter provisions were impacted by the levels of income and the changing mix at which it is earned in jurisdictions with differing tax rates.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i/>
          <w:color w:val="000000"/>
          <w:sz w:val="18"/>
        </w:rPr>
        <w:t>Nine Months Ended</w:t>
      </w:r>
      <w:r>
        <w:rPr>
          <w:color w:val="000000"/>
        </w:rPr>
        <w:t xml:space="preserve"> </w:t>
      </w:r>
      <w:r>
        <w:rPr>
          <w:rFonts w:ascii="Times New Roman;serif" w:hAnsi="Times New Roman;serif"/>
          <w:b/>
          <w:i/>
          <w:color w:val="000000"/>
          <w:sz w:val="20"/>
        </w:rPr>
        <w:t xml:space="preserve">September 30, 2025 Compared to </w:t>
      </w:r>
      <w:r>
        <w:rPr>
          <w:rFonts w:ascii="Times New Roman;serif" w:hAnsi="Times New Roman;serif"/>
          <w:b/>
          <w:i/>
          <w:color w:val="000000"/>
          <w:sz w:val="18"/>
        </w:rPr>
        <w:t>Nine Months Ended</w:t>
      </w:r>
      <w:r>
        <w:rPr>
          <w:color w:val="000000"/>
        </w:rPr>
        <w:t xml:space="preserve"> </w:t>
      </w:r>
      <w:r>
        <w:rPr>
          <w:rFonts w:ascii="Times New Roman;serif" w:hAnsi="Times New Roman;serif"/>
          <w:b/>
          <w:i/>
          <w:color w:val="000000"/>
          <w:sz w:val="20"/>
        </w:rPr>
        <w:t>September 30, 2024</w:t>
      </w:r>
    </w:p>
    <w:tbl>
      <w:tblPr>
        <w:tblW w:w="10205" w:type="dxa"/>
        <w:jc w:val="left"/>
        <w:tblInd w:w="0" w:type="dxa"/>
        <w:tblLayout w:type="fixed"/>
        <w:tblCellMar>
          <w:top w:w="28" w:type="dxa"/>
          <w:left w:w="28" w:type="dxa"/>
          <w:bottom w:w="28" w:type="dxa"/>
          <w:right w:w="28" w:type="dxa"/>
        </w:tblCellMar>
      </w:tblPr>
      <w:tblGrid>
        <w:gridCol w:w="752"/>
        <w:gridCol w:w="399"/>
        <w:gridCol w:w="352"/>
        <w:gridCol w:w="211"/>
        <w:gridCol w:w="871"/>
        <w:gridCol w:w="109"/>
        <w:gridCol w:w="109"/>
        <w:gridCol w:w="109"/>
        <w:gridCol w:w="109"/>
        <w:gridCol w:w="211"/>
        <w:gridCol w:w="871"/>
        <w:gridCol w:w="109"/>
        <w:gridCol w:w="109"/>
        <w:gridCol w:w="109"/>
        <w:gridCol w:w="109"/>
        <w:gridCol w:w="198"/>
        <w:gridCol w:w="198"/>
        <w:gridCol w:w="483"/>
        <w:gridCol w:w="109"/>
        <w:gridCol w:w="109"/>
        <w:gridCol w:w="109"/>
        <w:gridCol w:w="246"/>
        <w:gridCol w:w="757"/>
        <w:gridCol w:w="127"/>
        <w:gridCol w:w="109"/>
        <w:gridCol w:w="109"/>
        <w:gridCol w:w="109"/>
        <w:gridCol w:w="258"/>
        <w:gridCol w:w="1065"/>
        <w:gridCol w:w="133"/>
        <w:gridCol w:w="109"/>
        <w:gridCol w:w="109"/>
        <w:gridCol w:w="109"/>
        <w:gridCol w:w="249"/>
        <w:gridCol w:w="246"/>
        <w:gridCol w:w="725"/>
      </w:tblGrid>
      <w:tr>
        <w:trPr/>
        <w:tc>
          <w:tcPr>
            <w:tcW w:w="75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2025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Developed Markets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Emerging Markets </w:t>
            </w:r>
            <w:r>
              <w:rPr>
                <w:rFonts w:ascii="Times New Roman;serif" w:hAnsi="Times New Roman;serif"/>
                <w:b w:val="false"/>
                <w:color w:val="000000"/>
                <w:sz w:val="13"/>
              </w:rPr>
              <w:t>(3)</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(4)</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2025 constant currency net sales or revenues to the corresponding amount in the prior year.</w:t>
      </w:r>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Reductions were driven primarily by the inclusion of net sales in the prior year period related to divestitures that closed during 2024 and the Indore Impact.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For the nine months ended September 30, 2025, other revenues in Developed Markets, JANZ, and Emerging Markets were approximately $27.2 million, $3.0 million, and $6.4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Total Revenues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Viatris reported total revenues of $10.60 billion, compared to $11.21 billion for the comparable prior year period, representing a decrease of $614.9 million, or 5%. Total revenues include both net sales and other revenues from third parties. Net sales for the nine months ended September 30, 2025 were $10.56 billion, compared to $11.18 billion for the comparable prior year period, representing a decrease of $617.7 million, or 6%. Other revenues for the nine months ended September 30, 2025 were $36.6 million, compared to $33.8 million for the comparable prior year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decreased by approximately $468.3 million, or 4%, due to the inclusion of net sales in the prior year period related to divestitures that closed during 2024. The favorable impact of foreign currency translation was approximately $52.8 million, or less than 1%, primarily reflecting changes in the U.S. Dollar as compared to the currencies of subsidiaries in the EU. On a constant currency basis, net sales from the remaining business decreased by approximately $202.2 million, or 2%, for the nine months ended September 30, 2025 compared to the prior year period. The decrease was the result of net base business erosion of approximately $448.1 million, of which approximately $400 million related to the Indore Impact. This decrease was partially offset by new product sales, primarily in Developed Markets, of approximately $245.9 million. New product sales include new products launched in 2025 and the carryover impact of new products, including business development, launched within the last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37% and 33% for the nine months ended September 30, 2025 and 2024,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are derived from our four reporting segments: Developed Markets, Greater China, JANZ, and Emerging Markets.</w:t>
      </w:r>
    </w:p>
    <w:p>
      <w:pPr>
        <w:pStyle w:val="TextBody"/>
        <w:bidi w:val="0"/>
        <w:spacing w:before="0" w:after="0"/>
        <w:jc w:val="center"/>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decreased by $516.7 million, or 8%, for the nine months ended September 30, 2025 when compared to the prior year period. Net sales decreased by approximately $365.6 million, or 5%, due to the inclusion of net sales in the prior year period related to divestitures that closed during 2024. The favorable impact of foreign currency translation was approximately $103.6 million, or 2%. Constant currency net sales from the remaining business decreased by approximately $254.7 million, or 4%, when compared to the prior year period, driven primarily by lower net sales of certain existing products, including lenalidomide and everolimus in the U.S., as a result of the Indore Impact of approximately $295 million, partially offset by new product sales. Net sales within North America totaled approximately $2.54 billion and net sales within Europe totaled approximately $3.73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Greater China increased by $114.9 million, or 7%, for the nine months ended September 30, 2025 when compared to the prior year period. The unfavorable impact of foreign currency translation was approximately $9.4 million, or 1%. Constant currency net sales increased by approximately $124.8 million, or 8%, when compared to the prior year period, primarily driven by strong growth across multiple channels, including e-commerce, retail, and private hospitals, as well as benefits of timing of customer purchasing patterns. Divestitures did not have a significant impact on the net sales in either period and the Indore Impact for the nine months ended September 30, 2025 was not significant.</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$123.6 million, or 12%, for the nine months ended September 30, 2025 when compared to the prior year period. Net sales decreased by approximately $24.0 million, or 2%, due to the inclusion of net sales in the prior year period related to divestitures that closed during 2024. This decrease was also partially driven by the unfavorable impact of foreign currency translation of approximately $11.8 million, or 1%. Constant currency net sales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business decreased by approximately $87.8 million, or 9%, when compared to the prior year period, driven primarily by lower net sales of existing products in Japan and Australia due to government price reductions and additional competition, and by the Indore Impact of approximately $8 million.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decreased by $92.3 million, or 5%, for the nine months ended September 30, 2025 when compared to the prior year period. Net sales decreased by approximately $78.2 million, or 5%, due to the inclusion of net sales in the prior year period related to divestitures that closed during 2024. The decrease in net sales was also partially driven by the unfavorable impact of foreign currency translation of approximately $29.6 million, or 2%. Constant currency net sales from the remaining business increased by $15.5 million, or 1%, when compared to the prior year period, primarily driven by new product sales in certain Latin American countries and higher volumes and pricing of existing products in certain Middle Eastern and Asian countries. These increases were partially offset by lower volumes in our ARV business, mainly as a result of the Indore Impact of approximately $95 million.</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240"/>
        <w:ind w:left="0" w:right="0" w:firstLine="720"/>
        <w:jc w:val="left"/>
        <w:rPr/>
      </w:pPr>
      <w:r>
        <w:rPr>
          <w:rFonts w:ascii="Times New Roman;serif" w:hAnsi="Times New Roman;serif"/>
          <w:b w:val="false"/>
          <w:color w:val="000000"/>
          <w:sz w:val="20"/>
        </w:rPr>
        <w:t>Cost of sales decreased from $6.80 billion for the nine months ended September 30, 2024 to $6.73 billion for the nine months ended September 30, 2025. The decrease in cost of sales was largely driven by the impact of the decrease in net sales, primarily as a result of the divestitures that closed during 2024 and the Indore Impact</w:t>
      </w:r>
      <w:r>
        <w:rPr>
          <w:rFonts w:ascii="Times New Roman;serif" w:hAnsi="Times New Roman;serif"/>
          <w:b w:val="false"/>
          <w:i/>
          <w:color w:val="000000"/>
          <w:sz w:val="2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nine months ended September 30, 2025 was $3.87 billion and gross margins were 36%. For the nine months ended September 30, 2024, gross profit was $4.41 billion and gross margins were 39%. The changes in gross profit and gross margins are primarily related to the impact of the divestitures and the Indore Impact. Adjusted gross margins were approximately 56% for the nine months ended September 30, 2025, compared to approximately 58% for the nine months ended September 30, 2024.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nine months ended September 30, 2025 compared to the nine months ended September 30, 2024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 for the nine months ended September 30, 2025 was $691.2 million, compared to $602.2 million for the comparable prior year period, an increase of $89.0 million. This increase was primarily the result of higher expenses for the selatogrel and cenerimod development programs.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expense for the nine months ended September 30, 2025 was $10.0 million, compared to $(1.7) million for the comparable prior year period, an increase of $11.7 million. The current period expense is related to an upfront licensing payment for rights to cenerimod in Japan, South Korea and certain countries in the Asia-Pacific region.</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 for the nine months ended September 30, 2025 was $2.76 billion, compared to $3.06 billion for the comparable prior year period, a decrease of $294.5 million. The decrease was primarily due to the impact of the divestitures, and lower acquisition and divestiture-related costs of approximately $176.2 million. These decreases were partially offset by higher restructuring costs of approximately $44.1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performed an interim goodwill impairment test as of March 31, 2025, and in conjunction with the interim goodwill impairment test, the Company recorded a goodwill impairment charge of $2.94 billion in the first quarter of 2025. Refer to Note 10 </w:t>
      </w: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in Part I, Item 1 of this Form 10-Q for more information. During the prior year period, the Company recorded a goodwill impairment charge of $321.0 million related to its JANZ reporting unit in conjunction with its annual goodwill impairment test performed as of April 1, 2024.</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(gains)/losses recognized in litigation settlements and other contingencies, net during the nine months ended September 30, 2025 and 2024, respectively:</w:t>
      </w:r>
    </w:p>
    <w:tbl>
      <w:tblPr>
        <w:tblW w:w="7089" w:type="dxa"/>
        <w:jc w:val="left"/>
        <w:tblInd w:w="0" w:type="dxa"/>
        <w:tblLayout w:type="fixed"/>
        <w:tblCellMar>
          <w:top w:w="28" w:type="dxa"/>
          <w:left w:w="28" w:type="dxa"/>
          <w:bottom w:w="28" w:type="dxa"/>
          <w:right w:w="28" w:type="dxa"/>
        </w:tblCellMar>
      </w:tblPr>
      <w:tblGrid>
        <w:gridCol w:w="1728"/>
        <w:gridCol w:w="1515"/>
        <w:gridCol w:w="1527"/>
        <w:gridCol w:w="211"/>
        <w:gridCol w:w="691"/>
        <w:gridCol w:w="109"/>
        <w:gridCol w:w="109"/>
        <w:gridCol w:w="109"/>
        <w:gridCol w:w="109"/>
        <w:gridCol w:w="211"/>
        <w:gridCol w:w="616"/>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Acquisitions and Other Transactions</w:t>
      </w:r>
      <w:r>
        <w:rPr>
          <w:color w:val="000000"/>
        </w:rPr>
        <w:t xml:space="preserve"> </w:t>
      </w:r>
      <w:r>
        <w:rPr>
          <w:rFonts w:ascii="Times New Roman;serif" w:hAnsi="Times New Roman;serif"/>
          <w:b w:val="false"/>
          <w:color w:val="000000"/>
          <w:sz w:val="20"/>
        </w:rPr>
        <w:t xml:space="preserve">and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contingent consideration adjustment.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Also refer to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for more information on litigation settlements, net.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nine months ended September 30, 2025 totaled $351.7 million, compared to $429.8 million for the nine months ended September 30, 2024, a decrease of $78.1 million. The decrease was primarily due to the impact of 2024 debt repayments.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(Income),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(income), net includes gains and losses from divestitures of businesses, changes in the fair value of equity securities, extinguishment of debt, foreign exchange, expense (income) related to post-employment benefit plans, TSA income, and interest and dividend income. Other expense (income), net for the nine months ended September 30, 2025 totaled $499.9 million of expense, compared to $143.2 million of income for the nine months ended September 30, 2024, a decrease of $643.1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decrease was primarily driven by a loss of $499.8 million recorded in the current year period as a result of changes in the fair value of the CCPS in Biocon Biologics, compared to a net gain in the prior year period of $334.5 million related to our non-marketable equity investments, including the CCPS in Biocon Biologics, and lower interest income of $48.7 million. This was partially offset by a decrease in loss on divestitures of $216.6 million compared to the prior year period. Refer to Note 11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change in the fair value of the CCPS in Biocon Biologics.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 Provision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the Company recognized an income tax benefit of $147.2 million, compared to an income tax provision of $21.0 million for the comparable prior year period, a change of $168.2 million. The benefit in the current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year and prior year provisions were also impacted by the levels of income and the changing mix at which it is earned in jurisdictions with differing tax rates.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Cost of Sales and Adjusted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items excluded from adjusted cost of sales, adjusted EBITDA, adjusted net earnings, and adjusted EPS include:</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serif" w:hAnsi="Times New Roman;serif"/>
          <w:b w:val="false"/>
          <w:i/>
          <w:color w:val="000000"/>
          <w:sz w:val="20"/>
        </w:rPr>
        <w:t>ASC 805, Business Combinations</w:t>
      </w:r>
      <w:r>
        <w:rPr>
          <w:rFonts w:ascii="Times New Roman;serif" w:hAnsi="Times New Roman;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 and divestiture costs, including costs relating to integration and planning,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costs, incurred from time to time, related to certain special events or activities that lead to gains or losses, including, but not limited to, incremental manufacturing variances, certain remediation activities,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Gains or losses from divestitures, including impairments of held for sale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Litigation Settlements, 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and gains related to legal matters, such as those discussed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are generally excluded from adjusted EBITDA, adjusted net earnings, and adjusted EPS. Normal, ongoing defense costs of the Company made in the normal course of our business are not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Earnings to Adjusted Net Earnings and U.S. GAAP (Loss) Earnings Per Share to Adjusted EPS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net (loss) earnings and diluted (loss) earnings per share as reported under U.S. GAAP, and adjusted net earnings and adjusted EPS for the periods shown follows:</w:t>
      </w:r>
    </w:p>
    <w:tbl>
      <w:tblPr>
        <w:tblW w:w="11383" w:type="dxa"/>
        <w:jc w:val="center"/>
        <w:tblInd w:w="0" w:type="dxa"/>
        <w:tblLayout w:type="fixed"/>
        <w:tblCellMar>
          <w:top w:w="28" w:type="dxa"/>
          <w:left w:w="28" w:type="dxa"/>
          <w:bottom w:w="28" w:type="dxa"/>
          <w:right w:w="28" w:type="dxa"/>
        </w:tblCellMar>
      </w:tblPr>
      <w:tblGrid>
        <w:gridCol w:w="1146"/>
        <w:gridCol w:w="229"/>
        <w:gridCol w:w="231"/>
        <w:gridCol w:w="211"/>
        <w:gridCol w:w="631"/>
        <w:gridCol w:w="109"/>
        <w:gridCol w:w="109"/>
        <w:gridCol w:w="109"/>
        <w:gridCol w:w="109"/>
        <w:gridCol w:w="211"/>
        <w:gridCol w:w="526"/>
        <w:gridCol w:w="109"/>
        <w:gridCol w:w="109"/>
        <w:gridCol w:w="109"/>
        <w:gridCol w:w="109"/>
        <w:gridCol w:w="211"/>
        <w:gridCol w:w="616"/>
        <w:gridCol w:w="109"/>
        <w:gridCol w:w="109"/>
        <w:gridCol w:w="109"/>
        <w:gridCol w:w="109"/>
        <w:gridCol w:w="211"/>
        <w:gridCol w:w="511"/>
        <w:gridCol w:w="109"/>
        <w:gridCol w:w="109"/>
        <w:gridCol w:w="109"/>
        <w:gridCol w:w="109"/>
        <w:gridCol w:w="211"/>
        <w:gridCol w:w="781"/>
        <w:gridCol w:w="109"/>
        <w:gridCol w:w="109"/>
        <w:gridCol w:w="109"/>
        <w:gridCol w:w="109"/>
        <w:gridCol w:w="211"/>
        <w:gridCol w:w="526"/>
        <w:gridCol w:w="109"/>
        <w:gridCol w:w="109"/>
        <w:gridCol w:w="109"/>
        <w:gridCol w:w="109"/>
        <w:gridCol w:w="211"/>
        <w:gridCol w:w="766"/>
        <w:gridCol w:w="109"/>
        <w:gridCol w:w="109"/>
        <w:gridCol w:w="109"/>
        <w:gridCol w:w="109"/>
        <w:gridCol w:w="211"/>
        <w:gridCol w:w="5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6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 and U.S. GAAP diluted (loss)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accounting amortization (primarily included in cost of sales)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Impairment of goodwill </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amortization of premiums and discounts on long 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divestitures of businesses (included in other expense (income), net) </w:t>
            </w:r>
            <w:r>
              <w:rPr>
                <w:rFonts w:ascii="Times New Roman;serif" w:hAnsi="Times New Roman;serif"/>
                <w:b w:val="false"/>
                <w:color w:val="000000"/>
                <w:sz w:val="13"/>
              </w:rPr>
              <w:t>(b)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divestiture-related costs (primarily included in SG&amp;A) </w:t>
            </w:r>
            <w:r>
              <w:rPr>
                <w:rFonts w:ascii="Times New Roman;serif" w:hAnsi="Times New Roman;serif"/>
                <w:b w:val="false"/>
                <w:color w:val="000000"/>
                <w:sz w:val="13"/>
              </w:rPr>
              <w: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included in: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(income), net </w:t>
            </w:r>
            <w:r>
              <w:rPr>
                <w:rFonts w:ascii="Times New Roman;serif" w:hAnsi="Times New Roman;serif"/>
                <w:b w:val="false"/>
                <w:color w:val="000000"/>
                <w:sz w:val="13"/>
              </w:rPr>
              <w:t>(f)</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the above items and other income tax related items</w:t>
            </w:r>
            <w:r>
              <w:rPr>
                <w:color w:val="000000"/>
              </w:rPr>
              <w:t xml:space="preserve"> </w:t>
            </w:r>
            <w:r>
              <w:rPr>
                <w:rFonts w:ascii="Times New Roman;serif" w:hAnsi="Times New Roman;serif"/>
                <w:b w:val="false"/>
                <w:color w:val="000000"/>
                <w:sz w:val="13"/>
              </w:rPr>
              <w:t>(g)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Significant items include the following:</w:t>
      </w:r>
    </w:p>
    <w:p>
      <w:pPr>
        <w:pStyle w:val="TextBody"/>
        <w:bidi w:val="0"/>
        <w:spacing w:lineRule="auto" w:line="288" w:before="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For the nine months ended September 30, 2025, includes a goodwill impairment charge of $2.94 billion as a result of the interim goodwill impairment test performed as of March 31, 2025.</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For the nine months ended September 30, 2025, consists of pre-tax charges related to the divestitures primarily due to an increase in estimated transaction related costs, including the assumption of additional contractual obligations, as well as the impact of working capital and other transaction-related adjustments.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Acquisition and divestiture-related costs consist primarily of transaction costs including legal and consulting fees and integration activities.</w:t>
      </w:r>
    </w:p>
    <w:p>
      <w:pPr>
        <w:pStyle w:val="TextBody"/>
        <w:bidi w:val="0"/>
        <w:spacing w:lineRule="auto" w:line="288" w:before="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For the three and nine months ended September 30, 2025, includes approximately $13.4 million and $44.5 million, respectively, in cost of sales, and approximately $3.7 million and $90.0 million, respectively, in SG&amp;A. For the nine months ended September 30, 2025, includes approximately $2.2 million in R&amp;D.</w:t>
      </w:r>
    </w:p>
    <w:p>
      <w:pPr>
        <w:pStyle w:val="TextBody"/>
        <w:bidi w:val="0"/>
        <w:spacing w:lineRule="auto" w:line="288" w:before="0" w:after="60"/>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For the three and nine months ended September 30, 2025, includes incremental manufacturing variances at plants slated for sale or closure or undergoing remediation activities of approximately $44.7 million and $113.1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(f)</w:t>
      </w:r>
      <w:r>
        <w:rPr>
          <w:rFonts w:ascii="Times New Roman;serif" w:hAnsi="Times New Roman;serif"/>
          <w:b w:val="false"/>
          <w:color w:val="000000"/>
          <w:sz w:val="20"/>
        </w:rPr>
        <w:t>For the three and nine months ended September 30, 2025, includes a loss of approximately $100.0 million and $499.8 million, respectively, as a result of remeasuring the CCPS in Biocon Biologics to fair value.</w:t>
      </w:r>
    </w:p>
    <w:p>
      <w:pPr>
        <w:pStyle w:val="TextBody"/>
        <w:bidi w:val="0"/>
        <w:spacing w:lineRule="auto" w:line="288" w:before="0" w:after="240"/>
        <w:ind w:left="0" w:right="0" w:hanging="360"/>
        <w:jc w:val="left"/>
        <w:rPr/>
      </w:pPr>
      <w:r>
        <w:rPr>
          <w:rFonts w:ascii="Times New Roman;serif" w:hAnsi="Times New Roman;serif"/>
          <w:b w:val="false"/>
          <w:color w:val="000000"/>
          <w:sz w:val="13"/>
        </w:rPr>
        <w:t>(g)</w:t>
      </w:r>
      <w:r>
        <w:rPr>
          <w:rFonts w:ascii="Times New Roman;serif" w:hAnsi="Times New Roman;serif"/>
          <w:b w:val="false"/>
          <w:color w:val="000000"/>
          <w:sz w:val="20"/>
        </w:rPr>
        <w:t xml:space="preserve">Adjusted for changes for uncertain tax positions.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(Loss) Earnings to EBITDA and Adjusted EBITDA</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(loss) earnings to EBITDA and adjusted EBITDA for the three and nine months ended September 30, 2025 compared to the prior year period:</w:t>
      </w:r>
    </w:p>
    <w:tbl>
      <w:tblPr>
        <w:tblW w:w="10205" w:type="dxa"/>
        <w:jc w:val="left"/>
        <w:tblInd w:w="0" w:type="dxa"/>
        <w:tblLayout w:type="fixed"/>
        <w:tblCellMar>
          <w:top w:w="28" w:type="dxa"/>
          <w:left w:w="28" w:type="dxa"/>
          <w:bottom w:w="28" w:type="dxa"/>
          <w:right w:w="28" w:type="dxa"/>
        </w:tblCellMar>
      </w:tblPr>
      <w:tblGrid>
        <w:gridCol w:w="1887"/>
        <w:gridCol w:w="1377"/>
        <w:gridCol w:w="1383"/>
        <w:gridCol w:w="220"/>
        <w:gridCol w:w="803"/>
        <w:gridCol w:w="114"/>
        <w:gridCol w:w="114"/>
        <w:gridCol w:w="114"/>
        <w:gridCol w:w="114"/>
        <w:gridCol w:w="220"/>
        <w:gridCol w:w="803"/>
        <w:gridCol w:w="114"/>
        <w:gridCol w:w="109"/>
        <w:gridCol w:w="109"/>
        <w:gridCol w:w="109"/>
        <w:gridCol w:w="211"/>
        <w:gridCol w:w="825"/>
        <w:gridCol w:w="109"/>
        <w:gridCol w:w="109"/>
        <w:gridCol w:w="109"/>
        <w:gridCol w:w="109"/>
        <w:gridCol w:w="211"/>
        <w:gridCol w:w="769"/>
        <w:gridCol w:w="163"/>
      </w:tblGrid>
      <w:tr>
        <w:trPr/>
        <w:tc>
          <w:tcPr>
            <w:tcW w:w="188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(loss) earnings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(a)</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(b)</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divestitures of businesses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acquisition and divestiture-related and other special items </w:t>
            </w:r>
            <w:r>
              <w:rPr>
                <w:rFonts w:ascii="Times New Roman;serif" w:hAnsi="Times New Roman;serif"/>
                <w:b w:val="false"/>
                <w:color w:val="000000"/>
                <w:sz w:val="13"/>
              </w:rPr>
              <w:t>(c)</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See items detailed in the Reconciliation of U.S. GAAP Net (Loss) Earnings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net cash provided by operating activities, which was $1.50 billion for the nine months ended September 30, 2025.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by $320.1 million to $1.50 billion for the nine months ended September 30, 2025, as compared to net cash provided by operating activities of $1.82 billion for the nine months ended September 30, 2024. Net cash provided by operating activities is derived from net (loss) earnings adjusted for non-cash operating items, including fair value adjustments related to the Biocon Biologics CCPS investment,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net cash provided by operating activities was principally due to lower operating earnings, including as a result of divestitures that closed in 2024, the Indore Impact, and the timing of cash payments and collections.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$216.5 million for the nine months ended September 30, 2025, as compared to net cash from investing activities of $1.97 billion for the nine months ended September 30, 2024, a decrease of $2.19 billion.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investing activities included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$182.3 million. While there can be no assurance that current expectations will be realized, capital expenditures for the 2025 calendar year are expected to be approximately $300 million to $350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2024,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proceeds from the sale of assets and businesses of $2.51 billion primarily related to the divestitures of the OTC Business, the API business in India and the women’s healthcare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paid for acquisitions, net of cash acquired, of $350.0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$185.6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$1.06 billion for the nine months ended September 30, 2025, as compared to $2.91 billion for the nine months ended September 30, 2024, a decrease of $1.85 billion.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$415.4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$423.0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cash of $176.3 million paid on behalf of other partners, which is included in Other items, net.</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2024,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Senior Notes of approximately $1.54 billion;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repayment of the 1.023% Euro Senior Notes at maturity of approximately $801.7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$250.0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$431.5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receipt of $100.0 million in deferred consideration from the Biocon Biologics Transaction, and net cash of $97.2 million collected on behalf of other partners, including Biocon Biologics, which is included in Other items, net.</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totaled $975.3 million at September 30, 2025. The majority of our cash is invested in U.S. government money market funds and in bank deposits. In order to support our global operations, we maintain significant cash and cash equivalents within the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September 30, 2025, the Company did not have any borrowings outstanding under the Commercial Paper Program or the 2024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Receivables Facility for up to an aggregate amount of $600 million which expires in April 2028. As of September 30, 2025, the Company did not have any borrowings outstanding under the Receivables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 our condensed consolidated balance sheets. In addition, the agreement governing the Receivables Facility contains various customary affirmative and negative covenants, and customary default and termination provisions.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$126.8 million and $68.5 million of accounts receivable as of September 30, 2025 and December 31, 2024, respectively, under these factoring arrangements. Additionally, we have a similar arrangement for certain European countries. As of September 30, 2025 and December 31, 2024, we assigned and derecognized approximately $51.6 million and $29.9 million, respectively, of </w:t>
      </w:r>
      <w:r>
        <w:rPr>
          <w:rFonts w:ascii="Times New Roman;serif" w:hAnsi="Times New Roman;serif"/>
          <w:b w:val="false"/>
          <w:i/>
          <w:color w:val="000000"/>
          <w:sz w:val="20"/>
        </w:rPr>
        <w:t>Trade Receivables, Net</w:t>
      </w:r>
      <w:r>
        <w:rPr>
          <w:rFonts w:ascii="Times New Roman;serif" w:hAnsi="Times New Roman;serif"/>
          <w:b w:val="false"/>
          <w:color w:val="000000"/>
          <w:sz w:val="20"/>
        </w:rPr>
        <w:t xml:space="preserve">, 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information regarding our dividends paid and declared and share repurchase program, refer to Note 9 </w:t>
      </w:r>
      <w:r>
        <w:rPr>
          <w:rFonts w:ascii="Times New Roman;serif" w:hAnsi="Times New Roman;serif"/>
          <w:b w:val="false"/>
          <w:i/>
          <w:color w:val="000000"/>
          <w:sz w:val="20"/>
        </w:rPr>
        <w:t xml:space="preserve">(Loss) Earnings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in Part I, Item 1 of this Form 10-Q.</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 Maturity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debt agreements and mandatory minimum repayments remaining on the outstanding notional amount of long-term debt at September 30, 2025, refer to Note 12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 Item 1 of this Form 10-Q.</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its covenants at September 30, 2025 and expects to remain in compliance for the next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summarized financial information of Viatris Inc., Mylan Inc., Utah Acquisition Sub Inc., and Mylan II B.V. on a combined basis as of and for the nine months ended September 30, 2025 and as of and for the year ended December 31, 2024.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5"/>
        <w:gridCol w:w="767"/>
        <w:gridCol w:w="723"/>
        <w:gridCol w:w="742"/>
        <w:gridCol w:w="2147"/>
        <w:gridCol w:w="380"/>
        <w:gridCol w:w="380"/>
        <w:gridCol w:w="380"/>
        <w:gridCol w:w="380"/>
        <w:gridCol w:w="742"/>
        <w:gridCol w:w="2147"/>
        <w:gridCol w:w="542"/>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0"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Balance Sheet Information of Viatris Inc., Mylan Inc., Utah Acquisition Sub Inc. and Mylan II B.V. </w:t>
            </w:r>
          </w:p>
        </w:tc>
      </w:tr>
      <w:tr>
        <w:trPr/>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58,889.9 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61,424.7 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33,401.8 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10,849.3 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12,779.0 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3"/>
        <w:gridCol w:w="547"/>
        <w:gridCol w:w="537"/>
        <w:gridCol w:w="1023"/>
        <w:gridCol w:w="1869"/>
        <w:gridCol w:w="501"/>
        <w:gridCol w:w="501"/>
        <w:gridCol w:w="501"/>
        <w:gridCol w:w="501"/>
        <w:gridCol w:w="1018"/>
        <w:gridCol w:w="1869"/>
        <w:gridCol w:w="715"/>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Income Statement Information of Viatris Inc., Mylan Inc., Utah Acquisition Sub Inc. and Mylan II B.V. </w:t>
            </w:r>
          </w:p>
        </w:tc>
      </w:tr>
      <w:tr>
        <w:trPr/>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$481.9 million accrued for legal contingencies at September 30, 2025.</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entered into transition services and/or manufacturing and supply agreements pursuant to which the Company is providing services to the respective purchasers, substantially the same as we previously provided to the related businesses, generally for a period of up to 12 months for transition services and for periods between one to 10 years for manufacturing and supply agreements, depending on the geographic market and the products subject to such agreement, subject to potential extensions in certain circumstances. In addition, in connection with the OTC Transaction and the divestiture of our women’s healthcare business, we entered into distribution agreements for certain markets for a limited period of time. In connection with the API business divestiture, we entered into a manufacturing and supply agreement pursuant to which we are purchasing a significant amount of API from the purchaser in that transaction. Some of these agreements include various ongoing financial obligations.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Application of Critical Accounting Policies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performed the annual goodwill impairment test as of April 1, 2025. There were no significant changes from the interim goodwill test performed at March 31, 2025 and the results were consistent with the interim goodwill impairment test. Also, no triggering events have been identified since the April 1, 2025 impairment test date.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both its interim and annual goodwill impairment tests on a quantitative basis for its five reporting units, North America, Europe, Emerging Markets, JANZ, and Greater China. In estimating each reporting unit’s fair value, the Company performed an extensive valuation analysis, utilizing a discounted cash flow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the discount rate, terminal growth rates, operating income before depreciation and amortization, capital expenditures forecasts and control premiums.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March 31, 2025 interim goodwill impairment test, when compared to the prior year annual goodwill impairment test completed on April 1, 2024, the significantly increased uncertainty and volatility in the geopolitical and economic environments in which the Company operates increased the Company’s business risks, including, but not limited to, the potential for continued or additional drug pricing reduction pressures, general uncertainty related to timing of responses and approvals from the FDA resulting from evolving regulatory priorities and associated changes to the operations of the agency, and the potential for adverse impacts from future tariffs and trade restrictions. The negative impact of any or all of these factors could be material. The significant increase in business risks and uncertainty led to an increase in discount rate assumptions impacting all reporting units as compared to the April 1, 2024 annual goodwill impairment test.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2025 (prior to the impairment charges noted below), the allocation of the Company’s total goodwill was as follows: North America $3.09 billion, Europe $3.92 billion, Emerging Markets $1.17 billion, JANZ $0.30 billion and Greater China $0.92 billion.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its March 31, 2025 interim goodwill impairment test, the Company recorded the following impairment charges in the first quarter of 2025:</w:t>
      </w:r>
    </w:p>
    <w:tbl>
      <w:tblPr>
        <w:tblW w:w="8749" w:type="dxa"/>
        <w:jc w:val="left"/>
        <w:tblInd w:w="0" w:type="dxa"/>
        <w:tblLayout w:type="fixed"/>
        <w:tblCellMar>
          <w:top w:w="28" w:type="dxa"/>
          <w:left w:w="28" w:type="dxa"/>
          <w:bottom w:w="28" w:type="dxa"/>
          <w:right w:w="28" w:type="dxa"/>
        </w:tblCellMar>
      </w:tblPr>
      <w:tblGrid>
        <w:gridCol w:w="591"/>
        <w:gridCol w:w="519"/>
        <w:gridCol w:w="524"/>
        <w:gridCol w:w="270"/>
        <w:gridCol w:w="790"/>
        <w:gridCol w:w="139"/>
        <w:gridCol w:w="109"/>
        <w:gridCol w:w="109"/>
        <w:gridCol w:w="109"/>
        <w:gridCol w:w="211"/>
        <w:gridCol w:w="766"/>
        <w:gridCol w:w="109"/>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North America reporting unit at March 31, 2025 and April 1, 2025, the Company forecasted cash flows for the next 10 years. During the forecast period, the revenue compound annual growth rate was approximately 3.1%. A terminal year value was calculated with a negative 3.0% revenue growth rate applied. The discount rate utilized was 12.5% and the estimated tax rate was 24.8%.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Europe reporting unit at March 31, 2025 and April 1, 2025, the Company forecasted cash flows for the next 10 years. During the forecast period, the revenue compound annual growth rate was approximately 3.3%. A terminal year value was calculated with a 2.0% revenue growth rate applied. The discount rate utilized was 12.0% and the estimated tax rate was 15.8%.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Emerging Markets reporting unit at March 31, 2025 and April 1, 2025, the Company forecasted cash flows for the next 10 years. During the forecast period, the revenue compound annual growth rate was approximately 3.5%. A terminal year value was calculated with a 2.0% revenue growth rate applied. The discount rate utilized was 14.5% and the estimated tax rate was 16.7%.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JANZ reporting unit at March 31, 2025 and April 1, 2025, the Company forecasted cash flows for the next 10 years. During the forecast period, the revenue compound annual growth rate was approximately negative 0.9%. A terminal year value was calculated with a 1.0% revenue growth rate applied. The discount rate utilized was 8.5% and the estimated tax rate was 30.2%. After the goodwill impairment charge recorded during the first quarter of 2025, there is no remaining goodwill allocated to the JANZ reporting unit.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goodwill impairment charges recorded in these reporting units, since the carrying value of the reporting units is equal to their estimated fair value as of March 31, 2025 and April 1, 2025, if market conditions or the projected results were to negatively change, it may be necessary to record further impairment charges to one or more of these reporting units in future periods. Any such future charges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Greater China reporting unit, the estimated fair value exceeded its carrying value by approximately $322.0 million or 5.8% for both the March 31, 2025 and April 1, 2025 goodwill impairment tests. As it relates to the discounted cash flow approach for the Greater China reporting unit at March 31, 2025 and April 1, 2025, the Company forecasted cash flows for the next 10 years. During the forecast period, the revenue compound annual growth rate was approximately 1.6%. A terminal year value was calculated with a negative 1.5% revenue growth rate applied. The discount rate utilized was 15.0% and the estimated tax rate was 24.7%. If all other assumptions are held constant, a reduction in the terminal value growth rate by 3.5% or an increase in discount rate by 1.0% would result in an impairment charge for the Greater China reporting unit.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units.</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Company’s market risk, see “Item 7A. Quantitative and Qualitative Disclosures about Market Risk” in Viatris’ 2024 Form 10-K.</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September 30, 2025.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not identified any changes in the Company’s internal control over financial reporting (“ICFR”) that occurred during the third quarter of 2025 that have materially affected, or are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information regarding legal proceedings, refer to Note 17 </w:t>
      </w:r>
      <w:r>
        <w:rPr>
          <w:rFonts w:ascii="Times New Roman;serif" w:hAnsi="Times New Roman;serif"/>
          <w:b w:val="false"/>
          <w:i/>
          <w:color w:val="000000"/>
          <w:sz w:val="20"/>
        </w:rPr>
        <w:t>Litigation</w:t>
      </w:r>
      <w:r>
        <w:rPr>
          <w:rFonts w:ascii="Times New Roman;serif" w:hAnsi="Times New Roman;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in the Company’s risk factors from those disclosed in Viatris’ 2024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imposition of tariffs on, or other trade restrictions or domestic sourcing requirements in, the territories and countries where we, our partners, suppliers, or customers do business, as well as any retaliatory actions with respect to such actions, could have a material adverse effect on our business, financial condition, results of operations, cash flows, ability to pay dividends or repurchase shares, and/or stock price.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has imposed or is considering imposing tariffs on certain imports from other countries, including pharmaceutical products, ingredients and inputs, which could significantly impact our cost of doing business. The Administration has reached several bilateral trade agreements that impose tariffs on imports, including an agreement with the EU that may impose tariffs (expected not to exceed 15%) on certain brand pharmaceutical imports and may reach additional trade agreements with other trading partners that impose varying levels of tariffs.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imposition of adopted, new, announced or proposed tariffs, trade restrictions or domestic sourcing requirements on pharmaceutical imports, including but not limited to products, ingredients, and inputs (such as API), could result in increased costs of goods and prices, disruptions to our supply chain, manufacturing delays, supply shortages, and adverse impacts to clinical trials. These measures could also result in decreased profit margins on certain of our products. In particular, any future tariffs on generic drugs, ingredients, or inputs, could significantly decrease profit margins on such products. Decreased or negative profit margins have in the past, and could in the future, make the production of certain of our products unsustainable, thereby reducing our net sales as well as access for patients.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restricted in our ability to adapt, or may be unable or unsuccessful in adapting, to these impacts and challenges due to, among other things, the terms of our current customer, supply or distribution agreements, or the need to obtain regulatory approval prior to making any changes to our manufacturing locations, processes or suppliers. Existing, announced, and future tariffs, trade agreements, or domestic sourcing requirements, as well as potential exemptions, could also provide our competitors with an advantage to the extent such future impacts disproportionately affect us compared with them.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any adopted, announced, new or proposed tariffs, trade restrictions or domestic sourcing requirements on our business continues to be subject to a number of factors that we cannot predict, including, but not limited to, the scope, nature, amount, effective date and duration of any such measures. Furthermore, general uncertainty related to adopted, new or potential tariffs, trade restrictions and domestic sourcing requirements has in the past reduced and could in the future further reduce global economic activity, thereby resulting in additional adverse impacts to us.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Viatris Inc.</w:t>
      </w:r>
    </w:p>
    <w:p>
      <w:pPr>
        <w:pStyle w:val="TextBody"/>
        <w:bidi w:val="0"/>
        <w:spacing w:lineRule="auto" w:line="288" w:before="0" w:after="0"/>
        <w:ind w:left="0" w:right="0" w:firstLine="72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Issuer purchases of equity securities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54"/>
        <w:gridCol w:w="312"/>
        <w:gridCol w:w="315"/>
        <w:gridCol w:w="109"/>
        <w:gridCol w:w="109"/>
        <w:gridCol w:w="109"/>
        <w:gridCol w:w="740"/>
        <w:gridCol w:w="402"/>
        <w:gridCol w:w="403"/>
        <w:gridCol w:w="109"/>
        <w:gridCol w:w="109"/>
        <w:gridCol w:w="109"/>
        <w:gridCol w:w="266"/>
        <w:gridCol w:w="778"/>
        <w:gridCol w:w="137"/>
        <w:gridCol w:w="109"/>
        <w:gridCol w:w="109"/>
        <w:gridCol w:w="109"/>
        <w:gridCol w:w="925"/>
        <w:gridCol w:w="620"/>
        <w:gridCol w:w="622"/>
        <w:gridCol w:w="109"/>
        <w:gridCol w:w="109"/>
        <w:gridCol w:w="109"/>
        <w:gridCol w:w="324"/>
        <w:gridCol w:w="2054"/>
        <w:gridCol w:w="245"/>
      </w:tblGrid>
      <w:tr>
        <w:trPr/>
        <w:tc>
          <w:tcPr>
            <w:tcW w:w="7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Average Price Paid per Share </w:t>
            </w:r>
            <w:r>
              <w:rPr>
                <w:rFonts w:ascii="Times New Roman;serif" w:hAnsi="Times New Roman;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(a)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color w:val="000000"/>
              </w:rPr>
              <w:t xml:space="preserve"> </w:t>
            </w:r>
            <w:r>
              <w:rPr>
                <w:rFonts w:ascii="Times New Roman;serif" w:hAnsi="Times New Roman;serif"/>
                <w:b/>
                <w:color w:val="000000"/>
                <w:sz w:val="10"/>
              </w:rPr>
              <w:t>(a)</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1,077,594 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1,077,594 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1,138,357,775 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5,709,721 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5,709,721 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1,081,681,597 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6,787,315 </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6,787,315 </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1,081,681,597 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 xml:space="preserve">Refer to Part I,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Results of Operations – Recent Developments</w:t>
      </w:r>
      <w:r>
        <w:rPr>
          <w:color w:val="000000"/>
        </w:rPr>
        <w:t xml:space="preserve"> </w:t>
      </w:r>
      <w:r>
        <w:rPr>
          <w:rFonts w:ascii="Times New Roman;serif" w:hAnsi="Times New Roman;serif"/>
          <w:b w:val="false"/>
          <w:color w:val="000000"/>
          <w:sz w:val="20"/>
        </w:rPr>
        <w:t xml:space="preserve">of this Form 10-Q for additional information regarding the Company’s authorized share repurchase program. During the three months ended September 30, 2025, the Company repurchased approximately 6.8 million shares of common stock at a cost of approximately $67.9 million under this program. </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 xml:space="preserve">The number of shares purchased is based on the purchase date and not the settlement date. </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Average price per share includes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0" w:after="240"/>
        <w:jc w:val="left"/>
        <w:rPr/>
      </w:pPr>
      <w:r>
        <w:rPr>
          <w:color w:val="404040"/>
        </w:rPr>
        <w:t>    </w:t>
      </w:r>
      <w:r>
        <w:rPr>
          <w:rFonts w:ascii="Times New Roman;serif" w:hAnsi="Times New Roman;serif"/>
          <w:b w:val="false"/>
          <w:i/>
          <w:color w:val="000000"/>
          <w:sz w:val="20"/>
        </w:rPr>
        <w:t>Trading Arrangements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“officer”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7"/>
        <w:gridCol w:w="225"/>
        <w:gridCol w:w="225"/>
        <w:gridCol w:w="2854"/>
        <w:gridCol w:w="2735"/>
        <w:gridCol w:w="3909"/>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of subsidiary guarantors and issuers of guaranteed securities, filed by Viatris Inc. as Exhibit 22 to Form 10-K for the fiscal year ended December 31, 2024, and incorporated herein by reference.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50930.htm">
              <w:r>
                <w:rPr>
                  <w:rStyle w:val="InternetLink"/>
                  <w:rFonts w:ascii="Times New Roman;serif" w:hAnsi="Times New Roman;serif"/>
                  <w:b w:val="false"/>
                  <w:color w:val="0000FF"/>
                  <w:sz w:val="20"/>
                  <w:u w:val="single"/>
                </w:rPr>
                <w:t>31.1</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50930.htm">
              <w:r>
                <w:rPr>
                  <w:rStyle w:val="InternetLink"/>
                  <w:rFonts w:ascii="Times New Roman;serif" w:hAnsi="Times New Roman;serif"/>
                  <w:b w:val="false"/>
                  <w:color w:val="0000FF"/>
                  <w:sz w:val="20"/>
                  <w:u w:val="single"/>
                </w:rPr>
                <w:t>31.2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50930.htm">
              <w:r>
                <w:rPr>
                  <w:rStyle w:val="InternetLink"/>
                  <w:rFonts w:ascii="Times New Roman;serif" w:hAnsi="Times New Roman;serif"/>
                  <w:b w:val="false"/>
                  <w:color w:val="0000FF"/>
                  <w:sz w:val="20"/>
                  <w:u w:val="single"/>
                </w:rPr>
                <w:t>32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Section 906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5d7f09b83374928806c87fab9c24d33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November 6, 2025</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November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Smith,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Theodora Mistras,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Viatris Inc. (the “Company”) for the period ended September 30, 2025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2044/000179204425000008/ex_22-vtrsx20241231x10x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40770</Words>
  <Characters>230958</Characters>
  <CharactersWithSpaces>269125</CharactersWithSpaces>
  <Paragraphs>4778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