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6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180"/>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For the transition period from _____________to___________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001-39695 </w:t>
      </w:r>
    </w:p>
    <w:p>
      <w:pPr>
        <w:pStyle w:val="TextBody"/>
        <w:bidi w:val="0"/>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 xml:space="preserve">VIATRIS INC.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4197" w:type="dxa"/>
        <w:jc w:val="center"/>
        <w:tblInd w:w="0" w:type="dxa"/>
        <w:tblLayout w:type="fixed"/>
        <w:tblCellMar>
          <w:top w:w="28" w:type="dxa"/>
          <w:left w:w="28" w:type="dxa"/>
          <w:bottom w:w="28" w:type="dxa"/>
          <w:right w:w="28" w:type="dxa"/>
        </w:tblCellMar>
      </w:tblPr>
      <w:tblGrid>
        <w:gridCol w:w="884"/>
        <w:gridCol w:w="776"/>
        <w:gridCol w:w="785"/>
        <w:gridCol w:w="109"/>
        <w:gridCol w:w="109"/>
        <w:gridCol w:w="109"/>
        <w:gridCol w:w="416"/>
        <w:gridCol w:w="416"/>
        <w:gridCol w:w="593"/>
      </w:tblGrid>
      <w:tr>
        <w:trPr/>
        <w:tc>
          <w:tcPr>
            <w:tcW w:w="88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83-4364296</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w:t>
              <w:br/>
              <w:t>Identification No.)</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1000 Mylan Boulevard, Canonsburg, Pennsylvania 15317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(724) 514-1800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(Registrant’s telephone number, including area code)</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053" w:type="dxa"/>
        <w:jc w:val="center"/>
        <w:tblInd w:w="0" w:type="dxa"/>
        <w:tblLayout w:type="fixed"/>
        <w:tblCellMar>
          <w:top w:w="28" w:type="dxa"/>
          <w:left w:w="28" w:type="dxa"/>
          <w:bottom w:w="28" w:type="dxa"/>
          <w:right w:w="28" w:type="dxa"/>
        </w:tblCellMar>
      </w:tblPr>
      <w:tblGrid>
        <w:gridCol w:w="1125"/>
        <w:gridCol w:w="987"/>
        <w:gridCol w:w="993"/>
        <w:gridCol w:w="109"/>
        <w:gridCol w:w="109"/>
        <w:gridCol w:w="109"/>
        <w:gridCol w:w="519"/>
        <w:gridCol w:w="519"/>
        <w:gridCol w:w="521"/>
        <w:gridCol w:w="109"/>
        <w:gridCol w:w="109"/>
        <w:gridCol w:w="109"/>
        <w:gridCol w:w="1092"/>
        <w:gridCol w:w="1092"/>
        <w:gridCol w:w="1551"/>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VTRS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w:t>
            </w:r>
          </w:p>
        </w:tc>
      </w:tr>
    </w:tbl>
    <w:p>
      <w:pPr>
        <w:pStyle w:val="TextBody"/>
        <w:bidi w:val="0"/>
        <w:spacing w:before="0" w:after="0"/>
        <w:jc w:val="center"/>
        <w:rPr/>
      </w:pPr>
      <w:r>
        <w:rPr/>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239"/>
        <w:gridCol w:w="954"/>
        <w:gridCol w:w="898"/>
        <w:gridCol w:w="194"/>
        <w:gridCol w:w="194"/>
        <w:gridCol w:w="194"/>
        <w:gridCol w:w="194"/>
        <w:gridCol w:w="194"/>
        <w:gridCol w:w="194"/>
        <w:gridCol w:w="194"/>
        <w:gridCol w:w="194"/>
        <w:gridCol w:w="194"/>
        <w:gridCol w:w="1370"/>
        <w:gridCol w:w="1370"/>
        <w:gridCol w:w="1378"/>
        <w:gridCol w:w="194"/>
        <w:gridCol w:w="194"/>
        <w:gridCol w:w="194"/>
        <w:gridCol w:w="194"/>
        <w:gridCol w:w="194"/>
        <w:gridCol w:w="280"/>
      </w:tblGrid>
      <w:tr>
        <w:trPr/>
        <w:tc>
          <w:tcPr>
            <w:tcW w:w="123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lineRule="auto" w:line="288" w:before="20" w:after="283"/>
        <w:ind w:left="0" w:right="0" w:firstLine="495"/>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outstanding, par value $0.01 per share, of the registrant as of August 2, 2023 was 1,199,532,495.</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June 30, 2023 </w:t>
      </w:r>
    </w:p>
    <w:tbl>
      <w:tblPr>
        <w:tblW w:w="10205" w:type="dxa"/>
        <w:jc w:val="center"/>
        <w:tblInd w:w="0" w:type="dxa"/>
        <w:tblLayout w:type="fixed"/>
        <w:tblCellMar>
          <w:top w:w="28" w:type="dxa"/>
          <w:left w:w="28" w:type="dxa"/>
          <w:bottom w:w="28" w:type="dxa"/>
          <w:right w:w="28" w:type="dxa"/>
        </w:tblCellMar>
      </w:tblPr>
      <w:tblGrid>
        <w:gridCol w:w="472"/>
        <w:gridCol w:w="415"/>
        <w:gridCol w:w="419"/>
        <w:gridCol w:w="2829"/>
        <w:gridCol w:w="2777"/>
        <w:gridCol w:w="2781"/>
        <w:gridCol w:w="149"/>
        <w:gridCol w:w="149"/>
        <w:gridCol w:w="21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Financial Statements (unaudited)</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5bc149d3f47d18f12b686846d891d_19">
              <w:r>
                <w:rPr>
                  <w:rStyle w:val="InternetLink"/>
                  <w:rFonts w:ascii="Times New Roman;sans-serif" w:hAnsi="Times New Roman;sans-serif"/>
                  <w:b w:val="false"/>
                  <w:color w:val="000080"/>
                  <w:sz w:val="20"/>
                  <w:u w:val="single"/>
                </w:rPr>
                <w:t>Condensed Consolidated Statements of Operations — Three</w:t>
              </w:r>
            </w:hyperlink>
            <w:hyperlink w:anchor="ie195bc149d3f47d18f12b686846d891d_19">
              <w:r>
                <w:rPr>
                  <w:rStyle w:val="InternetLink"/>
                  <w:rFonts w:ascii="Times New Roman;sans-serif" w:hAnsi="Times New Roman;sans-serif"/>
                  <w:b w:val="false"/>
                  <w:color w:val="000080"/>
                  <w:sz w:val="20"/>
                  <w:u w:val="single"/>
                </w:rPr>
                <w:t xml:space="preserve"> </w:t>
              </w:r>
            </w:hyperlink>
            <w:hyperlink w:anchor="ie195bc149d3f47d18f12b686846d891d_19">
              <w:r>
                <w:rPr>
                  <w:rStyle w:val="InternetLink"/>
                  <w:rFonts w:ascii="Times New Roman;sans-serif" w:hAnsi="Times New Roman;sans-serif"/>
                  <w:b w:val="false"/>
                  <w:color w:val="000080"/>
                  <w:sz w:val="20"/>
                  <w:u w:val="single"/>
                </w:rPr>
                <w:t>and Six</w:t>
              </w:r>
            </w:hyperlink>
            <w:hyperlink w:anchor="ie195bc149d3f47d18f12b686846d891d_19">
              <w:r>
                <w:rPr>
                  <w:rStyle w:val="InternetLink"/>
                  <w:rFonts w:ascii="Times New Roman;sans-serif" w:hAnsi="Times New Roman;sans-serif"/>
                  <w:b w:val="false"/>
                  <w:color w:val="000080"/>
                  <w:sz w:val="20"/>
                  <w:u w:val="single"/>
                </w:rPr>
                <w:t xml:space="preserve"> Months Ended </w:t>
              </w:r>
            </w:hyperlink>
            <w:hyperlink w:anchor="ie195bc149d3f47d18f12b686846d891d_19">
              <w:r>
                <w:rPr>
                  <w:rStyle w:val="InternetLink"/>
                  <w:rFonts w:ascii="Times New Roman;sans-serif" w:hAnsi="Times New Roman;sans-serif"/>
                  <w:b w:val="false"/>
                  <w:color w:val="000080"/>
                  <w:sz w:val="20"/>
                  <w:u w:val="single"/>
                </w:rPr>
                <w:t>June 30</w:t>
              </w:r>
            </w:hyperlink>
            <w:hyperlink w:anchor="ie195bc149d3f47d18f12b686846d891d_19">
              <w:r>
                <w:rPr>
                  <w:rStyle w:val="InternetLink"/>
                  <w:rFonts w:ascii="Times New Roman;sans-serif" w:hAnsi="Times New Roman;sans-serif"/>
                  <w:b w:val="false"/>
                  <w:color w:val="000080"/>
                  <w:sz w:val="20"/>
                  <w:u w:val="single"/>
                </w:rPr>
                <w:t>,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95bc149d3f47d18f12b686846d891d_19">
              <w:r>
                <w:rPr>
                  <w:rStyle w:val="InternetLink"/>
                  <w:rFonts w:ascii="Times New Roman;sans-serif" w:hAnsi="Times New Roman;sans-serif"/>
                  <w:b w:val="false"/>
                  <w:color w:val="0000FF"/>
                  <w:sz w:val="20"/>
                  <w:u w:val="single"/>
                </w:rPr>
                <w:t>7</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5bc149d3f47d18f12b686846d891d_22">
              <w:r>
                <w:rPr>
                  <w:rStyle w:val="InternetLink"/>
                  <w:rFonts w:ascii="Times New Roman;sans-serif" w:hAnsi="Times New Roman;sans-serif"/>
                  <w:b w:val="false"/>
                  <w:color w:val="000080"/>
                  <w:sz w:val="20"/>
                  <w:u w:val="single"/>
                </w:rPr>
                <w:t>Condensed Consolidated Statements of Comprehensive Earnings</w:t>
              </w:r>
            </w:hyperlink>
            <w:hyperlink w:anchor="ie195bc149d3f47d18f12b686846d891d_22">
              <w:r>
                <w:rPr>
                  <w:rStyle w:val="InternetLink"/>
                  <w:rFonts w:ascii="Times New Roman;sans-serif" w:hAnsi="Times New Roman;sans-serif"/>
                  <w:b w:val="false"/>
                  <w:color w:val="000080"/>
                  <w:sz w:val="20"/>
                  <w:u w:val="single"/>
                </w:rPr>
                <w:t xml:space="preserve"> (Loss)</w:t>
              </w:r>
            </w:hyperlink>
            <w:hyperlink w:anchor="ie195bc149d3f47d18f12b686846d891d_22">
              <w:r>
                <w:rPr>
                  <w:rStyle w:val="InternetLink"/>
                  <w:rFonts w:ascii="Times New Roman;sans-serif" w:hAnsi="Times New Roman;sans-serif"/>
                  <w:b w:val="false"/>
                  <w:color w:val="000080"/>
                  <w:sz w:val="20"/>
                  <w:u w:val="single"/>
                </w:rPr>
                <w:t xml:space="preserve"> — Three </w:t>
              </w:r>
            </w:hyperlink>
            <w:hyperlink w:anchor="ie195bc149d3f47d18f12b686846d891d_22">
              <w:r>
                <w:rPr>
                  <w:rStyle w:val="InternetLink"/>
                  <w:rFonts w:ascii="Times New Roman;sans-serif" w:hAnsi="Times New Roman;sans-serif"/>
                  <w:b w:val="false"/>
                  <w:color w:val="000080"/>
                  <w:sz w:val="20"/>
                  <w:u w:val="single"/>
                </w:rPr>
                <w:t xml:space="preserve">and Six </w:t>
              </w:r>
            </w:hyperlink>
            <w:hyperlink w:anchor="ie195bc149d3f47d18f12b686846d891d_22">
              <w:r>
                <w:rPr>
                  <w:rStyle w:val="InternetLink"/>
                  <w:rFonts w:ascii="Times New Roman;sans-serif" w:hAnsi="Times New Roman;sans-serif"/>
                  <w:b w:val="false"/>
                  <w:color w:val="000080"/>
                  <w:sz w:val="20"/>
                  <w:u w:val="single"/>
                </w:rPr>
                <w:t xml:space="preserve">Months Ended </w:t>
              </w:r>
            </w:hyperlink>
            <w:hyperlink w:anchor="ie195bc149d3f47d18f12b686846d891d_22">
              <w:r>
                <w:rPr>
                  <w:rStyle w:val="InternetLink"/>
                  <w:rFonts w:ascii="Times New Roman;sans-serif" w:hAnsi="Times New Roman;sans-serif"/>
                  <w:b w:val="false"/>
                  <w:color w:val="000080"/>
                  <w:sz w:val="20"/>
                  <w:u w:val="single"/>
                </w:rPr>
                <w:t>June 30</w:t>
              </w:r>
            </w:hyperlink>
            <w:hyperlink w:anchor="ie195bc149d3f47d18f12b686846d891d_22">
              <w:r>
                <w:rPr>
                  <w:rStyle w:val="InternetLink"/>
                  <w:rFonts w:ascii="Times New Roman;sans-serif" w:hAnsi="Times New Roman;sans-serif"/>
                  <w:b w:val="false"/>
                  <w:color w:val="000080"/>
                  <w:sz w:val="20"/>
                  <w:u w:val="single"/>
                </w:rPr>
                <w:t>,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95bc149d3f47d18f12b686846d891d_22">
              <w:r>
                <w:rPr>
                  <w:rStyle w:val="InternetLink"/>
                  <w:rFonts w:ascii="Times New Roman;sans-serif" w:hAnsi="Times New Roman;sans-serif"/>
                  <w:b w:val="false"/>
                  <w:color w:val="0000FF"/>
                  <w:sz w:val="20"/>
                  <w:u w:val="single"/>
                </w:rPr>
                <w:t>8</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5bc149d3f47d18f12b686846d891d_25">
              <w:r>
                <w:rPr>
                  <w:rStyle w:val="InternetLink"/>
                  <w:rFonts w:ascii="Times New Roman;sans-serif" w:hAnsi="Times New Roman;sans-serif"/>
                  <w:b w:val="false"/>
                  <w:color w:val="000080"/>
                  <w:sz w:val="20"/>
                  <w:u w:val="single"/>
                </w:rPr>
                <w:t xml:space="preserve">Condensed Consolidated Balance Sheets — </w:t>
              </w:r>
            </w:hyperlink>
            <w:hyperlink w:anchor="ie195bc149d3f47d18f12b686846d891d_25">
              <w:r>
                <w:rPr>
                  <w:rStyle w:val="InternetLink"/>
                  <w:rFonts w:ascii="Times New Roman;sans-serif" w:hAnsi="Times New Roman;sans-serif"/>
                  <w:b w:val="false"/>
                  <w:color w:val="000080"/>
                  <w:sz w:val="20"/>
                  <w:u w:val="single"/>
                </w:rPr>
                <w:t>June 30</w:t>
              </w:r>
            </w:hyperlink>
            <w:hyperlink w:anchor="ie195bc149d3f47d18f12b686846d891d_25">
              <w:r>
                <w:rPr>
                  <w:rStyle w:val="InternetLink"/>
                  <w:rFonts w:ascii="Times New Roman;sans-serif" w:hAnsi="Times New Roman;sans-serif"/>
                  <w:b w:val="false"/>
                  <w:color w:val="000080"/>
                  <w:sz w:val="20"/>
                  <w:u w:val="single"/>
                </w:rPr>
                <w:t>, 2023 and December 31,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95bc149d3f47d18f12b686846d891d_25">
              <w:r>
                <w:rPr>
                  <w:rStyle w:val="InternetLink"/>
                  <w:rFonts w:ascii="Times New Roman;sans-serif" w:hAnsi="Times New Roman;sans-serif"/>
                  <w:b w:val="false"/>
                  <w:color w:val="0000FF"/>
                  <w:sz w:val="20"/>
                  <w:u w:val="single"/>
                </w:rPr>
                <w:t>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5bc149d3f47d18f12b686846d891d_31">
              <w:r>
                <w:rPr>
                  <w:rStyle w:val="InternetLink"/>
                  <w:rFonts w:ascii="Times New Roman;sans-serif" w:hAnsi="Times New Roman;sans-serif"/>
                  <w:b w:val="false"/>
                  <w:color w:val="000080"/>
                  <w:sz w:val="20"/>
                  <w:u w:val="single"/>
                </w:rPr>
                <w:t xml:space="preserve">Condensed Consolidated Statements of Equity — Three </w:t>
              </w:r>
            </w:hyperlink>
            <w:hyperlink w:anchor="ie195bc149d3f47d18f12b686846d891d_31">
              <w:r>
                <w:rPr>
                  <w:rStyle w:val="InternetLink"/>
                  <w:rFonts w:ascii="Times New Roman;sans-serif" w:hAnsi="Times New Roman;sans-serif"/>
                  <w:b w:val="false"/>
                  <w:color w:val="000080"/>
                  <w:sz w:val="20"/>
                  <w:u w:val="single"/>
                </w:rPr>
                <w:t xml:space="preserve">and Six </w:t>
              </w:r>
            </w:hyperlink>
            <w:hyperlink w:anchor="ie195bc149d3f47d18f12b686846d891d_31">
              <w:r>
                <w:rPr>
                  <w:rStyle w:val="InternetLink"/>
                  <w:rFonts w:ascii="Times New Roman;sans-serif" w:hAnsi="Times New Roman;sans-serif"/>
                  <w:b w:val="false"/>
                  <w:color w:val="000080"/>
                  <w:sz w:val="20"/>
                  <w:u w:val="single"/>
                </w:rPr>
                <w:t xml:space="preserve">Months Ended </w:t>
              </w:r>
            </w:hyperlink>
            <w:hyperlink w:anchor="ie195bc149d3f47d18f12b686846d891d_31">
              <w:r>
                <w:rPr>
                  <w:rStyle w:val="InternetLink"/>
                  <w:rFonts w:ascii="Times New Roman;sans-serif" w:hAnsi="Times New Roman;sans-serif"/>
                  <w:b w:val="false"/>
                  <w:color w:val="000080"/>
                  <w:sz w:val="20"/>
                  <w:u w:val="single"/>
                </w:rPr>
                <w:t>June 30</w:t>
              </w:r>
            </w:hyperlink>
            <w:hyperlink w:anchor="ie195bc149d3f47d18f12b686846d891d_31">
              <w:r>
                <w:rPr>
                  <w:rStyle w:val="InternetLink"/>
                  <w:rFonts w:ascii="Times New Roman;sans-serif" w:hAnsi="Times New Roman;sans-serif"/>
                  <w:b w:val="false"/>
                  <w:color w:val="000080"/>
                  <w:sz w:val="20"/>
                  <w:u w:val="single"/>
                </w:rPr>
                <w:t>,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95bc149d3f47d18f12b686846d891d_31">
              <w:r>
                <w:rPr>
                  <w:rStyle w:val="InternetLink"/>
                  <w:rFonts w:ascii="Times New Roman;sans-serif" w:hAnsi="Times New Roman;sans-serif"/>
                  <w:b w:val="false"/>
                  <w:color w:val="0000FF"/>
                  <w:sz w:val="20"/>
                  <w:u w:val="single"/>
                </w:rPr>
                <w:t>10</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5bc149d3f47d18f12b686846d891d_34">
              <w:r>
                <w:rPr>
                  <w:rStyle w:val="InternetLink"/>
                  <w:rFonts w:ascii="Times New Roman;sans-serif" w:hAnsi="Times New Roman;sans-serif"/>
                  <w:b w:val="false"/>
                  <w:color w:val="000080"/>
                  <w:sz w:val="20"/>
                  <w:u w:val="single"/>
                </w:rPr>
                <w:t xml:space="preserve">Condensed Consolidated Statements of Cash Flows — </w:t>
              </w:r>
            </w:hyperlink>
            <w:hyperlink w:anchor="ie195bc149d3f47d18f12b686846d891d_34">
              <w:r>
                <w:rPr>
                  <w:rStyle w:val="InternetLink"/>
                  <w:rFonts w:ascii="Times New Roman;sans-serif" w:hAnsi="Times New Roman;sans-serif"/>
                  <w:b w:val="false"/>
                  <w:color w:val="000080"/>
                  <w:sz w:val="20"/>
                  <w:u w:val="single"/>
                </w:rPr>
                <w:t>Six</w:t>
              </w:r>
            </w:hyperlink>
            <w:hyperlink w:anchor="ie195bc149d3f47d18f12b686846d891d_34">
              <w:r>
                <w:rPr>
                  <w:rStyle w:val="InternetLink"/>
                  <w:rFonts w:ascii="Times New Roman;sans-serif" w:hAnsi="Times New Roman;sans-serif"/>
                  <w:b w:val="false"/>
                  <w:color w:val="000080"/>
                  <w:sz w:val="20"/>
                  <w:u w:val="single"/>
                </w:rPr>
                <w:t xml:space="preserve"> Months Ended </w:t>
              </w:r>
            </w:hyperlink>
            <w:hyperlink w:anchor="ie195bc149d3f47d18f12b686846d891d_34">
              <w:r>
                <w:rPr>
                  <w:rStyle w:val="InternetLink"/>
                  <w:rFonts w:ascii="Times New Roman;sans-serif" w:hAnsi="Times New Roman;sans-serif"/>
                  <w:b w:val="false"/>
                  <w:color w:val="000080"/>
                  <w:sz w:val="20"/>
                  <w:u w:val="single"/>
                </w:rPr>
                <w:t>June 30</w:t>
              </w:r>
            </w:hyperlink>
            <w:hyperlink w:anchor="ie195bc149d3f47d18f12b686846d891d_34">
              <w:r>
                <w:rPr>
                  <w:rStyle w:val="InternetLink"/>
                  <w:rFonts w:ascii="Times New Roman;sans-serif" w:hAnsi="Times New Roman;sans-serif"/>
                  <w:b w:val="false"/>
                  <w:color w:val="000080"/>
                  <w:sz w:val="20"/>
                  <w:u w:val="single"/>
                </w:rPr>
                <w:t>,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95bc149d3f47d18f12b686846d891d_34">
              <w:r>
                <w:rPr>
                  <w:rStyle w:val="InternetLink"/>
                  <w:rFonts w:ascii="Times New Roman;sans-serif" w:hAnsi="Times New Roman;sans-serif"/>
                  <w:b w:val="false"/>
                  <w:color w:val="0000FF"/>
                  <w:sz w:val="20"/>
                  <w:u w:val="single"/>
                </w:rPr>
                <w:t>12</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5bc149d3f47d18f12b686846d891d_37">
              <w:r>
                <w:rPr>
                  <w:rStyle w:val="InternetLink"/>
                  <w:rFonts w:ascii="Times New Roman;sans-serif" w:hAnsi="Times New Roman;sans-serif"/>
                  <w:b w:val="false"/>
                  <w:color w:val="0000FF"/>
                  <w:sz w:val="20"/>
                  <w:u w:val="single"/>
                </w:rPr>
                <w:t>Notes to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95bc149d3f47d18f12b686846d891d_37">
              <w:r>
                <w:rPr>
                  <w:rStyle w:val="InternetLink"/>
                  <w:rFonts w:ascii="Times New Roman;sans-serif" w:hAnsi="Times New Roman;sans-serif"/>
                  <w:b w:val="false"/>
                  <w:color w:val="0000FF"/>
                  <w:sz w:val="20"/>
                  <w:u w:val="single"/>
                </w:rPr>
                <w:t>13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5bc149d3f47d18f12b686846d891d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95bc149d3f47d18f12b686846d891d_103">
              <w:r>
                <w:rPr>
                  <w:rStyle w:val="InternetLink"/>
                  <w:rFonts w:ascii="Times New Roman;sans-serif" w:hAnsi="Times New Roman;sans-serif"/>
                  <w:b w:val="false"/>
                  <w:color w:val="0000FF"/>
                  <w:sz w:val="20"/>
                  <w:u w:val="single"/>
                </w:rPr>
                <w:t>52</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5bc149d3f47d18f12b686846d891d_130">
              <w:r>
                <w:rPr>
                  <w:rStyle w:val="InternetLink"/>
                  <w:rFonts w:ascii="Times New Roman;sans-serif" w:hAnsi="Times New Roman;sans-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95bc149d3f47d18f12b686846d891d_130">
              <w:r>
                <w:rPr>
                  <w:rStyle w:val="InternetLink"/>
                  <w:rFonts w:ascii="Times New Roman;sans-serif" w:hAnsi="Times New Roman;sans-serif"/>
                  <w:b w:val="false"/>
                  <w:color w:val="0000FF"/>
                  <w:sz w:val="20"/>
                  <w:u w:val="single"/>
                </w:rPr>
                <w:t>73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5bc149d3f47d18f12b686846d891d_133">
              <w:r>
                <w:rPr>
                  <w:rStyle w:val="InternetLink"/>
                  <w:rFonts w:ascii="Times New Roman;sans-serif" w:hAnsi="Times New Roman;sans-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95bc149d3f47d18f12b686846d891d_133">
              <w:r>
                <w:rPr>
                  <w:rStyle w:val="InternetLink"/>
                  <w:rFonts w:ascii="Times New Roman;sans-serif" w:hAnsi="Times New Roman;sans-serif"/>
                  <w:b w:val="false"/>
                  <w:color w:val="0000FF"/>
                  <w:sz w:val="20"/>
                  <w:u w:val="single"/>
                </w:rPr>
                <w:t>73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5bc149d3f47d18f12b686846d891d_139">
              <w:r>
                <w:rPr>
                  <w:rStyle w:val="InternetLink"/>
                  <w:rFonts w:ascii="Times New Roman;sans-serif" w:hAnsi="Times New Roman;sans-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95bc149d3f47d18f12b686846d891d_139">
              <w:r>
                <w:rPr>
                  <w:rStyle w:val="InternetLink"/>
                  <w:rFonts w:ascii="Times New Roman;sans-serif" w:hAnsi="Times New Roman;sans-serif"/>
                  <w:b w:val="false"/>
                  <w:color w:val="0000FF"/>
                  <w:sz w:val="20"/>
                  <w:u w:val="single"/>
                </w:rPr>
                <w:t>74</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5bc149d3f47d18f12b686846d891d_142">
              <w:r>
                <w:rPr>
                  <w:rStyle w:val="InternetLink"/>
                  <w:rFonts w:ascii="Times New Roman;sans-serif" w:hAnsi="Times New Roman;sans-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95bc149d3f47d18f12b686846d891d_142">
              <w:r>
                <w:rPr>
                  <w:rStyle w:val="InternetLink"/>
                  <w:rFonts w:ascii="Times New Roman;sans-serif" w:hAnsi="Times New Roman;sans-serif"/>
                  <w:b w:val="false"/>
                  <w:color w:val="0000FF"/>
                  <w:sz w:val="20"/>
                  <w:u w:val="single"/>
                </w:rPr>
                <w:t>74</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5bc149d3f47d18f12b686846d891d_145">
              <w:r>
                <w:rPr>
                  <w:rStyle w:val="InternetLink"/>
                  <w:rFonts w:ascii="Times New Roman;sans-serif" w:hAnsi="Times New Roman;sans-serif"/>
                  <w:b w:val="false"/>
                  <w:color w:val="0000FF"/>
                  <w:sz w:val="20"/>
                  <w:u w:val="single"/>
                </w:rPr>
                <w:t>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95bc149d3f47d18f12b686846d891d_145">
              <w:r>
                <w:rPr>
                  <w:rStyle w:val="InternetLink"/>
                  <w:rFonts w:ascii="Times New Roman;sans-serif" w:hAnsi="Times New Roman;sans-serif"/>
                  <w:b w:val="false"/>
                  <w:color w:val="0000FF"/>
                  <w:sz w:val="20"/>
                  <w:u w:val="single"/>
                </w:rPr>
                <w:t>74</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5bc149d3f47d18f12b686846d891d_148">
              <w:r>
                <w:rPr>
                  <w:rStyle w:val="InternetLink"/>
                  <w:rFonts w:ascii="Times New Roman;sans-serif" w:hAnsi="Times New Roman;sans-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95bc149d3f47d18f12b686846d891d_148">
              <w:r>
                <w:rPr>
                  <w:rStyle w:val="InternetLink"/>
                  <w:rFonts w:ascii="Times New Roman;sans-serif" w:hAnsi="Times New Roman;sans-serif"/>
                  <w:b w:val="false"/>
                  <w:color w:val="0000FF"/>
                  <w:sz w:val="20"/>
                  <w:u w:val="single"/>
                </w:rPr>
                <w:t>74</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5bc149d3f47d18f12b686846d891d_151">
              <w:r>
                <w:rPr>
                  <w:rStyle w:val="InternetLink"/>
                  <w:rFonts w:ascii="Times New Roman;sans-serif" w:hAnsi="Times New Roman;sans-serif"/>
                  <w:b w:val="false"/>
                  <w:color w:val="0000FF"/>
                  <w:sz w:val="20"/>
                  <w:u w:val="single"/>
                </w:rPr>
                <w:t>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95bc149d3f47d18f12b686846d891d_151">
              <w:r>
                <w:rPr>
                  <w:rStyle w:val="InternetLink"/>
                  <w:rFonts w:ascii="Times New Roman;sans-serif" w:hAnsi="Times New Roman;sans-serif"/>
                  <w:b w:val="false"/>
                  <w:color w:val="0000FF"/>
                  <w:sz w:val="20"/>
                  <w:u w:val="single"/>
                </w:rPr>
                <w:t>75</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95bc149d3f47d18f12b686846d891d_154">
              <w:r>
                <w:rPr>
                  <w:rStyle w:val="InternetLink"/>
                  <w:rFonts w:ascii="Times New Roman;sans-serif" w:hAnsi="Times New Roman;sans-serif"/>
                  <w:b w:val="false"/>
                  <w:color w:val="0000FF"/>
                  <w:sz w:val="20"/>
                  <w:u w:val="single"/>
                </w:rPr>
                <w:t>SIGNATURES</w:t>
              </w:r>
            </w:hyperlink>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95bc149d3f47d18f12b686846d891d_154">
              <w:r>
                <w:rPr>
                  <w:rStyle w:val="InternetLink"/>
                  <w:rFonts w:ascii="Times New Roman;sans-serif" w:hAnsi="Times New Roman;sans-serif"/>
                  <w:b w:val="false"/>
                  <w:color w:val="0000FF"/>
                  <w:sz w:val="20"/>
                  <w:u w:val="single"/>
                </w:rPr>
                <w:t>76</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Glossary of Defined Terms</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2"/>
        <w:gridCol w:w="489"/>
        <w:gridCol w:w="417"/>
        <w:gridCol w:w="2658"/>
        <w:gridCol w:w="2423"/>
        <w:gridCol w:w="3436"/>
      </w:tblGrid>
      <w:tr>
        <w:trPr/>
        <w:tc>
          <w:tcPr>
            <w:tcW w:w="78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2003 LTIP</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N.V. Amended and Restated 2003 Long-Term Incentive Plan</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Incentive Plan</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2020 Stock Incentive Plan</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2022 Form 10-K </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annual report on Form 10-K for the fiscal year ended December 31, 2022, as amended </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 that the Company believes is appropriate to provide information to investors - EBITDA (defined below) is further adjusted for share-based compensation expense, litigation settlements, and other contingencies, net, restructuring and other special items</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ANDA</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Abbreviated New Drug Application</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AOCE</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earnings</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API</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pharmaceutical ingredient</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ARV</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Antiretroviral medicines</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Limited</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Biologics</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Biologics Limited, a majority owned subsidiary of Biocon</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Biologics Transaction</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between Viatris and Biocon Biologics pursuant to which Viatris contributed its biosimilars portfolio, composed of the Biocon collaboration programs, biosimilars to Humira®, Enbrel®, and Eylea®, as well as related assets and liabilities to Biocon Biologics</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Biocon Agreement</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agreement between Viatris and Biocon Biologics, dated February 27, 2022, relating to the Biocon Biologics Transaction, as amended from time to time by that certain Amendment No. 1 to Transaction Agreement, dated November 28, 2022 and that certain Omnibus Amendment No. 1, dated May 17, 2023</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Biogen</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Biogen MA Inc. and Biogen International GmbH, collectively </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Agreement</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Agreement, dated as of July 29, 2019, as amended from time to time, among Viatris, Mylan, Pfizer and certain of their affiliates</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CCPS</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Compulsory convertible preferred shares</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8517"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Internal Revenue Code of 1986, as amended</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Refers to Mylan combining with Pfizer's Upjohn Business in a Reverse Morris Trust transaction to form Viatris on November 16, 2020</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Program</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$1.65 billion unsecured commercial paper program entered into as of November 16, 2020 by Viatris, as issuer, Mylan Inc., Utah Acquisition Sub Inc. and Mylan II B.V., as guarantors, and certain dealers from time to time</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Novel coronavirus disease of 2019</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CP Notes</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short-term commercial paper notes issued pursuant to the Commercial Paper Program</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 segment</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our operations primarily in the following markets: North America and Europe</w:t>
            </w:r>
          </w:p>
        </w:tc>
      </w:tr>
      <w:tr>
        <w:trPr/>
        <w:tc>
          <w:tcPr>
            <w:tcW w:w="168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w:t>
            </w:r>
          </w:p>
        </w:tc>
        <w:tc>
          <w:tcPr>
            <w:tcW w:w="851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distribution to Pfizer stockholders all the issued and outstanding shares of Upjohn Inc.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14"/>
        <w:gridCol w:w="506"/>
        <w:gridCol w:w="518"/>
        <w:gridCol w:w="2664"/>
        <w:gridCol w:w="2361"/>
        <w:gridCol w:w="3342"/>
      </w:tblGrid>
      <w:tr>
        <w:trPr/>
        <w:tc>
          <w:tcPr>
            <w:tcW w:w="81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2" w:type="dxa"/>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DOJ</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Justice</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 that the Company believes is appropriate to provide information to investors - U.S. GAAP net earnings (loss) adjusted for net contribution attributable to equity method investments, income tax provision (benefit), interest expense and depreciation and amortization</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EDPA</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District Court for the Eastern District of Pennsylvania</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 segment</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but is not limited to, our operations primarily in the following markets: Parts of Asia, the Middle East, South and Central America, Africa, and Eastern Europe</w:t>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8367"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 Act </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Famy Life Sciences</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Famy Life Sciences Private Limited</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FDA</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Food and Drug Administration</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10-Q</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 the quarterly period ended June 30, 2023</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 Depot</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Long-acting glatiramer acetate depot product</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Systemically Important Banks</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institutions that are considered systemically important by the Financial Stability Board.</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 segment</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our operations primarily in the following markets: China, Taiwan and Hong Kong</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Gx</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 drugs</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IRS</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Internal Revenue Service</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technology</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 segment</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business segment that includes our operations in the following markets: Japan, Australia and New Zealand</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Lilly</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 Lilly and Company</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Mapi</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Mapi Pharma Ltd.</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Maximum Leverage Ratio </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consolidated leverage ratio financial covenant requiring maintenance of a maximum ratio of consolidated total indebtedness as of the end of any quarter to consolidated EBITDA for the trailing four quarters as defined in the related credit agreements from time to time</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MDL</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Multidistrict litigation</w:t>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8367"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N.V. and its subsidiaries</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Mylan Inc. U.S. Dollar Notes</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4.200% Senior Notes due 2023, 4.550% Senior Notes due 2028, 5.400% Senior Notes due 2043 and 5.200% Senior Notes due 2048 issued by Mylan Inc., which are fully and unconditionally guaranteed on a senior unsecured basis by Mylan II B.V., Viatris Inc. and Utah Acquisition Sub Inc.</w:t>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8367"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NDA</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drug application</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NHS</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Health Services</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Securitization Facility</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note securitization facility entered into in August 2022 for borrowings up to $200 million and expiring in August 2023</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OTC</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Over-the-counter</w:t>
            </w:r>
          </w:p>
        </w:tc>
      </w:tr>
      <w:tr>
        <w:trPr/>
        <w:tc>
          <w:tcPr>
            <w:tcW w:w="18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Oyster Point</w:t>
            </w:r>
          </w:p>
        </w:tc>
        <w:tc>
          <w:tcPr>
            <w:tcW w:w="836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Oyster Point Pharma, Inc.</w:t>
            </w:r>
          </w:p>
        </w:tc>
      </w:tr>
      <w:tr>
        <w:trPr/>
        <w:tc>
          <w:tcPr>
            <w:tcW w:w="18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w:t>
            </w:r>
          </w:p>
        </w:tc>
        <w:tc>
          <w:tcPr>
            <w:tcW w:w="836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 Inc.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72"/>
        <w:gridCol w:w="469"/>
        <w:gridCol w:w="473"/>
        <w:gridCol w:w="2725"/>
        <w:gridCol w:w="2463"/>
        <w:gridCol w:w="3503"/>
      </w:tblGrid>
      <w:tr>
        <w:trPr/>
        <w:tc>
          <w:tcPr>
            <w:tcW w:w="57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$400 million accounts receivable entered into in August 2020 and expiring in April 2025</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Registered Upjohn Notes</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1.650% Senior Notes due 2025, 2.300% Senior Notes due 2027, 2.700% Senior Notes due 2030, 3.850% Senior Notes due 2040 and 4.000% Senior Notes due 2050 originally issued on October 29, 2021 registered with the SEC in exchange for the corresponding Unregistered Upjohn U.S. Dollar Notes in a similar aggregate principal amount and with terms substantially identical to the corresponding Unregistered Upjohn U.S. Dollar Notes and fully and unconditionally guaranteed by Mylan Inc., Mylan II B.V. and Utah Acquisition Sub Inc.</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Respiratory Delivery Platform</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proprietary dry powder inhaler delivery platform</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nonvested restricted stock and restricted stock unit awards, including PSUs</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Facility</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$4.0 billion revolving facility dated as of July 1, 2021, by and among Viatris, certain lenders and issuing banks from time to time party thereto and Bank of America, N.A., as administrative agent</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RICO</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Racketeer Influenced and Corrupt Organizations Act</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unvested restricted stock unit awards</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Sanofi</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Sanofi-Aventis U.S., LLC</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SARs</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SDNY</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District Court for the Southern District of New York</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U.S. Dollar Notes</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Upjohn U.S. Dollar Notes, the Utah U.S. Dollar Notes and the Mylan Inc. U.S. Dollar Notes, collectively</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and Distribution Agreement</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and Distribution Agreement between Viatris and Pfizer, dated as of July 29, 2019, as amended from time to time</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financial rate</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SARs</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Teva</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Teva Pharmaceutical Industries Ltd.</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TSA</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agreement</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U.S.</w:t>
            </w:r>
          </w:p>
        </w:tc>
      </w:tr>
      <w:tr>
        <w:trPr/>
        <w:tc>
          <w:tcPr>
            <w:tcW w:w="15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Upjohn U.S. Dollar Notes</w:t>
            </w:r>
          </w:p>
        </w:tc>
        <w:tc>
          <w:tcPr>
            <w:tcW w:w="86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1.650% Senior Notes due 2025, 2.300% Senior Notes due 2027, 2.700% Senior Notes due 2030, 3.850% Senior Notes due 2040 and 4.000% Senior Notes due 2050 originally issued on June 22, 2020 by Upjohn Inc. (now Viatris Inc.) in a private offering exempt from the registration requirements of the Securities Act and fully and unconditionally guaranteed by Mylan Inc., Mylan II B.V. and Utah Acquisition Sub Inc.</w:t>
            </w:r>
          </w:p>
        </w:tc>
      </w:tr>
      <w:tr>
        <w:trPr/>
        <w:tc>
          <w:tcPr>
            <w:tcW w:w="15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w:t>
            </w:r>
          </w:p>
        </w:tc>
        <w:tc>
          <w:tcPr>
            <w:tcW w:w="869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Inc., a wholly owned subsidiary of Pfizer prior to the Distribution, that combined with Mylan and was renamed Viatris Inc.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61"/>
        <w:gridCol w:w="451"/>
        <w:gridCol w:w="453"/>
        <w:gridCol w:w="2611"/>
        <w:gridCol w:w="2489"/>
        <w:gridCol w:w="3540"/>
      </w:tblGrid>
      <w:tr>
        <w:trPr/>
        <w:tc>
          <w:tcPr>
            <w:tcW w:w="66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Business</w:t>
            </w:r>
          </w:p>
        </w:tc>
        <w:tc>
          <w:tcPr>
            <w:tcW w:w="86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Pfizer’s off-patent branded and generic established medicines business that, in connection with the Combination, was separated from Pfizer and combined with Mylan to form Viatris</w:t>
            </w:r>
          </w:p>
        </w:tc>
      </w:tr>
      <w:tr>
        <w:trPr/>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Distributor Markets</w:t>
            </w:r>
          </w:p>
        </w:tc>
        <w:tc>
          <w:tcPr>
            <w:tcW w:w="86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Select geographic markets that were part of the Combination that are smaller in nature and in which we had no established infrastructure prior to or following the Combination and that the Company intends to divest</w:t>
            </w:r>
          </w:p>
        </w:tc>
      </w:tr>
      <w:tr>
        <w:trPr/>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Upjohn U.S. Dollar Notes</w:t>
            </w:r>
          </w:p>
        </w:tc>
        <w:tc>
          <w:tcPr>
            <w:tcW w:w="86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denominated in U.S. dollars and originally issued by Upjohn Inc. or Viatris Inc. pursuant to an indenture dated June 22, 2020 and fully and unconditionally guaranteed by Mylan Inc., Mylan II B.V. and Utah Acquisition Sub Inc.</w:t>
            </w:r>
          </w:p>
        </w:tc>
      </w:tr>
      <w:tr>
        <w:trPr/>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Acquisition Sub</w:t>
            </w:r>
          </w:p>
        </w:tc>
        <w:tc>
          <w:tcPr>
            <w:tcW w:w="86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Acquisition Sub Inc., a Delaware corporation and an indirect wholly owned subsidiary of Viatris</w:t>
            </w:r>
          </w:p>
        </w:tc>
      </w:tr>
      <w:tr>
        <w:trPr/>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 U.S. Dollar Notes</w:t>
            </w:r>
          </w:p>
        </w:tc>
        <w:tc>
          <w:tcPr>
            <w:tcW w:w="86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3.950% Senior Notes due 2026 and 5.250% Senior Notes due 2046 issued by Utah Acquisition Sub Inc., which are fully and unconditionally guaranteed on a senior unsecured basis by Mylan Inc., Viatris Inc. and Mylan II B.V.</w:t>
            </w:r>
          </w:p>
        </w:tc>
      </w:tr>
      <w:tr>
        <w:trPr/>
        <w:tc>
          <w:tcPr>
            <w:tcW w:w="15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w:t>
            </w:r>
          </w:p>
        </w:tc>
        <w:tc>
          <w:tcPr>
            <w:tcW w:w="86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formerly known as Upjohn Inc. prior to the completion of the Combination</w:t>
            </w:r>
          </w:p>
        </w:tc>
      </w:tr>
      <w:tr>
        <w:trPr/>
        <w:tc>
          <w:tcPr>
            <w:tcW w:w="15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YEN Term Loan Facility</w:t>
            </w:r>
          </w:p>
        </w:tc>
        <w:tc>
          <w:tcPr>
            <w:tcW w:w="864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¥40 billion term loan agreement dated as of July 1, 2021, among Viatris, the guarantors from time to time party thereto, the lenders from time to time party thereto and Mizuho Bank, Ltd., as administrative agent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millions, except per share amounts)</w:t>
      </w:r>
    </w:p>
    <w:tbl>
      <w:tblPr>
        <w:tblW w:w="10170" w:type="dxa"/>
        <w:jc w:val="center"/>
        <w:tblInd w:w="0" w:type="dxa"/>
        <w:tblLayout w:type="fixed"/>
        <w:tblCellMar>
          <w:top w:w="28" w:type="dxa"/>
          <w:left w:w="28" w:type="dxa"/>
          <w:bottom w:w="28" w:type="dxa"/>
          <w:right w:w="28" w:type="dxa"/>
        </w:tblCellMar>
      </w:tblPr>
      <w:tblGrid>
        <w:gridCol w:w="1739"/>
        <w:gridCol w:w="1526"/>
        <w:gridCol w:w="1535"/>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Acquired IPR&amp;D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Viatris Inc. shareholders</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62660"/>
                <wp:effectExtent l="0" t="0" r="0" b="0"/>
                <wp:wrapNone/>
                <wp:docPr id="7" name="Frame7"/>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Earnings (Loss)</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millions)</w:t>
      </w:r>
    </w:p>
    <w:tbl>
      <w:tblPr>
        <w:tblW w:w="10205" w:type="dxa"/>
        <w:jc w:val="left"/>
        <w:tblInd w:w="0" w:type="dxa"/>
        <w:tblLayout w:type="fixed"/>
        <w:tblCellMar>
          <w:top w:w="28" w:type="dxa"/>
          <w:left w:w="28" w:type="dxa"/>
          <w:bottom w:w="28" w:type="dxa"/>
          <w:right w:w="28" w:type="dxa"/>
        </w:tblCellMar>
      </w:tblPr>
      <w:tblGrid>
        <w:gridCol w:w="1936"/>
        <w:gridCol w:w="1686"/>
        <w:gridCol w:w="1702"/>
        <w:gridCol w:w="211"/>
        <w:gridCol w:w="616"/>
        <w:gridCol w:w="109"/>
        <w:gridCol w:w="109"/>
        <w:gridCol w:w="109"/>
        <w:gridCol w:w="109"/>
        <w:gridCol w:w="211"/>
        <w:gridCol w:w="670"/>
        <w:gridCol w:w="109"/>
        <w:gridCol w:w="109"/>
        <w:gridCol w:w="109"/>
        <w:gridCol w:w="109"/>
        <w:gridCol w:w="211"/>
        <w:gridCol w:w="616"/>
        <w:gridCol w:w="109"/>
        <w:gridCol w:w="109"/>
        <w:gridCol w:w="109"/>
        <w:gridCol w:w="109"/>
        <w:gridCol w:w="211"/>
        <w:gridCol w:w="670"/>
        <w:gridCol w:w="157"/>
      </w:tblGrid>
      <w:tr>
        <w:trPr/>
        <w:tc>
          <w:tcPr>
            <w:tcW w:w="193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tax:</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unrecognized (loss) gain and prior service cost related to defined benefit plans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on derivatives in cash flow hedging relationships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(loss) gain on derivatives in net investment hedging relationships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marketable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tax</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earnings (loss)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962660"/>
                <wp:effectExtent l="0" t="0" r="0" b="0"/>
                <wp:wrapNone/>
                <wp:docPr id="8" name="Frame8"/>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millions, except share and per share amounts)</w:t>
      </w:r>
    </w:p>
    <w:tbl>
      <w:tblPr>
        <w:tblW w:w="10205" w:type="dxa"/>
        <w:jc w:val="center"/>
        <w:tblInd w:w="0" w:type="dxa"/>
        <w:tblLayout w:type="fixed"/>
        <w:tblCellMar>
          <w:top w:w="28" w:type="dxa"/>
          <w:left w:w="28" w:type="dxa"/>
          <w:bottom w:w="28" w:type="dxa"/>
          <w:right w:w="28" w:type="dxa"/>
        </w:tblCellMar>
      </w:tblPr>
      <w:tblGrid>
        <w:gridCol w:w="2774"/>
        <w:gridCol w:w="2345"/>
        <w:gridCol w:w="2330"/>
        <w:gridCol w:w="211"/>
        <w:gridCol w:w="871"/>
        <w:gridCol w:w="109"/>
        <w:gridCol w:w="109"/>
        <w:gridCol w:w="109"/>
        <w:gridCol w:w="109"/>
        <w:gridCol w:w="211"/>
        <w:gridCol w:w="871"/>
        <w:gridCol w:w="156"/>
      </w:tblGrid>
      <w:tr>
        <w:trPr/>
        <w:tc>
          <w:tcPr>
            <w:tcW w:w="2774"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 and other long-term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 shareholders’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3,000,000,000 shares authorized; shares issued: 1,220,385,566 and 1,213,793,231,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stock — at cost</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shares: 21,239,521 as of June 30, 2023</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50,022.2 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62660"/>
                <wp:effectExtent l="0" t="0" r="0" b="0"/>
                <wp:wrapNone/>
                <wp:docPr id="9" name="Frame9"/>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millions, except share and per share amounts)</w:t>
      </w:r>
    </w:p>
    <w:tbl>
      <w:tblPr>
        <w:tblW w:w="13396" w:type="dxa"/>
        <w:jc w:val="center"/>
        <w:tblInd w:w="0" w:type="dxa"/>
        <w:tblLayout w:type="fixed"/>
        <w:tblCellMar>
          <w:top w:w="28" w:type="dxa"/>
          <w:left w:w="28" w:type="dxa"/>
          <w:bottom w:w="28" w:type="dxa"/>
          <w:right w:w="28" w:type="dxa"/>
        </w:tblCellMar>
      </w:tblPr>
      <w:tblGrid>
        <w:gridCol w:w="837"/>
        <w:gridCol w:w="264"/>
        <w:gridCol w:w="250"/>
        <w:gridCol w:w="668"/>
        <w:gridCol w:w="668"/>
        <w:gridCol w:w="196"/>
        <w:gridCol w:w="109"/>
        <w:gridCol w:w="109"/>
        <w:gridCol w:w="109"/>
        <w:gridCol w:w="211"/>
        <w:gridCol w:w="511"/>
        <w:gridCol w:w="109"/>
        <w:gridCol w:w="109"/>
        <w:gridCol w:w="109"/>
        <w:gridCol w:w="109"/>
        <w:gridCol w:w="211"/>
        <w:gridCol w:w="871"/>
        <w:gridCol w:w="109"/>
        <w:gridCol w:w="109"/>
        <w:gridCol w:w="109"/>
        <w:gridCol w:w="109"/>
        <w:gridCol w:w="211"/>
        <w:gridCol w:w="766"/>
        <w:gridCol w:w="109"/>
        <w:gridCol w:w="109"/>
        <w:gridCol w:w="109"/>
        <w:gridCol w:w="109"/>
        <w:gridCol w:w="540"/>
        <w:gridCol w:w="541"/>
        <w:gridCol w:w="196"/>
        <w:gridCol w:w="109"/>
        <w:gridCol w:w="109"/>
        <w:gridCol w:w="109"/>
        <w:gridCol w:w="211"/>
        <w:gridCol w:w="631"/>
        <w:gridCol w:w="109"/>
        <w:gridCol w:w="109"/>
        <w:gridCol w:w="109"/>
        <w:gridCol w:w="109"/>
        <w:gridCol w:w="233"/>
        <w:gridCol w:w="862"/>
        <w:gridCol w:w="121"/>
        <w:gridCol w:w="109"/>
        <w:gridCol w:w="109"/>
        <w:gridCol w:w="109"/>
        <w:gridCol w:w="109"/>
        <w:gridCol w:w="109"/>
        <w:gridCol w:w="109"/>
        <w:gridCol w:w="109"/>
        <w:gridCol w:w="211"/>
        <w:gridCol w:w="87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1,220,224,204 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21,239,521 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$0.12 per common share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1,220,385,566 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21,239,521 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3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1,213,793,231 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6,422,573 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21,239,521 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$0.24 per common share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1,220,385,566 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21,239,521 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962660"/>
                <wp:effectExtent l="0" t="0" r="0" b="0"/>
                <wp:wrapNone/>
                <wp:docPr id="10" name="Frame10"/>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tbl>
      <w:tblPr>
        <w:tblW w:w="12496" w:type="dxa"/>
        <w:jc w:val="center"/>
        <w:tblInd w:w="0" w:type="dxa"/>
        <w:tblLayout w:type="fixed"/>
        <w:tblCellMar>
          <w:top w:w="28" w:type="dxa"/>
          <w:left w:w="28" w:type="dxa"/>
          <w:bottom w:w="28" w:type="dxa"/>
          <w:right w:w="28" w:type="dxa"/>
        </w:tblCellMar>
      </w:tblPr>
      <w:tblGrid>
        <w:gridCol w:w="837"/>
        <w:gridCol w:w="264"/>
        <w:gridCol w:w="250"/>
        <w:gridCol w:w="668"/>
        <w:gridCol w:w="668"/>
        <w:gridCol w:w="196"/>
        <w:gridCol w:w="109"/>
        <w:gridCol w:w="109"/>
        <w:gridCol w:w="109"/>
        <w:gridCol w:w="211"/>
        <w:gridCol w:w="511"/>
        <w:gridCol w:w="109"/>
        <w:gridCol w:w="109"/>
        <w:gridCol w:w="109"/>
        <w:gridCol w:w="109"/>
        <w:gridCol w:w="211"/>
        <w:gridCol w:w="871"/>
        <w:gridCol w:w="109"/>
        <w:gridCol w:w="109"/>
        <w:gridCol w:w="109"/>
        <w:gridCol w:w="109"/>
        <w:gridCol w:w="211"/>
        <w:gridCol w:w="766"/>
        <w:gridCol w:w="109"/>
        <w:gridCol w:w="109"/>
        <w:gridCol w:w="109"/>
        <w:gridCol w:w="109"/>
        <w:gridCol w:w="203"/>
        <w:gridCol w:w="203"/>
        <w:gridCol w:w="196"/>
        <w:gridCol w:w="109"/>
        <w:gridCol w:w="109"/>
        <w:gridCol w:w="109"/>
        <w:gridCol w:w="211"/>
        <w:gridCol w:w="406"/>
        <w:gridCol w:w="109"/>
        <w:gridCol w:w="109"/>
        <w:gridCol w:w="109"/>
        <w:gridCol w:w="109"/>
        <w:gridCol w:w="233"/>
        <w:gridCol w:w="862"/>
        <w:gridCol w:w="121"/>
        <w:gridCol w:w="109"/>
        <w:gridCol w:w="109"/>
        <w:gridCol w:w="109"/>
        <w:gridCol w:w="109"/>
        <w:gridCol w:w="109"/>
        <w:gridCol w:w="109"/>
        <w:gridCol w:w="109"/>
        <w:gridCol w:w="211"/>
        <w:gridCol w:w="87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Ordinary Shares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1,212,323,483 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restricted stock,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common stock </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dividends declared, $0.12 per common share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2022</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1,212,447,457 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1,209,507,463 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restricted stock,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2,880,312 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dividends declared, $0.24 per common share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2022</w:t>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1,212,447,457 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(2,899.2)</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962660"/>
                <wp:effectExtent l="0" t="0" r="0" b="0"/>
                <wp:wrapNone/>
                <wp:docPr id="11" name="Frame11"/>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millions)</w:t>
      </w:r>
    </w:p>
    <w:tbl>
      <w:tblPr>
        <w:tblW w:w="7999" w:type="dxa"/>
        <w:jc w:val="center"/>
        <w:tblInd w:w="0" w:type="dxa"/>
        <w:tblLayout w:type="fixed"/>
        <w:tblCellMar>
          <w:top w:w="28" w:type="dxa"/>
          <w:left w:w="28" w:type="dxa"/>
          <w:bottom w:w="28" w:type="dxa"/>
          <w:right w:w="28" w:type="dxa"/>
        </w:tblCellMar>
      </w:tblPr>
      <w:tblGrid>
        <w:gridCol w:w="2130"/>
        <w:gridCol w:w="1867"/>
        <w:gridCol w:w="1882"/>
        <w:gridCol w:w="199"/>
        <w:gridCol w:w="566"/>
        <w:gridCol w:w="109"/>
        <w:gridCol w:w="109"/>
        <w:gridCol w:w="109"/>
        <w:gridCol w:w="109"/>
        <w:gridCol w:w="199"/>
        <w:gridCol w:w="566"/>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earnings to net cash provided by operating activities:</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w:t>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settlements and other contingencies,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assets and liabilities,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marketable securities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marketable securities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product rights and other, net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plant and equipment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long-term debt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common stock</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short-term borrowings, net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payments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financing fees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Non-contingent payments for product rights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common stock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items, net</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on cash of changes in exchange rates</w:t>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beginning of period</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 end of period</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962660"/>
                <wp:effectExtent l="0" t="0" r="0" b="0"/>
                <wp:wrapNone/>
                <wp:docPr id="12" name="Frame12"/>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Notes to Condensed Consolidated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1.General</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earnings, financial position, equity and cash flows for the periods presented.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interim financial statements should be read in conjunction with the consolidated financial statements and notes thereto in Viatris’ 2022 Form 10-K. The December 31, 2022 condensed consolidated balance sheet was derived from audited financial statements.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interim results of operations and comprehensive earnings for the three and six months ended June 30, 2023, and cash flows for the six months ended June 30, 2023, are not necessarily indicative of the results to be expected for the full fiscal year or any other future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2.Revenue Recognition and Accounts Receivable</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Company recognizes revenues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condensed consolidated statements of operations.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net sales by product category for each of our reportable segments for the three and six months ended June 30, 2023 and 2022, respectively:</w:t>
      </w:r>
    </w:p>
    <w:tbl>
      <w:tblPr>
        <w:tblW w:w="8847" w:type="dxa"/>
        <w:jc w:val="left"/>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63"/>
        <w:gridCol w:w="770"/>
        <w:gridCol w:w="136"/>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4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Complex Gx</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846"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27"/>
        <w:gridCol w:w="825"/>
        <w:gridCol w:w="117"/>
        <w:gridCol w:w="109"/>
        <w:gridCol w:w="109"/>
        <w:gridCol w:w="109"/>
        <w:gridCol w:w="211"/>
        <w:gridCol w:w="616"/>
        <w:gridCol w:w="109"/>
        <w:gridCol w:w="109"/>
        <w:gridCol w:w="109"/>
        <w:gridCol w:w="109"/>
        <w:gridCol w:w="282"/>
        <w:gridCol w:w="1026"/>
        <w:gridCol w:w="146"/>
        <w:gridCol w:w="109"/>
        <w:gridCol w:w="109"/>
        <w:gridCol w:w="109"/>
        <w:gridCol w:w="211"/>
        <w:gridCol w:w="76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49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Complex Gx</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tbl>
      <w:tblPr>
        <w:tblW w:w="9973" w:type="dxa"/>
        <w:jc w:val="left"/>
        <w:tblInd w:w="0" w:type="dxa"/>
        <w:tblLayout w:type="fixed"/>
        <w:tblCellMar>
          <w:top w:w="28" w:type="dxa"/>
          <w:left w:w="28" w:type="dxa"/>
          <w:bottom w:w="28" w:type="dxa"/>
          <w:right w:w="28" w:type="dxa"/>
        </w:tblCellMar>
      </w:tblPr>
      <w:tblGrid>
        <w:gridCol w:w="897"/>
        <w:gridCol w:w="787"/>
        <w:gridCol w:w="791"/>
        <w:gridCol w:w="291"/>
        <w:gridCol w:w="1058"/>
        <w:gridCol w:w="150"/>
        <w:gridCol w:w="109"/>
        <w:gridCol w:w="109"/>
        <w:gridCol w:w="109"/>
        <w:gridCol w:w="263"/>
        <w:gridCol w:w="770"/>
        <w:gridCol w:w="136"/>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4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Complex Gx and Biosimilars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2,479.1 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972" w:type="dxa"/>
        <w:jc w:val="center"/>
        <w:tblInd w:w="0" w:type="dxa"/>
        <w:tblLayout w:type="fixed"/>
        <w:tblCellMar>
          <w:top w:w="28" w:type="dxa"/>
          <w:left w:w="28" w:type="dxa"/>
          <w:bottom w:w="28" w:type="dxa"/>
          <w:right w:w="28" w:type="dxa"/>
        </w:tblCellMar>
      </w:tblPr>
      <w:tblGrid>
        <w:gridCol w:w="897"/>
        <w:gridCol w:w="787"/>
        <w:gridCol w:w="791"/>
        <w:gridCol w:w="291"/>
        <w:gridCol w:w="1058"/>
        <w:gridCol w:w="150"/>
        <w:gridCol w:w="109"/>
        <w:gridCol w:w="109"/>
        <w:gridCol w:w="109"/>
        <w:gridCol w:w="227"/>
        <w:gridCol w:w="825"/>
        <w:gridCol w:w="117"/>
        <w:gridCol w:w="109"/>
        <w:gridCol w:w="109"/>
        <w:gridCol w:w="109"/>
        <w:gridCol w:w="211"/>
        <w:gridCol w:w="616"/>
        <w:gridCol w:w="109"/>
        <w:gridCol w:w="109"/>
        <w:gridCol w:w="109"/>
        <w:gridCol w:w="109"/>
        <w:gridCol w:w="282"/>
        <w:gridCol w:w="1026"/>
        <w:gridCol w:w="146"/>
        <w:gridCol w:w="109"/>
        <w:gridCol w:w="109"/>
        <w:gridCol w:w="109"/>
        <w:gridCol w:w="211"/>
        <w:gridCol w:w="766"/>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49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Complex Gx and Biosimilars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76" w:before="60" w:after="12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Amounts for the three and six months ended June 30, 2023 include the unfavorable impact of foreign currency translations compared to the prior year period.</w:t>
      </w:r>
    </w:p>
    <w:p>
      <w:pPr>
        <w:pStyle w:val="TextBody"/>
        <w:bidi w:val="0"/>
        <w:spacing w:lineRule="auto" w:line="276" w:before="60" w:after="283"/>
        <w:ind w:left="0" w:right="0" w:hanging="360"/>
        <w:jc w:val="both"/>
        <w:rPr/>
      </w:pPr>
      <w:r>
        <w:rPr>
          <w:rFonts w:ascii="Times New Roman;sans-serif" w:hAnsi="Times New Roman;sans-serif"/>
          <w:b w:val="false"/>
          <w:color w:val="000000"/>
          <w:sz w:val="13"/>
        </w:rPr>
        <w:t>(b)</w:t>
      </w:r>
      <w:r>
        <w:rPr>
          <w:rFonts w:ascii="Times New Roman;sans-serif" w:hAnsi="Times New Roman;sans-serif"/>
          <w:b w:val="false"/>
          <w:color w:val="000000"/>
          <w:sz w:val="20"/>
        </w:rPr>
        <w:t>Amounts for the three and six months ended June 30, 2022 include $161.8 million and $326.6 million, respectively, related to the biosimilars business which was subsequently contributed to Biocon Biologics in November 2022. The Company has not recognized the results of the biosimilars business in its consolidated financial statements subsequent to November 29, 2022.</w:t>
      </w:r>
    </w:p>
    <w:p>
      <w:pPr>
        <w:pStyle w:val="TextBody"/>
        <w:bidi w:val="0"/>
        <w:spacing w:before="0" w:after="0"/>
        <w:ind w:left="0" w:right="0" w:hanging="36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net sales on a consolidated basis for select key products for the three and six months ended June 30, 2023 and 2022: </w:t>
      </w:r>
    </w:p>
    <w:tbl>
      <w:tblPr>
        <w:tblW w:w="7682" w:type="dxa"/>
        <w:jc w:val="center"/>
        <w:tblInd w:w="0" w:type="dxa"/>
        <w:tblLayout w:type="fixed"/>
        <w:tblCellMar>
          <w:top w:w="28" w:type="dxa"/>
          <w:left w:w="28" w:type="dxa"/>
          <w:bottom w:w="28" w:type="dxa"/>
          <w:right w:w="28" w:type="dxa"/>
        </w:tblCellMar>
      </w:tblPr>
      <w:tblGrid>
        <w:gridCol w:w="930"/>
        <w:gridCol w:w="816"/>
        <w:gridCol w:w="818"/>
        <w:gridCol w:w="109"/>
        <w:gridCol w:w="109"/>
        <w:gridCol w:w="109"/>
        <w:gridCol w:w="213"/>
        <w:gridCol w:w="622"/>
        <w:gridCol w:w="110"/>
        <w:gridCol w:w="110"/>
        <w:gridCol w:w="110"/>
        <w:gridCol w:w="110"/>
        <w:gridCol w:w="213"/>
        <w:gridCol w:w="622"/>
        <w:gridCol w:w="110"/>
        <w:gridCol w:w="109"/>
        <w:gridCol w:w="109"/>
        <w:gridCol w:w="109"/>
        <w:gridCol w:w="211"/>
        <w:gridCol w:w="616"/>
        <w:gridCol w:w="109"/>
        <w:gridCol w:w="109"/>
        <w:gridCol w:w="109"/>
        <w:gridCol w:w="109"/>
        <w:gridCol w:w="211"/>
        <w:gridCol w:w="61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 Key Global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Lipitor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Norvasc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Lyrica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EpiPen® Auto-Injectors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Viagra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Celebrex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Effexor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Zoloft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Xalabrands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 Key Segment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Dymista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Yupelri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Xanax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Amitiza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76" w:before="60" w:after="6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The Company does not disclose net sales for any products considered competitively sensitive.</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(b)</w:t>
      </w:r>
      <w:r>
        <w:rPr>
          <w:rFonts w:ascii="Times New Roman;sans-serif" w:hAnsi="Times New Roman;sans-serif"/>
          <w:b w:val="false"/>
          <w:color w:val="000000"/>
          <w:sz w:val="20"/>
        </w:rPr>
        <w:t>Products disclosed may change in future periods, including as a result of seasonality, competition or new product launches.</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(c)</w:t>
      </w:r>
      <w:r>
        <w:rPr>
          <w:rFonts w:ascii="Times New Roman;sans-serif" w:hAnsi="Times New Roman;sans-serif"/>
          <w:b w:val="false"/>
          <w:color w:val="000000"/>
          <w:sz w:val="20"/>
        </w:rPr>
        <w:t>Amounts for the three and six months ended June 30, 2023 include the unfavorable impact of foreign currency translations compared to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Consideration and Accounts Receivable</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gross sales to net sales by each significant category of variable consideration during the three and six months ended June 30, 2023 and 2022, respectively:</w:t>
      </w:r>
    </w:p>
    <w:tbl>
      <w:tblPr>
        <w:tblW w:w="10205" w:type="dxa"/>
        <w:jc w:val="center"/>
        <w:tblInd w:w="0" w:type="dxa"/>
        <w:tblLayout w:type="fixed"/>
        <w:tblCellMar>
          <w:top w:w="28" w:type="dxa"/>
          <w:left w:w="28" w:type="dxa"/>
          <w:bottom w:w="28" w:type="dxa"/>
          <w:right w:w="28" w:type="dxa"/>
        </w:tblCellMar>
      </w:tblPr>
      <w:tblGrid>
        <w:gridCol w:w="1635"/>
        <w:gridCol w:w="1419"/>
        <w:gridCol w:w="1431"/>
        <w:gridCol w:w="211"/>
        <w:gridCol w:w="834"/>
        <w:gridCol w:w="109"/>
        <w:gridCol w:w="109"/>
        <w:gridCol w:w="109"/>
        <w:gridCol w:w="109"/>
        <w:gridCol w:w="211"/>
        <w:gridCol w:w="834"/>
        <w:gridCol w:w="109"/>
        <w:gridCol w:w="109"/>
        <w:gridCol w:w="109"/>
        <w:gridCol w:w="109"/>
        <w:gridCol w:w="211"/>
        <w:gridCol w:w="871"/>
        <w:gridCol w:w="109"/>
        <w:gridCol w:w="109"/>
        <w:gridCol w:w="109"/>
        <w:gridCol w:w="109"/>
        <w:gridCol w:w="211"/>
        <w:gridCol w:w="871"/>
        <w:gridCol w:w="158"/>
      </w:tblGrid>
      <w:tr>
        <w:trPr/>
        <w:tc>
          <w:tcPr>
            <w:tcW w:w="163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14,207.0 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to net adjustments: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Chargebacks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 promotional programs and other sales allowances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rebate programs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to net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76" w:before="60" w:after="6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Amounts for the three and six months ended June 30, 2022 include the biosimilars business which was subsequently contributed to Biocon Biologics in November 2022. The Company has not recognized the results of the biosimilars business in its consolidated financial statements subsequent to November 29, 2022.</w:t>
      </w:r>
    </w:p>
    <w:p>
      <w:pPr>
        <w:pStyle w:val="TextBody"/>
        <w:bidi w:val="0"/>
        <w:spacing w:before="60" w:after="60"/>
        <w:jc w:val="both"/>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significant revisions were made to the methodology used in determining these provisions or the nature of the provisions during the three and six months ended June 30, 2023. Such allowances were comprised of the following at June 30, 2023 and December 31, 2022, respectively:</w:t>
      </w:r>
    </w:p>
    <w:tbl>
      <w:tblPr>
        <w:tblW w:w="4666" w:type="dxa"/>
        <w:jc w:val="center"/>
        <w:tblInd w:w="0" w:type="dxa"/>
        <w:tblLayout w:type="fixed"/>
        <w:tblCellMar>
          <w:top w:w="28" w:type="dxa"/>
          <w:left w:w="28" w:type="dxa"/>
          <w:bottom w:w="28" w:type="dxa"/>
          <w:right w:w="28" w:type="dxa"/>
        </w:tblCellMar>
      </w:tblPr>
      <w:tblGrid>
        <w:gridCol w:w="765"/>
        <w:gridCol w:w="670"/>
        <w:gridCol w:w="679"/>
        <w:gridCol w:w="211"/>
        <w:gridCol w:w="766"/>
        <w:gridCol w:w="109"/>
        <w:gridCol w:w="109"/>
        <w:gridCol w:w="109"/>
        <w:gridCol w:w="109"/>
        <w:gridCol w:w="212"/>
        <w:gridCol w:w="772"/>
        <w:gridCol w:w="155"/>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was comprised of the following at June 30, 2023 and December 31, 2022, respectively:</w:t>
      </w:r>
    </w:p>
    <w:tbl>
      <w:tblPr>
        <w:tblW w:w="4712" w:type="dxa"/>
        <w:jc w:val="center"/>
        <w:tblInd w:w="0" w:type="dxa"/>
        <w:tblLayout w:type="fixed"/>
        <w:tblCellMar>
          <w:top w:w="28" w:type="dxa"/>
          <w:left w:w="28" w:type="dxa"/>
          <w:bottom w:w="28" w:type="dxa"/>
          <w:right w:w="28" w:type="dxa"/>
        </w:tblCellMar>
      </w:tblPr>
      <w:tblGrid>
        <w:gridCol w:w="780"/>
        <w:gridCol w:w="686"/>
        <w:gridCol w:w="694"/>
        <w:gridCol w:w="211"/>
        <w:gridCol w:w="766"/>
        <w:gridCol w:w="109"/>
        <w:gridCol w:w="109"/>
        <w:gridCol w:w="109"/>
        <w:gridCol w:w="109"/>
        <w:gridCol w:w="212"/>
        <w:gridCol w:w="772"/>
        <w:gridCol w:w="155"/>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Factoring Arrangements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$188.2 million and $34.7 million of accounts receivable as of June 30, 2023 and December 31, 2022, respectively, under these factoring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3.Recent Accounting Pronouncements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Adoption of New Accounting Standards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In September 2022, the FASB issued Accounting Standards Update 2022-04, </w:t>
      </w:r>
      <w:r>
        <w:rPr>
          <w:rFonts w:ascii="Times New Roman;sans-serif" w:hAnsi="Times New Roman;sans-serif"/>
          <w:b w:val="false"/>
          <w:i/>
          <w:color w:val="000000"/>
          <w:sz w:val="20"/>
        </w:rPr>
        <w:t xml:space="preserve">Liabilities—Supplier Finance Programs (Subtopic 405-50), </w:t>
      </w:r>
      <w:r>
        <w:rPr>
          <w:rFonts w:ascii="Times New Roman;sans-serif" w:hAnsi="Times New Roman;sans-serif"/>
          <w:b w:val="false"/>
          <w:color w:val="000000"/>
          <w:sz w:val="20"/>
        </w:rPr>
        <w:t>which requires entities to provide qualitative and quantitative disclosures about their supplier finance programs, including a rollforward of related obligations. The adoption of ASU 2022-04 did not affect the Company’s financial condition, results of operations or cash flows as the guidance only requires additional disclosures. We adopted this ASU effective January 1, 2023.</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has certain voluntary supply chain finance programs with financial intermediaries which provide participating suppliers the option to be paid by the intermediary earlier than the original invoice due date. The Company’s responsibility is limited to making payments on the terms originally negotiated with the suppliers, regardless of whether the intermediary pays the supplier in advance of the original due date. The range of payment terms the Company negotiates with suppliers are consistent, regardless of whether a supplier participates in a supply chain finance program. The total amounts due to financial intermediaries to settle supplier invoices under supply chain finance programs as of June 30, 2023 and December 31, 2022 were $55.6 million and $33.4 million, respectively. These amounts are included within </w:t>
      </w:r>
      <w:r>
        <w:rPr>
          <w:rFonts w:ascii="Times New Roman;sans-serif" w:hAnsi="Times New Roman;sans-serif"/>
          <w:b w:val="false"/>
          <w:i/>
          <w:color w:val="000000"/>
          <w:sz w:val="20"/>
        </w:rPr>
        <w:t>Accounts payable</w:t>
      </w:r>
      <w:r>
        <w:rPr>
          <w:color w:val="000000"/>
        </w:rPr>
        <w:t xml:space="preserve"> </w:t>
      </w:r>
      <w:r>
        <w:rPr>
          <w:rFonts w:ascii="Times New Roman;sans-serif" w:hAnsi="Times New Roman;sans-serif"/>
          <w:b w:val="false"/>
          <w:color w:val="000000"/>
          <w:sz w:val="20"/>
        </w:rPr>
        <w:t>in the condensed consolidated balance sheets.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other significant changes in new accounting standards from those disclosed in Viatris’ 2022 Form 10-K. Refer to Viatris’ 2022 Form 10-K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4.Acquisitions and Other Transactions</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Oyster Point Acquisition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completed the acquisition of Oyster Point for approximately $427.4 million in cash, which included $11 per share paid to Oyster Point stockholders through a tender offer, payment for vested share-based awards, and the repayment of debt of Oyster Point. In addition to the upfront cash consideration, each Oyster Point stockholder received one non-tradeable contingent value right representing up to an additional $2 per share, or approximately $60 million in the aggregate, contingent upon Oyster Point achieving certain metrics based upon full year 2022 performance. Oyster Point did not achieve the metrics that would have triggered a contingent payment and the contingent value rights have expired. Oyster Point is focused on the discovery, development, and commercialization of first-in-class pharmaceutical therapies to treat ophthalmic diseases.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share-based awards to acquire Oyster Point common stock that were outstanding immediately prior to the closing of the acquisition were cancelled in exchange for the right to receive an amount in cash based upon a formula contained within the merger agreement. The unvested share-based awards were converted into Viatris share-based awards based upon a formula contained within the merger agreement.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U.S. GAAP, the Company used the acquisition method of accounting to account for this transaction. Under the acquisition method of accounting, the assets acquired and liabilities assumed in the transaction were recorded at their respective estimated fair values at the acquisition date. During the six months ended June 30, 2023, the Company incurred acquisition related costs of approximately $19.8 million, which were recorded primarily in SG&amp;A in the condensed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U.S. GAAP purchase price was $392.7 million, net of cash acquired. The preliminary allocation of the purchase price to the assets acquired and liabilities assumed for Oyster Point is as follows:</w:t>
      </w:r>
    </w:p>
    <w:tbl>
      <w:tblPr>
        <w:tblW w:w="6186" w:type="dxa"/>
        <w:jc w:val="left"/>
        <w:tblInd w:w="0" w:type="dxa"/>
        <w:tblLayout w:type="fixed"/>
        <w:tblCellMar>
          <w:top w:w="28" w:type="dxa"/>
          <w:left w:w="28" w:type="dxa"/>
          <w:bottom w:w="28" w:type="dxa"/>
          <w:right w:w="28" w:type="dxa"/>
        </w:tblCellMar>
      </w:tblPr>
      <w:tblGrid>
        <w:gridCol w:w="1884"/>
        <w:gridCol w:w="1653"/>
        <w:gridCol w:w="1668"/>
        <w:gridCol w:w="211"/>
        <w:gridCol w:w="616"/>
        <w:gridCol w:w="154"/>
      </w:tblGrid>
      <w:tr>
        <w:trPr/>
        <w:tc>
          <w:tcPr>
            <w:tcW w:w="1884"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(excluding inventories and net of cash acquired)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Identified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(net of $34.7 of cash acquired)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preliminary fair value estimates for the assets acquired and liabilities assumed were based upon preliminary calculations, valuations and assumptions that are subject to change as the Company obtains additional information during the measurement period (up to one year from the acquisition date). The primary areas subject to change relate to the finalization of the valuation of intangible assets and income taxes. There were no changes to the fair value estimates in the second quarter of 2023.</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Company recorded a step-up in the fair value of inventory of approximately $29.3 million. During the three and six months ended June 30, 2023, the Company recorded amortization of the inventory step-up of approximately $7.3 million and $14.7 million, respectively, which is included in </w:t>
      </w:r>
      <w:r>
        <w:rPr>
          <w:rFonts w:ascii="Times New Roman;sans-serif" w:hAnsi="Times New Roman;sans-serif"/>
          <w:b w:val="false"/>
          <w:i/>
          <w:color w:val="000000"/>
          <w:sz w:val="20"/>
        </w:rPr>
        <w:t>Cost of sales</w:t>
      </w:r>
      <w:r>
        <w:rPr>
          <w:color w:val="000000"/>
        </w:rPr>
        <w:t xml:space="preserve"> </w:t>
      </w:r>
      <w:r>
        <w:rPr>
          <w:rFonts w:ascii="Times New Roman;sans-serif" w:hAnsi="Times New Roman;sans-serif"/>
          <w:b w:val="false"/>
          <w:color w:val="000000"/>
          <w:sz w:val="20"/>
        </w:rPr>
        <w:t>in the condensed consolidated statement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identified intangible assets of $334.0 million are comprised of product rights and licenses related to a commercial asset, Tyrvaya®, for the treatment of dry eye disease, that have an estimated useful life of 10 years. Significant assumptions utilized in the valuation of identified intangible assets were based on company specific information and projections which are not observable in the market and are thus considered Level 3 measurements as defined by U.S. GAAP.</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goodwill of $5.9 million arising from the acquisition consisted largely of the value of the employee workforce and the expected value of products to be developed in the future. All of the goodwill was assigned to the Developed Markets segment. None of the goodwill recognized in this transaction is currently expected to be deductible for income tax purposes. The operating results of Oyster Point have been included in the Company’s condensed consolidated statements of operations since the acquisition date. The total revenues of Oyster Point for the period from the acquisition date to June 30, 2023, were $16.5 million and net loss, net of tax, was approximately $85.8 million. The net loss for the period includes the effect of the purchase accounting adjustments and acquisition related costs.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unaudited pro forma information for the acquisition, as if it had occurred on January 1, 2022. The unaudited pro forma results reflect certain adjustments related to past operating performance and acquisition accounting adjustments, such as increased amortization expense based on the fair value of assets acquired, the impact of transaction costs and the related income tax effects. The unaudited pro forma results do not include any anticipated synergies which may be achievable, or have been achieved, subsequent to the closing of the acquisition. Accordingly, the unaudited pro forma results are not necessarily indicative of the results that actually would have occurred had the acquisitions been completed on the stated date above, nor are they indicative of the future operating results of Viatris and its subsidiaries.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tbl>
      <w:tblPr>
        <w:tblW w:w="9201" w:type="dxa"/>
        <w:jc w:val="left"/>
        <w:tblInd w:w="0" w:type="dxa"/>
        <w:tblLayout w:type="fixed"/>
        <w:tblCellMar>
          <w:top w:w="28" w:type="dxa"/>
          <w:left w:w="28" w:type="dxa"/>
          <w:bottom w:w="28" w:type="dxa"/>
          <w:right w:w="28" w:type="dxa"/>
        </w:tblCellMar>
      </w:tblPr>
      <w:tblGrid>
        <w:gridCol w:w="1331"/>
        <w:gridCol w:w="1170"/>
        <w:gridCol w:w="1174"/>
        <w:gridCol w:w="218"/>
        <w:gridCol w:w="794"/>
        <w:gridCol w:w="113"/>
        <w:gridCol w:w="109"/>
        <w:gridCol w:w="109"/>
        <w:gridCol w:w="109"/>
        <w:gridCol w:w="218"/>
        <w:gridCol w:w="794"/>
        <w:gridCol w:w="113"/>
        <w:gridCol w:w="109"/>
        <w:gridCol w:w="109"/>
        <w:gridCol w:w="109"/>
        <w:gridCol w:w="218"/>
        <w:gridCol w:w="794"/>
        <w:gridCol w:w="113"/>
        <w:gridCol w:w="109"/>
        <w:gridCol w:w="109"/>
        <w:gridCol w:w="109"/>
        <w:gridCol w:w="218"/>
        <w:gridCol w:w="793"/>
        <w:gridCol w:w="159"/>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(Unaudited, in millions, except per share amounts)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Famy Life Sciences Acquisition</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November 7, 2022, the Company entered into a definitive agreement to acquire the remaining equity shares of Famy Life Sciences, a privately-owned research company with a complementary portfolio of ophthalmology therapies under development, for consideration of $281 million. The Company had previously entered into a Master Development Agreement with Famy Life Sciences on December 20, 2019 under which the Company obtained rights with respect to acquiring certain pharmaceutical products and had also acquired shares representing approximately 13.5% equity interest in Famy Life Sciences for $25.0 million at December 31, 2020. The investment was accounted for in accordance with ASC 321, </w:t>
      </w:r>
      <w:r>
        <w:rPr>
          <w:rFonts w:ascii="Times New Roman;sans-serif" w:hAnsi="Times New Roman;sans-serif"/>
          <w:b w:val="false"/>
          <w:i/>
          <w:color w:val="000000"/>
          <w:sz w:val="20"/>
        </w:rPr>
        <w:t>Investments - Equity Securities</w:t>
      </w:r>
      <w:r>
        <w:rPr>
          <w:rFonts w:ascii="Times New Roman;sans-serif" w:hAnsi="Times New Roman;sans-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transaction to acquire the remaining equity shares of Famy Life Sciences closed during the first quarter of 2023. The Company recognized a gain of $18.9 million during the first quarter of 2023 as a result of remeasuring its pre-existing 13.5% equity interest in Famy Life Sciences to fair value, which was recorded as a component of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in the condensed consolidated statement of operations.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U.S. GAAP, the Company used the acquisition method of accounting to account for this transaction. Under the acquisition method of accounting, the assets acquired and liabilities assumed in the transaction were recorded at their respective estimated fair values at the acquisition date. The U.S. GAAP purchase price allocated to the transaction was $325.0 million, which consisted of $281 million of cash consideration paid for the remaining equity shares and $43.9 million for the fair value of the pre-existing 13.5% equity interest. The preliminary allocation of the purchase price to the assets acquired and liabilities assumed for Famy Life Sciences is as follows:</w:t>
      </w:r>
    </w:p>
    <w:tbl>
      <w:tblPr>
        <w:tblW w:w="5045" w:type="dxa"/>
        <w:jc w:val="left"/>
        <w:tblInd w:w="0" w:type="dxa"/>
        <w:tblLayout w:type="fixed"/>
        <w:tblCellMar>
          <w:top w:w="28" w:type="dxa"/>
          <w:left w:w="28" w:type="dxa"/>
          <w:bottom w:w="28" w:type="dxa"/>
          <w:right w:w="28" w:type="dxa"/>
        </w:tblCellMar>
      </w:tblPr>
      <w:tblGrid>
        <w:gridCol w:w="1475"/>
        <w:gridCol w:w="1292"/>
        <w:gridCol w:w="1297"/>
        <w:gridCol w:w="211"/>
        <w:gridCol w:w="616"/>
        <w:gridCol w:w="154"/>
      </w:tblGrid>
      <w:tr>
        <w:trPr/>
        <w:tc>
          <w:tcPr>
            <w:tcW w:w="1475"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(net of $0.2 of cash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preliminary fair value estimates for the assets acquired and liabilities assumed were based upon preliminary calculations, valuations and assumptions that are subject to change as the Company obtains additional information during the measurement period (up to one year from the acquisition date). The primary areas subject to change relate to the finalization of the valuation of IPR&amp;D and income taxes. There were no changes to the fair value estimates in the second quarter of 2023.</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allocated to IPR&amp;D represents an estimate of the fair value of purchased in-process technology for research projects that, as of the closing date of the acquisition, had not reached technological feasibility and had no alternative future use. The fair value of IPR&amp;D of $290.0 million was based on the excess earnings method, which utilizes forecasts of expected cash inflows (including estimates for ongoing costs) and other contributory charges. A discount rate of 23.9% was utilized to discount net cash inflows to present values. IPR&amp;D is accounted for as an indefinite-lived intangible asset and will be subject to impairment testing until completion or abandonment of the projects. Upon successful completion and launch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each product, the Company will make a determination of the estimated useful life of the individual asset. The acquired IPR&amp;D projects are in various stages of completion and the estimated costs to complete these projects total approximately $120 million, which are expected to be incurred through 2024. There are risks and uncertainties associated with the timely and successful completion of the projects included in IPR&amp;D, and no assurances can be given that the underlying assumptions used to estimate the fair value of IPR&amp;D will not change or the timely completion of each project to commercial success will occur.</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goodwill of $89.3 million arising from the acquisition consisted largely of the value of the employee workforce and the expected value of products to be developed in the future. All of the goodwill was assigned to the Developed Markets segment. None of the goodwill recognized in this transaction is currently expected to be deductible for income tax purposes. The acquisition did not have a material impact on the Company’s results of operations since the acquisition date or on a pro forma basis for the three and six months ended June 30, 2023 and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Ophthalmology is one of the key therapeutic areas of focus that the Company announced in February 2022 when it announced plans for certain strategic actions. With the combination of Viatris' global commercial footprint, R&amp;D and regulatory capabilities and supply chain, along with Oyster Point's deep knowledge of the ophthalmology space from a clinical, medical, regulatory and commercial perspective—including Tyrvaya®—and Famy Life Sciences' Phase III-ready pipeline, the Company believes it has the foundation to create a leading global ophthalmology franchise, accelerating efforts to address the unmet needs of patients with ophthalmic disease and the eye care professionals who treat them.</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Mapi Pharma Ltd. (“Mapi”) Equity Investment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2018, the Company entered into an exclusive license and commercialization agreement with Mapi for the development and commercialization on a world-wide basis of a long-acting glatiramer acetate depot product (“GA Depot”). Under the terms of the license and commercialization agreement, as of June 30, 2023, Mapi is eligible to receive regulatory approval and commercial launch milestone payments of up to $90.0 million. Additionally, upon commercial launch of GA Depot, Mapi is eligible to receive royalties and sales-based milestones.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holds investments in preferred shares of Mapi that are accounted for at cost, less impairment, if any, adjusted for observable price changes, in accordance with ASC 321, </w:t>
      </w:r>
      <w:r>
        <w:rPr>
          <w:rFonts w:ascii="Times New Roman;sans-serif" w:hAnsi="Times New Roman;sans-serif"/>
          <w:b w:val="false"/>
          <w:i/>
          <w:color w:val="000000"/>
          <w:sz w:val="20"/>
        </w:rPr>
        <w:t>Investments – Equity Securities</w:t>
      </w:r>
      <w:r>
        <w:rPr>
          <w:rFonts w:ascii="Times New Roman;sans-serif" w:hAnsi="Times New Roman;sans-serif"/>
          <w:b w:val="false"/>
          <w:color w:val="000000"/>
          <w:sz w:val="20"/>
        </w:rPr>
        <w:t xml:space="preserve">. During the second quarter of 2023,     the Company made an additional investment of $30.0 million in preferred shares of Mapi. The preferred shares are convertible on a one-to-one basis into Mapi ordinary shares at Viatris’ option. The Company recognized a gain of $45.6 million during the second quarter of 2023 as a result of remeasuring our pre-existing equity interest in Mapi, which was recorded as a component of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 xml:space="preserve">in the condensed consolidated statements of operations. The Company has determined that Mapi represents a variable interest entity (“VIE”), but has concluded that Viatris is not the primary beneficiary of Mapi as we do not have the power to direct the activities of the VIE that most significantly impact the VIE’s economic performance. Accordingly, we have not consolidated Mapi’s results of operations and financial position into our condensed consolidated financial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As of June 30, 2023 and December 31, 2022, our condensed consolidated balance sheets included, within </w:t>
      </w:r>
      <w:r>
        <w:rPr>
          <w:rFonts w:ascii="Times New Roman;sans-serif" w:hAnsi="Times New Roman;sans-serif"/>
          <w:b w:val="false"/>
          <w:i/>
          <w:color w:val="000000"/>
          <w:sz w:val="20"/>
        </w:rPr>
        <w:t>Other Assets</w:t>
      </w:r>
      <w:r>
        <w:rPr>
          <w:rFonts w:ascii="Times New Roman;sans-serif" w:hAnsi="Times New Roman;sans-serif"/>
          <w:b w:val="false"/>
          <w:color w:val="000000"/>
          <w:sz w:val="20"/>
        </w:rPr>
        <w:t xml:space="preserve">, $132.1 million and $56.4 million, respectively, related to our equity investments in Mapi, which included cumulative unrealized gains of $62.1 million and $16.5 million, respectively, and within </w:t>
      </w:r>
      <w:r>
        <w:rPr>
          <w:rFonts w:ascii="Times New Roman;sans-serif" w:hAnsi="Times New Roman;sans-serif"/>
          <w:b w:val="false"/>
          <w:i/>
          <w:color w:val="000000"/>
          <w:sz w:val="20"/>
        </w:rPr>
        <w:t>Prepaid Expenses and Other Current Assets</w:t>
      </w:r>
      <w:r>
        <w:rPr>
          <w:rFonts w:ascii="Times New Roman;sans-serif" w:hAnsi="Times New Roman;sans-serif"/>
          <w:b w:val="false"/>
          <w:color w:val="000000"/>
          <w:sz w:val="20"/>
        </w:rPr>
        <w:t>, $52.5 million and $42.5 million, respectively, related to advances, including for initial orders of commercial launch supply of GA Depot under our supply agreement with Mapi. Our maximum exposure to loss as a result of our involvement with Mapi is limited to the carrying value of the investments and advances.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5.Divestitures</w:t>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Biocon Biologics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November 29, 2022, Viatris completed a transaction to contribute its biosimilars portfolio to Biocon Biologics. Under the terms of the Biocon Agreement, Viatris received $3 billion in consideration in the form of a $2 billion cash payment, adjusted as set forth in the Biocon Agreement, and approximately $1 billion of CCPS representing a stake of approximately 12.9% (on a fully diluted basis) in Biocon Biologics. In the second quarter of 2023, the Company recorded a gain of $28.9 million as a result of remeasuring the CCPS in Biocon Biologics to fair value. The Company’s CCPS in Biocon Biologics are classified as equity securities, refer to Note 11 </w:t>
      </w:r>
      <w:r>
        <w:rPr>
          <w:rFonts w:ascii="Times New Roman;sans-serif" w:hAnsi="Times New Roman;sans-serif"/>
          <w:b w:val="false"/>
          <w:i/>
          <w:color w:val="000000"/>
          <w:sz w:val="20"/>
        </w:rPr>
        <w:t>Financial Instruments and Risk Management</w:t>
      </w:r>
      <w:r>
        <w:rPr>
          <w:color w:val="000000"/>
        </w:rPr>
        <w:t xml:space="preserve"> </w:t>
      </w:r>
      <w:r>
        <w:rPr>
          <w:rFonts w:ascii="Times New Roman;sans-serif" w:hAnsi="Times New Roman;sans-serif"/>
          <w:b w:val="false"/>
          <w:color w:val="000000"/>
          <w:sz w:val="20"/>
        </w:rPr>
        <w:t xml:space="preserve">for further discussion. Viatris also is entitled to $335 million of additional cash payments in 2024. In addition, Viatris and Biocon Biologics have agreed to a closing working capital target of $250 million. An amount of cash equal to all or a portion of the closing working capital target may become payable to Biocon Biologics in connection with certain events in the future, depending on the valuations attributable to such events. Refer to Note 8 </w:t>
      </w:r>
      <w:r>
        <w:rPr>
          <w:rFonts w:ascii="Times New Roman;sans-serif" w:hAnsi="Times New Roman;sans-serif"/>
          <w:b w:val="false"/>
          <w:i/>
          <w:color w:val="000000"/>
          <w:sz w:val="20"/>
        </w:rPr>
        <w:t>Balance Sheet Components</w:t>
      </w:r>
      <w:r>
        <w:rPr>
          <w:color w:val="000000"/>
        </w:rPr>
        <w:t xml:space="preserve"> </w:t>
      </w:r>
      <w:r>
        <w:rPr>
          <w:rFonts w:ascii="Times New Roman;sans-serif" w:hAnsi="Times New Roman;sans-serif"/>
          <w:b w:val="false"/>
          <w:color w:val="000000"/>
          <w:sz w:val="20"/>
        </w:rPr>
        <w:t xml:space="preserve">for additional information on assets and liabilities related to Biocon Biologics.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Viatris and Biocon Biologics also entered an agreement pursuant to which Viatris is providing commercialization and certain other transition services on behalf of Biocon Biologics, including billings, collections, and the remittance of rebates, to ensure business continuity for patients, customers and colleagues. The original term of the transition services agreement was generally up to two years; however, the parties agreed to reduce the term of the transition services agreement to expire on December 31, 2023, subject to early termination of services at the discretion at Biocon Biologics and/or extensions until April 30, 2024 for certain services. Under the transition services agreement, Viatris is entitled to be reimbursed for its costs (subject to certain caps) plus a markup of $44 million for 2023. In the event services are provided after 2023 through April 30, 2024, Viatris is entitled to be reimbursed for its costs plus service-based markups for such period. During the three and six months ended June 30, 2023, the Company recognized TSA income of approximately $46.9 million and $92.6 million, respectively, as a component of </w:t>
      </w:r>
      <w:r>
        <w:rPr>
          <w:rFonts w:ascii="Times New Roman;sans-serif" w:hAnsi="Times New Roman;sans-serif"/>
          <w:b w:val="false"/>
          <w:i/>
          <w:color w:val="000000"/>
          <w:sz w:val="20"/>
        </w:rPr>
        <w:t>Other (Income) Expense, Net</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 Potential Divestitures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the Company provided an update on the strategic priorities announced in February 2022, including identifying the following businesses no longer considered core to its future strategy that the Company intends to divest: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OTC;</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API (while retaining some selective development API capabilities);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Women’s health care, primarily related to our oral and injectable contraceptives. This does not include all of our women’s health care related products; as an example, our Xulane® product in the U.S. is excluded;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Upjohn Distributor Markets.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we determined that our Upjohn Distributor Markets should be classified as held for sale. Upon classification as held for sale, we recognized a total charge of $374.2 million in that quarter, which was comprised of a goodwill impairment charge of $117.0 million, other charges, principally inventory write-offs, of $84.3 million and a charge of approximately $172.9 million to write down the disposal group to fair value, less cost to sell. During the three and six months ended June 30, 2023, the Company recorded additional charges of $10.0 million and $19.2 million, respectively. During the six months ended June 30, 2023, the Company additionally recorded an intangible asset charge of $32.0 million to write down the disposal group to fair value, less cost to sell. As of June 30, 2023 and December 31, 2022, assets held for sale associated with the Upjohn Distributor Markets consisted of intangible assets of $174.9 million and $230.3 million, respectively. If these transactions are not completed, the distribution arrangements will expire in accordance with our agreement with Pfizer and the Company will wind down operations in these markets, which may result in additional asset write-offs and other costs being incurred. These additional charges could be in excess of $250 million.</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6.Share-Based Incentive Plan</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Prior to the Distribution, Viatris adopted and Pfizer, in the capacity as Viatris’ sole stockholder at such time, approved the 2020 Incentive Plan (the </w:t>
      </w:r>
      <w:r>
        <w:rPr>
          <w:rFonts w:ascii="Times New Roman;sans-serif" w:hAnsi="Times New Roman;sans-serif"/>
          <w:b w:val="false"/>
          <w:i/>
          <w:color w:val="000000"/>
          <w:sz w:val="20"/>
        </w:rPr>
        <w:t>Viatris Inc.</w:t>
      </w:r>
      <w:r>
        <w:rPr>
          <w:color w:val="000000"/>
        </w:rPr>
        <w:t xml:space="preserve"> </w:t>
      </w:r>
      <w:r>
        <w:rPr>
          <w:rFonts w:ascii="Times New Roman;sans-serif" w:hAnsi="Times New Roman;sans-serif"/>
          <w:b w:val="false"/>
          <w:i/>
          <w:color w:val="000000"/>
          <w:sz w:val="20"/>
        </w:rPr>
        <w:t>2020 Stock Incentive Plan</w:t>
      </w:r>
      <w:r>
        <w:rPr>
          <w:rFonts w:ascii="Times New Roman;sans-serif" w:hAnsi="Times New Roman;sans-serif"/>
          <w:b w:val="false"/>
          <w:color w:val="000000"/>
          <w:sz w:val="20"/>
        </w:rPr>
        <w:t>) which became effective as of the Distribution. In connection with the Combination, as of November 16, 2020, the Company assumed the 2003 LTIP (</w:t>
      </w:r>
      <w:r>
        <w:rPr>
          <w:rFonts w:ascii="Times New Roman;sans-serif" w:hAnsi="Times New Roman;sans-serif"/>
          <w:b w:val="false"/>
          <w:i/>
          <w:color w:val="000000"/>
          <w:sz w:val="20"/>
        </w:rPr>
        <w:t>Mylan N.V. Amended and Restated 2003 Long-Term Incentive Plan</w:t>
      </w:r>
      <w:r>
        <w:rPr>
          <w:rFonts w:ascii="Times New Roman;sans-serif" w:hAnsi="Times New Roman;sans-serif"/>
          <w:b w:val="false"/>
          <w:color w:val="000000"/>
          <w:sz w:val="20"/>
        </w:rPr>
        <w:t>), which had previously been approved by Mylan shareholders. The 2020 Incentive Plan and 2003 LTIP include (i) 72,500,000 shares of Viatris’ common stock authorized for grant pursuant to the 2020 Incentive Plan, which may include dividend payments payable in common stock on unvested shares granted under awards, (ii) 6,757,640 shares of common stock to be issued pursuant to the exercise of outstanding stock options granted to participants under the 2003 LTIP and assumed by Viatris in connection with the Combination and (iii) 13,535,627 shares of common stock subject to outstanding equity-based awards, other than stock options, assumed by Viatris in connection with the Combination, or that otherwise remain available for issuance under the 2003 LTIP.</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2020 Incentive Plan and 2003 LTIP,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awards (stock options and SARs) activity under the 2020 Incentive Plan and 2003 LTIP:</w:t>
      </w:r>
    </w:p>
    <w:tbl>
      <w:tblPr>
        <w:tblW w:w="10205" w:type="dxa"/>
        <w:jc w:val="left"/>
        <w:tblInd w:w="0" w:type="dxa"/>
        <w:tblLayout w:type="fixed"/>
        <w:tblCellMar>
          <w:top w:w="28" w:type="dxa"/>
          <w:left w:w="28" w:type="dxa"/>
          <w:bottom w:w="28" w:type="dxa"/>
          <w:right w:w="28" w:type="dxa"/>
        </w:tblCellMar>
      </w:tblPr>
      <w:tblGrid>
        <w:gridCol w:w="1341"/>
        <w:gridCol w:w="1177"/>
        <w:gridCol w:w="1184"/>
        <w:gridCol w:w="977"/>
        <w:gridCol w:w="965"/>
        <w:gridCol w:w="970"/>
        <w:gridCol w:w="109"/>
        <w:gridCol w:w="109"/>
        <w:gridCol w:w="109"/>
        <w:gridCol w:w="701"/>
        <w:gridCol w:w="2047"/>
        <w:gridCol w:w="516"/>
      </w:tblGrid>
      <w:tr>
        <w:trPr/>
        <w:tc>
          <w:tcPr>
            <w:tcW w:w="134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Under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 per Share</w:t>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4,449,642 </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283,361 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(335,798)</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2023</w:t>
            </w:r>
          </w:p>
        </w:tc>
        <w:tc>
          <w:tcPr>
            <w:tcW w:w="1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4,388,080 </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June 30, 2023</w:t>
            </w:r>
          </w:p>
        </w:tc>
        <w:tc>
          <w:tcPr>
            <w:tcW w:w="19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4,361,367 </w:t>
            </w:r>
          </w:p>
        </w:tc>
        <w:tc>
          <w:tcPr>
            <w:tcW w:w="9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June 30, 2023</w:t>
            </w:r>
          </w:p>
        </w:tc>
        <w:tc>
          <w:tcPr>
            <w:tcW w:w="1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4,151,296 </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stock awards outstanding, stock awards vested and expected to vest and stock awards exercisable had average remaining contractual terms of 4.2 years, 4.1 years and 3.9 years, respectively. Also, at June 30, 2023, stock awards outstanding, stock awards vested and expected to vest and stock awards exercisable had aggregate intrinsic values of $0.6 million, $0.6 million, and $0.2 million, respectively.</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rollforward of the changes in the Company’s nonvested Restricted Stock Awards (restricted stock and restricted stock unit awards, including PSUs) from December 31, 2022 to June 30, 2023 is presented below:</w:t>
      </w:r>
    </w:p>
    <w:tbl>
      <w:tblPr>
        <w:tblW w:w="9834" w:type="dxa"/>
        <w:jc w:val="left"/>
        <w:tblInd w:w="0" w:type="dxa"/>
        <w:tblLayout w:type="fixed"/>
        <w:tblCellMar>
          <w:top w:w="28" w:type="dxa"/>
          <w:left w:w="28" w:type="dxa"/>
          <w:bottom w:w="28" w:type="dxa"/>
          <w:right w:w="28" w:type="dxa"/>
        </w:tblCellMar>
      </w:tblPr>
      <w:tblGrid>
        <w:gridCol w:w="1016"/>
        <w:gridCol w:w="891"/>
        <w:gridCol w:w="897"/>
        <w:gridCol w:w="904"/>
        <w:gridCol w:w="904"/>
        <w:gridCol w:w="906"/>
        <w:gridCol w:w="109"/>
        <w:gridCol w:w="109"/>
        <w:gridCol w:w="109"/>
        <w:gridCol w:w="855"/>
        <w:gridCol w:w="2502"/>
        <w:gridCol w:w="632"/>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Grant-Date Fair Value Per Share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27,271,926 </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20,286,212 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(7,797,097)</w:t>
            </w:r>
          </w:p>
        </w:tc>
        <w:tc>
          <w:tcPr>
            <w:tcW w:w="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(2,101,991)</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June 30, 2023</w:t>
            </w:r>
          </w:p>
        </w:tc>
        <w:tc>
          <w:tcPr>
            <w:tcW w:w="1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37,659,050 </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$285.5 million of total unrecognized compensation expense, net of estimated forfeitures, related to all of its stock-based awards, which we expect to recognize over the remaining weighted average vesting period of 1.6 years. The total intrinsic value of Restricted Stock Awards released during the six months ended June 30, 2023 and 2022 was $101.6 million and $64.1 million, respectively.</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7.Pensions and Other Postretirement Benefits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Defined Benefit Plans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Net Periodic Benefit Cost</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cost for the three and six months ended June 30, 2023 and 2022 were as follows:</w:t>
      </w:r>
    </w:p>
    <w:tbl>
      <w:tblPr>
        <w:tblW w:w="7424" w:type="dxa"/>
        <w:jc w:val="left"/>
        <w:tblInd w:w="0" w:type="dxa"/>
        <w:tblLayout w:type="fixed"/>
        <w:tblCellMar>
          <w:top w:w="28" w:type="dxa"/>
          <w:left w:w="28" w:type="dxa"/>
          <w:bottom w:w="28" w:type="dxa"/>
          <w:right w:w="28" w:type="dxa"/>
        </w:tblCellMar>
      </w:tblPr>
      <w:tblGrid>
        <w:gridCol w:w="1192"/>
        <w:gridCol w:w="1045"/>
        <w:gridCol w:w="1047"/>
        <w:gridCol w:w="211"/>
        <w:gridCol w:w="406"/>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and Other Postretirement Benefits</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net actuarial (gains)/losses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making the minimum mandatory contributions to its defined benefit pension plans in the U.S. and Puerto Rico for the 2023 plan year. The Company expects to make total benefit payments of approximately $108.5 million from pension and other postretirement benefit plans in 2023. The Company anticipates making contributions to pension and other postretirement benefit plans of approximately $51.3 million in 2023.</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8.Balance Sheet Components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Selected balance sheet components consist of the following:</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and restricted cash</w:t>
      </w:r>
    </w:p>
    <w:tbl>
      <w:tblPr>
        <w:tblW w:w="9599" w:type="dxa"/>
        <w:jc w:val="left"/>
        <w:tblInd w:w="0" w:type="dxa"/>
        <w:tblLayout w:type="fixed"/>
        <w:tblCellMar>
          <w:top w:w="28" w:type="dxa"/>
          <w:left w:w="28" w:type="dxa"/>
          <w:bottom w:w="28" w:type="dxa"/>
          <w:right w:w="28" w:type="dxa"/>
        </w:tblCellMar>
      </w:tblPr>
      <w:tblGrid>
        <w:gridCol w:w="2081"/>
        <w:gridCol w:w="1827"/>
        <w:gridCol w:w="1837"/>
        <w:gridCol w:w="211"/>
        <w:gridCol w:w="616"/>
        <w:gridCol w:w="109"/>
        <w:gridCol w:w="109"/>
        <w:gridCol w:w="109"/>
        <w:gridCol w:w="109"/>
        <w:gridCol w:w="212"/>
        <w:gridCol w:w="773"/>
        <w:gridCol w:w="110"/>
        <w:gridCol w:w="109"/>
        <w:gridCol w:w="109"/>
        <w:gridCol w:w="109"/>
        <w:gridCol w:w="251"/>
        <w:gridCol w:w="735"/>
        <w:gridCol w:w="183"/>
      </w:tblGrid>
      <w:tr>
        <w:trPr/>
        <w:tc>
          <w:tcPr>
            <w:tcW w:w="2081"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Inventories</w:t>
      </w:r>
    </w:p>
    <w:tbl>
      <w:tblPr>
        <w:tblW w:w="3976" w:type="dxa"/>
        <w:jc w:val="left"/>
        <w:tblInd w:w="0" w:type="dxa"/>
        <w:tblLayout w:type="fixed"/>
        <w:tblCellMar>
          <w:top w:w="28" w:type="dxa"/>
          <w:left w:w="28" w:type="dxa"/>
          <w:bottom w:w="28" w:type="dxa"/>
          <w:right w:w="28" w:type="dxa"/>
        </w:tblCellMar>
      </w:tblPr>
      <w:tblGrid>
        <w:gridCol w:w="517"/>
        <w:gridCol w:w="453"/>
        <w:gridCol w:w="454"/>
        <w:gridCol w:w="211"/>
        <w:gridCol w:w="766"/>
        <w:gridCol w:w="109"/>
        <w:gridCol w:w="109"/>
        <w:gridCol w:w="109"/>
        <w:gridCol w:w="109"/>
        <w:gridCol w:w="212"/>
        <w:gridCol w:w="772"/>
        <w:gridCol w:w="155"/>
      </w:tblGrid>
      <w:tr>
        <w:trP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tbl>
      <w:tblPr>
        <w:tblW w:w="7172" w:type="dxa"/>
        <w:jc w:val="left"/>
        <w:tblInd w:w="0" w:type="dxa"/>
        <w:tblLayout w:type="fixed"/>
        <w:tblCellMar>
          <w:top w:w="28" w:type="dxa"/>
          <w:left w:w="28" w:type="dxa"/>
          <w:bottom w:w="28" w:type="dxa"/>
          <w:right w:w="28" w:type="dxa"/>
        </w:tblCellMar>
      </w:tblPr>
      <w:tblGrid>
        <w:gridCol w:w="1528"/>
        <w:gridCol w:w="1342"/>
        <w:gridCol w:w="1344"/>
        <w:gridCol w:w="211"/>
        <w:gridCol w:w="766"/>
        <w:gridCol w:w="109"/>
        <w:gridCol w:w="109"/>
        <w:gridCol w:w="109"/>
        <w:gridCol w:w="109"/>
        <w:gridCol w:w="288"/>
        <w:gridCol w:w="1047"/>
        <w:gridCol w:w="210"/>
      </w:tblGrid>
      <w:tr>
        <w:trPr/>
        <w:tc>
          <w:tcPr>
            <w:tcW w:w="152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consideration due from Biocon Biologics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fixed income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financial instruments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1,811.2 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consist primarily of prepaid rent, insurance and other individually insignificant items.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tbl>
      <w:tblPr>
        <w:tblW w:w="6033" w:type="dxa"/>
        <w:jc w:val="left"/>
        <w:tblInd w:w="0" w:type="dxa"/>
        <w:tblLayout w:type="fixed"/>
        <w:tblCellMar>
          <w:top w:w="28" w:type="dxa"/>
          <w:left w:w="28" w:type="dxa"/>
          <w:bottom w:w="28" w:type="dxa"/>
          <w:right w:w="28" w:type="dxa"/>
        </w:tblCellMar>
      </w:tblPr>
      <w:tblGrid>
        <w:gridCol w:w="1112"/>
        <w:gridCol w:w="975"/>
        <w:gridCol w:w="988"/>
        <w:gridCol w:w="211"/>
        <w:gridCol w:w="766"/>
        <w:gridCol w:w="109"/>
        <w:gridCol w:w="109"/>
        <w:gridCol w:w="109"/>
        <w:gridCol w:w="109"/>
        <w:gridCol w:w="288"/>
        <w:gridCol w:w="1047"/>
        <w:gridCol w:w="210"/>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plant and equipment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5,083.8 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assets</w:t>
      </w:r>
    </w:p>
    <w:tbl>
      <w:tblPr>
        <w:tblW w:w="7172" w:type="dxa"/>
        <w:jc w:val="center"/>
        <w:tblInd w:w="0" w:type="dxa"/>
        <w:tblLayout w:type="fixed"/>
        <w:tblCellMar>
          <w:top w:w="28" w:type="dxa"/>
          <w:left w:w="28" w:type="dxa"/>
          <w:bottom w:w="28" w:type="dxa"/>
          <w:right w:w="28" w:type="dxa"/>
        </w:tblCellMar>
      </w:tblPr>
      <w:tblGrid>
        <w:gridCol w:w="1525"/>
        <w:gridCol w:w="1339"/>
        <w:gridCol w:w="1350"/>
        <w:gridCol w:w="211"/>
        <w:gridCol w:w="766"/>
        <w:gridCol w:w="109"/>
        <w:gridCol w:w="109"/>
        <w:gridCol w:w="109"/>
        <w:gridCol w:w="109"/>
        <w:gridCol w:w="288"/>
        <w:gridCol w:w="1047"/>
        <w:gridCol w:w="210"/>
      </w:tblGrid>
      <w:tr>
        <w:trPr/>
        <w:tc>
          <w:tcPr>
            <w:tcW w:w="152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Non-marketable equity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consideration due from Biocon Biologics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CCPS in Biocon Biologics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2,403.5 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Accounts payable</w:t>
      </w:r>
    </w:p>
    <w:tbl>
      <w:tblPr>
        <w:tblW w:w="4998" w:type="dxa"/>
        <w:jc w:val="center"/>
        <w:tblInd w:w="0" w:type="dxa"/>
        <w:tblLayout w:type="fixed"/>
        <w:tblCellMar>
          <w:top w:w="28" w:type="dxa"/>
          <w:left w:w="28" w:type="dxa"/>
          <w:bottom w:w="28" w:type="dxa"/>
          <w:right w:w="28" w:type="dxa"/>
        </w:tblCellMar>
      </w:tblPr>
      <w:tblGrid>
        <w:gridCol w:w="740"/>
        <w:gridCol w:w="649"/>
        <w:gridCol w:w="651"/>
        <w:gridCol w:w="211"/>
        <w:gridCol w:w="766"/>
        <w:gridCol w:w="109"/>
        <w:gridCol w:w="109"/>
        <w:gridCol w:w="109"/>
        <w:gridCol w:w="109"/>
        <w:gridCol w:w="288"/>
        <w:gridCol w:w="1047"/>
        <w:gridCol w:w="210"/>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payables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payable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1,766.6 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current liabilities</w:t>
      </w:r>
    </w:p>
    <w:tbl>
      <w:tblPr>
        <w:tblW w:w="8028" w:type="dxa"/>
        <w:jc w:val="left"/>
        <w:tblInd w:w="0" w:type="dxa"/>
        <w:tblLayout w:type="fixed"/>
        <w:tblCellMar>
          <w:top w:w="28" w:type="dxa"/>
          <w:left w:w="28" w:type="dxa"/>
          <w:bottom w:w="28" w:type="dxa"/>
          <w:right w:w="28" w:type="dxa"/>
        </w:tblCellMar>
      </w:tblPr>
      <w:tblGrid>
        <w:gridCol w:w="1838"/>
        <w:gridCol w:w="1609"/>
        <w:gridCol w:w="1623"/>
        <w:gridCol w:w="211"/>
        <w:gridCol w:w="766"/>
        <w:gridCol w:w="109"/>
        <w:gridCol w:w="109"/>
        <w:gridCol w:w="109"/>
        <w:gridCol w:w="109"/>
        <w:gridCol w:w="288"/>
        <w:gridCol w:w="1047"/>
        <w:gridCol w:w="210"/>
      </w:tblGrid>
      <w:tr>
        <w:trPr/>
        <w:tc>
          <w:tcPr>
            <w:tcW w:w="18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allowances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professional accruals, including litigation accruals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employee benefit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financial instruments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Biocon Biologics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3,440.9 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long-term obligations</w:t>
      </w:r>
    </w:p>
    <w:tbl>
      <w:tblPr>
        <w:tblW w:w="6542" w:type="dxa"/>
        <w:jc w:val="left"/>
        <w:tblInd w:w="0" w:type="dxa"/>
        <w:tblLayout w:type="fixed"/>
        <w:tblCellMar>
          <w:top w:w="28" w:type="dxa"/>
          <w:left w:w="28" w:type="dxa"/>
          <w:bottom w:w="28" w:type="dxa"/>
          <w:right w:w="28" w:type="dxa"/>
        </w:tblCellMar>
      </w:tblPr>
      <w:tblGrid>
        <w:gridCol w:w="1301"/>
        <w:gridCol w:w="1140"/>
        <w:gridCol w:w="1143"/>
        <w:gridCol w:w="211"/>
        <w:gridCol w:w="766"/>
        <w:gridCol w:w="109"/>
        <w:gridCol w:w="109"/>
        <w:gridCol w:w="109"/>
        <w:gridCol w:w="109"/>
        <w:gridCol w:w="288"/>
        <w:gridCol w:w="1047"/>
        <w:gridCol w:w="210"/>
      </w:tblGrid>
      <w:tr>
        <w:trPr/>
        <w:tc>
          <w:tcPr>
            <w:tcW w:w="130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Contingent consideration </w:t>
            </w:r>
            <w:r>
              <w:rPr>
                <w:rFonts w:ascii="Times New Roman;sans-serif" w:hAnsi="Times New Roman;sans-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related items, including contingencies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long-term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1,756.5 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 xml:space="preserve">Balances as of June 30, 2023 and December 31, 2022 include $228.4 million and $221.2 million, respectively, due to Biocon Biologics. Refer to Note 11 </w:t>
      </w:r>
      <w:r>
        <w:rPr>
          <w:rFonts w:ascii="Times New Roman;sans-serif" w:hAnsi="Times New Roman;sans-serif"/>
          <w:b w:val="false"/>
          <w:i/>
          <w:color w:val="000000"/>
          <w:sz w:val="20"/>
        </w:rPr>
        <w:t xml:space="preserve">Financial Instruments and Risk Management </w:t>
      </w:r>
      <w:r>
        <w:rPr>
          <w:rFonts w:ascii="Times New Roman;sans-serif" w:hAnsi="Times New Roman;sans-serif"/>
          <w:b w:val="false"/>
          <w:color w:val="000000"/>
          <w:sz w:val="20"/>
        </w:rPr>
        <w:t>for additional information.</w:t>
      </w:r>
    </w:p>
    <w:p>
      <w:pPr>
        <w:pStyle w:val="TextBody"/>
        <w:bidi w:val="0"/>
        <w:spacing w:before="0" w:after="24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9.Earnings per Share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earnings by the weighted average number of shares outstanding during the period. Diluted earnings per share is computed by dividing net earnings by the weighted average number of shares outstanding during the period increased by the number of additional shares that would have been outstanding related to potentially dilutive securities or instruments, if the impact is dilutive.</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per share attributable to Viatris Inc. are calculated as follows:</w:t>
      </w:r>
    </w:p>
    <w:tbl>
      <w:tblPr>
        <w:tblW w:w="10200" w:type="dxa"/>
        <w:jc w:val="left"/>
        <w:tblInd w:w="0" w:type="dxa"/>
        <w:tblLayout w:type="fixed"/>
        <w:tblCellMar>
          <w:top w:w="28" w:type="dxa"/>
          <w:left w:w="28" w:type="dxa"/>
          <w:bottom w:w="28" w:type="dxa"/>
          <w:right w:w="28" w:type="dxa"/>
        </w:tblCellMar>
      </w:tblPr>
      <w:tblGrid>
        <w:gridCol w:w="1965"/>
        <w:gridCol w:w="1725"/>
        <w:gridCol w:w="174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96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per share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earnings attributable to Viatris Inc. common shareholders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Viatris Inc.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Shares (denominator):</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attributable to Viatris Inc. shareholders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 earnings attributable to Viatris Inc. common shareholders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Viatris Inc.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Shares (denominator):</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dilutive shares outstanding</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attributable to Viatris Inc. shareholders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stock awards and Restricted Stock Awards were outstanding during the three and six months ended June 30, 2023 and 2022, but were not included in the computation of diluted earnings per share for each respective period because the effect would be anti-dilutive. Excluded shares at June 30, 2023 include certain share-based compensation awards whose performance conditions had not been fully met. Such excluded shares and anti-dilutive awards represented 24.2 million shares and 19.0 million shares for the three and six months ended June 30, 2023, respectively, and 9.8 million shares and 12.6 million shares for the three and six months ended June 30, 2022, respectively.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paid a quarterly dividend of $0.12 per share on the Company’s issued and outstanding common stock on March 17, 2023 and June 16, 2023. On August 4, 2023, the Company’s Board of Directors declared a quarterly cash dividend of $0.12 per share on the Company’s issued and outstanding common stock, which will be payable on September 15, 2023 to shareholders of record as of the close of business on August 24, 2023.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2022, the Company announced that its Board of Directors had authorized a share repurchase program for the repurchase of up to $1.0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six months ended June 30, 2023, the Company repurchased approximately 21.2 million shares of common stock at a cost of approximately $250 million. The Company did not repurchase any shares of common stock under the share repurchase program in 2022. The share repurchase program does not obligate the Company to acquire any particular amount of common stock.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10.Goodwill and Intangible Assets</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six months ended June 30, 2023 are as follows:</w:t>
      </w:r>
    </w:p>
    <w:tbl>
      <w:tblPr>
        <w:tblW w:w="10205" w:type="dxa"/>
        <w:jc w:val="left"/>
        <w:tblInd w:w="0" w:type="dxa"/>
        <w:tblLayout w:type="fixed"/>
        <w:tblCellMar>
          <w:top w:w="28" w:type="dxa"/>
          <w:left w:w="28" w:type="dxa"/>
          <w:bottom w:w="28" w:type="dxa"/>
          <w:right w:w="28" w:type="dxa"/>
        </w:tblCellMar>
      </w:tblPr>
      <w:tblGrid>
        <w:gridCol w:w="892"/>
        <w:gridCol w:w="746"/>
        <w:gridCol w:w="737"/>
        <w:gridCol w:w="316"/>
        <w:gridCol w:w="1150"/>
        <w:gridCol w:w="163"/>
        <w:gridCol w:w="109"/>
        <w:gridCol w:w="109"/>
        <w:gridCol w:w="109"/>
        <w:gridCol w:w="253"/>
        <w:gridCol w:w="741"/>
        <w:gridCol w:w="130"/>
        <w:gridCol w:w="109"/>
        <w:gridCol w:w="109"/>
        <w:gridCol w:w="109"/>
        <w:gridCol w:w="211"/>
        <w:gridCol w:w="616"/>
        <w:gridCol w:w="109"/>
        <w:gridCol w:w="109"/>
        <w:gridCol w:w="109"/>
        <w:gridCol w:w="109"/>
        <w:gridCol w:w="309"/>
        <w:gridCol w:w="1124"/>
        <w:gridCol w:w="159"/>
        <w:gridCol w:w="109"/>
        <w:gridCol w:w="109"/>
        <w:gridCol w:w="109"/>
        <w:gridCol w:w="211"/>
        <w:gridCol w:w="871"/>
        <w:gridCol w:w="159"/>
      </w:tblGrid>
      <w:tr>
        <w:trPr/>
        <w:tc>
          <w:tcPr>
            <w:tcW w:w="89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Developed Markets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Markets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10,532.5 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Balances as of June 30, 2023 and December 31, 2022 include an accumulated impairment loss of $385.0 million.</w:t>
      </w:r>
    </w:p>
    <w:p>
      <w:pPr>
        <w:pStyle w:val="TextBody"/>
        <w:bidi w:val="0"/>
        <w:spacing w:lineRule="auto" w:line="288" w:before="0" w:after="24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Balances as of June 30, 2023 and December 31, 2022 include an accumulated impairment loss of $117.0 million.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goodwill for impairment annually on April 1st or more frequently if events or changes in circumstances indicate that the carrying value of goodwill may not be recoverable. The Company performed the annual goodwill impairment test as of April 1, 2023.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its annual goodwill impairment test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compared to the prior year’s annual goodwill impairment test completed on April 1, 2022, the Company has experienced significant fluctuations in foreign exchange rates in certain international markets, combined with a significant increase in market interest rates. These market factors have caused the discount rate utilized in all our reporting units to increase between 1.0% to 4.5%, resulting in a significant reduction in the calculated fair values at April 1, 2023 for all our reporting units. Also, in conjunction with the Company’s annual strategic planning process which included determining long-term growth rate targets for our business, operational results during the forecast period were reduced and long-term growth rates were increased. As a result of these changes, the calculated fair values of the North America, Greater China and Europe reporting units declined in excess of 10% and the JANZ and Emerging Markets reporting units declined in excess of 15% when compared to the prior year fair values.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the allocation of the Company’s total goodwill was as follows: North America $3.15 billion, Europe $4.47 billion, Emerging Markets $1.34 billion, JANZ $0.68 billion and Greater China $0.94 billion.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the Company determined that the fair value of the North America and Greater China reporting units was substantially in excess of the respective unit’s carrying value.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Europe reporting unit, the estimated fair value exceeded its carrying value by approximately $535 million or 3.9% for the annual goodwill impairment test. As it relates to the discounted cash flow approach for the Europe reporting unit at April 1, 2023, the Company forecasted cash flows for the next 10 years. During the forecast period, the revenue compound annual growth rate was approximately 2.4%. A terminal year value was calculated with a 2.0% revenue growth rate applied. The discount rate utilized was 11.0% and the estimated tax rate was 14.9%. If all other assumptions are held constant, a reduction in the terminal value growth rate by 1.0% or an increase in discount rate by 0.5% would result in an impairment charge for the Europe reporting unit.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JANZ reporting unit, the estimated fair value exceeded its carrying value by approximately $145 million or 5.5% for the annual goodwill impairment test. As it relates to the discounted cash flow approach for the JANZ reporting unit at April 1, 2023, the Company forecasted cash flows for the next 10 years. During the forecast period, the revenue compound annual growth rate was approximately negative 2.0%. A terminal year value was calculated with a 1.5% revenue growth rate applied. The discount rate utilized was 7.0% and the estimated tax rate was 30.6%. If all other assumptions are held constant, a reduction in the terminal value growth rate by 0.5% or an increase in discount rate by 0.5% would result in an impairment charge for the JANZ reporting unit.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Emerging Markets reporting unit, the estimated fair value exceeded its carrying value by approximately $513 million or 7.7% for the annual goodwill impairment test. As it relates to the discounted cash flow approach for the Emerging Markets reporting unit at April 1, 2023, the Company forecasted cash flows for the next 10 years. During the forecast period, the revenue compound annual growth rate was approximately 1.8%. A terminal year value was calculated with a 2.0% revenue growth rate applied. The discount rate utilized was 11.5% and the estimated tax rate was 17.4%. If all other assumptions are held constant, a reduction in the terminal value growth rate by 2.5% or an increase in discount rate by 1.0% would result in an impairment charge for the Emerging Markets reporting unit.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 components at June 30, 2023 and December 31, 2022:</w:t>
      </w:r>
    </w:p>
    <w:tbl>
      <w:tblPr>
        <w:tblW w:w="10205" w:type="dxa"/>
        <w:jc w:val="left"/>
        <w:tblInd w:w="0" w:type="dxa"/>
        <w:tblLayout w:type="fixed"/>
        <w:tblCellMar>
          <w:top w:w="28" w:type="dxa"/>
          <w:left w:w="28" w:type="dxa"/>
          <w:bottom w:w="28" w:type="dxa"/>
          <w:right w:w="28" w:type="dxa"/>
        </w:tblCellMar>
      </w:tblPr>
      <w:tblGrid>
        <w:gridCol w:w="1059"/>
        <w:gridCol w:w="846"/>
        <w:gridCol w:w="851"/>
        <w:gridCol w:w="694"/>
        <w:gridCol w:w="694"/>
        <w:gridCol w:w="696"/>
        <w:gridCol w:w="109"/>
        <w:gridCol w:w="109"/>
        <w:gridCol w:w="109"/>
        <w:gridCol w:w="211"/>
        <w:gridCol w:w="871"/>
        <w:gridCol w:w="109"/>
        <w:gridCol w:w="109"/>
        <w:gridCol w:w="109"/>
        <w:gridCol w:w="109"/>
        <w:gridCol w:w="337"/>
        <w:gridCol w:w="1397"/>
        <w:gridCol w:w="174"/>
        <w:gridCol w:w="109"/>
        <w:gridCol w:w="109"/>
        <w:gridCol w:w="109"/>
        <w:gridCol w:w="218"/>
        <w:gridCol w:w="902"/>
        <w:gridCol w:w="165"/>
      </w:tblGrid>
      <w:tr>
        <w:trPr/>
        <w:tc>
          <w:tcPr>
            <w:tcW w:w="105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2023</w:t>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Product rights, licenses and other </w:t>
            </w:r>
            <w:r>
              <w:rPr>
                <w:rFonts w:ascii="Times New Roman;sans-serif" w:hAnsi="Times New Roman;sans-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16,176.7 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22,084.4 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Product rights, licenses and other </w:t>
            </w:r>
            <w:r>
              <w:rPr>
                <w:rFonts w:ascii="Times New Roman;sans-serif" w:hAnsi="Times New Roman;sans-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14,923.6 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14,923.6 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24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Represents amortizable intangible assets. Other intangible assets consists principally of customer lists and contractual rights.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acquired product rights and licenses from Oyster Point of approximately $334.0 million, and IPR&amp;D of approximately $290.0 million from Famy Life Sciences. Refer to Note 4</w:t>
      </w:r>
    </w:p>
    <w:p>
      <w:pPr>
        <w:pStyle w:val="TextBody"/>
        <w:bidi w:val="0"/>
        <w:spacing w:lineRule="auto" w:line="288" w:before="0" w:after="0"/>
        <w:jc w:val="left"/>
        <w:rPr/>
      </w:pPr>
      <w:r>
        <w:rPr>
          <w:rFonts w:ascii="Times New Roman;sans-serif" w:hAnsi="Times New Roman;sans-serif"/>
          <w:b w:val="false"/>
          <w:i/>
          <w:color w:val="000000"/>
          <w:sz w:val="20"/>
        </w:rPr>
        <w:t>Acquisitions and Other Transactions</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and intangible asset disposal &amp; impairment charges (which are included as a component of amortization expense) are classified primarily within cost of sales in the condensed consolidated statements of operations and were as follows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1876"/>
        <w:gridCol w:w="1619"/>
        <w:gridCol w:w="1638"/>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187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5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disposal &amp; impairment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 amortization expense (including disposal &amp; impairment charges)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100" w:after="240"/>
        <w:ind w:left="0" w:right="0" w:firstLine="720"/>
        <w:jc w:val="left"/>
        <w:rPr/>
      </w:pPr>
      <w:r>
        <w:rPr>
          <w:rFonts w:ascii="Times New Roman;sans-serif" w:hAnsi="Times New Roman;sans-serif"/>
          <w:b w:val="false"/>
          <w:color w:val="000000"/>
          <w:sz w:val="20"/>
        </w:rPr>
        <w:t xml:space="preserve">During the six months ended June 30, 2023, the Company recognized an intangible asset charge of approximately $32.0 million, which was recorded within </w:t>
      </w:r>
      <w:r>
        <w:rPr>
          <w:rFonts w:ascii="Times New Roman;sans-serif" w:hAnsi="Times New Roman;sans-serif"/>
          <w:b w:val="false"/>
          <w:i/>
          <w:color w:val="000000"/>
          <w:sz w:val="20"/>
        </w:rPr>
        <w:t>Cost of sales</w:t>
      </w:r>
      <w:r>
        <w:rPr>
          <w:color w:val="000000"/>
        </w:rPr>
        <w:t xml:space="preserve"> </w:t>
      </w:r>
      <w:r>
        <w:rPr>
          <w:rFonts w:ascii="Times New Roman;sans-serif" w:hAnsi="Times New Roman;sans-serif"/>
          <w:b w:val="false"/>
          <w:color w:val="000000"/>
          <w:sz w:val="20"/>
        </w:rPr>
        <w:t xml:space="preserve">in the condensed consolidated statement of operations, to write down the disposal group to fair value, less cost to sell, related to our Upjohn Distributor Markets, which are classified as held for sale. As of June 30, 2023 and December 31, 2022, the Company has approximately $174.9 million and $230.3 million, respectively, of intangible assets related to the Upjohn Distributor Markets that are classified as held for sale in the condensed consolidated balance sheets. Refer to Note 5 </w:t>
      </w:r>
      <w:r>
        <w:rPr>
          <w:rFonts w:ascii="Times New Roman;sans-serif" w:hAnsi="Times New Roman;sans-serif"/>
          <w:b w:val="false"/>
          <w:i/>
          <w:color w:val="000000"/>
          <w:sz w:val="20"/>
        </w:rPr>
        <w:t>Divestitures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 over the remainder of 2023 and for the years ending December 31, 2024 through 2027 is estimated to be as follows:</w:t>
      </w:r>
    </w:p>
    <w:tbl>
      <w:tblPr>
        <w:tblW w:w="1971" w:type="dxa"/>
        <w:jc w:val="left"/>
        <w:tblInd w:w="0" w:type="dxa"/>
        <w:tblLayout w:type="fixed"/>
        <w:tblCellMar>
          <w:top w:w="28" w:type="dxa"/>
          <w:left w:w="28" w:type="dxa"/>
          <w:bottom w:w="28" w:type="dxa"/>
          <w:right w:w="28" w:type="dxa"/>
        </w:tblCellMar>
      </w:tblPr>
      <w:tblGrid>
        <w:gridCol w:w="359"/>
        <w:gridCol w:w="315"/>
        <w:gridCol w:w="316"/>
        <w:gridCol w:w="211"/>
        <w:gridCol w:w="616"/>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11.Financial Instruments and Risk Management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certain financial risks relating to its ongoing business operations. The primary financial risks that are managed by using derivative instruments are foreign currency risk and interest rate risk.</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Foreign Currency Risk Management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condensed consolidated balance sheets. Any gains or losses on the foreign exchange forward contracts are recognized in earnings in the period incurred in the condensed consolidated statements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entered into forward contracts to hedge forecasted foreign currency denominated sales from certain international subsidiaries and a portion of forecasted intercompany inventory sales denominated in Euro, Japanese Yen, Chinese Renminbi and Indian Rupee for up to twenty-four months. These contracts are designated as cash flow hedges to manage foreign currency transaction risk and are measured at fair value and reported as current assets or current liabilities in the condensed consolidated balance sheets. Any changes in the fair value of designated cash flow hedges are deferred in AOCE and are reclassified into earnings when the hedged item impacts earnings.</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Net Investment Hedges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principal amounts of the Company’s outstanding Euro and Yen borrowings and the notional amounts of the Euro and Yen borrowings designated as net investment hedges: </w:t>
      </w:r>
    </w:p>
    <w:tbl>
      <w:tblPr>
        <w:tblW w:w="9349" w:type="dxa"/>
        <w:jc w:val="center"/>
        <w:tblInd w:w="0" w:type="dxa"/>
        <w:tblLayout w:type="fixed"/>
        <w:tblCellMar>
          <w:top w:w="28" w:type="dxa"/>
          <w:left w:w="28" w:type="dxa"/>
          <w:bottom w:w="28" w:type="dxa"/>
          <w:right w:w="28" w:type="dxa"/>
        </w:tblCellMar>
      </w:tblPr>
      <w:tblGrid>
        <w:gridCol w:w="1115"/>
        <w:gridCol w:w="978"/>
        <w:gridCol w:w="981"/>
        <w:gridCol w:w="109"/>
        <w:gridCol w:w="109"/>
        <w:gridCol w:w="109"/>
        <w:gridCol w:w="261"/>
        <w:gridCol w:w="1008"/>
        <w:gridCol w:w="126"/>
        <w:gridCol w:w="109"/>
        <w:gridCol w:w="109"/>
        <w:gridCol w:w="109"/>
        <w:gridCol w:w="343"/>
        <w:gridCol w:w="1323"/>
        <w:gridCol w:w="165"/>
        <w:gridCol w:w="165"/>
        <w:gridCol w:w="165"/>
        <w:gridCol w:w="165"/>
        <w:gridCol w:w="343"/>
        <w:gridCol w:w="1323"/>
        <w:gridCol w:w="234"/>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 Designated as a Net Investment Hedge</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2.250% Euro Senior Notes due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3.125% Euro Senior Notes due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2.125% Euro Senior Notes due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 Euro Senior Notes due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1.362% Euro Senior Notes due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1.908% Euro Senior Notes due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the principal amount of the Company’s outstanding Yen borrowings and the notional amount of the Yen borrowings designated as net investment hedges was $277.2 million.</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Rate Risk Management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Credit Risk Management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classification and fair values of derivative instruments in our condensed consolidated balance sheets: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96"/>
        <w:gridCol w:w="557"/>
        <w:gridCol w:w="549"/>
        <w:gridCol w:w="583"/>
        <w:gridCol w:w="522"/>
        <w:gridCol w:w="524"/>
        <w:gridCol w:w="302"/>
        <w:gridCol w:w="733"/>
        <w:gridCol w:w="156"/>
        <w:gridCol w:w="312"/>
        <w:gridCol w:w="911"/>
        <w:gridCol w:w="161"/>
        <w:gridCol w:w="109"/>
        <w:gridCol w:w="109"/>
        <w:gridCol w:w="109"/>
        <w:gridCol w:w="475"/>
        <w:gridCol w:w="383"/>
        <w:gridCol w:w="385"/>
        <w:gridCol w:w="302"/>
        <w:gridCol w:w="733"/>
        <w:gridCol w:w="156"/>
        <w:gridCol w:w="307"/>
        <w:gridCol w:w="897"/>
        <w:gridCol w:w="234"/>
      </w:tblGrid>
      <w:tr>
        <w:trPr/>
        <w:tc>
          <w:tcPr>
            <w:tcW w:w="6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Asset Derivatives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 Derivatives</w:t>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 Fair Value</w:t>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 Fair Value</w:t>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 Fair Value</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hedges:</w:t>
            </w:r>
          </w:p>
        </w:tc>
        <w:tc>
          <w:tcPr>
            <w:tcW w:w="1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&amp; other current assets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derivatives designated as hedges</w:t>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hedges:</w:t>
            </w:r>
          </w:p>
        </w:tc>
        <w:tc>
          <w:tcPr>
            <w:tcW w:w="1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&amp; other current assets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derivatives not designated as hedges</w:t>
            </w:r>
          </w:p>
        </w:tc>
        <w:tc>
          <w:tcPr>
            <w:tcW w:w="1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derivatives </w:t>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the gains/(losses) incurred to hedge or offset operational foreign exchange or interest rate risk:</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81"/>
        <w:gridCol w:w="618"/>
        <w:gridCol w:w="624"/>
        <w:gridCol w:w="406"/>
        <w:gridCol w:w="342"/>
        <w:gridCol w:w="343"/>
        <w:gridCol w:w="247"/>
        <w:gridCol w:w="636"/>
        <w:gridCol w:w="127"/>
        <w:gridCol w:w="247"/>
        <w:gridCol w:w="599"/>
        <w:gridCol w:w="127"/>
        <w:gridCol w:w="109"/>
        <w:gridCol w:w="109"/>
        <w:gridCol w:w="109"/>
        <w:gridCol w:w="280"/>
        <w:gridCol w:w="678"/>
        <w:gridCol w:w="144"/>
        <w:gridCol w:w="280"/>
        <w:gridCol w:w="818"/>
        <w:gridCol w:w="144"/>
        <w:gridCol w:w="109"/>
        <w:gridCol w:w="109"/>
        <w:gridCol w:w="109"/>
        <w:gridCol w:w="276"/>
        <w:gridCol w:w="532"/>
        <w:gridCol w:w="142"/>
        <w:gridCol w:w="276"/>
        <w:gridCol w:w="670"/>
        <w:gridCol w:w="214"/>
      </w:tblGrid>
      <w:tr>
        <w:trPr/>
        <w:tc>
          <w:tcPr>
            <w:tcW w:w="78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Recognized in AOCE (Net of Tax)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of Gains/(Losses) Reclassified from AOCE into Earnings </w:t>
            </w:r>
          </w:p>
        </w:tc>
      </w:tr>
      <w:tr>
        <w:trPr/>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1"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Gain/(Loss)</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23"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023"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023"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Derivative Financial Instruments in Cash Flow Hedging Relationships </w:t>
            </w:r>
            <w:r>
              <w:rPr>
                <w:rFonts w:ascii="Times New Roman;sans-serif" w:hAnsi="Times New Roman;sans-serif"/>
                <w:b/>
                <w:color w:val="000000"/>
                <w:sz w:val="12"/>
              </w:rPr>
              <w:t xml:space="preserve">(1) </w:t>
            </w:r>
            <w:r>
              <w:rPr>
                <w:rFonts w:ascii="Times New Roman;sans-serif" w:hAnsi="Times New Roman;sans-serif"/>
                <w:b/>
                <w:color w:val="000000"/>
                <w:sz w:val="18"/>
              </w:rPr>
              <w:t>:</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sales </w:t>
            </w:r>
            <w:r>
              <w:rPr>
                <w:rFonts w:ascii="Times New Roman;sans-serif" w:hAnsi="Times New Roman;sans-serif"/>
                <w:b w:val="false"/>
                <w:color w:val="000000"/>
                <w:sz w:val="13"/>
              </w:rPr>
              <w:t>(3)</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w:t>
            </w:r>
            <w:r>
              <w:rPr>
                <w:rFonts w:ascii="Times New Roman;sans-serif" w:hAnsi="Times New Roman;sans-serif"/>
                <w:b w:val="false"/>
                <w:color w:val="000000"/>
                <w:sz w:val="13"/>
              </w:rPr>
              <w:t>(3)</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Non-derivative Financial Instruments in Net Investment Hedging Relationships:</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borrowings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 Financial Instruments Not Designated as Hedging Instruments:</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option and forward contracts</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(income) expense, net </w:t>
            </w:r>
            <w:r>
              <w:rPr>
                <w:rFonts w:ascii="Times New Roman;sans-serif" w:hAnsi="Times New Roman;sans-serif"/>
                <w:b w:val="false"/>
                <w:color w:val="000000"/>
                <w:sz w:val="13"/>
              </w:rPr>
              <w:t>(2)</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1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tbl>
      <w:tblPr>
        <w:tblW w:w="10205" w:type="dxa"/>
        <w:jc w:val="center"/>
        <w:tblInd w:w="0" w:type="dxa"/>
        <w:tblLayout w:type="fixed"/>
        <w:tblCellMar>
          <w:top w:w="28" w:type="dxa"/>
          <w:left w:w="28" w:type="dxa"/>
          <w:bottom w:w="28" w:type="dxa"/>
          <w:right w:w="28" w:type="dxa"/>
        </w:tblCellMar>
      </w:tblPr>
      <w:tblGrid>
        <w:gridCol w:w="771"/>
        <w:gridCol w:w="609"/>
        <w:gridCol w:w="614"/>
        <w:gridCol w:w="403"/>
        <w:gridCol w:w="339"/>
        <w:gridCol w:w="340"/>
        <w:gridCol w:w="248"/>
        <w:gridCol w:w="602"/>
        <w:gridCol w:w="128"/>
        <w:gridCol w:w="248"/>
        <w:gridCol w:w="602"/>
        <w:gridCol w:w="128"/>
        <w:gridCol w:w="109"/>
        <w:gridCol w:w="109"/>
        <w:gridCol w:w="109"/>
        <w:gridCol w:w="273"/>
        <w:gridCol w:w="708"/>
        <w:gridCol w:w="141"/>
        <w:gridCol w:w="273"/>
        <w:gridCol w:w="799"/>
        <w:gridCol w:w="141"/>
        <w:gridCol w:w="109"/>
        <w:gridCol w:w="109"/>
        <w:gridCol w:w="109"/>
        <w:gridCol w:w="268"/>
        <w:gridCol w:w="650"/>
        <w:gridCol w:w="138"/>
        <w:gridCol w:w="268"/>
        <w:gridCol w:w="650"/>
        <w:gridCol w:w="210"/>
      </w:tblGrid>
      <w:tr>
        <w:trPr/>
        <w:tc>
          <w:tcPr>
            <w:tcW w:w="77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Gains/(Losses) Recognized in AOCE (Net of Tax)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of Gains/(Losses) Reclassified from AOCE into Earnings </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9"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Gain/(Loss)</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Derivative Financial Instruments in Cash Flow Hedging Relationships </w:t>
            </w:r>
            <w:r>
              <w:rPr>
                <w:rFonts w:ascii="Times New Roman;sans-serif" w:hAnsi="Times New Roman;sans-serif"/>
                <w:b/>
                <w:color w:val="000000"/>
                <w:sz w:val="12"/>
              </w:rPr>
              <w:t xml:space="preserve">(1) </w:t>
            </w:r>
            <w:r>
              <w:rPr>
                <w:rFonts w:ascii="Times New Roman;sans-serif" w:hAnsi="Times New Roman;sans-serif"/>
                <w:b/>
                <w:color w:val="000000"/>
                <w:sz w:val="18"/>
              </w:rPr>
              <w:t>:</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sales </w:t>
            </w:r>
            <w:r>
              <w:rPr>
                <w:rFonts w:ascii="Times New Roman;sans-serif" w:hAnsi="Times New Roman;sans-serif"/>
                <w:b w:val="false"/>
                <w:color w:val="000000"/>
                <w:sz w:val="13"/>
              </w:rPr>
              <w:t>(3)</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w:t>
            </w:r>
            <w:r>
              <w:rPr>
                <w:rFonts w:ascii="Times New Roman;sans-serif" w:hAnsi="Times New Roman;sans-serif"/>
                <w:b w:val="false"/>
                <w:color w:val="000000"/>
                <w:sz w:val="13"/>
              </w:rPr>
              <w:t>(3)</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Non-derivative Financial Instruments in Net Investment Hedging Relationships: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borrowings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 Financial Instruments Not Designated as Hedging Instruments: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option and forward contracts</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(income) expense, net </w:t>
            </w:r>
            <w:r>
              <w:rPr>
                <w:rFonts w:ascii="Times New Roman;sans-serif" w:hAnsi="Times New Roman;sans-serif"/>
                <w:b w:val="false"/>
                <w:color w:val="000000"/>
                <w:sz w:val="13"/>
              </w:rPr>
              <w:t>(2)</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2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100"/>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At June 30, 2023, the Company expects that approximately $4.0 million of pre-tax net gains on cash flow hedges will be reclassified from AOCE into earnings during the next twelve months.</w:t>
      </w:r>
    </w:p>
    <w:p>
      <w:pPr>
        <w:pStyle w:val="TextBody"/>
        <w:bidi w:val="0"/>
        <w:spacing w:lineRule="auto" w:line="288" w:before="0" w:after="100"/>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the location of the gain/(loss) recognized in earnings on derivatives.</w:t>
      </w:r>
    </w:p>
    <w:p>
      <w:pPr>
        <w:pStyle w:val="TextBody"/>
        <w:bidi w:val="0"/>
        <w:spacing w:lineRule="auto" w:line="288" w:before="0" w:after="240"/>
        <w:ind w:left="0" w:right="0" w:hanging="36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the location of the gain/(loss) reclassified from AOCE into earnings.</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 xml:space="preserve">Level 1: </w:t>
      </w:r>
      <w:r>
        <w:rPr>
          <w:rFonts w:ascii="Times New Roman;sans-serif" w:hAnsi="Times New Roman;sans-serif"/>
          <w:b w:val="false"/>
          <w:color w:val="000000"/>
          <w:sz w:val="20"/>
        </w:rPr>
        <w:t>Quoted prices (unadjusted) in active markets that are accessible at the measurement date for identical assets or liabilities. The fair value hierarchy gives the highest priority to Level 1 inputs.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 xml:space="preserve">Level 2: </w:t>
      </w:r>
      <w:r>
        <w:rPr>
          <w:rFonts w:ascii="Times New Roman;sans-serif" w:hAnsi="Times New Roman;sans-serif"/>
          <w:b w:val="false"/>
          <w:color w:val="000000"/>
          <w:sz w:val="20"/>
        </w:rPr>
        <w:t>Observable market-based inputs other than quoted prices in active markets for identical assets or liabilities.</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000000"/>
          <w:sz w:val="20"/>
        </w:rPr>
        <w:t xml:space="preserve">Level 3: </w:t>
      </w:r>
      <w:r>
        <w:rPr>
          <w:rFonts w:ascii="Times New Roman;sans-serif" w:hAnsi="Times New Roman;sans-serif"/>
          <w:b w:val="false"/>
          <w:color w:val="000000"/>
          <w:sz w:val="20"/>
        </w:rPr>
        <w:t>Unobservable inputs are used when little or no market data is available. The fair value hierarchy gives the lowest priority to Level 3 inputs.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605" cy="14605"/>
                <wp:effectExtent l="0" t="0" r="0" b="0"/>
                <wp:wrapNone/>
                <wp:docPr id="31" name="Frame3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carried at fair value are classified in the tables below in one of the three categories described above:</w:t>
      </w:r>
    </w:p>
    <w:tbl>
      <w:tblPr>
        <w:tblW w:w="10205" w:type="dxa"/>
        <w:jc w:val="left"/>
        <w:tblInd w:w="0" w:type="dxa"/>
        <w:tblLayout w:type="fixed"/>
        <w:tblCellMar>
          <w:top w:w="28" w:type="dxa"/>
          <w:left w:w="28" w:type="dxa"/>
          <w:bottom w:w="28" w:type="dxa"/>
          <w:right w:w="28" w:type="dxa"/>
        </w:tblCellMar>
      </w:tblPr>
      <w:tblGrid>
        <w:gridCol w:w="1085"/>
        <w:gridCol w:w="832"/>
        <w:gridCol w:w="840"/>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0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traded funds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CCPS in Biocon Biologics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fixed income investments: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fixed income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derivative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recurring fair value measurement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derivative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at recurring fair value measurement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financial assets and liabilities that utilize Level 2 inputs, the Company utilizes both direct and indirect observable price quotes, including interest rate yield curves, foreign exchange forward prices and bank price quotes. Below is a summary of valuation techniques for the Company’s financial assets and liabilities: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Cash equivalents</w:t>
      </w:r>
      <w:r>
        <w:rPr>
          <w:color w:val="000000"/>
        </w:rPr>
        <w:t xml:space="preserve"> — </w:t>
      </w:r>
      <w:r>
        <w:rPr>
          <w:rFonts w:ascii="Times New Roman;sans-serif" w:hAnsi="Times New Roman;sans-serif"/>
          <w:b w:val="false"/>
          <w:color w:val="000000"/>
          <w:sz w:val="20"/>
        </w:rPr>
        <w:t>valued at observable net asset value prices.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Equity securities, exchange traded funds</w:t>
      </w:r>
      <w:r>
        <w:rPr>
          <w:color w:val="000000"/>
        </w:rPr>
        <w:t xml:space="preserve"> — </w:t>
      </w:r>
      <w:r>
        <w:rPr>
          <w:rFonts w:ascii="Times New Roman;sans-serif" w:hAnsi="Times New Roman;sans-serif"/>
          <w:b w:val="false"/>
          <w:color w:val="000000"/>
          <w:sz w:val="20"/>
        </w:rPr>
        <w:t xml:space="preserve">valued at the active quoted market prices from broker or dealer quotations or transparent pricing sources at the reporting date. Unrealized gains and losses attributable to changes in fair value are included in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in the condensed consolidated statements of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Equity securities, marketable securities</w:t>
      </w:r>
      <w:r>
        <w:rPr>
          <w:color w:val="000000"/>
        </w:rPr>
        <w:t xml:space="preserve"> — </w:t>
      </w:r>
      <w:r>
        <w:rPr>
          <w:rFonts w:ascii="Times New Roman;sans-serif" w:hAnsi="Times New Roman;sans-serif"/>
          <w:b w:val="false"/>
          <w:color w:val="000000"/>
          <w:sz w:val="20"/>
        </w:rPr>
        <w:t xml:space="preserve">valued using quoted stock prices from public exchanges at the reporting date. Unrealized gains and losses attributable to changes in fair value are included in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in the condensed consolidated statements of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CCPS in Biocon Biologics</w:t>
      </w:r>
      <w:r>
        <w:rPr>
          <w:color w:val="000000"/>
        </w:rPr>
        <w:t xml:space="preserve"> — </w:t>
      </w:r>
      <w:r>
        <w:rPr>
          <w:rFonts w:ascii="Times New Roman;sans-serif" w:hAnsi="Times New Roman;sans-serif"/>
          <w:b w:val="false"/>
          <w:color w:val="000000"/>
          <w:sz w:val="20"/>
        </w:rPr>
        <w:t xml:space="preserve">valued using a Monte Carlo simulation model using Level 3 inputs. The fair value of the CCPS is sensitive to changes in the forecasts of operating metrics, changes in volatility and discount rates, and share dilution. The Company elected the fair value option for the CCPS under </w:t>
      </w:r>
      <w:r>
        <w:rPr>
          <w:rFonts w:ascii="Times New Roman;sans-serif" w:hAnsi="Times New Roman;sans-serif"/>
          <w:b w:val="false"/>
          <w:i/>
          <w:color w:val="000000"/>
          <w:sz w:val="20"/>
        </w:rPr>
        <w:t xml:space="preserve">ASC 825. </w:t>
      </w:r>
      <w:r>
        <w:rPr>
          <w:rFonts w:ascii="Times New Roman;sans-serif" w:hAnsi="Times New Roman;sans-serif"/>
          <w:b w:val="false"/>
          <w:color w:val="000000"/>
          <w:sz w:val="20"/>
        </w:rPr>
        <w:t xml:space="preserve">The fair value is reassessed quarterly and any change in the fair value estimate is recorded in </w:t>
      </w:r>
      <w:r>
        <w:rPr>
          <w:rFonts w:ascii="Times New Roman;sans-serif" w:hAnsi="Times New Roman;sans-serif"/>
          <w:b w:val="false"/>
          <w:i/>
          <w:color w:val="000000"/>
          <w:sz w:val="20"/>
        </w:rPr>
        <w:t>Other (income) expense, net</w:t>
      </w:r>
      <w:r>
        <w:rPr>
          <w:rFonts w:ascii="Times New Roman;sans-serif" w:hAnsi="Times New Roman;sans-serif"/>
          <w:b w:val="false"/>
          <w:color w:val="000000"/>
          <w:sz w:val="20"/>
        </w:rPr>
        <w:t>, in the condensed consolidated statements of operations for that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Available-for-sale fixed income investments</w:t>
      </w:r>
      <w:r>
        <w:rPr>
          <w:color w:val="000000"/>
        </w:rPr>
        <w:t xml:space="preserve"> — </w:t>
      </w:r>
      <w:r>
        <w:rPr>
          <w:rFonts w:ascii="Times New Roman;sans-serif" w:hAnsi="Times New Roman;sans-serif"/>
          <w:b w:val="false"/>
          <w:color w:val="000000"/>
          <w:sz w:val="20"/>
        </w:rPr>
        <w:t>valued at the quoted market prices from broker or dealer quotations or transparent pricing sources at the reporting date. Unrealized gains and losses attributable to changes in fair value, net of income taxes, are included in accumulated other comprehensive loss as a component of shareholders’ equity.</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i/>
          <w:color w:val="000000"/>
          <w:sz w:val="20"/>
        </w:rPr>
        <w:t>Foreign exchange derivative assets and liabilities</w:t>
      </w:r>
      <w:r>
        <w:rPr>
          <w:color w:val="000000"/>
        </w:rPr>
        <w:t xml:space="preserve"> — </w:t>
      </w:r>
      <w:r>
        <w:rPr>
          <w:rFonts w:ascii="Times New Roman;sans-serif" w:hAnsi="Times New Roman;sans-serif"/>
          <w:b w:val="false"/>
          <w:color w:val="000000"/>
          <w:sz w:val="20"/>
        </w:rPr>
        <w:t>valued using quoted forward foreign exchange prices and spot rates at the reporting date. Counterparties to these contracts are highly rated financial institutions.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Consideration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had a contingent consideration liability of $228.4 million and $221.2 million, respectively, relating to the Biocon Biologics Transaction. This contingent consideration liability represents the amount of the closing working capital target to which the parties have agreed that may become payable to Biocon Biologics in connection with certain events in the future, depending on the valuations attributable to such events. The remaining contingent consideration liability represents a component of the total purchase consideration for Pfizer’s Respiratory Delivery Platform and certain other acquisitions. The measurement of these contingent consideration liabilities is calculated using unobservable Level 3 inputs based on the Company’s own assumptions primarily related to the probability and timing of future events and payments which are discounted using a market rate of return. At June 30, 2023 and December 31, 2022, discount rates ranging from 6.4% to 9.0% were utilized in the valuations. Significant changes in unobservable inputs could result in material changes to the contingent consideration liability.</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rollforward of the activity in the Company’s fair value of contingent consideration from December 31, 2022 to June 30, 2023 is as follows:</w:t>
      </w:r>
    </w:p>
    <w:tbl>
      <w:tblPr>
        <w:tblW w:w="8962" w:type="dxa"/>
        <w:jc w:val="left"/>
        <w:tblInd w:w="0" w:type="dxa"/>
        <w:tblLayout w:type="fixed"/>
        <w:tblCellMar>
          <w:top w:w="28" w:type="dxa"/>
          <w:left w:w="28" w:type="dxa"/>
          <w:bottom w:w="28" w:type="dxa"/>
          <w:right w:w="28" w:type="dxa"/>
        </w:tblCellMar>
      </w:tblPr>
      <w:tblGrid>
        <w:gridCol w:w="974"/>
        <w:gridCol w:w="854"/>
        <w:gridCol w:w="857"/>
        <w:gridCol w:w="373"/>
        <w:gridCol w:w="904"/>
        <w:gridCol w:w="192"/>
        <w:gridCol w:w="109"/>
        <w:gridCol w:w="109"/>
        <w:gridCol w:w="109"/>
        <w:gridCol w:w="382"/>
        <w:gridCol w:w="1116"/>
        <w:gridCol w:w="197"/>
        <w:gridCol w:w="109"/>
        <w:gridCol w:w="109"/>
        <w:gridCol w:w="109"/>
        <w:gridCol w:w="527"/>
        <w:gridCol w:w="1544"/>
        <w:gridCol w:w="388"/>
      </w:tblGrid>
      <w:tr>
        <w:trPr/>
        <w:tc>
          <w:tcPr>
            <w:tcW w:w="97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Current Portion</w:t>
            </w:r>
            <w:r>
              <w:rPr>
                <w:color w:val="000000"/>
              </w:rPr>
              <w:t xml:space="preserv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Long-Term Portion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Contingent Consideration</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Fair value loss </w:t>
            </w:r>
            <w:r>
              <w:rPr>
                <w:rFonts w:ascii="Times New Roman;sans-serif" w:hAnsi="Times New Roman;sans-serif"/>
                <w:b w:val="false"/>
                <w:color w:val="000000"/>
                <w:sz w:val="13"/>
              </w:rPr>
              <w:t>(3)</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Included in other current liabilities in the condensed consolidated balance sheets.</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Included in other long-term obligations in the condensed consolidated balance sheets.</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Included in litigation settlements and other contingencies, net in the condensed consolidated statements of operations.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has not elected the fair value option for other financial assets and liabilities other than the CCPS, any future transacted financial asset or liability will be evaluated for the fair value 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12.Debt</w:t>
      </w:r>
    </w:p>
    <w:p>
      <w:pPr>
        <w:pStyle w:val="TextBody"/>
        <w:bidi w:val="0"/>
        <w:spacing w:lineRule="auto" w:line="240" w:before="0" w:after="240"/>
        <w:ind w:left="0" w:right="0" w:firstLine="720"/>
        <w:jc w:val="left"/>
        <w:rPr/>
      </w:pPr>
      <w:r>
        <w:rPr>
          <w:rFonts w:ascii="Times New Roman;sans-serif" w:hAnsi="Times New Roman;sans-serif"/>
          <w:b w:val="false"/>
          <w:color w:val="000000"/>
          <w:sz w:val="20"/>
        </w:rPr>
        <w:t xml:space="preserve">For additional information, see Note 11 </w:t>
      </w:r>
      <w:r>
        <w:rPr>
          <w:rFonts w:ascii="Times New Roman;sans-serif" w:hAnsi="Times New Roman;sans-serif"/>
          <w:b w:val="false"/>
          <w:i/>
          <w:color w:val="000000"/>
          <w:sz w:val="20"/>
        </w:rPr>
        <w:t xml:space="preserve">Debt </w:t>
      </w:r>
      <w:r>
        <w:rPr>
          <w:rFonts w:ascii="Times New Roman;sans-serif" w:hAnsi="Times New Roman;sans-serif"/>
          <w:b w:val="false"/>
          <w:color w:val="000000"/>
          <w:sz w:val="20"/>
        </w:rPr>
        <w:t>in Viatris’ 2022 Form 10-K.</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Receivables Facility and Note Securitization Facility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$400 million Receivables Facility, which expires in April 2025 and a $200 million Note Securitization Facility which expires in August 2023. 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Amounts outstanding under either facility are included as a component of short-term borrowings, while the accounts receivables securing these obligations remain as a component of accounts receivable, net, in our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40"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Long-Term Debt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April 28, 2023, we executed an amendment to the Revolving Facility to convert the benchmark interest rate from LIBOR to an adjusted SOFR, with no change in the applicable interest rate margins.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long-term debt is as follows:</w:t>
      </w:r>
    </w:p>
    <w:tbl>
      <w:tblPr>
        <w:tblW w:w="8976" w:type="dxa"/>
        <w:jc w:val="left"/>
        <w:tblInd w:w="0" w:type="dxa"/>
        <w:tblLayout w:type="fixed"/>
        <w:tblCellMar>
          <w:top w:w="28" w:type="dxa"/>
          <w:left w:w="28" w:type="dxa"/>
          <w:bottom w:w="28" w:type="dxa"/>
          <w:right w:w="28" w:type="dxa"/>
        </w:tblCellMar>
      </w:tblPr>
      <w:tblGrid>
        <w:gridCol w:w="1229"/>
        <w:gridCol w:w="1079"/>
        <w:gridCol w:w="1082"/>
        <w:gridCol w:w="557"/>
        <w:gridCol w:w="557"/>
        <w:gridCol w:w="1391"/>
        <w:gridCol w:w="109"/>
        <w:gridCol w:w="109"/>
        <w:gridCol w:w="109"/>
        <w:gridCol w:w="211"/>
        <w:gridCol w:w="871"/>
        <w:gridCol w:w="109"/>
        <w:gridCol w:w="109"/>
        <w:gridCol w:w="109"/>
        <w:gridCol w:w="109"/>
        <w:gridCol w:w="211"/>
        <w:gridCol w:w="871"/>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millions)</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portion of long-term debt:</w:t>
            </w:r>
          </w:p>
        </w:tc>
        <w:tc>
          <w:tcPr>
            <w:tcW w:w="2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2023 Senior Notes </w:t>
            </w: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Senior Notes *</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2024 Euro Senior Notes </w:t>
            </w:r>
            <w:r>
              <w:rPr>
                <w:rFonts w:ascii="Times New Roman;sans-serif" w:hAnsi="Times New Roman;sans-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fees</w:t>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portion of long-term debt:</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2024 Euro Senior Notes </w:t>
            </w:r>
            <w:r>
              <w:rPr>
                <w:rFonts w:ascii="Times New Roman;sans-serif" w:hAnsi="Times New Roman;sans-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2024 Euro Senior Notes </w:t>
            </w:r>
            <w:r>
              <w:rPr>
                <w:rFonts w:ascii="Times New Roman;sans-serif" w:hAnsi="Times New Roman;sans-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2025 Euro Senior Notes </w:t>
            </w:r>
            <w:r>
              <w:rPr>
                <w:rFonts w:ascii="Times New Roman;sans-serif" w:hAnsi="Times New Roman;sans-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2025 Senior Notes </w:t>
            </w:r>
            <w:r>
              <w:rPr>
                <w:rFonts w:ascii="Times New Roman;sans-serif" w:hAnsi="Times New Roman;sans-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2026 Senior Notes </w:t>
            </w:r>
            <w:r>
              <w:rPr>
                <w:rFonts w:ascii="Times New Roman;sans-serif" w:hAnsi="Times New Roman;sans-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2027 Euro Senior Notes </w:t>
            </w:r>
            <w:r>
              <w:rPr>
                <w:rFonts w:ascii="Times New Roman;sans-serif" w:hAnsi="Times New Roman;sans-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2027 Senior Notes </w:t>
            </w:r>
            <w:r>
              <w:rPr>
                <w:rFonts w:ascii="Times New Roman;sans-serif" w:hAnsi="Times New Roman;sans-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2028 Euro Senior Notes </w:t>
            </w:r>
            <w:r>
              <w:rPr>
                <w:rFonts w:ascii="Times New Roman;sans-serif" w:hAnsi="Times New Roman;sans-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2028 Senior Notes </w:t>
            </w:r>
            <w:r>
              <w:rPr>
                <w:rFonts w:ascii="Times New Roman;sans-serif" w:hAnsi="Times New Roman;sans-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2030 Senior Notes </w:t>
            </w:r>
            <w:r>
              <w:rPr>
                <w:rFonts w:ascii="Times New Roman;sans-serif" w:hAnsi="Times New Roman;sans-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2032 Euro Senior Notes </w:t>
            </w:r>
            <w:r>
              <w:rPr>
                <w:rFonts w:ascii="Times New Roman;sans-serif" w:hAnsi="Times New Roman;sans-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2040 Senior Notes </w:t>
            </w:r>
            <w:r>
              <w:rPr>
                <w:rFonts w:ascii="Times New Roman;sans-serif" w:hAnsi="Times New Roman;sans-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2043 Senior Notes </w:t>
            </w:r>
            <w:r>
              <w:rPr>
                <w:rFonts w:ascii="Times New Roman;sans-serif" w:hAnsi="Times New Roman;sans-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2046 Senior Notes</w:t>
            </w:r>
            <w:r>
              <w:rPr>
                <w:color w:val="000000"/>
              </w:rPr>
              <w:t xml:space="preserve"> </w:t>
            </w:r>
            <w:r>
              <w:rPr>
                <w:rFonts w:ascii="Times New Roman;sans-serif" w:hAnsi="Times New Roman;sans-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2048 Senior Notes</w:t>
            </w:r>
            <w:r>
              <w:rPr>
                <w:color w:val="000000"/>
              </w:rPr>
              <w:t xml:space="preserve"> </w:t>
            </w:r>
            <w:r>
              <w:rPr>
                <w:rFonts w:ascii="Times New Roman;sans-serif" w:hAnsi="Times New Roman;sans-serif"/>
                <w:b w:val="false"/>
                <w:color w:val="000000"/>
                <w:sz w:val="13"/>
              </w:rPr>
              <w: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2050 Senior Notes </w:t>
            </w:r>
            <w:r>
              <w:rPr>
                <w:rFonts w:ascii="Times New Roman;sans-serif" w:hAnsi="Times New Roman;sans-serif"/>
                <w:b w:val="false"/>
                <w:color w:val="000000"/>
                <w:sz w:val="13"/>
              </w:rPr>
              <w: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YEN Term Loan Facility</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fees</w:t>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(a)</w:t>
      </w:r>
      <w:r>
        <w:rPr>
          <w:color w:val="000000"/>
        </w:rPr>
        <w:t>    </w:t>
      </w:r>
      <w:r>
        <w:rPr>
          <w:rFonts w:ascii="Times New Roman;sans-serif" w:hAnsi="Times New Roman;sans-serif"/>
          <w:b w:val="false"/>
          <w:color w:val="000000"/>
          <w:sz w:val="20"/>
        </w:rPr>
        <w:t>In the first quarter of 2020, the Company terminated interest rate swaps designated as a fair value hedge resulting in net proceeds of approximately $45 million. The fair value adjustment was amortized to interest expense over the remaining term of the notes, which were repaid at maturity in the first quarter of 2023.</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issued by Mylan Inc.</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originally issued by Mylan N.V.; now held by Utah Acquisition Sub Inc.</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issued by Viatris Inc.</w:t>
      </w:r>
    </w:p>
    <w:p>
      <w:pPr>
        <w:pStyle w:val="TextBody"/>
        <w:bidi w:val="0"/>
        <w:spacing w:lineRule="auto" w:line="288" w:before="0" w:after="0"/>
        <w:ind w:left="0" w:right="0" w:hanging="360"/>
        <w:jc w:val="both"/>
        <w:rPr/>
      </w:pPr>
      <w:r>
        <w:rPr>
          <w:rFonts w:ascii="Times New Roman;sans-serif" w:hAnsi="Times New Roman;sans-serif"/>
          <w:b w:val="false"/>
          <w:color w:val="000000"/>
          <w:sz w:val="13"/>
        </w:rPr>
        <w:t>****     </w:t>
      </w:r>
      <w:r>
        <w:rPr>
          <w:rFonts w:ascii="Times New Roman;sans-serif" w:hAnsi="Times New Roman;sans-serif"/>
          <w:b w:val="false"/>
          <w:color w:val="000000"/>
          <w:sz w:val="20"/>
        </w:rPr>
        <w:t>Instrument was issued by Upjohn Finance B.V.</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and December 31, 2022, the aggregate fair value of the Company’s outstanding notes was approximately $15.03 billion and $15.36 billion, respectively. The fair values of the outstanding notes were valued at quoted market prices from broker or dealer quotations and were classified as Level 2 in the fair value hierarchy.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Mandatory minimum repayments remaining on the notional amount of outstanding long-term debt at June 30, 2023 were as follows for each of the periods ending December 31:</w:t>
      </w:r>
    </w:p>
    <w:tbl>
      <w:tblPr>
        <w:tblW w:w="2076" w:type="dxa"/>
        <w:jc w:val="left"/>
        <w:tblInd w:w="0" w:type="dxa"/>
        <w:tblLayout w:type="fixed"/>
        <w:tblCellMar>
          <w:top w:w="28" w:type="dxa"/>
          <w:left w:w="28" w:type="dxa"/>
          <w:bottom w:w="28" w:type="dxa"/>
          <w:right w:w="28" w:type="dxa"/>
        </w:tblCellMar>
      </w:tblPr>
      <w:tblGrid>
        <w:gridCol w:w="359"/>
        <w:gridCol w:w="315"/>
        <w:gridCol w:w="316"/>
        <w:gridCol w:w="211"/>
        <w:gridCol w:w="721"/>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13.Comprehensive Loss</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as reflected in the condensed consolidated balance sheets, is comprised of the following:</w:t>
      </w:r>
    </w:p>
    <w:tbl>
      <w:tblPr>
        <w:tblW w:w="9984" w:type="dxa"/>
        <w:jc w:val="center"/>
        <w:tblInd w:w="0" w:type="dxa"/>
        <w:tblLayout w:type="fixed"/>
        <w:tblCellMar>
          <w:top w:w="28" w:type="dxa"/>
          <w:left w:w="28" w:type="dxa"/>
          <w:bottom w:w="28" w:type="dxa"/>
          <w:right w:w="28" w:type="dxa"/>
        </w:tblCellMar>
      </w:tblPr>
      <w:tblGrid>
        <w:gridCol w:w="2638"/>
        <w:gridCol w:w="2315"/>
        <w:gridCol w:w="2337"/>
        <w:gridCol w:w="211"/>
        <w:gridCol w:w="841"/>
        <w:gridCol w:w="109"/>
        <w:gridCol w:w="109"/>
        <w:gridCol w:w="109"/>
        <w:gridCol w:w="109"/>
        <w:gridCol w:w="211"/>
        <w:gridCol w:w="841"/>
        <w:gridCol w:w="154"/>
      </w:tblGrid>
      <w:tr>
        <w:trPr/>
        <w:tc>
          <w:tcPr>
            <w:tcW w:w="2638"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 net of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and prior service cost related to defined benefit plans,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loss on derivatives in cash flow hedging relationships, net of tax</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unrecognized gain on derivatives in net investment hedging relationships,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accumulated other comprehensive loss, before tax, consist of the following, for the three and six months ended June 30, 2023 and 2022:</w:t>
      </w:r>
    </w:p>
    <w:p>
      <w:pPr>
        <w:pStyle w:val="TextBody"/>
        <w:bidi w:val="0"/>
        <w:spacing w:before="0" w:after="0"/>
        <w:ind w:left="0" w:right="0" w:firstLine="720"/>
        <w:jc w:val="left"/>
        <w:rPr/>
      </w:pPr>
      <w:r>
        <w:rPr/>
      </w:r>
    </w:p>
    <w:tbl>
      <w:tblPr>
        <w:tblW w:w="11158" w:type="dxa"/>
        <w:jc w:val="left"/>
        <w:tblInd w:w="0" w:type="dxa"/>
        <w:tblLayout w:type="fixed"/>
        <w:tblCellMar>
          <w:top w:w="28" w:type="dxa"/>
          <w:left w:w="28" w:type="dxa"/>
          <w:bottom w:w="28" w:type="dxa"/>
          <w:right w:w="28" w:type="dxa"/>
        </w:tblCellMar>
      </w:tblPr>
      <w:tblGrid>
        <w:gridCol w:w="1040"/>
        <w:gridCol w:w="215"/>
        <w:gridCol w:w="216"/>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16"/>
        <w:gridCol w:w="109"/>
        <w:gridCol w:w="109"/>
        <w:gridCol w:w="109"/>
        <w:gridCol w:w="109"/>
        <w:gridCol w:w="269"/>
        <w:gridCol w:w="537"/>
        <w:gridCol w:w="140"/>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Marketable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divestiture of defined pension plan included in SG&amp;A</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gain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earnings (loss),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 net of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tbl>
      <w:tblPr>
        <w:tblW w:w="11158"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16"/>
        <w:gridCol w:w="109"/>
        <w:gridCol w:w="109"/>
        <w:gridCol w:w="109"/>
        <w:gridCol w:w="109"/>
        <w:gridCol w:w="269"/>
        <w:gridCol w:w="537"/>
        <w:gridCol w:w="140"/>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Marketable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divestiture of defined pension plan included in SG&amp;A</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gain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earnings (loss),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 net of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tbl>
      <w:tblPr>
        <w:tblW w:w="11038" w:type="dxa"/>
        <w:jc w:val="center"/>
        <w:tblInd w:w="0" w:type="dxa"/>
        <w:tblLayout w:type="fixed"/>
        <w:tblCellMar>
          <w:top w:w="28" w:type="dxa"/>
          <w:left w:w="28" w:type="dxa"/>
          <w:bottom w:w="28" w:type="dxa"/>
          <w:right w:w="28" w:type="dxa"/>
        </w:tblCellMar>
      </w:tblPr>
      <w:tblGrid>
        <w:gridCol w:w="1040"/>
        <w:gridCol w:w="215"/>
        <w:gridCol w:w="216"/>
        <w:gridCol w:w="275"/>
        <w:gridCol w:w="275"/>
        <w:gridCol w:w="276"/>
        <w:gridCol w:w="109"/>
        <w:gridCol w:w="109"/>
        <w:gridCol w:w="109"/>
        <w:gridCol w:w="259"/>
        <w:gridCol w:w="259"/>
        <w:gridCol w:w="143"/>
        <w:gridCol w:w="109"/>
        <w:gridCol w:w="109"/>
        <w:gridCol w:w="109"/>
        <w:gridCol w:w="211"/>
        <w:gridCol w:w="511"/>
        <w:gridCol w:w="109"/>
        <w:gridCol w:w="109"/>
        <w:gridCol w:w="109"/>
        <w:gridCol w:w="109"/>
        <w:gridCol w:w="211"/>
        <w:gridCol w:w="616"/>
        <w:gridCol w:w="109"/>
        <w:gridCol w:w="109"/>
        <w:gridCol w:w="109"/>
        <w:gridCol w:w="109"/>
        <w:gridCol w:w="269"/>
        <w:gridCol w:w="537"/>
        <w:gridCol w:w="140"/>
        <w:gridCol w:w="109"/>
        <w:gridCol w:w="109"/>
        <w:gridCol w:w="109"/>
        <w:gridCol w:w="211"/>
        <w:gridCol w:w="511"/>
        <w:gridCol w:w="109"/>
        <w:gridCol w:w="109"/>
        <w:gridCol w:w="109"/>
        <w:gridCol w:w="109"/>
        <w:gridCol w:w="211"/>
        <w:gridCol w:w="781"/>
        <w:gridCol w:w="109"/>
        <w:gridCol w:w="109"/>
        <w:gridCol w:w="109"/>
        <w:gridCol w:w="109"/>
        <w:gridCol w:w="211"/>
        <w:gridCol w:w="781"/>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Marketable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loss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2022,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tbl>
      <w:tblPr>
        <w:tblW w:w="11038"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9"/>
        <w:gridCol w:w="259"/>
        <w:gridCol w:w="143"/>
        <w:gridCol w:w="109"/>
        <w:gridCol w:w="109"/>
        <w:gridCol w:w="109"/>
        <w:gridCol w:w="211"/>
        <w:gridCol w:w="511"/>
        <w:gridCol w:w="109"/>
        <w:gridCol w:w="109"/>
        <w:gridCol w:w="109"/>
        <w:gridCol w:w="109"/>
        <w:gridCol w:w="211"/>
        <w:gridCol w:w="616"/>
        <w:gridCol w:w="109"/>
        <w:gridCol w:w="109"/>
        <w:gridCol w:w="109"/>
        <w:gridCol w:w="109"/>
        <w:gridCol w:w="269"/>
        <w:gridCol w:w="537"/>
        <w:gridCol w:w="140"/>
        <w:gridCol w:w="109"/>
        <w:gridCol w:w="109"/>
        <w:gridCol w:w="109"/>
        <w:gridCol w:w="211"/>
        <w:gridCol w:w="511"/>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Marketable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costs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loss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earnings (loss),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2022, net of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14.Segment Information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broad and diversified portfolio of branded, complex generics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is the Chief Executive Officer, who evaluates the performance of its segments based on total revenues and segment profitability.</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costs are not included in the measurement of segment profitability, such as costs, if any, associated with the following:</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Intangible asset amortization expense and impairments of goodwill and long-lived assets;</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R&amp;D and acquired IPR&amp;D expense;</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Net charges or net gains for litigation settlements and other contingencies;</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 xml:space="preserve">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cases recurring, items (such as restructuring)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disposals of assets or businesses, including costs related to our planned divestitures and the Biocon Biologics Transaction, and, as applicable, any associated transition activities. </w:t>
      </w:r>
    </w:p>
    <w:p>
      <w:pPr>
        <w:pStyle w:val="TextBody"/>
        <w:bidi w:val="0"/>
        <w:spacing w:lineRule="auto" w:line="288" w:before="0" w:after="120"/>
        <w:ind w:left="0" w:right="0" w:firstLine="360"/>
        <w:jc w:val="left"/>
        <w:rPr/>
      </w:pPr>
      <w:r>
        <w:rPr>
          <w:color w:val="000000"/>
        </w:rPr>
        <w:t>◦</w:t>
      </w:r>
      <w:r>
        <w:rPr>
          <w:rFonts w:ascii="Times New Roman;sans-serif" w:hAnsi="Times New Roman;sans-serif"/>
          <w:b w:val="false"/>
          <w:color w:val="000000"/>
          <w:sz w:val="20"/>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does not report depreciation expense, total assets and capital expenditures by segment, as such information is not used by the chief operating decision maker.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accounting policies of the segments are the same as those described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included in the 2022 Form 10-K.</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Presented in the table below is segment information for the periods identified and a reconciliation of segment information to total consolidated information.</w:t>
      </w:r>
    </w:p>
    <w:tbl>
      <w:tblPr>
        <w:tblW w:w="9927" w:type="dxa"/>
        <w:jc w:val="left"/>
        <w:tblInd w:w="0" w:type="dxa"/>
        <w:tblLayout w:type="fixed"/>
        <w:tblCellMar>
          <w:top w:w="28" w:type="dxa"/>
          <w:left w:w="28" w:type="dxa"/>
          <w:bottom w:w="28" w:type="dxa"/>
          <w:right w:w="28" w:type="dxa"/>
        </w:tblCellMar>
      </w:tblPr>
      <w:tblGrid>
        <w:gridCol w:w="1532"/>
        <w:gridCol w:w="1345"/>
        <w:gridCol w:w="1353"/>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Segment Profitability</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Globally managed 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&amp; other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unallocated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tbl>
      <w:tblPr>
        <w:tblW w:w="9926" w:type="dxa"/>
        <w:jc w:val="left"/>
        <w:tblInd w:w="0" w:type="dxa"/>
        <w:tblLayout w:type="fixed"/>
        <w:tblCellMar>
          <w:top w:w="28" w:type="dxa"/>
          <w:left w:w="28" w:type="dxa"/>
          <w:bottom w:w="28" w:type="dxa"/>
          <w:right w:w="28" w:type="dxa"/>
        </w:tblCellMar>
      </w:tblPr>
      <w:tblGrid>
        <w:gridCol w:w="1532"/>
        <w:gridCol w:w="1345"/>
        <w:gridCol w:w="1352"/>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Segment Profitability</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disposal &amp;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Globally managed research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&amp; other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unallocated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15.Restructuring</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2020 Restructuring Program</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 The remaining actions under the 2020 restructuring program are expected to be substantially completed in 2023.</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Charges for restructuring and ongoing cost reduction initiatives are recorded in the period the Company commits to a restructuring or cost reduction plan, or executes specific actions contemplated by the plan and all criteria for liability recognition have been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restructuring charges and the reserve activity for the 2020 restructuring program from December 31, 2022 to June 30, 2023:</w:t>
      </w:r>
    </w:p>
    <w:tbl>
      <w:tblPr>
        <w:tblW w:w="7453" w:type="dxa"/>
        <w:jc w:val="left"/>
        <w:tblInd w:w="0" w:type="dxa"/>
        <w:tblLayout w:type="fixed"/>
        <w:tblCellMar>
          <w:top w:w="28" w:type="dxa"/>
          <w:left w:w="28" w:type="dxa"/>
          <w:bottom w:w="28" w:type="dxa"/>
          <w:right w:w="28" w:type="dxa"/>
        </w:tblCellMar>
      </w:tblPr>
      <w:tblGrid>
        <w:gridCol w:w="963"/>
        <w:gridCol w:w="845"/>
        <w:gridCol w:w="847"/>
        <w:gridCol w:w="416"/>
        <w:gridCol w:w="1214"/>
        <w:gridCol w:w="214"/>
        <w:gridCol w:w="109"/>
        <w:gridCol w:w="109"/>
        <w:gridCol w:w="109"/>
        <w:gridCol w:w="383"/>
        <w:gridCol w:w="738"/>
        <w:gridCol w:w="198"/>
        <w:gridCol w:w="109"/>
        <w:gridCol w:w="109"/>
        <w:gridCol w:w="109"/>
        <w:gridCol w:w="211"/>
        <w:gridCol w:w="616"/>
        <w:gridCol w:w="154"/>
      </w:tblGrid>
      <w:tr>
        <w:trPr/>
        <w:tc>
          <w:tcPr>
            <w:tcW w:w="96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Employee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Exit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Charges </w:t>
            </w:r>
            <w:r>
              <w:rPr>
                <w:rFonts w:ascii="Times New Roman;sans-serif" w:hAnsi="Times New Roman;sans-serif"/>
                <w:b w:val="false"/>
                <w:color w:val="000000"/>
                <w:sz w:val="13"/>
              </w:rPr>
              <w:t>(1)</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Charges </w:t>
            </w:r>
            <w:r>
              <w:rPr>
                <w:rFonts w:ascii="Times New Roman;sans-serif" w:hAnsi="Times New Roman;sans-serif"/>
                <w:b w:val="false"/>
                <w:color w:val="000000"/>
                <w:sz w:val="13"/>
              </w:rPr>
              <w:t>(1)</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Utilization </w:t>
            </w:r>
            <w:r>
              <w:rPr>
                <w:rFonts w:ascii="Times New Roman;sans-serif" w:hAnsi="Times New Roman;sans-serif"/>
                <w:b w:val="false"/>
                <w:color w:val="000000"/>
                <w:sz w:val="13"/>
              </w:rPr>
              <w:t>(2)</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For the three months ended June 30, 2023, total restructuring charges in Developed Markets, Emerging Markets, JANZ, and Corporate/Other were approximately $41.7 million, $2.0 million, $30.0 million, and $0.3 million, respectively.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total restructuring charges in Developed Markets, Emerging Markets, Greater China, JANZ, and Corporate/Other were approximately $49.4 million, $3.3 million, $(0.6) million, $31.3 million, and $0.3 million, respectively.</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For the three and six months ended June 30, 2023, other exit costs includes expense of $71.6 million relating to plant divestitures.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and December 31, 2022, accrued liabilities for restructuring and other cost reduction programs were primarily included in other current liabilities and other long-term obligations in the condensed consolidated balance sheets.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16.Licensing and Other Partner Agreements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 related contingent consideration. Refer to Note 11 </w:t>
      </w:r>
      <w:r>
        <w:rPr>
          <w:rFonts w:ascii="Times New Roman;sans-serif" w:hAnsi="Times New Roman;sans-serif"/>
          <w:b w:val="false"/>
          <w:i/>
          <w:color w:val="000000"/>
          <w:sz w:val="20"/>
        </w:rPr>
        <w:t>Financial Instruments and Risk Management</w:t>
      </w:r>
      <w:r>
        <w:rPr>
          <w:color w:val="000000"/>
        </w:rPr>
        <w:t xml:space="preserve"> </w:t>
      </w:r>
      <w:r>
        <w:rPr>
          <w:rFonts w:ascii="Times New Roman;sans-serif" w:hAnsi="Times New Roman;sans-serif"/>
          <w:b w:val="false"/>
          <w:color w:val="000000"/>
          <w:sz w:val="20"/>
        </w:rPr>
        <w:t xml:space="preserve">for further discussion of contingent consideration.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Our potential maximum development milestones not accrued for at June 30, 2023 totaled approximately $416 million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our licensing and other partner agreements as disclosed in our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17.Income Taxes</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Legislative Updates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August 16, 2022, the U.S. government enacted the Inflation Reduction Act of 2022 (the “Inflation Reduction Act”) into law, which includes a new corporate alternative minimum tax (“CAMT”) and an excise tax of 1% on the fair market value of net stock repurchases. Both provisions are effective for years after December 31, 2022. The Company reflected the applicable estimated excise tax in treasury stock as part of the cost basis of the stock repurchased and recorded a corresponding liability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on our condensed consolidated balance sheet as of June 30, 2023. The share repurchase and authorization amounts disclosed in this Form 10-Q exclude the excise tax. The Company does not anticipate being subject to the 15% CAMT tax in 2023 based on enacted law and regulatory guidance; however, our CAMT status for 2023 could change in the future, depending on new regulations or regulatory guidance issued by the U.S. Department of the Treasury.</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Tax Examinations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ongoing IRS examinations. The years 2015 through 2019 are open years under examination. The years 2012, 2013 and 2014 have one matter open, and a Tax Court petition was filed regarding the matter and a trial was held in December 2018 and is discussed further below.</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tax positions.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Australia, the tax authorities have issued notices of assessments to the Company for the years ended December 2009 to December 2020, subject to additional interest and penalties, concerning our tax position with respect to certain intercompany transactions. The tax authorities denied our objections to the assessments for the years ended December 2009 to December 2020 and we have commenced litigation in the Australian Federal Court challenging those decisions. A trial is scheduled for October 2023. The Company made a partial payment of $56.0 million in 2021 and $5.2 million in 2022 in order to stay potential interest and penalties resulting from this litigation.</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France, the tax authorities have issued notices of assessments to the Company for the years ended December 2013 to December 2015 concerning our tax position with respect to whether income earned by a Company entity not domiciled in France should be subject to French tax. We have commenced litigation before the French tax courts where the tax authorities will seek unpaid taxes, penalties, and interest. </w:t>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issues were resolved through the Company entering into an agreement with the tax authorities in March 2023 in respect of the pricing of its international transactions.</w:t>
      </w:r>
      <w:r>
        <w:rPr>
          <w:color w:val="000000"/>
        </w:rPr>
        <w:t xml:space="preserve"> </w:t>
      </w:r>
      <w:r>
        <w:rPr>
          <w:rFonts w:ascii="Times New Roman;sans-serif" w:hAnsi="Times New Roman;sans-serif"/>
          <w:b w:val="false"/>
          <w:color w:val="000000"/>
          <w:sz w:val="20"/>
        </w:rPr>
        <w:t>The Company recorded tax expense of approximately $0.7 million and $22.3 million during the three months and six months ended June 30, 2023, respectively, due to the terms of this agreement. The remaining issues are in the audit phase or are being challenged in the Indian tax courts.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recorded a net reserve for uncertain tax positions of $281.3 million and $298.1 million, including interest and penalties, in connection with its international audits at June 30, 2023 and December 31, 2022, respectively. In connection with our international tax audits, it is possible that we will incur material losses above the amounts reserved.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major U.S. state taxing jurisdictions remain open from fiscal year 2013 through 2021, with several state audits currently in progress. The Company’s major international taxing jurisdictions remain open from 2012 through 2021.    </w:t>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Tax Court Proceedings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U.S. federal income tax returns for 2012 through 2014 had been subject to proceedings in U.S. Tax Court involving a dispute with the IRS regarding whether certain costs related to ANDAs were eligible to be expensed and deducted immediately or required to be amortized over longer periods. A trial was held in U.S. Tax Court in December 2018 and on April 27, 2021, the Court affirmed Mylan’s position and held that patent litigation expenses related to ANDAs are immediately deductible. The IRS’ appeal was denied by the U.S. Court of Appeals for the Third Circuit.</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Accounting for Uncertainty in Income Taxes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pStyle w:val="TextBody"/>
        <w:bidi w:val="0"/>
        <w:spacing w:before="0" w:after="240"/>
        <w:ind w:left="0" w:right="0" w:firstLine="720"/>
        <w:jc w:val="left"/>
        <w:rPr/>
      </w:pPr>
      <w:r>
        <w:rPr/>
      </w:r>
    </w:p>
    <w:p>
      <w:pPr>
        <w:pStyle w:val="TextBody"/>
        <w:bidi w:val="0"/>
        <w:spacing w:before="0" w:after="0"/>
        <w:ind w:left="0" w:right="0" w:firstLine="720"/>
        <w:jc w:val="left"/>
        <w:rPr/>
      </w:pPr>
      <w:r>
        <w:rPr/>
      </w:r>
    </w:p>
    <w:p>
      <w:pPr>
        <w:pStyle w:val="TextBody"/>
        <w:bidi w:val="0"/>
        <w:spacing w:before="0" w:after="24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18.Litigation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Legal costs are recorded as incurred and are classified in SG&amp;A in the Company’s condensed consolidated statements of operations.</w:t>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EpiPen® Auto-Injector Litigation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after Plaintiffs’ then operative complaint was dismissed with an option to file a limited amended complaint, Plaintiffs filed an amended complaint asserting federal antitrust claims which are based on allegations concerning a patent settlement between Pfizer and Teva and other alleged actions regarding the launch of Teva’s generic epinephrine auto-injector. Plaintiffs’ seek monetary damages, declaratory relief, attorneys’ fees and costs.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These actions have been consolidated. Plaintiffs’ seek monetary damages, attorneys’ fees and costs.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24, 2017, Sanofi Aventis U.S., LLC (“Sanofi”) filed a lawsuit against the Company in the U.S. District Court for the District of New Jersey. This lawsuit was transferred into a MDL in the U.S. District Court for the District of Kansas and alleged exclusive dealing and anti-competitive marketing practices in violation of the antitrust laws in connection with the sale and marketing of the EpiPen® Auto-Injector. Sanofi sought monetary damages, declaratory relief, attorneys’ fees and costs. The Court granted the Company’s motion for summary judgment and dismissed Sanofi’s claims. Sanofi’s appeal was denied. Sanofi’s petition seeking review by the U.S. Supreme Court was also denied and concludes this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total accrual of approximately $5.5 million related to these matters at June 30, 2023,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Drug Pricing Matters </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Department of Justice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 2015, the Company received a subpoena from the Antitrust Division of the DOJ seeking information relating to the marketing, pricing, and sale of certain of our generic products and any communications with competitors about such products. On September 8, 2016, the Company, as well as certain employees and a member of senior management, received subpoenas from the DOJ seeking similar information. Related search warrants also were executed.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2018, the Company received a civil investigative demand from the Civil Division of the DOJ seeking information relating to the pricing and sale of its generic drug products.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fully cooperated with these investigations, which we believe are related to a broader industry-wide investigation of the generic pharmaceutical industry. We have not had contact from DOJ concerning the above-described subpoenas or civil investigative demand in several years.</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Civil Litigation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2016, the Company, along with other manufacturers, has been named as a defendant in lawsuits filed in the United States and Canada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Some of the United States lawsuits also name as defendants the Company’s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The EDPA Court has ordered certain plaintiffs’ complaints regarding two single-drug product cases to proceed as bellwethers. The Company is named in those plaintiffs’ complaints that regard one of the two individual drug products. </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Attorneys General Litigation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has been transferred to the aforementioned MDL proceeding in the EDPA. The operative complaint includes attorneys general of forty-six states, the District of Columbia and the Commonwealth of Puerto Rico. The Company is alleged to have engaged in anticompetitive conduct with respect to four generic drug products. The amended complaint also includes claims asserted by attorneys general of thirty-six states and the Commonwealth of Puerto Rico against certain individuals, including the Company’s President, with respect to a single drug product.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On November 1, 2019, the complaint was amended, adding additional states as plaintiffs. The operative complaint is brought by attorneys general of forty-seven states, certain territories and the District of Columbia. The amended complaint also includes claims asserted by attorneys general of forty-two states and certain territories against several individuals, including a Company sales employee. The amended complaint seeks declaratory and injunctive relief, disgorgement, attorneys’ fees and costs, and certain states seek monetary damages, civil penalties, restitution, and other equitable monetary relief. This lawsuit has been transferred to the aforementioned MDL proceeding in the EDPA.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forty-six states, certain territories and the District of Columbia.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 This lawsuit has been transferred to the aforementioned MDL proceeding in the EDPA and has been ordered to proceed as a bellwether.</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Securities Related Litigation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Purported class action complaints were filed in October 2016 against Mylan N.V. and Mylan Inc. (collectively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The complaints alleged that defendants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w:t>
      </w:r>
      <w:r>
        <w:rPr>
          <w:color w:val="000000"/>
        </w:rPr>
        <w:t xml:space="preserve"> </w:t>
      </w:r>
      <w:r>
        <w:rPr>
          <w:rFonts w:ascii="Times New Roman;sans-serif" w:hAnsi="Times New Roman;sans-serif"/>
          <w:b w:val="false"/>
          <w:color w:val="000000"/>
          <w:sz w:val="20"/>
        </w:rPr>
        <w:t>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 Auto-Injector and certain generic drugs.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The operative complaint is the third amended consolidated complaint, which was filed on June 17, 2019, and contains the allegations as described above against Mylan, certain of Mylan’s former directors and officers, and certain of the Company’s current directors, officers, and employees (collectively, for purposes of this paragraph, the “defendants”).</w:t>
      </w:r>
      <w:r>
        <w:rPr>
          <w:color w:val="000000"/>
        </w:rPr>
        <w:t xml:space="preserve"> </w:t>
      </w:r>
      <w:r>
        <w:rPr>
          <w:rFonts w:ascii="Times New Roman;sans-serif" w:hAnsi="Times New Roman;sans-serif"/>
          <w:b w:val="false"/>
          <w:color w:val="000000"/>
          <w:sz w:val="20"/>
        </w:rPr>
        <w:t>A class has been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seek damages and costs and expenses, including attorneys’ fees and expert costs. On March 30, 2023, the Court dismissed all of Plaintiffs’ claims by granting Defendants’ motion for summary judgment and denying Plaintiffs’ cross-motion for partial summary judgment. Plaintiffs have filed an appeal to the U.S. Court of Appeals for the Second Circuit.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2017, a similar lawsuit was filed in the Tel Aviv District Court (Economic Division) in Israel, which has been stayed pending a decision in the SDNY class action litigation.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2020, the Abu Dhabi Investment Authority filed a complaint against Mylan in the SDNY asserting allegations pertaining to EpiPen® Auto-Injector and certain generic drugs under the federal securities laws that overlap with those asserted in the third amended complaint identified above. The Abu Dhabi Investment Authority’s complaint seeks monetary damages as well as the plaintiff’s fees and costs.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26, 2020, a putative class action complaint was filed by the Public Employees Retirement System of Mississippi, which was subsequently amended on November 13, 2020, against Mylan N.V., certain of Mylan N.V.’s former directors and officers, and an officer and director of the Company (collectively for the purposes of this paragraph, the “defendants”) in the U.S. District Court for the Western District of Pennsylvania on behalf of certain purchasers of securities of Mylan N.V. The amended complaint alleges that defendants made false or misleading statements and omissions of purportedly material fact, in violation of federal securities laws, in connection with disclosures relating to the Nashik and Morgantown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plants and inspections at the plants by the FDA. Plaintiff seeks certification of a class of purchasers of Mylan N.V. securities between February 16, 2016 and May 7, 2019. On May 18, 2023, the Court dismissed 45 of the 46 challenged statements. The complaint seeks monetary damages, as well as the plaintiff’s fees and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15, 2021, a complaint was filed by Skandia Mutual Life Ins. Co., Lansforsakringar AB, KBC Asset Management N.V., and GIC Private Limited, against the Company, certain of Mylan N.V.’s former directors and officers, a current director and officer of the Company, and current employees of the Company. The Complaint asserts claims which are based on allegations that are similar to those in the SDNY and the Western District of Pennsylvania complaints identified above. Plaintiffs seek compensatory damages, costs and expenses and attorneys’ fees.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28, 2021, the Company and certain of its then officers and directors were named as defendants in a putative class action lawsuit filed in the Court of Common Pleas of Allegheny County, Pennsylvania on behalf of former Mylan shareholders who received Company common stock in connection with the Combination. A non-Viatris affiliated company and persons were also named as defendants. The complaint alleges violations of Sections 11, 12(a)(2), and 15 of the Securities Act of 1933 for purportedly failing to disclose or misrepresenting material information in the registration statement and related prospectus issued in connection with the Combination. On January 3, 2023, an amended complaint was filed naming the same defendants and alleging the same violations as the original complaint. Plaintiffs seek monetary damages, reasonable costs and expenses, and certain other equitable and injunctive relief.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May 2023, putative class action complaints were filed against the Company and certain of the Company’s current and former officers, directors, or employees (collectively, for the purposes of this paragraph, the “defendants”) in the U.S. District Court for the Western District of Pennsylvania on behalf of certain purchasers of securities of the Company. The complaints allege that defendants made false or misleading statements and omissions of material fact, in violation of federal securities laws, in connection with disclosures relating to the Company’s projected financial performance and biosimilars business. Plaintiffs seek certification of a class of purchasers of Company securities between March 1, 2021 and February 25, 2022. Plaintiffs seek monetary damages, reasonable costs and expenses, and certain other equitable and injunctive relief. </w:t>
      </w:r>
    </w:p>
    <w:p>
      <w:pPr>
        <w:pStyle w:val="TextBody"/>
        <w:bidi w:val="0"/>
        <w:spacing w:before="0" w:after="0"/>
        <w:jc w:val="left"/>
        <w:rPr/>
      </w:pPr>
      <w:r>
        <w:rPr/>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Opioids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13, 2023, the Company received a civil subpoena from the Attorney General of the State of New York seeking information relating to opioids manufactured, marketed, or sold by the Company and related subject matter. The Company is fully cooperating with this subpoena request.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accrued $5.0 million in connection with the possible resolution of certain of these matters at June 30, 2023,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Meda Sweden Commercial Dispute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30, 2021, Ocular AS and other related entities (“Claimants”) initiated an arbitration in Sweden against Meda OTC AB and Meda AB (collectively, “Meda” or the “Company”) alleging breach of a 2013 sale and purchase agreement between Claimants and Meda concerning commercialization of a dental hygiene product. Claimants sought approximately $155 million in purported damages, plus interest and costs. In May 2023, the arbitration panel ruled in Claimants’ favor and the Company resolved the matter for approximately $21.8 million, which was accrued at June 30, 2023 and paid in July 2023. </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Citalopram</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2013, the European Commission issued a decision finding that Lundbeck and several generic companies, including Generics [U.K.] Limited (“GUK” or the “Company”), had violated EU competition rules relating to various settlement agreements entered into in 2002 for citalopram. After various appeals, the European Commission’s decision was upheld in March 2021. On March 28, 2023, bodies of the national health authorities in England &amp; Wales served a claim in the U.K. Competition Appeals Tribunal against parties to the citalopram investigation, including GUK, seeking monetary damages, plus interest, purportedly arising from the settlement agreements. The Company, beginning in approximately 2018, has received notices from other health service authorities and insurers asserting an intention to file similar claims. Pursuant to an indemnification agreement, Merck KGaA and GUK have agreed to equally share any damages claimed against Merck KGaA and/or GUK alleged to have been caused by the conduct which is the subject of the European Commission decision.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accrued approximately €12.1 million as of June 30, 2023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Product Liability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accrued approximately $65.4 million as of June 30, 2023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Nitrosamines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other countries. Third party payor, consumer and medical monitoring classes were certified in the valsartan MDL and a Rule 23(f) petition to appeal the certification decision was denied. The Company has also received claims and inquiries related to these products, as well as requests to indemnify purchasers of the Company’s API and/ or finished dose forms of these products. The original master complaints concerning ranitidine were dismissed on December 31, 2020. The end-payor plaintiff immediately appealed to the U.S. Court of Appeals for the Eleventh Circuit, which affirmed the dismissal. The personal injury and</w:t>
      </w:r>
      <w:r>
        <w:rPr>
          <w:color w:val="000000"/>
        </w:rPr>
        <w:t xml:space="preserve"> </w:t>
      </w:r>
      <w:r>
        <w:rPr>
          <w:rFonts w:ascii="Times New Roman;sans-serif" w:hAnsi="Times New Roman;sans-serif"/>
          <w:b w:val="false"/>
          <w:color w:val="000000"/>
          <w:sz w:val="20"/>
        </w:rPr>
        <w:t>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Lipitor</w:t>
      </w:r>
    </w:p>
    <w:p>
      <w:pPr>
        <w:pStyle w:val="TextBody"/>
        <w:bidi w:val="0"/>
        <w:spacing w:lineRule="auto" w:line="288" w:before="0" w:after="240"/>
        <w:ind w:left="0" w:right="0" w:firstLine="720"/>
        <w:jc w:val="left"/>
        <w:rPr/>
      </w:pPr>
      <w:r>
        <w:rPr>
          <w:rFonts w:ascii="Times New Roman;sans-serif" w:hAnsi="Times New Roman;sans-serif"/>
          <w:b w:val="false"/>
          <w:color w:val="000000"/>
          <w:sz w:val="20"/>
          <w:shd w:fill="FFFFFF" w:val="clear"/>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Since 2016, certain cases in the MDL were remanded to certain state courts. In 2017, the District Court granted Pfizer’s motion for summary judgment, dismissing all of the cases pending in the MDL. In June 2018, this dismissal was affirmed by the U.S. Court of Appeals for the Fourth Circuit. The state court proceedings remain pending in Missouri and New York. Prior state court proceedings in California have now been terminated after the California Court previously granted motions (i) to exclude the opinions of plaintiffs’ only general causation expert in connection with his opinions involving the three lowest doses of Lipitor (10, 20 and 40 mg); (ii)</w:t>
      </w:r>
      <w:r>
        <w:rPr>
          <w:color w:val="000000"/>
        </w:rPr>
        <w:t xml:space="preserve"> </w:t>
      </w:r>
      <w:r>
        <w:rPr>
          <w:rFonts w:ascii="Times New Roman;sans-serif" w:hAnsi="Times New Roman;sans-serif"/>
          <w:b w:val="false"/>
          <w:color w:val="000000"/>
          <w:sz w:val="20"/>
        </w:rPr>
        <w:t>for summary judgment in connection with the 10, 20, and 40 mg plaintiffs; and (iii) seeking the dismissal of the remaining cases involving the highest dose of Lipitor (80 mg).</w:t>
      </w:r>
      <w:r>
        <w:rPr>
          <w:color w:val="000000"/>
        </w:rPr>
        <w:t xml:space="preserve"> </w:t>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Intellectual Property</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The Company is involved in a number of patent litigation lawsuits involving the validity and/or infringement of patents held by branded pharmaceutical manufacturers including but not limited to the matters described below.</w:t>
      </w:r>
      <w:r>
        <w:rPr>
          <w:color w:val="000000"/>
        </w:rPr>
        <w:t xml:space="preserve"> </w:t>
      </w:r>
      <w:r>
        <w:rPr>
          <w:rFonts w:ascii="Times New Roman;sans-serif" w:hAnsi="Times New Roman;sans-serif"/>
          <w:b w:val="false"/>
          <w:color w:val="000000"/>
          <w:sz w:val="20"/>
        </w:rPr>
        <w:t>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and/or stock price.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accrued approximately $60.7 million as of June 30, 2023 for its intellectual property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Lyrica - United Kingdom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shd w:fill="FFFFFF" w:val="clear"/>
        </w:rPr>
        <w:t>Beginning in 2014, Pfizer was involved in patent litigation in the English courts concerning the validity of its Lyrica pain use patent. In 2015, the High Court of Justice in London ordered that the NHS England issue guidance for prescribers and pharmacists directing the prescription and dispensing of Lyrica by brand when pregabalin was prescribed for the treatment of neuropathic pain and entered a preliminary injunction against certain Sandoz group companies preventing the sale of Sandoz’s full label pregabalin product.</w:t>
      </w:r>
      <w:r>
        <w:rPr>
          <w:color w:val="000000"/>
        </w:rPr>
        <w:t xml:space="preserve"> </w:t>
      </w:r>
      <w:r>
        <w:rPr>
          <w:rFonts w:ascii="Times New Roman;sans-serif" w:hAnsi="Times New Roman;sans-serif"/>
          <w:b w:val="false"/>
          <w:color w:val="000000"/>
          <w:sz w:val="20"/>
          <w:shd w:fill="FFFFFF" w:val="clear"/>
        </w:rPr>
        <w:t xml:space="preserve">Pfizer undertook to compensate certain generic companies and NHS entities for losses caused by these orders, which remained in effect until patent expiration in July 2017. In November 2018, the U.K. Supreme Court ruled that all the relevant claims directed to neuropathic pain were invalid. </w:t>
      </w:r>
    </w:p>
    <w:p>
      <w:pPr>
        <w:pStyle w:val="TextBody"/>
        <w:bidi w:val="0"/>
        <w:spacing w:lineRule="auto" w:line="288" w:before="0" w:after="240"/>
        <w:ind w:left="0" w:right="0" w:firstLine="720"/>
        <w:jc w:val="left"/>
        <w:rPr/>
      </w:pPr>
      <w:r>
        <w:rPr>
          <w:rFonts w:ascii="Times New Roman;sans-serif" w:hAnsi="Times New Roman;sans-serif"/>
          <w:b w:val="false"/>
          <w:color w:val="000000"/>
          <w:sz w:val="20"/>
          <w:shd w:fill="FFFFFF" w:val="clear"/>
        </w:rPr>
        <w:t xml:space="preserve">Dr. Reddy’s Laboratories filed a claim for monetary damages, interest, and costs in May 2020, followed by the Scottish Ministers and </w:t>
      </w:r>
      <w:r>
        <w:rPr>
          <w:rFonts w:ascii="Times New Roman;sans-serif" w:hAnsi="Times New Roman;sans-serif"/>
          <w:b w:val="false"/>
          <w:color w:val="000000"/>
          <w:sz w:val="20"/>
        </w:rPr>
        <w:t xml:space="preserve">fourteen </w:t>
      </w:r>
      <w:r>
        <w:rPr>
          <w:rFonts w:ascii="Times New Roman;sans-serif" w:hAnsi="Times New Roman;sans-serif"/>
          <w:b w:val="false"/>
          <w:color w:val="000000"/>
          <w:sz w:val="20"/>
          <w:shd w:fill="FFFFFF" w:val="clear"/>
        </w:rPr>
        <w:t>Scottish Health Boards (together, NHS Scotland) in July 2020. In September 2020, Teva, Sandoz, Ranbaxy, Actavis, and the Secretary of State for Health and Social Care, together with</w:t>
      </w:r>
      <w:r>
        <w:rPr>
          <w:color w:val="000000"/>
        </w:rPr>
        <w:t xml:space="preserve"> </w:t>
      </w:r>
      <w:r>
        <w:rPr>
          <w:rFonts w:ascii="Times New Roman;sans-serif" w:hAnsi="Times New Roman;sans-serif"/>
          <w:b w:val="false"/>
          <w:color w:val="000000"/>
          <w:sz w:val="20"/>
        </w:rPr>
        <w:t xml:space="preserve">32 </w:t>
      </w:r>
      <w:r>
        <w:rPr>
          <w:rFonts w:ascii="Times New Roman;sans-serif" w:hAnsi="Times New Roman;sans-serif"/>
          <w:b w:val="false"/>
          <w:color w:val="000000"/>
          <w:sz w:val="20"/>
          <w:shd w:fill="FFFFFF" w:val="clear"/>
        </w:rPr>
        <w:t>other NHS entities (together, NHS England, Wales, and Northern Ireland) filed their claims. All of the claims except for those filed by Dr. Reddy’s Laboratories have been resolved. A trial on the remaining claims has been set for November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VIATRIS INC.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 - Continued</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Yupelri</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January 2023, certain generic companies notified us that they had filed ANDAs with the FDA seeking approval to market generic versions of Yupelri® with associated Paragraph IV certifications. The companies assert the invalidity and/or non-infringement of polymorph patents expiring in 2030 and 2031, and a method of use patent expiring in 2039. The companies have not filed Paragraph IV certifications to our compound patents, which currently expire in December 2025, with one compound patent subject to a patent term extension to October 2028. In February 2023, we brought patent infringement actions against the generic filers in federal district courts, including the U.S. District Court for the District of New Jersey, the U.S. District Court for the District of Delaware, and the U.S. District Court for the Middle District of North Carolina, asserting infringement of the patents by the generic companies. The actions filed in Delaware and North Carolina have been dismissed and the actions will proceed in New Jersey. </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Tyrvaya</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a generic company notified Oyster Point that it had filed an ANDA with the FDA seeking approval to market a generic version of Tyrvaya® with associated Paragraph IV certifications. The generic company asserts the invalidity and/or non-infringement of six Orange Book listed patents that all have expiration dates in October 2035. In July 2023, Oyster Point brought a patent infringement action against the generic filer in the U.S. District Court of the District of New Jersey asserting infringement by the generic company. </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Other Litigation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other legal proceedings including commercial, contractual, employment, or other similar matters that are considered normal to its business. The Company has approximately $9 million accrued related to these various other legal proceedings at June 30, 2023.</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hanging="1080"/>
        <w:jc w:val="left"/>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addresses material changes in the financial condition and results of operations of Viatris Inc. and subsidiaries for the periods presented. Unless context requires otherwise, the “Company,” “Viatris,” “our” or “we” refer to Viatris Inc. and its subsidiaries.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discussion and analysis should be read in conjunction with the Consolidated Financial Statements, the related Notes to Consolidated Financial Statements and Management’s Discussion and Analysis of Financial Condition and Results of Operations included in Viatris’ 2022 Form 10-K, the unaudited interim financial statements and related Notes included in Part I — ITEM 1 of this Form 10-Q and our other SEC filings and public disclosures. The interim results of operations and comprehensive earnings (loss) for the three and six months ended June 30, 2023, and cash flows for the six months ended June 30, 2023 are not necessarily indicative of the results to be expected for the full fiscal year or any other future period. </w:t>
      </w:r>
    </w:p>
    <w:p>
      <w:pPr>
        <w:pStyle w:val="TextBody"/>
        <w:bidi w:val="0"/>
        <w:spacing w:lineRule="auto" w:line="256" w:before="0" w:after="0"/>
        <w:ind w:left="0" w:right="0" w:firstLine="720"/>
        <w:jc w:val="left"/>
        <w:rPr/>
      </w:pPr>
      <w:r>
        <w:rPr>
          <w:rFonts w:ascii="Times New Roman;sans-serif" w:hAnsi="Times New Roman;sans-serif"/>
          <w:b w:val="false"/>
          <w:color w:val="000000"/>
          <w:sz w:val="20"/>
        </w:rPr>
        <w:t xml:space="preserve">This Form 10-Q contains “forward-looking statements”. These statements are made pursuant to the safe harbor provisions of the Private Securities Litigation Reform Act of 1995. Such forward-looking statements may include, without limitation, statements about </w:t>
      </w:r>
      <w:r>
        <w:rPr>
          <w:rFonts w:ascii="Times New Roman;sans-serif" w:hAnsi="Times New Roman;sans-serif"/>
          <w:b w:val="false"/>
          <w:color w:val="000000"/>
          <w:sz w:val="20"/>
          <w:shd w:fill="FFFFFF" w:val="clear"/>
        </w:rPr>
        <w:t>the goals or outlooks with respect to the Company’s strategic initiatives, including but not limited to the Company’s two-phased strategic vision and potential divestitures and acquisitions;</w:t>
      </w:r>
      <w:r>
        <w:rPr>
          <w:color w:val="000000"/>
        </w:rPr>
        <w:t xml:space="preserve"> </w:t>
      </w:r>
      <w:r>
        <w:rPr>
          <w:rFonts w:ascii="Times New Roman;sans-serif" w:hAnsi="Times New Roman;sans-serif"/>
          <w:b w:val="false"/>
          <w:color w:val="000000"/>
          <w:sz w:val="20"/>
        </w:rPr>
        <w:t>the benefits and synergies of acquisitions, divestitures or our global restructuring program;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possibility that the Company may be unable to realize the intended benefits of, or achieve the intended goals or outlooks with respect to, its strategic initiatives;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possibility that the Company may be unable to achieve expected benefits, synergies and operating efficiencies in connection with acquisitions, divestitures, or its global restructuring program within the expected timeframe or at all;</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goodwill or other impairment charges or other losses related to the divestiture or sale of businesses or assets;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the Company’s failure to achieve expected or targeted future financial and operating performance and results;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potential impact of public health outbreaks, epidemics and pandemics, including the ongoing challenges and uncertainties posed by the COVID-19 pandemic;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actions and decisions of healthcare and pharmaceutical regulators;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ability to attract and retain key personnel;</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Company’s liquidity, capital resources and ability to obtain financing;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any regulatory, legal or other impediments to the Company’s ability to bring new products to market, including but not limited to “at-risk launches”;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success of clinical trials and the Company’s or its partners’ ability to execute on new product opportunities and develop, manufacture and commercialize products;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any changes in or difficulties with the Company’s manufacturing facilities, including with respect to inspections, remediation and restructuring activities, supply chain or inventory or the ability to meet anticipated demand;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scope, timing and outcome of any ongoing legal proceedings, including government inquiries or investigations, and the impact of any such proceedings on the Company;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any significant breach of data security or data privacy or disruptions to our information technology systems;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risks associated with having significant operations globally;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ability to protect intellectual property and preserve intellectual property rights;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changes in third-party relationships;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effect of any changes in the Company’s or its partners’ customer and supplier relationships and customer purchasing patterns, including customer loss and business disruption being greater than expected following an acquisition or divestiture;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impacts of competition, including decreases in sales or revenues as a result of the loss of market exclusivity for certain products;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changes in the economic and financial conditions of the Company or its partners;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uncertainties regarding future demand, pricing and reimbursement for the Company’s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uncertainties and matters beyond the control of management, including but not limited to general political and economic conditions, inflation rates and global exchange rates; and</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more detailed information on the risks and uncertainties associated with Viatris, see the risks described in Part I, Item 1A in the 2022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40"/>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Viatris’ seasoned management team is focused on ensuring that the Company is optimally structured and efficiently resourced to deliver sustainable value to patients, shareholders, customers and other key stakeholders. With a global workforce of more than 38,000, the Company has industry leading commercial, R&amp;D, regulatory, manufacturing, legal and medical expertise complemented by a strong commitment to quality and an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brands, generics, and complex generics. The Company operates approximately 40 manufacturing sites worldwide that produce oral solid doses, injectables, complex dosage forms and APIs. Viatris is headquartered in the U.S., with global centers in Pittsburgh, Pennsylvania, Shanghai, China and Hyderabad, India.</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broad and diversified portfolio of branded, complex generics,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lineRule="auto" w:line="276"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Certain Market and Industry Factors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The loss of a tender by a third party to whom we supply API can also have a negative impact on our sales and profitability. Sales continue to be negatively affected by the impact of tender systems in certain countries.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impact of competition, government pricing actions and other measures designed to reduce healthcare costs, our results of operations, cash flows and financial condition could also be affected by other risks of doing business internationally, including the impact of public health epidemics, such as the COVID-19 pandemic, inflation, geopolitical events, including the ongoing conflict between Russia and Ukraine and related trade controls, sanctions, supply chain and staffing challenges and other economic considerations, supply chain disruptions, foreign currency exchange fluctuations, changes in intellectual property legal protections and other regulatory changes.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Ophthalmology Acquisitions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completed the acquisition of Oyster Point for approximately $427.4 million in cash, which included $11 per share paid to Oyster Point stockholders through a tender offer, payment for vested share-based awards, and the repayment of debt of Oyster Point. In addition to the upfront cash consideration, each Oyster Point stockholder received one non-tradeable contingent value right representing up to an additional $2 per share, or approximately $60 million in the aggregate, contingent upon Oyster Point achieving certain metrics based upon full year 2022 performance. Oyster Point did not achieve the metrics that would have triggered a contingent payment and the contingent value rights have expired. Oyster Point is focused on the discovery, development, and commercialization of first-in-class pharmaceutical therapies to treat ophthalmic diseases.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On November 7, 2022, the Company entered into a definitive agreement to acquire the remaining equity shares of Famy Life Sciences, a privately-owned research company with a complementary portfolio of ophthalmology therapies under development, for consideration of $281 million. The Company had previously entered into a Master Development Agreement with Famy Life Sciences on December 20, 2019 under which the Company obtained rights with respect to acquiring certain pharmaceutical products and had also acquired shares representing approximately 13.5% equity interest in Famy Life Sciences for $25.0 million at December 31, 2020. The investment was accounted for in accordance with ASC 321, </w:t>
      </w:r>
      <w:r>
        <w:rPr>
          <w:rFonts w:ascii="Times New Roman;sans-serif" w:hAnsi="Times New Roman;sans-serif"/>
          <w:b w:val="false"/>
          <w:i/>
          <w:color w:val="000000"/>
          <w:sz w:val="20"/>
        </w:rPr>
        <w:t>Investments - Equity Securities</w:t>
      </w:r>
      <w:r>
        <w:rPr>
          <w:rFonts w:ascii="Times New Roman;sans-serif" w:hAnsi="Times New Roman;sans-serif"/>
          <w:b w:val="false"/>
          <w:color w:val="000000"/>
          <w:sz w:val="20"/>
        </w:rPr>
        <w:t>. The transaction to acquire the remaining equity shares of Famy Life Sciences closed during the first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Refer to Note 4 </w:t>
      </w:r>
      <w:r>
        <w:rPr>
          <w:rFonts w:ascii="Times New Roman;sans-serif" w:hAnsi="Times New Roman;sans-serif"/>
          <w:b w:val="false"/>
          <w:i/>
          <w:color w:val="000000"/>
          <w:sz w:val="20"/>
        </w:rPr>
        <w:t>Acquisitions and Other Transactions</w:t>
      </w:r>
      <w:r>
        <w:rPr>
          <w:color w:val="000000"/>
        </w:rPr>
        <w:t xml:space="preserve"> </w:t>
      </w:r>
      <w:r>
        <w:rPr>
          <w:rFonts w:ascii="Times New Roman;sans-serif" w:hAnsi="Times New Roman;sans-serif"/>
          <w:b w:val="false"/>
          <w:color w:val="000000"/>
          <w:sz w:val="20"/>
        </w:rPr>
        <w:t>for more information.</w:t>
      </w:r>
    </w:p>
    <w:p>
      <w:pPr>
        <w:pStyle w:val="TextBody"/>
        <w:bidi w:val="0"/>
        <w:spacing w:before="0" w:after="0"/>
        <w:ind w:left="0" w:right="0" w:firstLine="720"/>
        <w:jc w:val="left"/>
        <w:rPr/>
      </w:pPr>
      <w:r>
        <w:rPr/>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 Program</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2022, the Company announced that its Board of Directors had authorized a share repurchase program for the repurchase of up to $1.0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During the six months ended June 30, 2023, the Company repurchased approximately 21.2 million shares of common stock at a cost of approximately $250 million. The Company did not repurchase any shares of common stock under the share repurchase program in 2022. The share repurchase program does not obligate the Company to acquire any particular amount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2020 Restructuring Program</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 The remaining actions under the 2020 restructuring program are expected to be substantially completed in 2023.</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 In addition, management believes the potential annual savings related to these committed restructuring activities to be up to approximately $900 million once fully implemented, with most of these savings expected to improve operating cash flow.</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Financial Summary</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is a summary of the Company’s financial results for the three and six months ended June 30, 2023 compared to the prior year period:</w:t>
      </w:r>
    </w:p>
    <w:tbl>
      <w:tblPr>
        <w:tblW w:w="6965" w:type="dxa"/>
        <w:jc w:val="left"/>
        <w:tblInd w:w="0" w:type="dxa"/>
        <w:tblLayout w:type="fixed"/>
        <w:tblCellMar>
          <w:top w:w="28" w:type="dxa"/>
          <w:left w:w="28" w:type="dxa"/>
          <w:bottom w:w="28" w:type="dxa"/>
          <w:right w:w="28" w:type="dxa"/>
        </w:tblCellMar>
      </w:tblPr>
      <w:tblGrid>
        <w:gridCol w:w="1037"/>
        <w:gridCol w:w="910"/>
        <w:gridCol w:w="918"/>
        <w:gridCol w:w="211"/>
        <w:gridCol w:w="766"/>
        <w:gridCol w:w="109"/>
        <w:gridCol w:w="109"/>
        <w:gridCol w:w="109"/>
        <w:gridCol w:w="109"/>
        <w:gridCol w:w="211"/>
        <w:gridCol w:w="766"/>
        <w:gridCol w:w="109"/>
        <w:gridCol w:w="109"/>
        <w:gridCol w:w="109"/>
        <w:gridCol w:w="109"/>
        <w:gridCol w:w="211"/>
        <w:gridCol w:w="691"/>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per share amounts)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per share amounts)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 xml:space="preserve">More information about non-GAAP measures used by the Company as part of this discussion, including adjusted cost of sales, adjusted gross margins, adjusted net earnings and adjusted EBITDA (all of which are defined below) can be found in “Item 2. </w:t>
      </w:r>
      <w:r>
        <w:rPr>
          <w:rFonts w:ascii="Times New Roman;sans-serif" w:hAnsi="Times New Roman;sans-serif"/>
          <w:b w:val="false"/>
          <w:i/>
          <w:color w:val="000000"/>
          <w:sz w:val="20"/>
        </w:rPr>
        <w:t>Management’s Discussion and Analysis of Financial Condition</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Results of Operations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Results of Operations - Use of Non-GAAP Financial Measures.</w:t>
      </w:r>
      <w:r>
        <w:rPr>
          <w:color w:val="000000"/>
        </w:rPr>
        <w: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Three Months Ended June 30, 2023 Compared to Three Months Ended June 30, 2022</w:t>
      </w:r>
    </w:p>
    <w:tbl>
      <w:tblPr>
        <w:tblW w:w="10205" w:type="dxa"/>
        <w:jc w:val="left"/>
        <w:tblInd w:w="0" w:type="dxa"/>
        <w:tblLayout w:type="fixed"/>
        <w:tblCellMar>
          <w:top w:w="28" w:type="dxa"/>
          <w:left w:w="28" w:type="dxa"/>
          <w:bottom w:w="28" w:type="dxa"/>
          <w:right w:w="28" w:type="dxa"/>
        </w:tblCellMar>
      </w:tblPr>
      <w:tblGrid>
        <w:gridCol w:w="718"/>
        <w:gridCol w:w="468"/>
        <w:gridCol w:w="386"/>
        <w:gridCol w:w="211"/>
        <w:gridCol w:w="766"/>
        <w:gridCol w:w="109"/>
        <w:gridCol w:w="109"/>
        <w:gridCol w:w="109"/>
        <w:gridCol w:w="109"/>
        <w:gridCol w:w="211"/>
        <w:gridCol w:w="766"/>
        <w:gridCol w:w="109"/>
        <w:gridCol w:w="109"/>
        <w:gridCol w:w="109"/>
        <w:gridCol w:w="109"/>
        <w:gridCol w:w="213"/>
        <w:gridCol w:w="200"/>
        <w:gridCol w:w="483"/>
        <w:gridCol w:w="109"/>
        <w:gridCol w:w="109"/>
        <w:gridCol w:w="109"/>
        <w:gridCol w:w="271"/>
        <w:gridCol w:w="709"/>
        <w:gridCol w:w="140"/>
        <w:gridCol w:w="109"/>
        <w:gridCol w:w="109"/>
        <w:gridCol w:w="109"/>
        <w:gridCol w:w="287"/>
        <w:gridCol w:w="1044"/>
        <w:gridCol w:w="148"/>
        <w:gridCol w:w="109"/>
        <w:gridCol w:w="109"/>
        <w:gridCol w:w="109"/>
        <w:gridCol w:w="269"/>
        <w:gridCol w:w="269"/>
        <w:gridCol w:w="793"/>
      </w:tblGrid>
      <w:tr>
        <w:trPr/>
        <w:tc>
          <w:tcPr>
            <w:tcW w:w="71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2023 Currency Impact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Constant Currency % Change </w:t>
            </w:r>
            <w:r>
              <w:rPr>
                <w:rFonts w:ascii="Times New Roman;sans-serif" w:hAnsi="Times New Roman;sans-serif"/>
                <w:b/>
                <w:color w:val="000000"/>
                <w:sz w:val="10"/>
              </w:rPr>
              <w:t>(2)</w:t>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Consolidated total revenues </w:t>
            </w:r>
            <w:r>
              <w:rPr>
                <w:rFonts w:ascii="Times New Roman;sans-serif" w:hAnsi="Times New Roman;sans-serif"/>
                <w:b w:val="false"/>
                <w:color w:val="000000"/>
                <w:sz w:val="13"/>
              </w:rPr>
              <w:t>(4)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4,010.2 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Currency impact is shown as unfavorable (favorable).</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The constant currency percentage change is derived by translating net sales or revenues for the current period at prior year comparative period exchange rates, and in doing so shows the percentage change from 2023 constant currency net sales or revenues to the corresponding amount in the prior year.</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For the three months ended June 30, 2023, other revenues in Developed Markets, JANZ, and Emerging Markets were approximately $6.0 million, $0.4 million, and $2.7 million, respectively.</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Amounts exclude intersegment revenue which eliminates on a consolidated basis.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Total Revenues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Viatris reported total revenues of $3.92 billion, compared to $4.12 billion for the comparable prior year period, representing a decrease of $198.2 million, or 5%. Total revenues include both net sales and other revenues from third parties. Net sales for the current quarter were $3.91 billion, compared to $4.11 billion for the comparable prior year period, representing a decrease of $195.9 million, or 5%. Other revenues for the current quarter were $9.1 million, compared to $11.4 million for the comparable prior year period.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net sales was partially driven by the unfavorable impact of foreign currency translation of approximately $91.6 million, or 2%, primarily reflecting changes in the U.S. Dollar as compared to the currencies of subsidiaries in China, Japan and India. Additionally, net sales further decreased by approximately $161.8 million, or 4%, due to the inclusion of net sales related to the divested biosimilars business in the prior year period. On a constant currency basis, the increase in net sales from the remaining business was approximately $47.3 million, or 1%, for the three months ended June 30, 2023 compared to the prior year period. The increase in constant currency net sales from the remaining business was due to new product sales of approximately $123.8 million, primarily in the U.S. and Europe. New product sales include new products launched in 2023 and the carryover impact of new products, including business development, launched within the last twelve months. This increase was partially offset by a decrease in net sales from existing products due to base business erosion of approximately $76.5 million. Net sales from acquisitions totaled $10.2 million during the current quarter.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a limited number of our products may represent a significant portion of our net sales, gross profit and net earnings. Generally, this is due to the timing of new product introductions, seasonality, and the amount, if any,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competition in the market. Our top ten products in terms of net sales, in the aggregate, represented approximately 34% for the three months ended June 30, 2023 and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are derived from our four reporting segments: Developed Markets, Greater China, JANZ, and Emerging Markets.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Developed Markets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from Developed Markets decreased by $125.3 million or 5% during the three months ended June 30, 2023 when compared to the prior year period. The favorable impact of foreign currency translation on current period net sales was approximately $11.9 million, or less than 1%. Net sales decreased by approximately $142.0 million or 6% due to the inclusion of net sales related to the divested biosimilars business in the prior year period. Constant currency net sales from the remaining business decreased by approximately $5.4 million when compared to the prior year period. Net sales within North America totaled approximately $1.02 billion and net sales within Europe totaled approximately $1.34 billion. The decrease in constant currency net sales was driven by anticipated lower net sales of existing products, including Wixela Inhub® in the U.S., as a result of lower pricing and, to a lesser extent, lower volumes due to additional competition. These decreases were partially offset by new product sales, including lenalidomide in the U.S. Net sales from Tyrvaya® totaled $10.2 million during the current quarter.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Greater China Segment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from Greater China decreased by $16.2 million or 3% for the three months ended June 30, 2023 when compared to the prior year period. This decrease was the result of the unfavorable impact of foreign currency translation of approximately $26.3 million, or 5%. Constant currency net sales increased by approximately $10.4 million, or 2% when compared to the prior year period, driven primarily by increased volumes of existing products. The disposition of the biosimilars business did not have a significant impact on the net sales for the current quarter.</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JANZ Segment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from JANZ decreased by $51.6 million or 12% for the three months ended June 30, 2023 when compared to the prior year period. This decrease was partially the result of the unfavorable impact of foreign currency translation of approximately $25.2 million, or 6%. Constant currency net sales decreased by approximately $21.4 million, or 5% when compared to the prior year period. The decrease was due to lower net sales of existing products mainly driven by lower pricing and, to a lesser extent, volumes, in Japan as a result of government price reductions and additional competition. The disposition of the biosimilars business did not have a significant impact on the net sales for the current quarter.</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Emerging Markets Segment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from Emerging Markets for the three months ended June 30, 2023 were essentially flat when compared to the prior year period. The unfavorable impact of foreign currency translation on current period net sales was approximately $52.0 million or 8%. In addition, net sales also decreased by approximately $14.5 million, or 2% due to the inclusion of the divested biosimilars business in the prior year period. Constant currency net sales from the remaining business increased by $63.7 million, or 10% when compared to the prior year period, driven primarily by higher volumes of existing products, including in certain Middle Eastern countries.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Cost of Sales and Gross Profit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Cost of sales decreased from $2.41 billion for the three months ended June 30, 2022 to $2.31 billion for the three months ended June 30, 2023. Cost of sales was primarily impacted by the decrease in net sales, including the impact of the disposition of the biosimilars business in November 2022</w:t>
      </w:r>
      <w:r>
        <w:rPr>
          <w:rFonts w:ascii="Times New Roman;sans-serif" w:hAnsi="Times New Roman;sans-serif"/>
          <w:b w:val="false"/>
          <w:i/>
          <w:color w:val="000000"/>
          <w:sz w:val="20"/>
        </w:rPr>
        <w:t xml:space="preserve">.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for the three months ended June 30, 2023 was $1.61 billion and gross margins were 41%. For the three months ended June 30, 2022, gross profit was $1.70 billion and gross margins were 41%. This change is primarily related to the decrease in cost of sales. Adjusted gross margins were 60% for the three months ended June 30, 2023, compared to 59% for the three months ended June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cost of sales, as reported under U.S. GAAP, and adjusted cost of sales and adjusted gross margin for the three months ended June 30, 2023 compared to the three months ended June 30, 2022 is as follows:</w:t>
      </w:r>
    </w:p>
    <w:tbl>
      <w:tblPr>
        <w:tblW w:w="6347" w:type="dxa"/>
        <w:jc w:val="left"/>
        <w:tblInd w:w="0" w:type="dxa"/>
        <w:tblLayout w:type="fixed"/>
        <w:tblCellMar>
          <w:top w:w="28" w:type="dxa"/>
          <w:left w:w="28" w:type="dxa"/>
          <w:bottom w:w="28" w:type="dxa"/>
          <w:right w:w="28" w:type="dxa"/>
        </w:tblCellMar>
      </w:tblPr>
      <w:tblGrid>
        <w:gridCol w:w="1261"/>
        <w:gridCol w:w="1104"/>
        <w:gridCol w:w="1114"/>
        <w:gridCol w:w="211"/>
        <w:gridCol w:w="766"/>
        <w:gridCol w:w="271"/>
        <w:gridCol w:w="109"/>
        <w:gridCol w:w="109"/>
        <w:gridCol w:w="109"/>
        <w:gridCol w:w="211"/>
        <w:gridCol w:w="766"/>
        <w:gridCol w:w="316"/>
      </w:tblGrid>
      <w:tr>
        <w:trPr/>
        <w:tc>
          <w:tcPr>
            <w:tcW w:w="126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GAAP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related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divestiture related items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special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profit </w:t>
            </w:r>
            <w:r>
              <w:rPr>
                <w:rFonts w:ascii="Times New Roman;sans-serif" w:hAnsi="Times New Roman;sans-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margin </w:t>
            </w:r>
            <w:r>
              <w:rPr>
                <w:rFonts w:ascii="Times New Roman;sans-serif" w:hAnsi="Times New Roman;sans-serif"/>
                <w:b w:val="false"/>
                <w:color w:val="000000"/>
                <w:sz w:val="13"/>
              </w:rPr>
              <w:t>(a)</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Adjusted gross profit is calculated as total revenues less adjusted cost of sales. Adjusted gross margin is calculated as adjusted gross profit divided by total revenues.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&amp; Development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 for the three months ended June 30, 2023 was $208.3 million, compared to $162.6 million for the comparable prior year period, an increase of $45.7 million. This increase was primarily due to continued investment in our pipeline, including approximately $10.5 million related to the ophthalmology acquisitions.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Acquired IPR&amp;D</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Acquired IPR&amp;D expense for the three months ended June 30, 2023 was $10.2 million. The current quarter expense was driven by an upfront licensing payment to InDex Pharmaceuticals Holding AB related to cobitolimod in Japan.</w:t>
      </w:r>
      <w:r>
        <w:rPr>
          <w:color w:val="000000"/>
        </w:rPr>
        <w:t xml:space="preserve"> </w:t>
      </w:r>
      <w:r>
        <w:rPr>
          <w:rFonts w:ascii="Times New Roman;sans-serif" w:hAnsi="Times New Roman;sans-serif"/>
          <w:b w:val="false"/>
          <w:color w:val="000000"/>
          <w:sz w:val="20"/>
        </w:rPr>
        <w:t>There was no acquired IPR&amp;D expense for the three months ended June 30, 2022.</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&amp; Administrative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 for the current quarter was $1.03 billion, compared to $981.1 million for the comparable prior year period, an increase of $50.8 million. The increase was primarily due to expenses related to the ophthalmology acquisitions of approximately $38.1 million, higher investment in selling and promotional activities, and increased compensation, including severance-related costs. Partially offsetting these increases were lower acquisition and divestiture related costs of approximately $61.1 million, mainly as a result of transitioning certain support services from Pfizer during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 Settlements and Other Contingencies, Net</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the losses/(gains) recognized in litigation settlements and other contingencies, net during the three months ended June 30, 2023 and 2022, respectively:</w:t>
      </w:r>
    </w:p>
    <w:tbl>
      <w:tblPr>
        <w:tblW w:w="8963" w:type="dxa"/>
        <w:jc w:val="left"/>
        <w:tblInd w:w="0" w:type="dxa"/>
        <w:tblLayout w:type="fixed"/>
        <w:tblCellMar>
          <w:top w:w="28" w:type="dxa"/>
          <w:left w:w="28" w:type="dxa"/>
          <w:bottom w:w="28" w:type="dxa"/>
          <w:right w:w="28" w:type="dxa"/>
        </w:tblCellMar>
      </w:tblPr>
      <w:tblGrid>
        <w:gridCol w:w="2483"/>
        <w:gridCol w:w="2177"/>
        <w:gridCol w:w="2194"/>
        <w:gridCol w:w="211"/>
        <w:gridCol w:w="586"/>
        <w:gridCol w:w="109"/>
        <w:gridCol w:w="109"/>
        <w:gridCol w:w="109"/>
        <w:gridCol w:w="109"/>
        <w:gridCol w:w="211"/>
        <w:gridCol w:w="511"/>
        <w:gridCol w:w="154"/>
      </w:tblGrid>
      <w:tr>
        <w:trPr/>
        <w:tc>
          <w:tcPr>
            <w:tcW w:w="2483"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adjustment (related to the Respiratory Delivery Platform)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litigation settlements and other contingencies,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three months ended June 30, 2023 totaled $143.7 million, compared to $145.9 million for the three months ended June 30, 2022, essentially flat as the impact of debt repayments was offset by higher costs related to our periodic short-term variable rate borrowings.</w:t>
      </w:r>
    </w:p>
    <w:p>
      <w:pPr>
        <w:pStyle w:val="TextBody"/>
        <w:bidi w:val="0"/>
        <w:spacing w:lineRule="auto" w:line="288" w:before="0" w:after="240"/>
        <w:jc w:val="left"/>
        <w:rPr/>
      </w:pPr>
      <w:r>
        <w:rPr>
          <w:rFonts w:ascii="Times New Roman;sans-serif" w:hAnsi="Times New Roman;sans-serif"/>
          <w:b/>
          <w:i/>
          <w:color w:val="000000"/>
          <w:sz w:val="20"/>
        </w:rPr>
        <w:t>Other (Income) Expense, Net</w:t>
      </w:r>
      <w:r>
        <w:rPr>
          <w:color w:val="000000"/>
        </w:rPr>
        <w:t xml:space="preserve">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includes gains and losses from changes in the fair value of equity securities, foreign exchange, expense (income) related to post-employment benefit plans, TSA income, and interest and dividend income. Other (income) expense, net for the three months ended June 30, 2023 totaled $107.5 million of income, compared to expense of $13.5 million for the three months ended June 30, 2022. </w:t>
      </w:r>
    </w:p>
    <w:p>
      <w:pPr>
        <w:pStyle w:val="TextBody"/>
        <w:bidi w:val="0"/>
        <w:spacing w:before="0" w:after="6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quarter income was primarily driven by the reimbursement for transition services provided to Biocon Biologics of approximately $46.9 million. The costs related to the transition services are included in SG&amp;A and R&amp;D. The current quarter income also included gains of approximately $74.5 million as a result of remeasuring our equity interest in Mapi and the CCPS in Biocon Biologics to fair value, and higher interest income.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Income Tax Provision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the Company recognized an income tax provision of $69.0 million, compared to $75.4 million for the comparable prior year period, a decrease of $6.4 million. The current year and prior year provisions were impacted by the levels of income and the changing mix at which it is earned in jurisdictions with differing tax rates. </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Six Months Ended June 30, 2023 Compared to Six Months Ended June 30, 2022</w:t>
      </w:r>
    </w:p>
    <w:tbl>
      <w:tblPr>
        <w:tblW w:w="10205" w:type="dxa"/>
        <w:jc w:val="left"/>
        <w:tblInd w:w="0" w:type="dxa"/>
        <w:tblLayout w:type="fixed"/>
        <w:tblCellMar>
          <w:top w:w="28" w:type="dxa"/>
          <w:left w:w="28" w:type="dxa"/>
          <w:bottom w:w="28" w:type="dxa"/>
          <w:right w:w="28" w:type="dxa"/>
        </w:tblCellMar>
      </w:tblPr>
      <w:tblGrid>
        <w:gridCol w:w="715"/>
        <w:gridCol w:w="463"/>
        <w:gridCol w:w="380"/>
        <w:gridCol w:w="211"/>
        <w:gridCol w:w="766"/>
        <w:gridCol w:w="109"/>
        <w:gridCol w:w="109"/>
        <w:gridCol w:w="109"/>
        <w:gridCol w:w="109"/>
        <w:gridCol w:w="211"/>
        <w:gridCol w:w="766"/>
        <w:gridCol w:w="109"/>
        <w:gridCol w:w="109"/>
        <w:gridCol w:w="109"/>
        <w:gridCol w:w="109"/>
        <w:gridCol w:w="199"/>
        <w:gridCol w:w="199"/>
        <w:gridCol w:w="483"/>
        <w:gridCol w:w="109"/>
        <w:gridCol w:w="109"/>
        <w:gridCol w:w="109"/>
        <w:gridCol w:w="265"/>
        <w:gridCol w:w="775"/>
        <w:gridCol w:w="137"/>
        <w:gridCol w:w="109"/>
        <w:gridCol w:w="109"/>
        <w:gridCol w:w="109"/>
        <w:gridCol w:w="284"/>
        <w:gridCol w:w="1033"/>
        <w:gridCol w:w="146"/>
        <w:gridCol w:w="109"/>
        <w:gridCol w:w="109"/>
        <w:gridCol w:w="109"/>
        <w:gridCol w:w="266"/>
        <w:gridCol w:w="266"/>
        <w:gridCol w:w="787"/>
      </w:tblGrid>
      <w:tr>
        <w:trPr/>
        <w:tc>
          <w:tcPr>
            <w:tcW w:w="71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 except %s)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2023 Currency Impact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Constant Currency % Change </w:t>
            </w:r>
            <w:r>
              <w:rPr>
                <w:rFonts w:ascii="Times New Roman;sans-serif" w:hAnsi="Times New Roman;sans-serif"/>
                <w:b/>
                <w:color w:val="000000"/>
                <w:sz w:val="10"/>
              </w:rPr>
              <w:t>(2)</w:t>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Markets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China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JANZ</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Markets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7,917.3 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Consolidated total revenues </w:t>
            </w:r>
            <w:r>
              <w:rPr>
                <w:rFonts w:ascii="Times New Roman;sans-serif" w:hAnsi="Times New Roman;sans-serif"/>
                <w:b w:val="false"/>
                <w:color w:val="000000"/>
                <w:sz w:val="13"/>
              </w:rPr>
              <w:t>(4)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Currency impact is shown as unfavorable (favorable).</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The constant currency percentage change is derived by translating net sales or revenues for the current period at prior year comparative period exchange rates, and in doing so shows the percentage change from 2023 constant currency net sales or revenues to the corresponding amount in the prior year.</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For the six months ended June 30, 2023, other revenues in Developed Markets, JANZ, and Emerging Markets were approximately $13.1 million, $0.6 million, and $5.4 million, respectively. </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Amounts exclude intersegment revenue which eliminates on a consolidated basis.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Total Revenues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Viatris reported total revenues of $7.65 billion, compared to $8.31 billion for the comparable prior year period, representing a decrease of $660.8 million, or 8%. Total revenues include both net sales and other revenues from third parties. Net sales for the six months ended June 30, 2023 were $7.63 billion, compared to $8.28 billion for the comparable prior year period, representing a decrease of $655.0 million, or 8%. Other revenues for the six months ended June 30, 2023 were $19.1 million, compared to $24.9 million for the comparable prior year period.</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net sales was partially driven by the unfavorable impact of foreign currency translation of approximately $288.7 million, or 4%, primarily reflecting changes in the U.S. Dollar as compared to the currencies of subsidiaries in countries within the EU, China, Japan and India. Additionally, net sales further decreased by approximately $326.6 million, or 4%, due to the inclusion of net sales related to the divested biosimilars business in the prior year period. On a constant currency basis, the decrease in net sales from the remaining business was approximately $56.2 million, or 1%, for the six months ended June 30, 2023 compared to the prior year period. The decrease in constant currency net sales from the remaining business was due to base business erosion of approximately $264.9 million. This decrease was partially offset by approximately $208.7 million of new product sales, primarily in the U.S. and Europe. New product sales include new products launched in 2023 and the carryover impact of new products, including business development, launched within the last twelve months. Net sales from acquisitions totaled $16.5 million during the six months ended June 30, 2023.</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35% and 34%, respectively, for the six months ended June 30, 2023 and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are derived from our four reporting segments: Developed Markets, Greater China, JANZ, and Emerging Markets.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Developed Markets Segment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from Developed Markets decreased by $431.0 million or 9% during the six months ended June 30, 2023 when compared to the prior year period. This decrease was partially due to the unfavorable impact of foreign currency translation of approximately $61.3 million, or 1%. Net sales also decreased by approximately $286.6 million or 6% due to the inclusion of net sales related to the divested biosimilars business in the prior year period. Constant currency net sales from the remaining business decreased by approximately $99.6 million, or 2% when compared to the prior year period. Net sales within North America totaled approximately $1.94 billion and net sales within Europe totaled approximately $2.58 billion. The decrease in constant currency net sales was driven by anticipated lower net sales of existing products, including cyclosporine ophthalmic emulsion and Wixela Inhub® in the U.S., as a result of lower pricing and, to a lesser extent, lower volumes due to additional competition. These decreases were partially offset by new product sales, including lenalidomide in the U.S. Net sales from Tyrvaya® totaled $16.5 million during the during the six months ended June 30, 2023.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Greater China Segment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from Greater China decreased by $24.7 million or 2% for the six months ended June 30, 2023 when compared to the prior year period. This decrease was the result of the unfavorable impact of foreign currency translation of approximately $61.3 million, or 5%. Constant currency net sales increased by approximately $37.0 million, or 3% when compared to the prior year period, driven primarily by increased volumes, partially offset by lower pricing, of existing products. The disposition of the biosimilars business did not have a significant impact on the net sales during the six months ended June 30, 2023.</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JANZ Segment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from JANZ decreased by $133.2 million or 16% for the six months ended June 30, 2023 when compared to the prior year period. This decrease was partially the result of the unfavorable impact of foreign currency translation of approximately $58.8 million, or 7%. Constant currency net sales decreased by approximately $64.8 million, or 8% when compared to the prior year period. The decrease was due to lower net sales of existing products mainly driven by lower pricing and, to a lesser extent, volumes, in Japan as a result of government price reductions and additional competition. Net sales decreased by approximately $9.6 million or 1% due to the inclusion of net sales related to the divested biosimilars business in the prior year period.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Emerging Markets Segment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from Emerging Markets decreased by $66.1 million or 5% for the six months ended June 30, 2023 when compared to the prior year period. This decrease was mainly driven by the unfavorable impact of foreign currency translation of approximately $107.3 million or 8%. In addition, net sales also decreased by approximately $30.0 million, or 2% due to the inclusion of the divested biosimilars business in the prior year period. Constant currency net sales from the remaining business increased by $71.2 million, or 5% when compared to the prior year period, driven primarily by higher volumes of existing products, including in certain Middle Eastern and Asian countries.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Cost of Sales and Gross Profit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Cost of sales decreased from $4.83 billion for the six months ended June 30, 2022 to $4.50 billion for the six months ended June 30, 2023. Cost of sales was primarily impacted by the decrease in net sales, including the impact of the disposition of the biosimilars business in November 2022</w:t>
      </w:r>
      <w:r>
        <w:rPr>
          <w:rFonts w:ascii="Times New Roman;sans-serif" w:hAnsi="Times New Roman;sans-serif"/>
          <w:b w:val="false"/>
          <w:i/>
          <w:color w:val="000000"/>
          <w:sz w:val="20"/>
        </w:rPr>
        <w:t xml:space="preserve">.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for the six months ended June 30, 2023 was $3.15 billion and gross margins were 41%. For the six months ended June 30, 2022, gross profit was $3.47 billion and gross margins were 42%. This change is primarily related to the decrease in cost of sales. Adjusted gross margins were 60% for the six months ended June 30, 2023, compared to 59% for the six months ended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cost of sales, as reported under U.S. GAAP, and adjusted cost of sales and adjusted gross margin for the six months ended June 30, 2023 compared to the six months ended June 30, 2022 is as follows:</w:t>
      </w:r>
    </w:p>
    <w:tbl>
      <w:tblPr>
        <w:tblW w:w="6348" w:type="dxa"/>
        <w:jc w:val="left"/>
        <w:tblInd w:w="0" w:type="dxa"/>
        <w:tblLayout w:type="fixed"/>
        <w:tblCellMar>
          <w:top w:w="28" w:type="dxa"/>
          <w:left w:w="28" w:type="dxa"/>
          <w:bottom w:w="28" w:type="dxa"/>
          <w:right w:w="28" w:type="dxa"/>
        </w:tblCellMar>
      </w:tblPr>
      <w:tblGrid>
        <w:gridCol w:w="1261"/>
        <w:gridCol w:w="1107"/>
        <w:gridCol w:w="1112"/>
        <w:gridCol w:w="211"/>
        <w:gridCol w:w="766"/>
        <w:gridCol w:w="271"/>
        <w:gridCol w:w="109"/>
        <w:gridCol w:w="109"/>
        <w:gridCol w:w="109"/>
        <w:gridCol w:w="211"/>
        <w:gridCol w:w="766"/>
        <w:gridCol w:w="316"/>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GAAP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related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divestiture related items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special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profit </w:t>
            </w:r>
            <w:r>
              <w:rPr>
                <w:rFonts w:ascii="Times New Roman;sans-serif" w:hAnsi="Times New Roman;sans-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margin </w:t>
            </w:r>
            <w:r>
              <w:rPr>
                <w:rFonts w:ascii="Times New Roman;sans-serif" w:hAnsi="Times New Roman;sans-serif"/>
                <w:b w:val="false"/>
                <w:color w:val="000000"/>
                <w:sz w:val="13"/>
              </w:rPr>
              <w:t>(a)</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(a)</w:t>
      </w:r>
      <w:r>
        <w:rPr>
          <w:rFonts w:ascii="Times New Roman;sans-serif" w:hAnsi="Times New Roman;sans-serif"/>
          <w:b w:val="false"/>
          <w:color w:val="000000"/>
          <w:sz w:val="20"/>
        </w:rPr>
        <w:t>Adjusted gross profit is calculated as total revenues less adjusted cost of sales. Adjusted gross margin is calculated as adjusted gross profit divided by total revenues.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24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&amp; Development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 for the six months ended June 30, 2023 was $391.2 million, compared to $304.9 million for the comparable prior year period, an increase of $86.3 million. This increase was primarily due to continued investment in our pipeline, including approximately $21.4 million related to the ophthalmology acquisitions.</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Acquired IPR&amp;D</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Acquired IPR&amp;D expense for the six months ended June 30, 2023 was $10.2 million. The current year period expense was driven by an upfront licensing payment to InDex Pharmaceuticals Holding AB related to cobitolimod in Japan.</w:t>
      </w:r>
      <w:r>
        <w:rPr>
          <w:color w:val="000000"/>
        </w:rPr>
        <w:t xml:space="preserve"> </w:t>
      </w:r>
      <w:r>
        <w:rPr>
          <w:rFonts w:ascii="Times New Roman;sans-serif" w:hAnsi="Times New Roman;sans-serif"/>
          <w:b w:val="false"/>
          <w:color w:val="000000"/>
          <w:sz w:val="20"/>
        </w:rPr>
        <w:t>There was no acquired IPR&amp;D expense for the six months ended June 30, 2022.</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&amp; Administrative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 for the six months ended June 30, 2023 was $1.99 billion, compared to $1.90 billion for the comparable prior year period, an increase of $94.4 million. The increase was primarily due to expenses related to the ophthalmology acquisitions of approximately $71.6 million, higher investment in selling and promotional activities, and increased compensation, including severance-related costs. Partially offsetting these increases were lower acquisition and divestiture related costs of approximately $83.8 million, mainly as a result of transitioning certain support services from Pfizer during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 Settlements and Other Contingencies, Net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the (gains) / losses recognized in litigation settlements and other contingencies, net during the six months ended June 30, 2023 and June 30, 2022, respectively:</w:t>
      </w:r>
    </w:p>
    <w:tbl>
      <w:tblPr>
        <w:tblW w:w="8963" w:type="dxa"/>
        <w:jc w:val="left"/>
        <w:tblInd w:w="0" w:type="dxa"/>
        <w:tblLayout w:type="fixed"/>
        <w:tblCellMar>
          <w:top w:w="28" w:type="dxa"/>
          <w:left w:w="28" w:type="dxa"/>
          <w:bottom w:w="28" w:type="dxa"/>
          <w:right w:w="28" w:type="dxa"/>
        </w:tblCellMar>
      </w:tblPr>
      <w:tblGrid>
        <w:gridCol w:w="2483"/>
        <w:gridCol w:w="2177"/>
        <w:gridCol w:w="2194"/>
        <w:gridCol w:w="211"/>
        <w:gridCol w:w="586"/>
        <w:gridCol w:w="109"/>
        <w:gridCol w:w="109"/>
        <w:gridCol w:w="109"/>
        <w:gridCol w:w="109"/>
        <w:gridCol w:w="211"/>
        <w:gridCol w:w="511"/>
        <w:gridCol w:w="154"/>
      </w:tblGrid>
      <w:tr>
        <w:trPr/>
        <w:tc>
          <w:tcPr>
            <w:tcW w:w="2483"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adjustment (related to the Respiratory Delivery Platform)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litigation settlements and other contingencies,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six months ended June 30, 2023 totaled $290.7 million, compared to $292.1 million for the six months ended June 30, 2022, essentially flat as the impact of debt repayments was offset by higher costs related to our periodic short-term variable rate borrowings.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includes gains and losses from changes in the fair value of equity securities, foreign exchange, expense (income) related to post-employment benefit plans, TSA income, and interest and dividend income. Other (income) expense, net for the six months ended June 30, 2023 totaled $177.4 million of income, compared to expense of $47.2 million for the six months ended June 30, 2022. </w:t>
      </w:r>
    </w:p>
    <w:p>
      <w:pPr>
        <w:pStyle w:val="TextBody"/>
        <w:bidi w:val="0"/>
        <w:spacing w:before="0" w:after="60"/>
        <w:ind w:left="0" w:right="0" w:firstLine="72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year period income was primarily driven by the reimbursement for transition services provided to Biocon Biologics of approximately $92.6 million. The costs related to the transition services are included in SG&amp;A and R&amp;D. The current year period income was also attributed to gains of approximately $96.0 million as a result of remeasuring our equity interests in Mapi and Famy Life Sciences and the CCPS in Biocon Biologics to fair value, and higher interest income. The prior year period expense was primarily driven by higher foreign exchange costs.</w:t>
      </w:r>
    </w:p>
    <w:p>
      <w:pPr>
        <w:pStyle w:val="TextBody"/>
        <w:bidi w:val="0"/>
        <w:spacing w:before="0" w:after="60"/>
        <w:ind w:left="0" w:right="0" w:firstLine="720"/>
        <w:jc w:val="left"/>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Income Tax Provision</w:t>
      </w:r>
    </w:p>
    <w:p>
      <w:pPr>
        <w:pStyle w:val="TextBody"/>
        <w:bidi w:val="0"/>
        <w:spacing w:lineRule="auto" w:line="288" w:before="0" w:after="240"/>
        <w:jc w:val="left"/>
        <w:rPr/>
      </w:pPr>
      <w:r>
        <w:rPr>
          <w:color w:val="000000"/>
        </w:rPr>
        <w:t>    </w:t>
      </w:r>
      <w:r>
        <w:rPr>
          <w:rFonts w:ascii="Times New Roman;sans-serif" w:hAnsi="Times New Roman;sans-serif"/>
          <w:b w:val="false"/>
          <w:color w:val="000000"/>
          <w:sz w:val="20"/>
        </w:rPr>
        <w:t xml:space="preserve">For the six months ended June 30, 2023, the Company recognized an income tax provision of $167.0 million, compared to $203.7 million for the comparable prior year period, a decrease of $36.7 million. The current year and prior year provisions were impacted by the levels of income and the changing mix at which it is earned in jurisdictions with differing tax rates. Also impacting the tax provision for the six months ended June 30, 2023 was a tax expense of $22.3 million related to an agreement with the Indian tax authorities in March 2023 in respect of the pricing of its international transactions.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Use of Non-GAAP Financial Measures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Adjusted Cost of Sales and Adjusted Gross Margin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the non-GAAP financial measure “adjusted cost of sales” and the corresponding non-GAAP financial measure “adjusted gross margin.” The principal items excluded from adjusted cost of sales include restructuring, acquisition related and other special items and purchase accounting related amortization, which are described in greater detail below.</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Adjusted Net Earnings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earnings is a non-GAAP financial measure and provides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is an important internal financial metric related to the ongoing operating performance of the Company, and is therefore useful to investors and that their understanding of our performance is enhanced by this measure. Actual internal and forecasted operating results and annual budgets used by management include adjusted net earnings.</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EBITDA and Adjusted EBITDA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net contribution attributable to equity method investments, income tax provision (benefit), interest expense and depreciation and amortization. EBITDA is further adjusted for share-based compensation expense, litigation settlements and other contingencies, net, and restructuring, impairment of long-lived assets, acquisition and divestiture related and other special items to determine adjusted EBITDA. These adjustments are generally permitted under our credit agreement in calculating adjusted EBITDA for determining compliance with our debt covenants.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items excluded from adjusted cost of sales, adjusted net earnings, and adjusted EBITDA include:</w:t>
      </w:r>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Purchase Accounting Amortization and Other Related Items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ongoing impact of certain amounts recorded in connection with acquisitions of both businesses and assets is excluded from adjusted cost of sales, adjusted net earnings, and adjusted EBITDA. These amounts include the amortization of intangible assets, inventory step-up, property, plant and equipment step-up, intangible asset impairment charges, including for in-process research and development, and impairment of goodwill. For the acquisition of businesses accounted for under the provisions of </w:t>
      </w:r>
      <w:r>
        <w:rPr>
          <w:rFonts w:ascii="Times New Roman;sans-serif" w:hAnsi="Times New Roman;sans-serif"/>
          <w:b w:val="false"/>
          <w:i/>
          <w:color w:val="000000"/>
          <w:sz w:val="20"/>
        </w:rPr>
        <w:t>ASC 805, Business Combinations</w:t>
      </w:r>
      <w:r>
        <w:rPr>
          <w:rFonts w:ascii="Times New Roman;sans-serif" w:hAnsi="Times New Roman;sans-serif"/>
          <w:b w:val="false"/>
          <w:color w:val="000000"/>
          <w:sz w:val="20"/>
        </w:rPr>
        <w:t>, these purchase accounting impacts are excluded regardless of the financing method used for the acquisitions, including the use of cash, long-term debt, the issuance of common stock, contingent consideration or any combination thereof.</w:t>
      </w:r>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Fair Value Adjustments, Including Contingent Consideration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changes to the fair value of assets and liabilities, including contingent and deferred consideration and non-marketable equity investments, and the related accretion income or expense are excluded from adjusted net earnings and adjusted EBITDA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Share-based Compensation Expense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expense is excluded from adjusted cost of sales, adjusted net earnings and adjusted EBITDA.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 </w:t>
      </w:r>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Restructuring, Acquisition and Divestiture Related and Other Special Items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related to restructuring, acquisition and divestiture related activities and other actions are excluded from adjusted cost of sales, adjusted net earnings and adjusted EBITDA, as applicable. These amounts include items such as: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Certain acquisition and divestiture costs, including costs relating to integration and planning,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set-up and exit costs, and other business transformation and/or optimization initiatives, which are not part of a formal restructuring program, including employee separation and post-employment costs;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pre-tax loss of the Company’s clean energy investments, whose activities qualify for income tax credits under the Code; only included in adjusted net earnings is the net tax effect of the entity’s activities;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Other costs, incurred from time to time, related to certain special events or activities that lead to gains or losses, including, but not limited to, incremental manufacturing variances, asset write-downs, including other-than-temporary impairments of investments in equity or debt instruments, or liability adjustments;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Certain costs to further develop and optimize our global enterprise resource planning systems, operations and supply chain;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Gains or losses from divestitures, including impairments of held for sale assets; and</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impact of changes related to uncertain tax positions are excluded from adjusted cost of sales and adjusted net earnings. In addition, tax adjustments to adjusted earnings are recorded to present items on an after-tax basis consistent with the presentation of adjusted net earnings.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net earnings and adjusted EBITDA because it believes it is helpful to understanding the underlying, ongoing operational performance of the business.</w:t>
      </w:r>
    </w:p>
    <w:p>
      <w:pPr>
        <w:pStyle w:val="TextBody"/>
        <w:bidi w:val="0"/>
        <w:spacing w:lineRule="auto" w:line="288" w:before="0" w:after="240"/>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Litigation Settlements, Net</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Charges and gains related to legal matters, such as those discussed in Note 18 </w:t>
      </w:r>
      <w:r>
        <w:rPr>
          <w:rFonts w:ascii="Times New Roman;sans-serif" w:hAnsi="Times New Roman;sans-serif"/>
          <w:b w:val="false"/>
          <w:i/>
          <w:color w:val="000000"/>
          <w:sz w:val="20"/>
        </w:rPr>
        <w:t>Litigation</w:t>
      </w:r>
      <w:r>
        <w:rPr>
          <w:color w:val="000000"/>
        </w:rPr>
        <w:t xml:space="preserve"> </w:t>
      </w:r>
      <w:r>
        <w:rPr>
          <w:rFonts w:ascii="Times New Roman;sans-serif" w:hAnsi="Times New Roman;sans-serif"/>
          <w:b w:val="false"/>
          <w:color w:val="000000"/>
          <w:sz w:val="20"/>
        </w:rPr>
        <w:t>included in Part I, Item 1 of this Form 10-Q are generally excluded from adjusted net earnings and adjusted EBITDA. Normal, ongoing defense costs of the Company made in the normal course of our business are not excluded.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16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Reconciliation of U.S. GAAP Net Earnings to Adjusted Net Earnings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net earnings as reported under U.S. GAAP, and adjusted net earnings for the periods shown follows:</w:t>
      </w:r>
    </w:p>
    <w:tbl>
      <w:tblPr>
        <w:tblW w:w="10205" w:type="dxa"/>
        <w:jc w:val="center"/>
        <w:tblInd w:w="0" w:type="dxa"/>
        <w:tblLayout w:type="fixed"/>
        <w:tblCellMar>
          <w:top w:w="28" w:type="dxa"/>
          <w:left w:w="28" w:type="dxa"/>
          <w:bottom w:w="28" w:type="dxa"/>
          <w:right w:w="28" w:type="dxa"/>
        </w:tblCellMar>
      </w:tblPr>
      <w:tblGrid>
        <w:gridCol w:w="1412"/>
        <w:gridCol w:w="890"/>
        <w:gridCol w:w="879"/>
        <w:gridCol w:w="255"/>
        <w:gridCol w:w="745"/>
        <w:gridCol w:w="131"/>
        <w:gridCol w:w="131"/>
        <w:gridCol w:w="131"/>
        <w:gridCol w:w="131"/>
        <w:gridCol w:w="131"/>
        <w:gridCol w:w="466"/>
        <w:gridCol w:w="250"/>
        <w:gridCol w:w="911"/>
        <w:gridCol w:w="129"/>
        <w:gridCol w:w="466"/>
        <w:gridCol w:w="129"/>
        <w:gridCol w:w="155"/>
        <w:gridCol w:w="155"/>
        <w:gridCol w:w="156"/>
        <w:gridCol w:w="211"/>
        <w:gridCol w:w="766"/>
        <w:gridCol w:w="109"/>
        <w:gridCol w:w="109"/>
        <w:gridCol w:w="109"/>
        <w:gridCol w:w="109"/>
        <w:gridCol w:w="211"/>
        <w:gridCol w:w="766"/>
        <w:gridCol w:w="162"/>
      </w:tblGrid>
      <w:tr>
        <w:trPr/>
        <w:tc>
          <w:tcPr>
            <w:tcW w:w="141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018" w:type="dxa"/>
            <w:gridSpan w:val="12"/>
            <w:tcBorders/>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5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2552" w:type="dxa"/>
            <w:gridSpan w:val="9"/>
            <w:tcBorders/>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 net earnings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Purchase accounting related amortization (primarily included in cost of sales) </w:t>
            </w:r>
            <w:r>
              <w:rPr>
                <w:rFonts w:ascii="Times New Roman;sans-serif" w:hAnsi="Times New Roman;sans-serif"/>
                <w:b w:val="false"/>
                <w:color w:val="000000"/>
                <w:sz w:val="13"/>
              </w:rPr>
              <w:t>(a)</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(primarily amortization of premiums and discounts on long term debt)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investments pre-tax gain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and divestiture related costs (primarily included in SG&amp;A) </w:t>
            </w:r>
            <w:r>
              <w:rPr>
                <w:rFonts w:ascii="Times New Roman;sans-serif" w:hAnsi="Times New Roman;sans-serif"/>
                <w:b w:val="false"/>
                <w:color w:val="000000"/>
                <w:sz w:val="13"/>
              </w:rPr>
              <w:t>(b)</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Restructuring related costs </w:t>
            </w:r>
            <w:r>
              <w:rPr>
                <w:rFonts w:ascii="Times New Roman;sans-serif" w:hAnsi="Times New Roman;sans-serif"/>
                <w:b w:val="false"/>
                <w:color w:val="000000"/>
                <w:sz w:val="13"/>
              </w:rPr>
              <w:t>(c)</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special items included in:</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sales </w:t>
            </w:r>
            <w:r>
              <w:rPr>
                <w:rFonts w:ascii="Times New Roman;sans-serif" w:hAnsi="Times New Roman;sans-serif"/>
                <w:b w:val="false"/>
                <w:color w:val="000000"/>
                <w:sz w:val="13"/>
              </w:rPr>
              <w:t>(d)</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income, net </w:t>
            </w:r>
            <w:r>
              <w:rPr>
                <w:rFonts w:ascii="Times New Roman;sans-serif" w:hAnsi="Times New Roman;sans-serif"/>
                <w:b w:val="false"/>
                <w:color w:val="000000"/>
                <w:sz w:val="13"/>
              </w:rPr>
              <w:t>(e)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Tax effect of the above items and other income tax related items</w:t>
            </w:r>
            <w:r>
              <w:rPr>
                <w:color w:val="000000"/>
              </w:rPr>
              <w:t xml:space="preserve"> </w:t>
            </w:r>
            <w:r>
              <w:rPr>
                <w:rFonts w:ascii="Times New Roman;sans-serif" w:hAnsi="Times New Roman;sans-serif"/>
                <w:b w:val="false"/>
                <w:color w:val="000000"/>
                <w:sz w:val="13"/>
              </w:rPr>
              <w:t>(f)</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earnings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items include the following:</w:t>
      </w:r>
    </w:p>
    <w:p>
      <w:pPr>
        <w:pStyle w:val="TextBody"/>
        <w:bidi w:val="0"/>
        <w:spacing w:lineRule="auto" w:line="288" w:before="0" w:after="60"/>
        <w:ind w:left="0" w:right="0" w:hanging="360"/>
        <w:jc w:val="both"/>
        <w:rPr/>
      </w:pPr>
      <w:r>
        <w:rPr>
          <w:rFonts w:ascii="Arial;sans-serif" w:hAnsi="Arial;sans-serif"/>
          <w:b w:val="false"/>
          <w:color w:val="000000"/>
          <w:sz w:val="13"/>
        </w:rPr>
        <w:t>(a)</w:t>
      </w:r>
      <w:r>
        <w:rPr>
          <w:rFonts w:ascii="Times New Roman;sans-serif" w:hAnsi="Times New Roman;sans-serif"/>
          <w:b w:val="false"/>
          <w:color w:val="000000"/>
          <w:sz w:val="20"/>
        </w:rPr>
        <w:t>For the six months ended June 30, 2023, charges include an intangible asset charge of approximately $32.0 million related to the potential divestiture of the Upjohn Distributor Markets to write down the disposal group to fair value, less cost to sell. Also includes amortization of the step-up in the fair value of inventory related to the Oyster Point acquisition of approximately $7.3 million and $14.7 million, for the three and six months ended June 30, 2023, respectively.</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(b)</w:t>
      </w:r>
      <w:r>
        <w:rPr>
          <w:rFonts w:ascii="Times New Roman;sans-serif" w:hAnsi="Times New Roman;sans-serif"/>
          <w:b w:val="false"/>
          <w:color w:val="000000"/>
          <w:sz w:val="20"/>
        </w:rPr>
        <w:t xml:space="preserve">Acquisition and divestiture related costs consist primarily of transaction costs including legal and consulting fees and integration activities. </w:t>
      </w:r>
    </w:p>
    <w:p>
      <w:pPr>
        <w:pStyle w:val="TextBody"/>
        <w:bidi w:val="0"/>
        <w:spacing w:lineRule="auto" w:line="288" w:before="0" w:after="60"/>
        <w:ind w:left="0" w:right="0" w:hanging="360"/>
        <w:jc w:val="both"/>
        <w:rPr/>
      </w:pPr>
      <w:r>
        <w:rPr>
          <w:rFonts w:ascii="Arial;sans-serif" w:hAnsi="Arial;sans-serif"/>
          <w:b w:val="false"/>
          <w:color w:val="000000"/>
          <w:sz w:val="13"/>
        </w:rPr>
        <w:t>(c)</w:t>
      </w:r>
      <w:r>
        <w:rPr>
          <w:rFonts w:ascii="Times New Roman;sans-serif" w:hAnsi="Times New Roman;sans-serif"/>
          <w:b w:val="false"/>
          <w:color w:val="000000"/>
          <w:sz w:val="20"/>
        </w:rPr>
        <w:t xml:space="preserve">For the three and six months ended June 30, 2023, charges include approximately $68.9 million and $79.8 million, respectively, in cost of sales and approximately $5.2 million and $4.0 million, respectively, in SG&amp;A. Refer to Note 15 </w:t>
      </w:r>
      <w:r>
        <w:rPr>
          <w:rFonts w:ascii="Times New Roman;sans-serif" w:hAnsi="Times New Roman;sans-serif"/>
          <w:b w:val="false"/>
          <w:i/>
          <w:color w:val="000000"/>
          <w:sz w:val="20"/>
        </w:rPr>
        <w:t>Restructuring</w:t>
      </w:r>
      <w:r>
        <w:rPr>
          <w:color w:val="000000"/>
        </w:rPr>
        <w:t xml:space="preserve"> </w:t>
      </w:r>
      <w:r>
        <w:rPr>
          <w:rFonts w:ascii="Times New Roman;sans-serif" w:hAnsi="Times New Roman;sans-serif"/>
          <w:b w:val="false"/>
          <w:color w:val="000000"/>
          <w:sz w:val="20"/>
        </w:rPr>
        <w:t>included in Part I, Item 1 of this Form 10-Q for additional information.</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(d)</w:t>
      </w:r>
      <w:r>
        <w:rPr>
          <w:rFonts w:ascii="Times New Roman;sans-serif" w:hAnsi="Times New Roman;sans-serif"/>
          <w:b w:val="false"/>
          <w:color w:val="000000"/>
          <w:sz w:val="20"/>
        </w:rPr>
        <w:t>For the three and six months ended June 30, 2023, charges include incremental manufacturing variances at plants in the 2020 restructuring program of approximately $12.9 million and $35.6 million, respectively, and charges related to the potential divestiture of the Upjohn Distributor Markets of approximately $10.0 million and $19.2 million, respectively.</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(e)</w:t>
      </w:r>
      <w:r>
        <w:rPr>
          <w:rFonts w:ascii="Times New Roman;sans-serif" w:hAnsi="Times New Roman;sans-serif"/>
          <w:b w:val="false"/>
          <w:color w:val="000000"/>
          <w:sz w:val="20"/>
        </w:rPr>
        <w:t>For the three months ended June 30, 2023, includes gains of approximately $74.5 million as a result of remeasuring our non-marketable equity investments to fair value, including our equity interest in Mapi and the CCPS in Biocon Biologics. For the six months ended June 30, 2023, includes gains of approximately $96.0 million as a result of remeasuring our non-marketable equity investments to fair value, including our equity interests in Mapi and Famy Life Sciences and the CCPS in Biocon Biologics.</w:t>
      </w:r>
    </w:p>
    <w:p>
      <w:pPr>
        <w:pStyle w:val="TextBody"/>
        <w:bidi w:val="0"/>
        <w:spacing w:lineRule="auto" w:line="288" w:before="0" w:after="240"/>
        <w:ind w:left="0" w:right="0" w:hanging="360"/>
        <w:jc w:val="both"/>
        <w:rPr/>
      </w:pPr>
      <w:r>
        <w:rPr>
          <w:rFonts w:ascii="Times New Roman;sans-serif" w:hAnsi="Times New Roman;sans-serif"/>
          <w:b w:val="false"/>
          <w:color w:val="000000"/>
          <w:sz w:val="13"/>
        </w:rPr>
        <w:t>(f)</w:t>
      </w:r>
      <w:r>
        <w:rPr>
          <w:rFonts w:ascii="Times New Roman;sans-serif" w:hAnsi="Times New Roman;sans-serif"/>
          <w:b w:val="false"/>
          <w:color w:val="000000"/>
          <w:sz w:val="20"/>
        </w:rPr>
        <w:t xml:space="preserve">Adjusted for changes for uncertain tax positions.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160"/>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Reconciliation of U.S. GAAP Net Earnings to EBITDA and Adjusted EBITDA</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reconciliation of U.S. GAAP net earnings to EBITDA and adjusted EBITDA for the three and six months ended June 30, 2023 compared to the prior year period:</w:t>
      </w:r>
    </w:p>
    <w:tbl>
      <w:tblPr>
        <w:tblW w:w="10205" w:type="dxa"/>
        <w:jc w:val="left"/>
        <w:tblInd w:w="0" w:type="dxa"/>
        <w:tblLayout w:type="fixed"/>
        <w:tblCellMar>
          <w:top w:w="28" w:type="dxa"/>
          <w:left w:w="28" w:type="dxa"/>
          <w:bottom w:w="28" w:type="dxa"/>
          <w:right w:w="28" w:type="dxa"/>
        </w:tblCellMar>
      </w:tblPr>
      <w:tblGrid>
        <w:gridCol w:w="1859"/>
        <w:gridCol w:w="1487"/>
        <w:gridCol w:w="1487"/>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185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 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adjustments: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contribution attributable to equity method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w:t>
            </w:r>
            <w:r>
              <w:rPr>
                <w:rFonts w:ascii="Times New Roman;sans-serif" w:hAnsi="Times New Roman;sans-serif"/>
                <w:b w:val="false"/>
                <w:color w:val="000000"/>
                <w:sz w:val="13"/>
              </w:rPr>
              <w:t>(a)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Depreciation and amortization </w:t>
            </w:r>
            <w:r>
              <w:rPr>
                <w:rFonts w:ascii="Times New Roman;sans-serif" w:hAnsi="Times New Roman;sans-serif"/>
                <w:b w:val="false"/>
                <w:color w:val="000000"/>
                <w:sz w:val="13"/>
              </w:rPr>
              <w:t>(b)</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 (deduct) adjustments: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other contingencies,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Restructuring, acquisition and divestiture related and other special items </w:t>
            </w:r>
            <w:r>
              <w:rPr>
                <w:rFonts w:ascii="Times New Roman;sans-serif" w:hAnsi="Times New Roman;sans-serif"/>
                <w:b w:val="false"/>
                <w:color w:val="000000"/>
                <w:sz w:val="13"/>
              </w:rPr>
              <w:t>(c)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(a)    </w:t>
      </w:r>
      <w:r>
        <w:rPr>
          <w:rFonts w:ascii="Times New Roman;sans-serif" w:hAnsi="Times New Roman;sans-serif"/>
          <w:b w:val="false"/>
          <w:color w:val="000000"/>
          <w:sz w:val="20"/>
        </w:rPr>
        <w:t>Includes amortization of premiums and discounts on long-term debt.</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(b)    </w:t>
      </w:r>
      <w:r>
        <w:rPr>
          <w:rFonts w:ascii="Times New Roman;sans-serif" w:hAnsi="Times New Roman;sans-serif"/>
          <w:b w:val="false"/>
          <w:color w:val="000000"/>
          <w:sz w:val="20"/>
        </w:rPr>
        <w:t>Includes purchase accounting related amortization.</w:t>
      </w:r>
    </w:p>
    <w:p>
      <w:pPr>
        <w:pStyle w:val="TextBody"/>
        <w:bidi w:val="0"/>
        <w:spacing w:lineRule="auto" w:line="288" w:before="0" w:after="60"/>
        <w:ind w:left="0" w:right="0" w:hanging="360"/>
        <w:jc w:val="both"/>
        <w:rPr/>
      </w:pPr>
      <w:r>
        <w:rPr>
          <w:rFonts w:ascii="Times New Roman;sans-serif" w:hAnsi="Times New Roman;sans-serif"/>
          <w:b w:val="false"/>
          <w:color w:val="000000"/>
          <w:sz w:val="13"/>
        </w:rPr>
        <w:t>(c)    </w:t>
      </w:r>
      <w:r>
        <w:rPr>
          <w:rFonts w:ascii="Times New Roman;sans-serif" w:hAnsi="Times New Roman;sans-serif"/>
          <w:b w:val="false"/>
          <w:color w:val="000000"/>
          <w:sz w:val="20"/>
        </w:rPr>
        <w:t>See items detailed in the Reconciliation of U.S. GAAP Net Earnings to Adjusted Net Earnings.</w:t>
      </w:r>
    </w:p>
    <w:p>
      <w:pPr>
        <w:pStyle w:val="TextBody"/>
        <w:bidi w:val="0"/>
        <w:spacing w:before="0" w:after="24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 of liquidity is net cash provided by operating activities, which was $1.49 billion for the six months ended June 30, 2023. We believe that net cash provided by operating activities and available liquidity will continue to allow us to meet our needs for working capital, capital expenditures, interest and principal payments on debt obligations, and dividend payments.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by $454.9 million to $1.49 billion for the six months ended June 30, 2023, as compared to net cash provided by operating activities of $1.94 billion for the six months ended June 30, 2022. Net cash provided by operating activities is derived from net earnings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net cash provided by operating activities was principally due to lower operating earnings, including as a result of the disposition of the biosimilars business in November 2022, and the timing of cash payments and collections. </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$826.1 million for the six months ended June 30, 2023, as compared to $149.0 million for the six months ended June 30, 2022, an increase of $677.1 million.</w:t>
      </w:r>
    </w:p>
    <w:p>
      <w:pPr>
        <w:pStyle w:val="TextBody"/>
        <w:bidi w:val="0"/>
        <w:spacing w:lineRule="auto" w:line="288" w:before="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 2023, significant items in investing activities included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cash paid for acquisitions, net of cash acquired, of $667.7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capital expenditures, primarily for equipment and facilities, totaling approximately $115.6 million. While there can be no assurance that current expectations will be realized, capital expenditures for the 2023 calendar year are expected to be approximately $400 million to $500 million.</w:t>
      </w:r>
    </w:p>
    <w:p>
      <w:pPr>
        <w:pStyle w:val="TextBody"/>
        <w:bidi w:val="0"/>
        <w:spacing w:lineRule="auto" w:line="288" w:before="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 2022, significant items in investing activities included the following:</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 xml:space="preserve">capital expenditures, primarily for equipment and facilities, totaling approximately $148.4 million. </w:t>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$1.28 billion for the six months ended June 30, 2023, as compared to $1.79 billion for the six months ended June 30, 2022, a decrease of $510.4 million.</w:t>
      </w:r>
    </w:p>
    <w:p>
      <w:pPr>
        <w:pStyle w:val="TextBody"/>
        <w:bidi w:val="0"/>
        <w:spacing w:lineRule="auto" w:line="288" w:before="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 2023, significant items in financing activities included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repayment of the 3.125% Senior Notes at maturity of approximately $750.0 million;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share repurchases of $250.0 million;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net short-term borrowings of $23.1 million;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cash dividends paid of $287.7 million;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net cash of $33.2 million collected on behalf of other partners, which is included in Other items, net.</w:t>
      </w:r>
    </w:p>
    <w:p>
      <w:pPr>
        <w:pStyle w:val="TextBody"/>
        <w:bidi w:val="0"/>
        <w:spacing w:lineRule="auto" w:line="288" w:before="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 2022, significant items in financing activities included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long-term debt payments of approximately $1.79 billion consisting of the repayment of the 0.816% Euro Senior Notes due 2022 and the 1.125% Senior Notes due 2022;</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long-term debt borrowings of $795.4 million primarily consisting of Revolving Facility borrowings;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net repayments of short-term borrowings of $473.5 million; and</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cash dividends paid of $290.6 million.</w:t>
      </w:r>
    </w:p>
    <w:p>
      <w:pPr>
        <w:pStyle w:val="TextBody"/>
        <w:bidi w:val="0"/>
        <w:spacing w:lineRule="auto" w:line="288" w:before="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Resources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totaled $629.2 million at June 30, 2023, and the majority of these funds are held by our non-U.S. subsidiaries. In order to support our global operations, the majority of our cash and cash equivalents are held within the banking system with the majority of this at Global Systemically Important Banks. We monitor the third-party depository institutions that hold our cash and cash equivalents on a regular basis. Our primary emphasis is on the safety of the principal. Where possible, we diversify our cash and cash equivalents among counterparties to minimize exposure to any one counterparty. The Company anticipates having sufficient liquidity, including existing borrowing capacity under the Revolving Facility, Commercial Paper Program and the Receivables Facility and the Note Securitization Facility combined with cash to be generated from operations, to fund foreseeable cash needs without requiring the repatriation of non-U.S. cash.</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access to $4.0 billion under the Revolving Facility which matures in July 2026. Effective April 28, 2023, we executed an amendment to the Revolving Facility to convert the benchmark interest rate from LIBOR to an adjusted SOFR, with no change in the applicable interest rate margins. Up to $1.65 billion of the Revolving Facility may be used to support borrowings under our Commercial Paper Program. As of June 30, 2023, the Company did not have any borrowings outstanding under the Commercial Paper Program and the Revolving Facility.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$400 million Receivables Facility which expires in April 2025, and a $200 million Note Securitization Facility which expires in August 2023. As of June 30, 2023, the Company did not have any borrowings outstanding under the Receivables Facility or the Note Securitization Facility. 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Amounts outstanding under either facility are included as a component of short-term borrowings, while the accounts receivable securing these obligations remain as a component of accounts receivable, net, in our condensed consolidated balance sheets. In addition, the agreements governing the Receivables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Facility and Note Securitization Facility contain various customary affirmative and negative covenants, and customary default and termination provisions.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$188.2 million and $34.7 million of accounts receivable as of June 30, 2023 and December 31, 2022 under these factoring arrangements, respectively.</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Company has certain voluntary supply chain finance programs with financial intermediaries which provide participating suppliers the option to be paid by the intermediary earlier than the original invoice due date. The Company’s responsibility is limited to making payments on the terms originally negotiated with the suppliers, regardless of whether the intermediary pays the supplier in advance of the original due date. The range of payment terms the Company negotiates with suppliers are consistent, regardless of whether a supplier participates in a supply chain finance program. The total amounts due to financial intermediaries to settle supplier invoices under supply chain finance programs as of June 30, 2023 and December 31, 2022 were $55.6 million and $33.4 million, respectively. These amounts are included within </w:t>
      </w:r>
      <w:r>
        <w:rPr>
          <w:rFonts w:ascii="Times New Roman;sans-serif" w:hAnsi="Times New Roman;sans-serif"/>
          <w:b w:val="false"/>
          <w:i/>
          <w:color w:val="000000"/>
          <w:sz w:val="20"/>
        </w:rPr>
        <w:t>Accounts payable</w:t>
      </w:r>
      <w:r>
        <w:rPr>
          <w:color w:val="000000"/>
        </w:rPr>
        <w:t xml:space="preserve"> </w:t>
      </w:r>
      <w:r>
        <w:rPr>
          <w:rFonts w:ascii="Times New Roman;sans-serif" w:hAnsi="Times New Roman;sans-serif"/>
          <w:b w:val="false"/>
          <w:color w:val="000000"/>
          <w:sz w:val="20"/>
        </w:rPr>
        <w:t>in the condensed consolidated balance sheets.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For information regarding our dividends paid and declared, refer to Note 9 </w:t>
      </w:r>
      <w:r>
        <w:rPr>
          <w:rFonts w:ascii="Times New Roman;sans-serif" w:hAnsi="Times New Roman;sans-serif"/>
          <w:b w:val="false"/>
          <w:i/>
          <w:color w:val="000000"/>
          <w:sz w:val="20"/>
        </w:rPr>
        <w:t xml:space="preserve">Earnings per Share </w:t>
      </w:r>
      <w:r>
        <w:rPr>
          <w:rFonts w:ascii="Times New Roman;sans-serif" w:hAnsi="Times New Roman;sans-serif"/>
          <w:b w:val="false"/>
          <w:color w:val="000000"/>
          <w:sz w:val="20"/>
        </w:rPr>
        <w:t>in Part I, Item 1 of this Form 10-Q.</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create, enhance or otherwise unlock the value of the Company’s unique global platform in order to create shareholder value.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the Company provided an update on the strategic priorities announced in February 2022, including identifying the following businesses no longer considered core to its future strategy that the Company intends to divest: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OTC;</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API (while retaining some selective development API capabilities);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Women’s health care, primarily related to our oral and injectable contraceptives. This does not include all of our women’s health care related products; as an example, our Xulane® product in the U.S. is excluded;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Upjohn Distributor Markets.</w:t>
      </w:r>
    </w:p>
    <w:p>
      <w:pPr>
        <w:pStyle w:val="TextBody"/>
        <w:bidi w:val="0"/>
        <w:spacing w:before="0" w:after="0"/>
        <w:jc w:val="left"/>
        <w:rPr/>
      </w:pPr>
      <w:r>
        <w:rPr/>
      </w:r>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Long-term Debt Maturity</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For information regarding our debt agreements and mandatory minimum repayments remaining on the outstanding notional amount of long-term debt at June 30, 2023, refer to Note 12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in Part I, Item 1 of this Form 10-Q.</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YEN Term Loan Facility and the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3.75 to 1.00 for the quarter ended March 31, 2023 and each quarter ending thereafter,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 compliance with its covenants at June 30, 2023 and expects to remain in compliance for the next twelve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Supplemental Guarantor Financial Information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Viatris Inc. is the issuer of the Registered Upjohn Notes, which are fully and unconditionally guaranteed on a senior unsecured basis by Mylan Inc., Mylan II B.V. and Utah Acquisition Sub Inc.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Combination, Utah Acquisition Sub Inc. is the issuer of the Utah U.S. Dollar Notes, which are fully and unconditionally guaranteed on a senior unsecured basis by Mylan Inc., Viatris Inc. and Mylan II B.V.</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Mylan Inc. is the issuer of the Mylan Inc. U.S. Dollar Notes, which are fully and unconditionally guaranteed on a senior unsecured basis by Mylan II B.V., Viatris Inc. and Utah Acquisition Sub Inc.</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Registered Upjohn Notes.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in amount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unaudited summarized financial information of Viatris Inc., Mylan Inc., Utah Acquisition Sub Inc., and Mylan II B.V. on a combined basis as of and for the six months ended June 30, 2023 and as of and for the year ended December 31, 2022. All intercompany balances have been eliminated in consolidation. This unaudited combined summarized financial information is presented utilizing the equity method of accounting.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75"/>
        <w:gridCol w:w="767"/>
        <w:gridCol w:w="723"/>
        <w:gridCol w:w="742"/>
        <w:gridCol w:w="2147"/>
        <w:gridCol w:w="380"/>
        <w:gridCol w:w="380"/>
        <w:gridCol w:w="380"/>
        <w:gridCol w:w="380"/>
        <w:gridCol w:w="742"/>
        <w:gridCol w:w="2147"/>
        <w:gridCol w:w="542"/>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0"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Combined Summarized Balance Sheet Information of Viatris Inc., Mylan Inc., Utah Acquisition Sub Inc. and Mylan II B.V. </w:t>
            </w:r>
          </w:p>
        </w:tc>
      </w:tr>
      <w:tr>
        <w:trPr/>
        <w:tc>
          <w:tcPr>
            <w:tcW w:w="2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2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62,097.7 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61,972.6 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26,541.1 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26,631.5 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2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15,231.4 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15,265.2 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5"/>
        <w:gridCol w:w="549"/>
        <w:gridCol w:w="540"/>
        <w:gridCol w:w="980"/>
        <w:gridCol w:w="1885"/>
        <w:gridCol w:w="505"/>
        <w:gridCol w:w="505"/>
        <w:gridCol w:w="505"/>
        <w:gridCol w:w="505"/>
        <w:gridCol w:w="998"/>
        <w:gridCol w:w="1885"/>
        <w:gridCol w:w="723"/>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1"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Combined Summarized Income Statement Information of Viatris Inc., Mylan Inc., Utah Acquisition Sub Inc. and Mylan II B.V. </w:t>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millions)</w:t>
            </w:r>
          </w:p>
        </w:tc>
        <w:tc>
          <w:tcPr>
            <w:tcW w:w="3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(1,132.4)</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Commitments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$180.7 million accrued for legal contingencies at June 30, 2023.</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Combination, Viatris entered into a TSA with Pfizer pursuant to which each party will provide certain limited transition services to the other party generally for an initial period of 24 months from the closing date of the Combination. In addition to the monthly service fees under the TSA, Viatris agreed to reimburse Pfizer for fifty percent of the costs, up to the first $380 million incurred, to establish and wind down the TSA services. Viatris will be required to fully reimburse Pfizer for total costs in excess of $380 million. During the three and six months ended June 30, 2023, the Company incurred approximately $1.0 million and $4.7 million, respectively, related to this provision of the TSA and approximately $142.7 million during the period beginning on the closing date of the Combination and ended June 30, 2023. We expect to incur future costs related to the completion of the services. As of December 31, 2022, the Company has exited substantially all transition services with Pfizer.</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Biocon Biologics Transaction, Viatris and Biocon Biologics also entered an agreement pursuant to which Viatris is providing commercialization and certain other transition services on behalf of Biocon Biologics, including billings, collections, and the remittance of rebates, to ensure business continuity for patients, customers and colleagues. The original term of the transition services agreement was generally up to two years; however, the parties agreed to reduce the term of the transition services agreement to expire on December 31, 2023, subject to early termination of services at the discretion at Biocon Biologics and/or extensions until April 30, 2024 for certain services. Under the transition services agreement, Viatris is entitled to be reimbursed for its costs (subject to certain caps) plus a markup of $44 million for 2023. In the event services are provided after 2023 through April 30, 2024, Viatris is entitled to be reimbursed for its costs plus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jc w:val="left"/>
        <w:rPr/>
      </w:pPr>
      <w:r>
        <w:rPr>
          <w:rFonts w:ascii="Times New Roman;sans-serif" w:hAnsi="Times New Roman;sans-serif"/>
          <w:b w:val="false"/>
          <w:color w:val="000000"/>
          <w:sz w:val="20"/>
        </w:rPr>
        <w:t xml:space="preserve">based markups for such period. During the three and six months ended June 30, 2023, the Company recognized TSA income of approximately $46.9 million and $92.6 million, respectively, as a component of </w:t>
      </w:r>
      <w:r>
        <w:rPr>
          <w:rFonts w:ascii="Times New Roman;sans-serif" w:hAnsi="Times New Roman;sans-serif"/>
          <w:b w:val="false"/>
          <w:i/>
          <w:color w:val="000000"/>
          <w:sz w:val="20"/>
        </w:rPr>
        <w:t>Other (Income) Expense, Net</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Application of Critical Accounting Policies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Critical Accounting Policies disclosed in Viatris’ 2022 Form 10-K. The following discussion supplements our Critical Accounting Policy for Acquisitions, Intangible Assets, Goodwill and Contingent Consideration as it relates to the annual goodwill impairment test performed as of April 1, 2023.</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its annual goodwill impairment test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compared to the prior year’s annual goodwill impairment test completed on April 1, 2022, the Company has experienced significant fluctuations in foreign exchange rates in certain international markets, combined with a significant increase in market interest rates. These market factors have caused the discount rate utilized in all our reporting units to increase between 1.0% to 4.5%, resulting in a significant reduction in the calculated fair values at April 1, 2023 for all our reporting units. Also, in conjunction with the Company’s annual strategic planning process which included determining long-term growth rate targets for our business, operational results during the forecast period were reduced and long-term growth rates were increased. As a result of these changes, the calculated fair values of the North America, Greater China and Europe reporting units declined in excess of 10% and the JANZ and Emerging Markets reporting units declined in excess of 15% when compared to the prior year fair values.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1, 2023, the allocation of the Company’s total goodwill was as follows: North America $3.15 billion, Europe $4.47 billion, Emerging Markets $1.34 billion, JANZ $0.68 billion and Greater China $0.94 billion.</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2023, the Company determined that the fair value of the North America and Greater China reporting units was substantially in excess of the respective unit’s carrying value.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Europe reporting unit, the estimated fair value exceeded its carrying value by approximately $535 million or 3.9% for the annual goodwill impairment test. As it relates to the discounted cash flow approach for the Europe reporting unit at April 1, 2023, the Company forecasted cash flows for the next 10 years. During the forecast period, the revenue compound annual growth rate was approximately 2.4%. A terminal year value was calculated with a 2.0% revenue growth rate applied. The discount rate utilized was 11.0% and the estimated tax rate was 14.9%. If all other assumptions are held constant, a reduction in the terminal value growth rate by 1.0% or an increase in discount rate by 0.5% would result in an impairment charge for the Europe reporting unit.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JANZ reporting unit, the estimated fair value exceeded its carrying value by approximately $145 million or 5.5% for the annual goodwill impairment test. As it relates to the discounted cash flow approach for the JANZ reporting unit at April 1, 2023, the Company forecasted cash flows for the next 10 years. During the forecast period, the revenue compound annual growth rate was approximately negative 2.0%. A terminal year value was calculated with a 1.5% revenue growth rate applied. The discount rate utilized was 7.0% and the estimated tax rate was 30.6%. If all other assumptions are held constant, a reduction in the terminal value growth rate by 0.5% or an increase in discount rate by 0.5% would result in an impairment charge for the JANZ reporting unit.</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Emerging Markets reporting unit, the estimated fair value exceeded its carrying value by approximately $513 million or 7.7% for the annual goodwill impairment test. As it relates to the discounted cash flow approach for the Emerging Markets reporting unit at April 1, 2023, the Company forecasted cash flows for the next 10 years. During the forecast period, the revenue compound annual growth rate was approximately 1.8%. A terminal year value was calculated with a 2.0% revenue growth rate applied. The discount rate utilized was 11.5% and the estimated tax rate was 17.4%. If all other assumptions are held constant, a reduction in the terminal value growth rate by 2.5% or an increase in discount rate by 1.0% would result in an impairment charge for the Emerging Markets reporting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ans-serif" w:hAnsi="Times New Roman;sans-serif"/>
          <w:b/>
          <w:color w:val="000000"/>
          <w:sz w:val="20"/>
        </w:rPr>
        <w:t>ITEM 3.    </w:t>
      </w:r>
      <w:r>
        <w:rPr>
          <w:rFonts w:ascii="Times New Roman;sans-serif" w:hAnsi="Times New Roman;sans-serif"/>
          <w:b/>
          <w:i/>
          <w:color w:val="000000"/>
          <w:sz w:val="20"/>
        </w:rPr>
        <w:t>QUANTITATIVE AND QUALITATIVE DISCLOSURES ABOUT MARKET RISK</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the Company’s market risk, see “Item 7A. Quantitative and Qualitative Disclosures about Market Risk” in Viatris’ 2022 Form 10-K.</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ans-serif" w:hAnsi="Times New Roman;sans-serif"/>
          <w:b/>
          <w:color w:val="000000"/>
          <w:sz w:val="20"/>
        </w:rPr>
        <w:t>ITEM 4.    </w:t>
      </w:r>
      <w:r>
        <w:rPr>
          <w:rFonts w:ascii="Times New Roman;sans-serif" w:hAnsi="Times New Roman;sans-serif"/>
          <w:b/>
          <w:i/>
          <w:color w:val="000000"/>
          <w:sz w:val="20"/>
        </w:rPr>
        <w:t>CONTROLS AND PROCEDURES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June 30, 2023. Based upon that evaluation, the Principal Executive Officer and the Principal Financial Officer concluded that the Company’s disclosure controls and procedures were effective. </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not identified any changes in the Company’s internal control over financial reporting (“ICFR”) that occurred during the second quarter of 2023 that have materially affected, or are reasonably likely to materially affect, the Company’s ICFR.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ans-serif" w:hAnsi="Times New Roman;sans-serif"/>
          <w:b/>
          <w:color w:val="000000"/>
          <w:sz w:val="20"/>
        </w:rPr>
        <w:t>ITEM 1.    </w:t>
      </w:r>
      <w:r>
        <w:rPr>
          <w:rFonts w:ascii="Times New Roman;sans-serif" w:hAnsi="Times New Roman;sans-serif"/>
          <w:b/>
          <w:i/>
          <w:color w:val="000000"/>
          <w:sz w:val="20"/>
        </w:rPr>
        <w:t>LEGAL PROCEEDINGS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For information regarding legal proceedings, refer to Note 18 </w:t>
      </w:r>
      <w:r>
        <w:rPr>
          <w:rFonts w:ascii="Times New Roman;sans-serif" w:hAnsi="Times New Roman;sans-serif"/>
          <w:b w:val="false"/>
          <w:i/>
          <w:color w:val="000000"/>
          <w:sz w:val="20"/>
        </w:rPr>
        <w:t>Litigation</w:t>
      </w:r>
      <w:r>
        <w:rPr>
          <w:rFonts w:ascii="Times New Roman;sans-serif" w:hAnsi="Times New Roman;sans-serif"/>
          <w:b w:val="false"/>
          <w:color w:val="000000"/>
          <w:sz w:val="20"/>
        </w:rPr>
        <w:t>, in the accompanying Notes to interim financial statements in this Form 10-Q.</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i/>
          <w:color w:val="000000"/>
          <w:sz w:val="20"/>
        </w:rPr>
        <w:t>RISK FACTORS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Company’s risk factors from those disclosed in Viatris’ 2022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UNREGISTERED SALES OF EQUITY SECURITIES AND USE OF PROCEEDS</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There were no repurchases of the Company’s common stock during the three months ended June 30, 2023. Refer to Part I, Item 2. </w:t>
      </w:r>
      <w:r>
        <w:rPr>
          <w:rFonts w:ascii="Times New Roman;sans-serif" w:hAnsi="Times New Roman;sans-serif"/>
          <w:b w:val="false"/>
          <w:i/>
          <w:color w:val="000000"/>
          <w:sz w:val="20"/>
        </w:rPr>
        <w:t>Management’s Discussion and Analysis of Financial Condition and Results of Operations– Recent Developments</w:t>
      </w:r>
      <w:r>
        <w:rPr>
          <w:color w:val="000000"/>
        </w:rPr>
        <w:t xml:space="preserve"> </w:t>
      </w:r>
      <w:r>
        <w:rPr>
          <w:rFonts w:ascii="Times New Roman;sans-serif" w:hAnsi="Times New Roman;sans-serif"/>
          <w:b w:val="false"/>
          <w:color w:val="000000"/>
          <w:sz w:val="20"/>
        </w:rPr>
        <w:t>of this Form 10-Q for additional information regarding the Company’s authorized share repurchase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i/>
          <w:color w:val="000000"/>
          <w:sz w:val="20"/>
        </w:rPr>
        <w:t>OTHER INFORMATION</w:t>
      </w:r>
    </w:p>
    <w:p>
      <w:pPr>
        <w:pStyle w:val="TextBody"/>
        <w:bidi w:val="0"/>
        <w:spacing w:lineRule="auto" w:line="26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Trading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15, 2023, Andrew Cuneo, President, JANZ and Emerging Markets, adopted a written plan intended to satisfy the affirmative defense conditions of Rule 10b5-1(c) of the Exchange Act. The plan provides for the sale of up to 20,000 shares of the Company’s common stock until all such shares are sold or June 7, 2024, whichever comes first.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0"/>
        <w:gridCol w:w="193"/>
        <w:gridCol w:w="193"/>
        <w:gridCol w:w="2828"/>
        <w:gridCol w:w="2782"/>
        <w:gridCol w:w="3989"/>
      </w:tblGrid>
      <w:tr>
        <w:trPr/>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398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ITEM 6. </w:t>
            </w:r>
            <w:r>
              <w:rPr>
                <w:rFonts w:ascii="Times New Roman;sans-serif" w:hAnsi="Times New Roman;sans-serif"/>
                <w:b/>
                <w:i/>
                <w:color w:val="000000"/>
                <w:sz w:val="20"/>
              </w:rPr>
              <w:t>EXHIBITS</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21xvtrsx20230630.htm">
              <w:r>
                <w:rPr>
                  <w:rStyle w:val="InternetLink"/>
                  <w:rFonts w:ascii="Times New Roman;sans-serif" w:hAnsi="Times New Roman;sans-serif"/>
                  <w:b w:val="false"/>
                  <w:color w:val="0000FF"/>
                  <w:sz w:val="20"/>
                  <w:u w:val="single"/>
                </w:rPr>
                <w:t>2.1</w:t>
              </w:r>
            </w:hyperlink>
          </w:p>
        </w:tc>
        <w:tc>
          <w:tcPr>
            <w:tcW w:w="9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Omnibus Amendment No. 1, effective as of May 17, 2023, by and among Viatris Inc., Biocon Biologics UK Limited, Biosimilar Collaborations Ireland Limited, Biosimilars Newco Limited, and Biocon Biologics Limited.</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10.1</w:t>
              </w:r>
            </w:hyperlink>
          </w:p>
        </w:tc>
        <w:tc>
          <w:tcPr>
            <w:tcW w:w="9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 Transition Amendment, dated as of April 28, 2023, to the Amended and Restated Revolving Credit Agreement, dated as of July 1, 2021, among Viatris Inc., the guarantors from time to time party thereto, the lenders and issuing banks from time to time party thereto and Bank of America, N.A., as administrative agent, filed by Viatris Inc. as Exhibit 10.4 to the Form 10-Q for the quarter ended March 31, 2023, and incorporated herein by reference.^</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102xvtrsx20230630.htm">
              <w:r>
                <w:rPr>
                  <w:rStyle w:val="InternetLink"/>
                  <w:rFonts w:ascii="Times New Roman;sans-serif" w:hAnsi="Times New Roman;sans-serif"/>
                  <w:b w:val="false"/>
                  <w:color w:val="0000FF"/>
                  <w:sz w:val="20"/>
                  <w:u w:val="single"/>
                </w:rPr>
                <w:t>10.2</w:t>
              </w:r>
            </w:hyperlink>
          </w:p>
        </w:tc>
        <w:tc>
          <w:tcPr>
            <w:tcW w:w="9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and Advisory Agreement and Release, dated May 19, 2023, by and between Viatris Inc. and Robert J. Coury.*</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22</w:t>
              </w:r>
            </w:hyperlink>
          </w:p>
        </w:tc>
        <w:tc>
          <w:tcPr>
            <w:tcW w:w="9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subsidiary guarantors and issuers of guaranteed securities, filed by Viatris Inc. as Exhibit 22 to the Form 10-Q for the quarter ended March 31, 2023, and incorporated herein by reference.</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11xvtrsx20230630.htm">
              <w:r>
                <w:rPr>
                  <w:rStyle w:val="InternetLink"/>
                  <w:rFonts w:ascii="Times New Roman;sans-serif" w:hAnsi="Times New Roman;sans-serif"/>
                  <w:b w:val="false"/>
                  <w:color w:val="0000FF"/>
                  <w:sz w:val="20"/>
                  <w:u w:val="single"/>
                </w:rPr>
                <w:t>31.1</w:t>
              </w:r>
            </w:hyperlink>
          </w:p>
        </w:tc>
        <w:tc>
          <w:tcPr>
            <w:tcW w:w="9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Section 302 of the Sarbanes-Oxley Act of 2002.</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12xvtrsx20230630.htm">
              <w:r>
                <w:rPr>
                  <w:rStyle w:val="InternetLink"/>
                  <w:rFonts w:ascii="Times New Roman;sans-serif" w:hAnsi="Times New Roman;sans-serif"/>
                  <w:b w:val="false"/>
                  <w:color w:val="0000FF"/>
                  <w:sz w:val="20"/>
                  <w:u w:val="single"/>
                </w:rPr>
                <w:t>31.2</w:t>
              </w:r>
            </w:hyperlink>
          </w:p>
        </w:tc>
        <w:tc>
          <w:tcPr>
            <w:tcW w:w="9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Section 302 of the Sarbanes-Oxley Act of 2002.</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2xvtrsx20230630.htm">
              <w:r>
                <w:rPr>
                  <w:rStyle w:val="InternetLink"/>
                  <w:rFonts w:ascii="Times New Roman;sans-serif" w:hAnsi="Times New Roman;sans-serif"/>
                  <w:b w:val="false"/>
                  <w:color w:val="0000FF"/>
                  <w:sz w:val="20"/>
                  <w:u w:val="single"/>
                </w:rPr>
                <w:t>32</w:t>
              </w:r>
            </w:hyperlink>
          </w:p>
        </w:tc>
        <w:tc>
          <w:tcPr>
            <w:tcW w:w="9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and Principal Financial Officer pursuant to Section 906 of the Sarbanes-Oxley Act of 2002.</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Definition Linkbase</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Cover Page Interactive Data File - the cover page interactive data file does not appear in the Interactive Data File because its XBRL tags are embedded within the Inline XBRL document (included in Exhibit 101). </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Denotes management contract or compensatory plan or arrangement.</w:t>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Annexes, schedules and/or exhibits have been omitted pursuant to Item 601(a)(5) of Regulation S-K. Viatris agrees to furnish supplementally a copy of any omitted attachment to the SEC on a confidential basis upon request.</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sz w:val="20"/>
              </w:rPr>
            </w:pPr>
            <w:r>
              <w:rPr>
                <w:rFonts w:ascii="Times New Roman;sans-serif" w:hAnsi="Times New Roman;sans-serif"/>
                <w:b w:val="false"/>
                <w:sz w:val="20"/>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e195bc149d3f47d18f12b686846d891d_4">
        <w:r>
          <w:rPr>
            <w:rStyle w:val="InternetLink"/>
            <w:rFonts w:ascii="Times New Roman;sans-serif" w:hAnsi="Times New Roman;sans-serif"/>
            <w:b/>
            <w:color w:val="0000FF"/>
            <w:sz w:val="16"/>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325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31"/>
        <w:gridCol w:w="731"/>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Viatris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2023</w:t>
      </w:r>
    </w:p>
    <w:tbl>
      <w:tblPr>
        <w:tblW w:w="31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38"/>
        <w:gridCol w:w="738"/>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SANJEEV NARULA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Sanjeev Narula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Exhibit 2.1</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OMNIBUS AMENDMENT NO. 1</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OMNIBUS AMENDMENT NO. 1, effective as of May 17, 2023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is by and among Viatris Inc., a Delaware corporation (“</w:t>
      </w:r>
      <w:r>
        <w:rPr>
          <w:rFonts w:ascii="Times New Roman;sans-serif" w:hAnsi="Times New Roman;sans-serif"/>
          <w:b w:val="false"/>
          <w:color w:val="000000"/>
          <w:sz w:val="24"/>
          <w:u w:val="single"/>
        </w:rPr>
        <w:t>Viatris</w:t>
      </w:r>
      <w:r>
        <w:rPr>
          <w:color w:val="000000"/>
        </w:rPr>
        <w:t>”</w:t>
      </w:r>
      <w:r>
        <w:rPr>
          <w:rFonts w:ascii="Times New Roman;sans-serif" w:hAnsi="Times New Roman;sans-serif"/>
          <w:b w:val="false"/>
          <w:color w:val="000000"/>
          <w:sz w:val="24"/>
        </w:rPr>
        <w:t>), Biocon Biologics UK Limited, a U.K. private limited company (“</w:t>
      </w:r>
      <w:r>
        <w:rPr>
          <w:rFonts w:ascii="Times New Roman;sans-serif" w:hAnsi="Times New Roman;sans-serif"/>
          <w:b w:val="false"/>
          <w:color w:val="000000"/>
          <w:sz w:val="24"/>
          <w:u w:val="single"/>
        </w:rPr>
        <w:t>Biocon UK</w:t>
      </w:r>
      <w:r>
        <w:rPr>
          <w:color w:val="000000"/>
        </w:rPr>
        <w:t>”</w:t>
      </w:r>
      <w:r>
        <w:rPr>
          <w:rFonts w:ascii="Times New Roman;sans-serif" w:hAnsi="Times New Roman;sans-serif"/>
          <w:b w:val="false"/>
          <w:color w:val="000000"/>
          <w:sz w:val="24"/>
        </w:rPr>
        <w:t>), Biosimilar Collaborations Ireland Limited, an Irish private limited company (“</w:t>
      </w:r>
      <w:r>
        <w:rPr>
          <w:rFonts w:ascii="Times New Roman;sans-serif" w:hAnsi="Times New Roman;sans-serif"/>
          <w:b w:val="false"/>
          <w:color w:val="000000"/>
          <w:sz w:val="24"/>
          <w:u w:val="single"/>
        </w:rPr>
        <w:t>Biosimilar Collaborations</w:t>
      </w:r>
      <w:r>
        <w:rPr>
          <w:color w:val="000000"/>
        </w:rPr>
        <w:t>”</w:t>
      </w:r>
      <w:r>
        <w:rPr>
          <w:rFonts w:ascii="Times New Roman;sans-serif" w:hAnsi="Times New Roman;sans-serif"/>
          <w:b w:val="false"/>
          <w:color w:val="000000"/>
          <w:sz w:val="24"/>
        </w:rPr>
        <w:t>), Biosimilars Newco Limited, a U.K. private limited company (“</w:t>
      </w:r>
      <w:r>
        <w:rPr>
          <w:rFonts w:ascii="Times New Roman;sans-serif" w:hAnsi="Times New Roman;sans-serif"/>
          <w:b w:val="false"/>
          <w:color w:val="000000"/>
          <w:sz w:val="24"/>
          <w:u w:val="single"/>
        </w:rPr>
        <w:t>Biosimilars Newco</w:t>
      </w:r>
      <w:r>
        <w:rPr>
          <w:color w:val="000000"/>
        </w:rPr>
        <w:t>”</w:t>
      </w:r>
      <w:r>
        <w:rPr>
          <w:rFonts w:ascii="Times New Roman;sans-serif" w:hAnsi="Times New Roman;sans-serif"/>
          <w:b w:val="false"/>
          <w:color w:val="000000"/>
          <w:sz w:val="24"/>
        </w:rPr>
        <w:t>), and Biocon Biologics Limited, a public limited company incorporated under the Indian Companies Act, 2013 (“</w:t>
      </w:r>
      <w:r>
        <w:rPr>
          <w:rFonts w:ascii="Times New Roman;sans-serif" w:hAnsi="Times New Roman;sans-serif"/>
          <w:b w:val="false"/>
          <w:color w:val="000000"/>
          <w:sz w:val="24"/>
          <w:u w:val="single"/>
        </w:rPr>
        <w:t>Biocon</w:t>
      </w:r>
      <w:r>
        <w:rPr>
          <w:color w:val="000000"/>
        </w:rPr>
        <w:t>”</w:t>
      </w:r>
      <w:r>
        <w:rPr>
          <w:rFonts w:ascii="Times New Roman;sans-serif" w:hAnsi="Times New Roman;sans-serif"/>
          <w:b w:val="false"/>
          <w:color w:val="000000"/>
          <w:sz w:val="24"/>
        </w:rPr>
        <w:t>). Each of the parties hereto is referred to individually as a “</w:t>
      </w:r>
      <w:r>
        <w:rPr>
          <w:rFonts w:ascii="Times New Roman;sans-serif" w:hAnsi="Times New Roman;sans-serif"/>
          <w:b w:val="false"/>
          <w:color w:val="000000"/>
          <w:sz w:val="24"/>
          <w:u w:val="single"/>
        </w:rPr>
        <w:t>Party</w:t>
      </w:r>
      <w:r>
        <w:rPr>
          <w:color w:val="000000"/>
        </w:rPr>
        <w:t xml:space="preserve">” </w:t>
      </w:r>
      <w:r>
        <w:rPr>
          <w:rFonts w:ascii="Times New Roman;sans-serif" w:hAnsi="Times New Roman;sans-serif"/>
          <w:b w:val="false"/>
          <w:color w:val="000000"/>
          <w:sz w:val="24"/>
        </w:rPr>
        <w:t>and collectively as the “</w:t>
      </w:r>
      <w:r>
        <w:rPr>
          <w:rFonts w:ascii="Times New Roman;sans-serif" w:hAnsi="Times New Roman;sans-serif"/>
          <w:b w:val="false"/>
          <w:color w:val="000000"/>
          <w:sz w:val="24"/>
          <w:u w:val="single"/>
        </w:rPr>
        <w:t>Parties</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WHEREAS, Viatris and Biocon are parties to that certain Transaction Agreement, dated as of February 27, 2022, as amended by that certain Amendment No. 1 to Transaction Agreement, dated as of November 28, 2022, by and between Viatris and Biocon (the “</w:t>
      </w:r>
      <w:r>
        <w:rPr>
          <w:rFonts w:ascii="Times New Roman;sans-serif" w:hAnsi="Times New Roman;sans-serif"/>
          <w:b w:val="false"/>
          <w:color w:val="000000"/>
          <w:sz w:val="24"/>
          <w:u w:val="single"/>
        </w:rPr>
        <w:t>Transaction Agreement</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WHEREAS, Viatris and Biocon UK are parties to that certain letter agreement, dated as of February 27, 2022, relating to payments of Closing Working Capital, as amended by that certain Amendment No. 1 to Letter Agreement, dated as of November 29, 2022, by and between Viatris and Biocon UK (the “</w:t>
      </w:r>
      <w:r>
        <w:rPr>
          <w:rFonts w:ascii="Times New Roman;sans-serif" w:hAnsi="Times New Roman;sans-serif"/>
          <w:b w:val="false"/>
          <w:color w:val="000000"/>
          <w:sz w:val="24"/>
          <w:u w:val="single"/>
        </w:rPr>
        <w:t>Working Capital Letter</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WHEREAS, Viatris, Biocon UK, Biosimilar Collaborations, Biosimilars Newco and Biocon are parties to that certain Transition Services Agreement, dated as of November 29, 2022 (the “</w:t>
      </w:r>
      <w:r>
        <w:rPr>
          <w:rFonts w:ascii="Times New Roman;sans-serif" w:hAnsi="Times New Roman;sans-serif"/>
          <w:b w:val="false"/>
          <w:color w:val="000000"/>
          <w:sz w:val="24"/>
          <w:u w:val="single"/>
        </w:rPr>
        <w:t>Transition Services Agreement</w:t>
      </w:r>
      <w:r>
        <w:rPr>
          <w:color w:val="000000"/>
        </w:rPr>
        <w:t xml:space="preserve">” </w:t>
      </w:r>
      <w:r>
        <w:rPr>
          <w:rFonts w:ascii="Times New Roman;sans-serif" w:hAnsi="Times New Roman;sans-serif"/>
          <w:b w:val="false"/>
          <w:color w:val="000000"/>
          <w:sz w:val="24"/>
        </w:rPr>
        <w:t>and, collectively with the Transaction Agreement and the Working Capital Letter, the “</w:t>
      </w:r>
      <w:r>
        <w:rPr>
          <w:rFonts w:ascii="Times New Roman;sans-serif" w:hAnsi="Times New Roman;sans-serif"/>
          <w:b w:val="false"/>
          <w:color w:val="000000"/>
          <w:sz w:val="24"/>
          <w:u w:val="single"/>
        </w:rPr>
        <w:t>Specified Documents</w:t>
      </w:r>
      <w:r>
        <w:rPr>
          <w:color w:val="000000"/>
        </w:rPr>
        <w:t>”</w:t>
      </w:r>
      <w:r>
        <w:rPr>
          <w:rFonts w:ascii="Times New Roman;sans-serif" w:hAnsi="Times New Roman;sans-serif"/>
          <w:b w:val="false"/>
          <w:color w:val="000000"/>
          <w:sz w:val="24"/>
        </w:rPr>
        <w:t>);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desire to amend each of the Specified Documents in accordance with the terms set forth herein.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the representations, warranties, covenants and agreements contained in this Amendment and the Specified Documents, and subject to the conditions set forth herein and therein, the Parties hereby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Capitalized Terms</w:t>
      </w:r>
      <w:r>
        <w:rPr>
          <w:rFonts w:ascii="Times New Roman;sans-serif" w:hAnsi="Times New Roman;sans-serif"/>
          <w:b w:val="false"/>
          <w:color w:val="000000"/>
          <w:sz w:val="24"/>
        </w:rPr>
        <w:t>. Unless otherwise indicated herein, capitalized terms which are used but not otherwise defined herein shall have the respective meanings ascribed to such terms in the Transaction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Amendments to the Transaction Agreement</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(a)Section 1.07(a) of the Transaction Agreement is hereby amended and restated in its entirety: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rPr>
        <w:t xml:space="preserve">(a) if the Adjustment Amount is positive, then Buyer shall cause the Subsidiary Buyer to pay to the Irish Seller and the ROW Acquired Company to pay to the ROW Seller, as applicable (with the allocation between the Irish Seller and the ROW Seller in accordance with </w:t>
      </w:r>
      <w:r>
        <w:rPr>
          <w:rFonts w:ascii="Times New Roman;sans-serif" w:hAnsi="Times New Roman;sans-serif"/>
          <w:b w:val="false"/>
          <w:color w:val="000000"/>
          <w:sz w:val="24"/>
          <w:u w:val="single"/>
        </w:rPr>
        <w:t>Section 1.03</w:t>
      </w:r>
      <w:r>
        <w:rPr>
          <w:color w:val="000000"/>
        </w:rPr>
        <w:t xml:space="preserve"> </w:t>
      </w:r>
      <w:r>
        <w:rPr>
          <w:rFonts w:ascii="Times New Roman;sans-serif" w:hAnsi="Times New Roman;sans-serif"/>
          <w:b w:val="false"/>
          <w:color w:val="000000"/>
          <w:sz w:val="24"/>
        </w:rPr>
        <w:t xml:space="preserve">being designated in writing by Seller Parent within three (3) Business Days after the Binding Closing Statement Date, or, if the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Binding Closing Statement Date occurs prior to March 3, 2023, on or prior to March 3, 2023), by wire transfer of immediately available funds to account(s) designated in writing by Seller Parent within three (3) Business Days after the Binding Closing Statement Date, or, if the Binding Closing Statement Date occurs prior to March 3, 2023, on or prior to March 3, 2023, an amount equal to such Adjustment Amount;”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(b)Section 1.07(b) of the Transaction Agreement is hereby amended and restated in its entirety: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rPr>
        <w:t xml:space="preserve">(b) if the Adjustment Amount is negative, then Seller Parent shall cause the ROW Seller to pay to the ROW Acquired Company and the Irish Seller to pay to the Subsidiary Buyer, as applicable (with the allocation between the Irish Seller and the ROW Seller in accordance with </w:t>
      </w:r>
      <w:r>
        <w:rPr>
          <w:rFonts w:ascii="Times New Roman;sans-serif" w:hAnsi="Times New Roman;sans-serif"/>
          <w:b w:val="false"/>
          <w:color w:val="000000"/>
          <w:sz w:val="24"/>
          <w:u w:val="single"/>
        </w:rPr>
        <w:t>Section 1.03</w:t>
      </w:r>
      <w:r>
        <w:rPr>
          <w:color w:val="000000"/>
        </w:rPr>
        <w:t xml:space="preserve"> </w:t>
      </w:r>
      <w:r>
        <w:rPr>
          <w:rFonts w:ascii="Times New Roman;sans-serif" w:hAnsi="Times New Roman;sans-serif"/>
          <w:b w:val="false"/>
          <w:color w:val="000000"/>
          <w:sz w:val="24"/>
        </w:rPr>
        <w:t>being designated in writing by Seller Parent within three (3) Business Days after the Binding Closing Statement Date, or, if the Binding Closing Statement Date occurs prior to March 3, 2023, on or prior to March 3, 2023), by wire transfer of immediately available funds to an account designated in writing by Buyer within three (3) Business Days after the Binding Closing Statement Date, or, if the Binding Closing Statement Date occurs prior to March 3, 2023, on or prior to March 3, 2023, an amount equal to the absolute value of such Adjustment Amount; and”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(c)Section 1.09(b) of the Transaction Agreement is hereby amended by replacing the words “for a period of the later of (i) two (2) years after the Closing Date and (ii) the termination or expiration of all Transition Services” with the words “for a period until the termination or expiration of all Transition Services”.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(d)Section 9.02 of the Transaction Agreement is hereby amended by amending and restating the following definitions: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Closing Working Capital</w:t>
      </w:r>
      <w:r>
        <w:rPr>
          <w:color w:val="000000"/>
        </w:rPr>
        <w:t xml:space="preserve">” </w:t>
      </w:r>
      <w:r>
        <w:rPr>
          <w:rFonts w:ascii="Times New Roman;sans-serif" w:hAnsi="Times New Roman;sans-serif"/>
          <w:b w:val="false"/>
          <w:color w:val="000000"/>
          <w:sz w:val="24"/>
        </w:rPr>
        <w:t xml:space="preserve">means the amount of (a) total current assets of the Business (for the avoidance of doubt, including any Transferred Assets constituting current assets but not transferred to the Business Companies as a result of </w:t>
      </w:r>
      <w:r>
        <w:rPr>
          <w:rFonts w:ascii="Times New Roman;sans-serif" w:hAnsi="Times New Roman;sans-serif"/>
          <w:b w:val="false"/>
          <w:color w:val="000000"/>
          <w:sz w:val="24"/>
          <w:u w:val="single"/>
        </w:rPr>
        <w:t>Section 1.09</w:t>
      </w:r>
      <w:r>
        <w:rPr>
          <w:rFonts w:ascii="Times New Roman;sans-serif" w:hAnsi="Times New Roman;sans-serif"/>
          <w:b w:val="false"/>
          <w:color w:val="000000"/>
          <w:sz w:val="24"/>
        </w:rPr>
        <w:t xml:space="preserve">), on a consolidated basis, as of the Reference Time,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(b) total current liabilities of the Business (for the avoidance of doubt, including any Assumed Liabilities constituting current liabilities but not transferred to the Business Companies as a result of </w:t>
      </w:r>
      <w:r>
        <w:rPr>
          <w:rFonts w:ascii="Times New Roman;sans-serif" w:hAnsi="Times New Roman;sans-serif"/>
          <w:b w:val="false"/>
          <w:color w:val="000000"/>
          <w:sz w:val="24"/>
          <w:u w:val="single"/>
        </w:rPr>
        <w:t>Section 1.09</w:t>
      </w:r>
      <w:r>
        <w:rPr>
          <w:rFonts w:ascii="Times New Roman;sans-serif" w:hAnsi="Times New Roman;sans-serif"/>
          <w:b w:val="false"/>
          <w:color w:val="000000"/>
          <w:sz w:val="24"/>
        </w:rPr>
        <w:t xml:space="preserve">), on a consolidated basis, as of the Reference Time, each as calculated in accordance with the Accounting Principles, but including only the line items and applying the procedures and adjustments contained in the example calculation set forth in Section 9.02(e) of the Seller Parent Disclosure Letter (which is provided for purposes of illustrating such line items, procedures and adjustments);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Closing Working Capital shall not include (A) any Assumed Indebtedness or (B) any Seller Parent/Buyer Contracts Amounts.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Working Capital Closing Transfer Amount</w:t>
      </w:r>
      <w:r>
        <w:rPr>
          <w:color w:val="000000"/>
        </w:rPr>
        <w:t xml:space="preserve">” </w:t>
      </w:r>
      <w:r>
        <w:rPr>
          <w:rFonts w:ascii="Times New Roman;sans-serif" w:hAnsi="Times New Roman;sans-serif"/>
          <w:b w:val="false"/>
          <w:color w:val="000000"/>
          <w:sz w:val="24"/>
        </w:rPr>
        <w:t>means: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if the Closing Working Capital is greater than the Working Capital Target, an amount equal to $0 (zero dollars);</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922655"/>
                <wp:effectExtent l="0" t="0" r="0" b="0"/>
                <wp:wrapNone/>
                <wp:docPr id="78" name="Frame78"/>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 xml:space="preserve">(b)    if the Closing Working Capital is a negative number, an amount equal to (i) $0 (zero dollars),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(ii) the absolute value of the Closing Working Capital; and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if the Closing Working Capital is between $0 (zero dollars) and the Working Capital Target, an amount equal to the Closing Working Capital.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Working Capital Target</w:t>
      </w:r>
      <w:r>
        <w:rPr>
          <w:color w:val="000000"/>
        </w:rPr>
        <w:t xml:space="preserve">” </w:t>
      </w:r>
      <w:r>
        <w:rPr>
          <w:rFonts w:ascii="Times New Roman;sans-serif" w:hAnsi="Times New Roman;sans-serif"/>
          <w:b w:val="false"/>
          <w:color w:val="000000"/>
          <w:sz w:val="24"/>
        </w:rPr>
        <w:t>means $250,000,000 (two hundred fifty million dollars).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(e)The Parties agree that for all purposes of the Transaction Agreement: (i) the Closing Working Capital shall be deemed to equal $32,227,703 (thirty-two million two hundred twenty-seven thousand seven hundred three dollars); (ii) the Assumed Indebtedness Amount shall be deemed to equal $0 (zero dollars); (iii) the Closing Collaboration Adjustment Amount shall be deemed to equal $(54,666,105) (negative fifty-four million six hundred sixty-six thousand one hundred five dollars); (iv) as a result of the foregoing, the Adjustment Amount shall be deemed to equal ($22,438,402) (negative twenty-two million four hundred thirty-eight thousand four hundred two dollars); and (v) the Binding Closing Statement Date shall be the date hereof.</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(f)Clause (xi) of Annex B is hereby deleted in its entirety.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(g)For the avoidance of doubt, the Parties acknowledge and agree that, prior to the date of this Amendment, (i) the current assets and current liabilities of the Business included in the calculation of the Closing Working Capital have been transferred to Biosimilars Newco and (ii) the ROW Seller paid, pursuant to Section 1.07(b) of the Transaction Agreement, to Biosimilars Newco an amount equal to the absolute value of the Adjustment Amount.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(h)The fourth sentence of Section (iv) of Annex D of the Transaction Agreement is hereby amended and restated in its entirety:</w:t>
      </w:r>
    </w:p>
    <w:p>
      <w:pPr>
        <w:pStyle w:val="TextBody"/>
        <w:bidi w:val="0"/>
        <w:spacing w:lineRule="auto" w:line="240" w:before="0" w:after="240"/>
        <w:ind w:left="0" w:right="0" w:firstLine="720"/>
        <w:jc w:val="both"/>
        <w:rPr>
          <w:color w:val="000000"/>
        </w:rPr>
      </w:pPr>
      <w:r>
        <w:rPr>
          <w:color w:val="000000"/>
        </w:rPr>
        <w:t>“</w:t>
      </w:r>
      <w:r>
        <w:rPr>
          <w:rFonts w:ascii="Times New Roman;sans-serif" w:hAnsi="Times New Roman;sans-serif"/>
          <w:b w:val="false"/>
          <w:color w:val="000000"/>
          <w:sz w:val="24"/>
        </w:rPr>
        <w:t>The BMC will hold monthly meetings commencing in the first month after the date of this Agreement until one (1) year after the date of this Agreement and quarterly meetings thereafter until the termination or expiration of all Transition Services, unless the Parties mutually agree in writing to a different frequency.”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(i)The third sentence of Section (v) of Annex D of the Transaction Agreement is hereby amended and restated in its entirety:</w:t>
      </w:r>
    </w:p>
    <w:p>
      <w:pPr>
        <w:pStyle w:val="TextBody"/>
        <w:bidi w:val="0"/>
        <w:spacing w:lineRule="auto" w:line="240" w:before="0" w:after="240"/>
        <w:ind w:left="0" w:right="0" w:firstLine="720"/>
        <w:jc w:val="both"/>
        <w:rPr>
          <w:color w:val="000000"/>
        </w:rPr>
      </w:pPr>
      <w:r>
        <w:rPr>
          <w:color w:val="000000"/>
        </w:rPr>
        <w:t>“</w:t>
      </w:r>
      <w:r>
        <w:rPr>
          <w:rFonts w:ascii="Times New Roman;sans-serif" w:hAnsi="Times New Roman;sans-serif"/>
          <w:b w:val="false"/>
          <w:color w:val="000000"/>
          <w:sz w:val="24"/>
        </w:rPr>
        <w:t>The IMO will hold monthly meetings commencing in the first month after the date of this Agreement until one (1) year after the date of this Agreement and quarterly meetings thereafter until the termination or expiration of all Transition Services, unless the Parties mutually agree in writing to a different frequency.”</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922655"/>
                <wp:effectExtent l="0" t="0" r="0" b="0"/>
                <wp:wrapNone/>
                <wp:docPr id="79" name="Frame79"/>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Amendments to the Working Capital Letter</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(a)Paragraph 1 of the Working Capital Letter is hereby amended by amending and restating the following definition: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Specified WC/Cash</w:t>
      </w:r>
      <w:r>
        <w:rPr>
          <w:color w:val="000000"/>
        </w:rPr>
        <w:t xml:space="preserve">” </w:t>
      </w:r>
      <w:r>
        <w:rPr>
          <w:rFonts w:ascii="Times New Roman;sans-serif" w:hAnsi="Times New Roman;sans-serif"/>
          <w:b w:val="false"/>
          <w:color w:val="000000"/>
          <w:sz w:val="24"/>
        </w:rPr>
        <w:t>means an amount of cash equal to the Working Capital Target.”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(b)Paragraph 2 of the Working Capital Letter is hereby deleted in its entirety.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(c)For the avoidance of doubt, the Parties acknowledge and agree that Specified WC/Cash shall not be reduced by the amount of the Closing Working Capital transferred to Biosimilars Newco.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Amendment to the Transition Services Agreement</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(a)Section 1.01 of the Transition Services Agreement is hereby amended by amending and restating the following definitions: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Applicable Cap</w:t>
      </w:r>
      <w:r>
        <w:rPr>
          <w:color w:val="000000"/>
        </w:rPr>
        <w:t xml:space="preserve">” </w:t>
      </w:r>
      <w:r>
        <w:rPr>
          <w:rFonts w:ascii="Times New Roman;sans-serif" w:hAnsi="Times New Roman;sans-serif"/>
          <w:b w:val="false"/>
          <w:color w:val="000000"/>
          <w:sz w:val="24"/>
        </w:rPr>
        <w:t>means (i) for calendar year 2022, $187,000,000 (one hundred eighty-seven million dollars) and (ii) for calendar year 2023, $139,000,000 (one hundred thirty-nine million dollars).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Services</w:t>
      </w:r>
      <w:r>
        <w:rPr>
          <w:color w:val="000000"/>
        </w:rPr>
        <w:t xml:space="preserve">” </w:t>
      </w:r>
      <w:r>
        <w:rPr>
          <w:rFonts w:ascii="Times New Roman;sans-serif" w:hAnsi="Times New Roman;sans-serif"/>
          <w:b w:val="false"/>
          <w:color w:val="000000"/>
          <w:sz w:val="24"/>
        </w:rPr>
        <w:t xml:space="preserve">means the services to be provided by the Seller Parent Group, which comprise the services identified (i) in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(for the avoidance of doubt, including any Omitted Services and any Additional Services added to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in accordance with </w:t>
      </w:r>
      <w:r>
        <w:rPr>
          <w:rFonts w:ascii="Times New Roman;sans-serif" w:hAnsi="Times New Roman;sans-serif"/>
          <w:b w:val="false"/>
          <w:color w:val="000000"/>
          <w:sz w:val="24"/>
          <w:u w:val="single"/>
        </w:rPr>
        <w:t>Section 2.01(c)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2.01(d)</w:t>
      </w:r>
      <w:r>
        <w:rPr>
          <w:rFonts w:ascii="Times New Roman;sans-serif" w:hAnsi="Times New Roman;sans-serif"/>
          <w:b w:val="false"/>
          <w:color w:val="000000"/>
          <w:sz w:val="24"/>
        </w:rPr>
        <w:t xml:space="preserve">, respectively) and (ii) in </w:t>
      </w:r>
      <w:r>
        <w:rPr>
          <w:rFonts w:ascii="Times New Roman;sans-serif" w:hAnsi="Times New Roman;sans-serif"/>
          <w:b w:val="false"/>
          <w:color w:val="000000"/>
          <w:sz w:val="24"/>
          <w:u w:val="single"/>
        </w:rPr>
        <w:t>Schedule G</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(b)Section 1.01 of the Transition Services Agreement is hereby amended by adding the following definitions: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Key Information</w:t>
      </w:r>
      <w:r>
        <w:rPr>
          <w:color w:val="000000"/>
        </w:rPr>
        <w:t xml:space="preserve">” </w:t>
      </w:r>
      <w:r>
        <w:rPr>
          <w:rFonts w:ascii="Times New Roman;sans-serif" w:hAnsi="Times New Roman;sans-serif"/>
          <w:b w:val="false"/>
          <w:color w:val="000000"/>
          <w:sz w:val="24"/>
        </w:rPr>
        <w:t>means (i) the material Business Records and (ii) true, correct and complete copies of the material Customer Contracts, in the case of each of clauses (i) and (ii), that are (A) required for the Buyer Group to materially achieve Migration in the European Union by December 31, 2023 and (B) required to be delivered by Seller Parent to the Buyer Group pursuant to the Transaction Agreement or the Transition Services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Wind-Down Activities</w:t>
      </w:r>
      <w:r>
        <w:rPr>
          <w:color w:val="000000"/>
        </w:rPr>
        <w:t xml:space="preserve">” </w:t>
      </w:r>
      <w:r>
        <w:rPr>
          <w:rFonts w:ascii="Times New Roman;sans-serif" w:hAnsi="Times New Roman;sans-serif"/>
          <w:b w:val="false"/>
          <w:color w:val="000000"/>
          <w:sz w:val="24"/>
        </w:rPr>
        <w:t>means any and all activities that are obligations of the Seller Parent Group set forth in the Migration Plan, or as otherwise mutually agreed in writing by the Parties at least seventy five (75) days prior to December 31, 2023.”</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 xml:space="preserve">(c)Section 2.01(a) of the Transition Services Agreement is hereby amended by adding the words “and </w:t>
      </w:r>
      <w:r>
        <w:rPr>
          <w:rFonts w:ascii="Times New Roman;sans-serif" w:hAnsi="Times New Roman;sans-serif"/>
          <w:b w:val="false"/>
          <w:color w:val="000000"/>
          <w:sz w:val="24"/>
          <w:u w:val="single"/>
        </w:rPr>
        <w:t>Schedule G</w:t>
      </w:r>
      <w:r>
        <w:rPr>
          <w:color w:val="000000"/>
        </w:rPr>
        <w:t xml:space="preserve">” </w:t>
      </w:r>
      <w:r>
        <w:rPr>
          <w:rFonts w:ascii="Times New Roman;sans-serif" w:hAnsi="Times New Roman;sans-serif"/>
          <w:b w:val="false"/>
          <w:color w:val="000000"/>
          <w:sz w:val="24"/>
        </w:rPr>
        <w:t>immediately preceding the words “constitute all of the Services”.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(d)Section 2.01 of the Transition Services Agreement is hereby amended by adding the following new paragraphs (e) and (f) immediately after paragraph (d) thereof:</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922655"/>
                <wp:effectExtent l="0" t="0" r="0" b="0"/>
                <wp:wrapNone/>
                <wp:docPr id="80" name="Frame80"/>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rPr>
        <w:t xml:space="preserve">(e) If a Buyer Party identifies any Service that is described on </w:t>
      </w:r>
      <w:r>
        <w:rPr>
          <w:rFonts w:ascii="Times New Roman;sans-serif" w:hAnsi="Times New Roman;sans-serif"/>
          <w:b w:val="false"/>
          <w:color w:val="000000"/>
          <w:sz w:val="24"/>
          <w:u w:val="single"/>
        </w:rPr>
        <w:t>Schedule G</w:t>
      </w:r>
      <w:r>
        <w:rPr>
          <w:color w:val="000000"/>
        </w:rPr>
        <w:t xml:space="preserve"> </w:t>
      </w:r>
      <w:r>
        <w:rPr>
          <w:rFonts w:ascii="Times New Roman;sans-serif" w:hAnsi="Times New Roman;sans-serif"/>
          <w:b w:val="false"/>
          <w:color w:val="000000"/>
          <w:sz w:val="24"/>
        </w:rPr>
        <w:t>that a Buyer Party wishes the Seller Parent Group to provide after December 31, 2023 (the “</w:t>
      </w:r>
      <w:r>
        <w:rPr>
          <w:rFonts w:ascii="Times New Roman;sans-serif" w:hAnsi="Times New Roman;sans-serif"/>
          <w:b w:val="false"/>
          <w:color w:val="000000"/>
          <w:sz w:val="24"/>
          <w:u w:val="single"/>
        </w:rPr>
        <w:t>Essential Financial Services</w:t>
      </w:r>
      <w:r>
        <w:rPr>
          <w:color w:val="000000"/>
        </w:rPr>
        <w:t>”</w:t>
      </w:r>
      <w:r>
        <w:rPr>
          <w:rFonts w:ascii="Times New Roman;sans-serif" w:hAnsi="Times New Roman;sans-serif"/>
          <w:b w:val="false"/>
          <w:color w:val="000000"/>
          <w:sz w:val="24"/>
        </w:rPr>
        <w:t>), a Buyer Party must notify Seller Parent in writing of its request for the Seller Parent Group to provide such Essential Financial Service at least seventy five (75) days prior to December 31, 2023. In the event an Essential Financial Service is extended, Buyer and Seller Parent shall jointly instruct the PIMC to update the Migration Plan as appropriate.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(f) If a Buyer Party identifies any Service (other than any Essential Financial Service) that is described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that a Buyer Party wishes the Seller Parent Group to provide after December 31, 2023 (the “</w:t>
      </w:r>
      <w:r>
        <w:rPr>
          <w:rFonts w:ascii="Times New Roman;sans-serif" w:hAnsi="Times New Roman;sans-serif"/>
          <w:b w:val="false"/>
          <w:color w:val="000000"/>
          <w:sz w:val="24"/>
          <w:u w:val="single"/>
        </w:rPr>
        <w:t>Requested Extended Services</w:t>
      </w:r>
      <w:r>
        <w:rPr>
          <w:color w:val="000000"/>
        </w:rPr>
        <w:t>”</w:t>
      </w:r>
      <w:r>
        <w:rPr>
          <w:rFonts w:ascii="Times New Roman;sans-serif" w:hAnsi="Times New Roman;sans-serif"/>
          <w:b w:val="false"/>
          <w:color w:val="000000"/>
          <w:sz w:val="24"/>
        </w:rPr>
        <w:t>), a Buyer Party must notify Seller Parent in writing of its request for the Seller Parent Group to provide such Requested Extended Services at least seventy five (75) days prior to December 31, 2023 and Seller Parent shall consider in good faith such request and shall have the right to decide in its sole discretion whether to provide such Requested Extended Services. If Seller Parent agrees in its sole discretion to provide such Requested Extended Services, Buyer and Seller Parent shall jointly instruct the PIMC to update the Migration Plan as appropriate.”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(e)Section 2.04(a) of the Transition Services Agreement is hereby amended by replacing the third sentence thereof with the following sentences: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rPr>
        <w:t xml:space="preserve">Buyer shall deliver to Seller Parent, no later than March 31, 2023, a draft of the plan to achieve Migration by December 31, 2023, which plan shall (i) include Seller Parent’s obligations to make the Key Personnel available to Subsidiary Buyer as reasonably necessary to plan, coordinate and achieve Migration and (ii) not include any obligations of Seller Parent that are contemplated by the Services set forth in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G</w:t>
      </w:r>
      <w:r>
        <w:rPr>
          <w:color w:val="000000"/>
        </w:rPr>
        <w:t xml:space="preserve"> </w:t>
      </w:r>
      <w:r>
        <w:rPr>
          <w:rFonts w:ascii="Times New Roman;sans-serif" w:hAnsi="Times New Roman;sans-serif"/>
          <w:b w:val="false"/>
          <w:color w:val="000000"/>
          <w:sz w:val="24"/>
        </w:rPr>
        <w:t xml:space="preserve">or the Excluded Services set forth in </w:t>
      </w:r>
      <w:r>
        <w:rPr>
          <w:rFonts w:ascii="Times New Roman;sans-serif" w:hAnsi="Times New Roman;sans-serif"/>
          <w:b w:val="false"/>
          <w:color w:val="000000"/>
          <w:sz w:val="24"/>
          <w:u w:val="single"/>
        </w:rPr>
        <w:t>Schedule E</w:t>
      </w:r>
      <w:r>
        <w:rPr>
          <w:color w:val="000000"/>
        </w:rPr>
        <w:t xml:space="preserve"> </w:t>
      </w:r>
      <w:r>
        <w:rPr>
          <w:rFonts w:ascii="Times New Roman;sans-serif" w:hAnsi="Times New Roman;sans-serif"/>
          <w:b w:val="false"/>
          <w:color w:val="000000"/>
          <w:sz w:val="24"/>
        </w:rPr>
        <w:t xml:space="preserve">(as it may be updated from time to time in accordance with this </w:t>
      </w:r>
      <w:r>
        <w:rPr>
          <w:rFonts w:ascii="Times New Roman;sans-serif" w:hAnsi="Times New Roman;sans-serif"/>
          <w:b w:val="false"/>
          <w:color w:val="000000"/>
          <w:sz w:val="24"/>
          <w:u w:val="single"/>
        </w:rPr>
        <w:t>Section 2.04(a)</w:t>
      </w:r>
      <w:r>
        <w:rPr>
          <w:rFonts w:ascii="Times New Roman;sans-serif" w:hAnsi="Times New Roman;sans-serif"/>
          <w:b w:val="false"/>
          <w:color w:val="000000"/>
          <w:sz w:val="24"/>
        </w:rPr>
        <w:t>, the “</w:t>
      </w:r>
      <w:r>
        <w:rPr>
          <w:rFonts w:ascii="Times New Roman;sans-serif" w:hAnsi="Times New Roman;sans-serif"/>
          <w:b w:val="false"/>
          <w:color w:val="000000"/>
          <w:sz w:val="24"/>
          <w:u w:val="single"/>
        </w:rPr>
        <w:t>Migration Plan</w:t>
      </w:r>
      <w:r>
        <w:rPr>
          <w:color w:val="000000"/>
        </w:rPr>
        <w:t>”</w:t>
      </w:r>
      <w:r>
        <w:rPr>
          <w:rFonts w:ascii="Times New Roman;sans-serif" w:hAnsi="Times New Roman;sans-serif"/>
          <w:b w:val="false"/>
          <w:color w:val="000000"/>
          <w:sz w:val="24"/>
        </w:rPr>
        <w:t>). The Migration Plan shall also include the transfer to the Buyer Group of each Regulatory Approval for the Products, in each case with expected timelines and on a country-by-country basis. Following delivery of the draft Migration Plan to Seller Parent, Seller Parent shall have a reasonable opportunity to review and comment on the Migration Plan.”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 xml:space="preserve">(f)Section 2.08 of the Transition Services Agreement is hereby amended by adding the words “or </w:t>
      </w:r>
      <w:r>
        <w:rPr>
          <w:rFonts w:ascii="Times New Roman;sans-serif" w:hAnsi="Times New Roman;sans-serif"/>
          <w:b w:val="false"/>
          <w:color w:val="000000"/>
          <w:sz w:val="24"/>
          <w:u w:val="single"/>
        </w:rPr>
        <w:t>Schedule G</w:t>
      </w:r>
      <w:r>
        <w:rPr>
          <w:color w:val="000000"/>
        </w:rPr>
        <w:t xml:space="preserve">” </w:t>
      </w:r>
      <w:r>
        <w:rPr>
          <w:rFonts w:ascii="Times New Roman;sans-serif" w:hAnsi="Times New Roman;sans-serif"/>
          <w:b w:val="false"/>
          <w:color w:val="000000"/>
          <w:sz w:val="24"/>
        </w:rPr>
        <w:t>after the words “</w:t>
      </w:r>
      <w:r>
        <w:rPr>
          <w:rFonts w:ascii="Times New Roman;sans-serif" w:hAnsi="Times New Roman;sans-serif"/>
          <w:b w:val="false"/>
          <w:color w:val="000000"/>
          <w:sz w:val="24"/>
          <w:u w:val="single"/>
        </w:rPr>
        <w:t>Schedule A</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(g)Section 3.01 of the Transition Services Agreement is hereby amended and restated in its entirety as follows: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rPr>
        <w:t xml:space="preserve">SECTION 3.01. </w:t>
      </w:r>
      <w:r>
        <w:rPr>
          <w:rFonts w:ascii="Times New Roman;sans-serif" w:hAnsi="Times New Roman;sans-serif"/>
          <w:b w:val="false"/>
          <w:color w:val="000000"/>
          <w:sz w:val="24"/>
          <w:u w:val="single"/>
        </w:rPr>
        <w:t>Compensation for Services</w:t>
      </w:r>
      <w:r>
        <w:rPr>
          <w:rFonts w:ascii="Times New Roman;sans-serif" w:hAnsi="Times New Roman;sans-serif"/>
          <w:b w:val="false"/>
          <w:color w:val="000000"/>
          <w:sz w:val="24"/>
        </w:rPr>
        <w:t>. As compensation for the Services rendered in any month, Subsidiary Buyer shall cause the Service Recipients to pay to the Service Providers (a) the Cost of Services for any Services rendered in such month (the “</w:t>
      </w:r>
      <w:r>
        <w:rPr>
          <w:rFonts w:ascii="Times New Roman;sans-serif" w:hAnsi="Times New Roman;sans-serif"/>
          <w:b w:val="false"/>
          <w:color w:val="000000"/>
          <w:sz w:val="24"/>
          <w:u w:val="single"/>
        </w:rPr>
        <w:t>Cost Reimbursement</w:t>
      </w:r>
      <w:r>
        <w:rPr>
          <w:color w:val="000000"/>
        </w:rPr>
        <w:t>”</w:t>
      </w:r>
      <w:r>
        <w:rPr>
          <w:rFonts w:ascii="Times New Roman;sans-serif" w:hAnsi="Times New Roman;sans-serif"/>
          <w:b w:val="false"/>
          <w:color w:val="000000"/>
          <w:sz w:val="24"/>
        </w:rPr>
        <w:t xml:space="preserve">), plus (b) (i) from the Effective Date until December 31, 2023, the Monthly Mark-Up for such month and (ii) following December 31, 2023 (A) a mark-up of eighteen percent (18%) of the Cost of Services for any Essential Financial Services and (B) a mark-up of twenty-five percent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922655"/>
                <wp:effectExtent l="0" t="0" r="0" b="0"/>
                <wp:wrapNone/>
                <wp:docPr id="81" name="Frame81"/>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(25%) of the Cost of Services for any Requested Extended Services that Seller Parent agrees to provide in accordance with </w:t>
      </w:r>
      <w:r>
        <w:rPr>
          <w:rFonts w:ascii="Times New Roman;sans-serif" w:hAnsi="Times New Roman;sans-serif"/>
          <w:b w:val="false"/>
          <w:color w:val="000000"/>
          <w:sz w:val="24"/>
          <w:u w:val="single"/>
        </w:rPr>
        <w:t>Section 2.01(f)</w:t>
      </w:r>
      <w:r>
        <w:rPr>
          <w:color w:val="000000"/>
        </w:rPr>
        <w:t xml:space="preserve"> </w:t>
      </w:r>
      <w:r>
        <w:rPr>
          <w:rFonts w:ascii="Times New Roman;sans-serif" w:hAnsi="Times New Roman;sans-serif"/>
          <w:b w:val="false"/>
          <w:color w:val="000000"/>
          <w:sz w:val="24"/>
        </w:rPr>
        <w:t>and any Services extended in accordance with clause (b) of the proviso in Section 4.01 rendered in such month (this clause (b), the “</w:t>
      </w:r>
      <w:r>
        <w:rPr>
          <w:rFonts w:ascii="Times New Roman;sans-serif" w:hAnsi="Times New Roman;sans-serif"/>
          <w:b w:val="false"/>
          <w:color w:val="000000"/>
          <w:sz w:val="24"/>
          <w:u w:val="single"/>
        </w:rPr>
        <w:t>Mark-Ups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notwithstanding anything to the contrary herein, (x) in no event shall the Monthly Mark-Up be paid for fewer than thirteen (13) months, regardless of the Services rendered (or not rendered) in such months, (y) in no event shall the Cost of Services for calendar year 2022 or 2023 exceed the Applicable Cap for such calendar year and (z) in no event shall the Mark-Up be paid in respect of any Essential Financial Service or Requested Extended Service, in each case directly attributable to Seller Parent’s failure to provide the Key Information by December 31, 2023;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Buyer Group has given Seller Parent written notice of any such missing Key Information with specificity at least seventy-five (75) days prior to December 31, 2023, which notice shall specify the Essential Financial Service or Requested Extended Service to which the missing Key Information relates. For the avoidance of doubt, the Cost of Services shall not include costs and expenses to the extent incurred by the Seller Parent Group exclusively in performing the Wind-Down Activities. If any sum due for payment by any Party under this </w:t>
      </w:r>
      <w:r>
        <w:rPr>
          <w:rFonts w:ascii="Times New Roman;sans-serif" w:hAnsi="Times New Roman;sans-serif"/>
          <w:b w:val="false"/>
          <w:color w:val="000000"/>
          <w:sz w:val="24"/>
          <w:u w:val="single"/>
        </w:rPr>
        <w:t>Section 3.01</w:t>
      </w:r>
      <w:r>
        <w:rPr>
          <w:color w:val="000000"/>
        </w:rPr>
        <w:t xml:space="preserve"> </w:t>
      </w:r>
      <w:r>
        <w:rPr>
          <w:rFonts w:ascii="Times New Roman;sans-serif" w:hAnsi="Times New Roman;sans-serif"/>
          <w:b w:val="false"/>
          <w:color w:val="000000"/>
          <w:sz w:val="24"/>
        </w:rPr>
        <w:t>is not paid by the due date for such payment in accordance with this Agreement, then such Party shall pay the other Party Default Interest on that sum from, but excluding, the due date to, but excluding, the date of actual payment.”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(h)Section 4.01 of the Transition Services Agreement is hereby amended and restated in its entirety as follows: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rPr>
        <w:t xml:space="preserve">SECTION 4.01. </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This Agreement is effective as of the Effective Date and shall remain in effect until, and each Service shall terminate on, December 31, 2023 (such period, including to the extent it may be extended pursuant to clause (b) of the immediately succeeding proviso, the “</w:t>
      </w:r>
      <w:r>
        <w:rPr>
          <w:rFonts w:ascii="Times New Roman;sans-serif" w:hAnsi="Times New Roman;sans-serif"/>
          <w:b w:val="false"/>
          <w:color w:val="000000"/>
          <w:sz w:val="24"/>
          <w:u w:val="single"/>
        </w:rPr>
        <w:t>Term</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solely with respect to each particular Service, this Agreement shall terminate upon the earlier of (i) the Applicable Termination Date for such Service and (ii) termination of such Service in accordance with </w:t>
      </w:r>
      <w:r>
        <w:rPr>
          <w:rFonts w:ascii="Times New Roman;sans-serif" w:hAnsi="Times New Roman;sans-serif"/>
          <w:b w:val="false"/>
          <w:color w:val="000000"/>
          <w:sz w:val="24"/>
          <w:u w:val="single"/>
        </w:rPr>
        <w:t>Section 2.04</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4.02,</w:t>
      </w:r>
      <w:r>
        <w:rPr>
          <w:color w:val="000000"/>
        </w:rPr>
        <w:t xml:space="preserve"> </w:t>
      </w:r>
      <w:r>
        <w:rPr>
          <w:rFonts w:ascii="Times New Roman;sans-serif" w:hAnsi="Times New Roman;sans-serif"/>
          <w:b w:val="false"/>
          <w:color w:val="000000"/>
          <w:sz w:val="24"/>
        </w:rPr>
        <w:t>(b) in the event a Regulatory Approval for any Product could not transfer to the Buyer Group on or prior to December 31, 2023 due to delayed or prohibited (provided that the prohibition is not permanent) approval by the applicable Regulatory Authority (including due to inaction by such Regulatory Authority, but not if such transfer has been permanently prohibited by such Regulatory Authority), then, at the option of the Buyer Group, all or certain Services to the extent related to such Product under this Agreement shall continue until the earlier to occur of (i) the transfer of such Regulatory Approval to the Buyer Group and (ii) April 30, 2024 and (c) the Essential Financial Services and the Requested Extended Services, to the extent provided after December 31, 2023 in accordance with this Agreement, shall terminate on April 30, 2024. Notwithstanding the foregoing clause (b), in the event that any Regulatory Approval could not transfer to the Buyer Group on or prior to December 31, 2023, or at any time is permanently prohibited from being transferred to the Buyer Group by a Regulatory Authority, the Parties shall work together in good faith to find an alternative solution to transfer the benefits and burdens of such Regulatory Approval to the Buyer Group.”</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922655"/>
                <wp:effectExtent l="0" t="0" r="0" b="0"/>
                <wp:wrapNone/>
                <wp:docPr id="82" name="Frame82"/>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(i)Section 1.1(a) of Schedule A of the Transition Services Agreement is hereby amended by replacing the words “twenty-four (24) months from and after the Closing Date” with “December 31, 2023”.</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(j)The fifth bullet point of Item 5 of Section 3 (Commercial) of Schedule A of the Transition Services Agreement is hereby amended and restated in its entirety as follows: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Customer Contract Transition Period</w:t>
      </w:r>
      <w:r>
        <w:rPr>
          <w:color w:val="000000"/>
        </w:rPr>
        <w:t xml:space="preserve">” </w:t>
      </w:r>
      <w:r>
        <w:rPr>
          <w:rFonts w:ascii="Times New Roman;sans-serif" w:hAnsi="Times New Roman;sans-serif"/>
          <w:b w:val="false"/>
          <w:color w:val="000000"/>
          <w:sz w:val="24"/>
        </w:rPr>
        <w:t>means, for each Customer Contract, the period beginning on the Effective Date and ending on the earlier of (i) the Customer Contract Termination Date or (ii) the transition of such Customer Contract to the Buyer Group (whether through assignment of such Customer Contract to the Buyer Group, through the entry by the Buyer Group of a new Contract with the applicable customer, or otherwise).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Customer Contract Termination Date</w:t>
      </w:r>
      <w:r>
        <w:rPr>
          <w:color w:val="000000"/>
        </w:rPr>
        <w:t xml:space="preserve">” </w:t>
      </w:r>
      <w:r>
        <w:rPr>
          <w:rFonts w:ascii="Times New Roman;sans-serif" w:hAnsi="Times New Roman;sans-serif"/>
          <w:b w:val="false"/>
          <w:color w:val="000000"/>
          <w:sz w:val="24"/>
        </w:rPr>
        <w:t>means, for each Customer Contract, the earlier of (i) December 31, 2023 and (ii) the date of the termination of other Services in the jurisdiction to which such Customer Contract relates.”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(k)The first sentence of sub-bullet 3 of the eighth bullet point of Item 5 of Section 3 (Commercial) of Schedule A of the Transition Services Agreement is hereby amended and restated in its entirety as follows: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rPr>
        <w:t>For any Customer Contract not assigned pursuant to the immediately preceding bullet (the “</w:t>
      </w:r>
      <w:r>
        <w:rPr>
          <w:rFonts w:ascii="Times New Roman;sans-serif" w:hAnsi="Times New Roman;sans-serif"/>
          <w:b w:val="false"/>
          <w:color w:val="000000"/>
          <w:sz w:val="24"/>
          <w:u w:val="single"/>
        </w:rPr>
        <w:t>Non-Assigned Customer Contracts</w:t>
      </w:r>
      <w:r>
        <w:rPr>
          <w:color w:val="000000"/>
        </w:rPr>
        <w:t>”</w:t>
      </w:r>
      <w:r>
        <w:rPr>
          <w:rFonts w:ascii="Times New Roman;sans-serif" w:hAnsi="Times New Roman;sans-serif"/>
          <w:b w:val="false"/>
          <w:color w:val="000000"/>
          <w:sz w:val="24"/>
        </w:rPr>
        <w:t>), prior to the Customer Contract Termination Date, the Parties shall use reasonable best efforts to help facilitate Buyer Group’s negotiation of a new Contract with the applicable customer (and the concurrent termination of the corresponding existing Customer Contract).”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(l)Sub-bullet 4 of the eighth bullet point of Item 5 of Section 3 (Commercial) of Schedule A of the Transition Services Agreement is hereby amended and restated in its entirety as follows:</w:t>
      </w:r>
    </w:p>
    <w:p>
      <w:pPr>
        <w:pStyle w:val="TextBody"/>
        <w:bidi w:val="0"/>
        <w:spacing w:lineRule="auto" w:line="240" w:before="0" w:after="240"/>
        <w:ind w:left="0" w:right="0" w:firstLine="720"/>
        <w:jc w:val="both"/>
        <w:rPr>
          <w:color w:val="000000"/>
        </w:rPr>
      </w:pPr>
      <w:r>
        <w:rPr>
          <w:color w:val="000000"/>
        </w:rPr>
        <w:t>“</w:t>
      </w:r>
      <w:r>
        <w:rPr>
          <w:rFonts w:ascii="Times New Roman;sans-serif" w:hAnsi="Times New Roman;sans-serif"/>
          <w:b w:val="false"/>
          <w:color w:val="000000"/>
          <w:sz w:val="24"/>
        </w:rPr>
        <w:t>Notwithstanding anything to the contrary in the immediately preceding bullet, to the extent that a new Contract is not so entered prior to the Customer Contract Termination Date but the Non-Assigned Customer Contract has a term extending beyond the Customer Contract Termination Date and is not assignable, then (i) with respect to any such Non-Assigned Customer Contract entered pursuant to tenders, the Seller Parent Group will continue to provide services with respect to such Non-Assigned Customer Contract to the extent that the Seller Parent Group employees necessary to provide such services have not transferred to the Buyer Group; provided, that the Buyer Group shall reimburse Seller Parent Group for any and all costs and expenses incurred by the Seller Parent Group in connection with such services; and (ii) with respect to any other Non-Assigned Customer Contract, the Parties will discuss in good faith the extension of the Seller Parent Group’s services with respect to such Non-Assigned Customer Contract, including appropriate economic terms for any such services.”</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922655"/>
                <wp:effectExtent l="0" t="0" r="0" b="0"/>
                <wp:wrapNone/>
                <wp:docPr id="83" name="Frame83"/>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(m)The Parties acknowledge and agree that, regardless of any Termination/Reduction Notice or Termination/Reduction Response, (i) the Services set forth in the eighth bullet point of Item 5 of Section 3 (Commercial) of Schedule A of the Transition Services Agreement shall survive until April 30, 2024, (ii) no Termination/Reduction Notice or Termination/Reduction Response shall result in (A) the provision of any Omitted Service or Additional Service or (B) any modification to the manner in which any Service is provided and (iii) notwithstanding anything to the contrary in the Transition Services Agreement, this Amendment or any Termination/Reduction Notice or Termination/Reduction Response, the Transition Services Agreement and all Services thereunder shall terminate on April 30, 2024.</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(n)The first bullet point of Item 8 of Section 3 (Commercial) of Schedule A of the Transition Services Agreement is hereby amended and restated in its entirety as follows:</w:t>
      </w:r>
    </w:p>
    <w:p>
      <w:pPr>
        <w:pStyle w:val="TextBody"/>
        <w:bidi w:val="0"/>
        <w:spacing w:lineRule="auto" w:line="240" w:before="0" w:after="240"/>
        <w:ind w:left="0" w:right="0" w:firstLine="720"/>
        <w:jc w:val="both"/>
        <w:rPr>
          <w:color w:val="000000"/>
        </w:rPr>
      </w:pPr>
      <w:r>
        <w:rPr>
          <w:color w:val="000000"/>
        </w:rPr>
        <w:t>“</w:t>
      </w:r>
      <w:r>
        <w:rPr>
          <w:rFonts w:ascii="Times New Roman;sans-serif" w:hAnsi="Times New Roman;sans-serif"/>
          <w:b w:val="false"/>
          <w:color w:val="000000"/>
          <w:sz w:val="24"/>
        </w:rPr>
        <w:t>Continue to administer the US PAP in collaboration with the Buyer Group until the earlier of (i) September 1, 2023 and (ii) the date that the Buyer Group builds or obtains a PAP solution.”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 xml:space="preserve">(o)The Transition Services Agreement is hereby amended by adding Schedule G as a new schedule to the Transaction Services Agreement in the form of </w:t>
      </w:r>
      <w:r>
        <w:rPr>
          <w:rFonts w:ascii="Times New Roman;sans-serif" w:hAnsi="Times New Roman;sans-serif"/>
          <w:b w:val="false"/>
          <w:color w:val="000000"/>
          <w:sz w:val="24"/>
          <w:u w:val="single"/>
        </w:rPr>
        <w:t>Schedule 1</w:t>
      </w:r>
      <w:r>
        <w:rPr>
          <w:color w:val="000000"/>
        </w:rPr>
        <w:t xml:space="preserve"> </w:t>
      </w:r>
      <w:r>
        <w:rPr>
          <w:rFonts w:ascii="Times New Roman;sans-serif" w:hAnsi="Times New Roman;sans-serif"/>
          <w:b w:val="false"/>
          <w:color w:val="000000"/>
          <w:sz w:val="24"/>
        </w:rPr>
        <w: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Effect of Amendment</w:t>
      </w:r>
      <w:r>
        <w:rPr>
          <w:rFonts w:ascii="Times New Roman;sans-serif" w:hAnsi="Times New Roman;sans-serif"/>
          <w:b w:val="false"/>
          <w:color w:val="000000"/>
          <w:sz w:val="24"/>
        </w:rPr>
        <w:t>. Each Party acknowledges and agrees that this Amendment constitutes an instrument in writing on behalf of each of the Parties in accordance with Section 9.05 of the Transaction Agreement, Section 7 of the Working Capital Letter and Section 7.06 of the Transition Services Agreement. For the avoidance of doubt, references to (i) the date of the Transaction Agreement, and references to the “date hereof”, “the date of this Agreement” or words of similar meaning in the Transaction Agreement shall continue to refer to February 27, 2022 and (ii) the date of the Transition Services Agreement, and references to the “date hereof”, “the date of this Agreement” or words of similar meaning in the Transition Services Agreement shall continue to refer to November 29, 2022.</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Limited Amendment</w:t>
      </w:r>
      <w:r>
        <w:rPr>
          <w:rFonts w:ascii="Times New Roman;sans-serif" w:hAnsi="Times New Roman;sans-serif"/>
          <w:b w:val="false"/>
          <w:color w:val="000000"/>
          <w:sz w:val="24"/>
        </w:rPr>
        <w:t>. Except as expressly set forth in paragraphs 2, 3 and 4 above, this Amendment shall not be deemed to amend, waive, affect or otherwise alter any term or provision of the Specified Documents or the other Transaction Documents, and all terms and provisions of the Specified Documents and the other Transaction Documents shall continue in full force and effect.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 xml:space="preserve">. The provisions set forth in Sections </w:t>
      </w:r>
      <w:r>
        <w:rPr>
          <w:rFonts w:ascii="Times New Roman;sans-serif" w:hAnsi="Times New Roman;sans-serif"/>
          <w:b w:val="false"/>
          <w:color w:val="000000"/>
          <w:sz w:val="24"/>
          <w:u w:val="single"/>
        </w:rPr>
        <w:t>9.01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9.04</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 xml:space="preserve">9.15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9.18</w:t>
      </w:r>
      <w:r>
        <w:rPr>
          <w:color w:val="000000"/>
        </w:rPr>
        <w:t xml:space="preserve"> </w:t>
      </w:r>
      <w:r>
        <w:rPr>
          <w:rFonts w:ascii="Times New Roman;sans-serif" w:hAnsi="Times New Roman;sans-serif"/>
          <w:b w:val="false"/>
          <w:color w:val="000000"/>
          <w:sz w:val="24"/>
        </w:rPr>
        <w:t xml:space="preserve">of the Transaction Agreement shall apply to this Amendment,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and are hereby incorporated by reference as if fully set forth herein.</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922655"/>
                <wp:effectExtent l="0" t="0" r="0" b="0"/>
                <wp:wrapNone/>
                <wp:docPr id="84" name="Frame84"/>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duly executed this Amendment, all as of the date first written above.</w:t>
      </w:r>
    </w:p>
    <w:tbl>
      <w:tblPr>
        <w:tblW w:w="4542" w:type="dxa"/>
        <w:jc w:val="left"/>
        <w:tblInd w:w="0" w:type="dxa"/>
        <w:tblLayout w:type="fixed"/>
        <w:tblCellMar>
          <w:top w:w="28" w:type="dxa"/>
          <w:left w:w="28" w:type="dxa"/>
          <w:bottom w:w="28" w:type="dxa"/>
          <w:right w:w="28" w:type="dxa"/>
        </w:tblCellMar>
      </w:tblPr>
      <w:tblGrid>
        <w:gridCol w:w="124"/>
        <w:gridCol w:w="109"/>
        <w:gridCol w:w="109"/>
        <w:gridCol w:w="1228"/>
        <w:gridCol w:w="1228"/>
        <w:gridCol w:w="17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VIATRIS INC.</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Anil Amin</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Anil Amin</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Business Development Officer</w:t>
            </w:r>
          </w:p>
        </w:tc>
      </w:tr>
    </w:tbl>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WITNESS WHEREOF, the Parties have duly executed this Amendment, all as of the date first written above.</w:t>
      </w:r>
    </w:p>
    <w:tbl>
      <w:tblPr>
        <w:tblW w:w="4272" w:type="dxa"/>
        <w:jc w:val="left"/>
        <w:tblInd w:w="0" w:type="dxa"/>
        <w:tblLayout w:type="fixed"/>
        <w:tblCellMar>
          <w:top w:w="28" w:type="dxa"/>
          <w:left w:w="28" w:type="dxa"/>
          <w:bottom w:w="28" w:type="dxa"/>
          <w:right w:w="28" w:type="dxa"/>
        </w:tblCellMar>
      </w:tblPr>
      <w:tblGrid>
        <w:gridCol w:w="124"/>
        <w:gridCol w:w="109"/>
        <w:gridCol w:w="109"/>
        <w:gridCol w:w="1150"/>
        <w:gridCol w:w="1150"/>
        <w:gridCol w:w="16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BIOCON BIOLOGICS UK LIMITED</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Shreehas P. Tambe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Shreehas P. Tambe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BIOCON BIOLOGICS UK LIMITED</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Chinappa M B</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Chinappa M B</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922655"/>
                <wp:effectExtent l="0" t="0" r="0" b="0"/>
                <wp:wrapNone/>
                <wp:docPr id="85" name="Frame85"/>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Omnibus Amendment No. 1</w:t>
                            </w:r>
                            <w:r>
                              <w:rPr>
                                <w:rFonts w:ascii="Times New Roman;sans-serif" w:hAnsi="Times New Roman;sans-serif"/>
                                <w:b w:val="false"/>
                                <w:color w:val="000000"/>
                                <w:sz w:val="24"/>
                              </w:rPr>
                              <w:t>]</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Omnibus Amendment No. 1</w:t>
                      </w:r>
                      <w:r>
                        <w:rPr>
                          <w:rFonts w:ascii="Times New Roman;sans-serif" w:hAnsi="Times New Roman;sans-serif"/>
                          <w:b w:val="false"/>
                          <w:color w:val="000000"/>
                          <w:sz w:val="24"/>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duly executed this Amendment, all as of the date first written above.</w:t>
      </w:r>
    </w:p>
    <w:tbl>
      <w:tblPr>
        <w:tblW w:w="6387" w:type="dxa"/>
        <w:jc w:val="left"/>
        <w:tblInd w:w="0" w:type="dxa"/>
        <w:tblLayout w:type="fixed"/>
        <w:tblCellMar>
          <w:top w:w="28" w:type="dxa"/>
          <w:left w:w="28" w:type="dxa"/>
          <w:bottom w:w="28" w:type="dxa"/>
          <w:right w:w="28" w:type="dxa"/>
        </w:tblCellMar>
      </w:tblPr>
      <w:tblGrid>
        <w:gridCol w:w="124"/>
        <w:gridCol w:w="109"/>
        <w:gridCol w:w="109"/>
        <w:gridCol w:w="1771"/>
        <w:gridCol w:w="1771"/>
        <w:gridCol w:w="25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BIOSIMILAR COLLABORATIONS IRELAND LIMITED</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Shreehas P Tambe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Shreehas P Tambe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BIOSIMILAR COLLABORATIONS IRELAND LIMITED</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Chinappa M B</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Chinappa M B</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922655"/>
                <wp:effectExtent l="0" t="0" r="0" b="0"/>
                <wp:wrapNone/>
                <wp:docPr id="86" name="Frame86"/>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Omnibus Amendment No. 1</w:t>
                            </w:r>
                            <w:r>
                              <w:rPr>
                                <w:rFonts w:ascii="Times New Roman;sans-serif" w:hAnsi="Times New Roman;sans-serif"/>
                                <w:b w:val="false"/>
                                <w:color w:val="000000"/>
                                <w:sz w:val="24"/>
                              </w:rPr>
                              <w:t>]</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Omnibus Amendment No. 1</w:t>
                      </w:r>
                      <w:r>
                        <w:rPr>
                          <w:rFonts w:ascii="Times New Roman;sans-serif" w:hAnsi="Times New Roman;sans-serif"/>
                          <w:b w:val="false"/>
                          <w:color w:val="000000"/>
                          <w:sz w:val="24"/>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duly executed this Amendment, all as of the date first written above.</w:t>
      </w:r>
    </w:p>
    <w:tbl>
      <w:tblPr>
        <w:tblW w:w="4091" w:type="dxa"/>
        <w:jc w:val="left"/>
        <w:tblInd w:w="0" w:type="dxa"/>
        <w:tblLayout w:type="fixed"/>
        <w:tblCellMar>
          <w:top w:w="28" w:type="dxa"/>
          <w:left w:w="28" w:type="dxa"/>
          <w:bottom w:w="28" w:type="dxa"/>
          <w:right w:w="28" w:type="dxa"/>
        </w:tblCellMar>
      </w:tblPr>
      <w:tblGrid>
        <w:gridCol w:w="124"/>
        <w:gridCol w:w="109"/>
        <w:gridCol w:w="109"/>
        <w:gridCol w:w="1096"/>
        <w:gridCol w:w="1096"/>
        <w:gridCol w:w="15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BIOSIMILARS NEWCO LIMITED</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Shreehas P Tambe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Shreehas P Tambe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BIOSIMILARS NEWCO LIMITED</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Chinappa M B</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Chinappa M B</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922655"/>
                <wp:effectExtent l="0" t="0" r="0" b="0"/>
                <wp:wrapNone/>
                <wp:docPr id="87" name="Frame87"/>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Omnibus Amendment No. 1</w:t>
                            </w:r>
                            <w:r>
                              <w:rPr>
                                <w:rFonts w:ascii="Times New Roman;sans-serif" w:hAnsi="Times New Roman;sans-serif"/>
                                <w:b w:val="false"/>
                                <w:color w:val="000000"/>
                                <w:sz w:val="24"/>
                              </w:rPr>
                              <w:t>]</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Omnibus Amendment No. 1</w:t>
                      </w:r>
                      <w:r>
                        <w:rPr>
                          <w:rFonts w:ascii="Times New Roman;sans-serif" w:hAnsi="Times New Roman;sans-serif"/>
                          <w:b w:val="false"/>
                          <w:color w:val="000000"/>
                          <w:sz w:val="24"/>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duly executed this Amendment, all as of the date first written above.</w:t>
      </w:r>
    </w:p>
    <w:tbl>
      <w:tblPr>
        <w:tblW w:w="4092" w:type="dxa"/>
        <w:jc w:val="left"/>
        <w:tblInd w:w="0" w:type="dxa"/>
        <w:tblLayout w:type="fixed"/>
        <w:tblCellMar>
          <w:top w:w="28" w:type="dxa"/>
          <w:left w:w="28" w:type="dxa"/>
          <w:bottom w:w="28" w:type="dxa"/>
          <w:right w:w="28" w:type="dxa"/>
        </w:tblCellMar>
      </w:tblPr>
      <w:tblGrid>
        <w:gridCol w:w="124"/>
        <w:gridCol w:w="109"/>
        <w:gridCol w:w="109"/>
        <w:gridCol w:w="1097"/>
        <w:gridCol w:w="1097"/>
        <w:gridCol w:w="15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BIOCON BIOLOGICS LIMITED</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Shreehas P Tambe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Shreehas P Tambe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BIOCON BIOLOGICS LIMITED</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/s/ Chinappa M B</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Chinappa M B</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Authorized Signatory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922655"/>
                <wp:effectExtent l="0" t="0" r="0" b="0"/>
                <wp:wrapNone/>
                <wp:docPr id="88" name="Frame88"/>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Omnibus Amendment No. 1</w:t>
                            </w:r>
                            <w:r>
                              <w:rPr>
                                <w:rFonts w:ascii="Times New Roman;sans-serif" w:hAnsi="Times New Roman;sans-serif"/>
                                <w:b w:val="false"/>
                                <w:color w:val="000000"/>
                                <w:sz w:val="24"/>
                              </w:rPr>
                              <w:t>]</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4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Omnibus Amendment No. 1</w:t>
                      </w:r>
                      <w:r>
                        <w:rPr>
                          <w:rFonts w:ascii="Times New Roman;sans-serif" w:hAnsi="Times New Roman;sans-serif"/>
                          <w:b w:val="false"/>
                          <w:color w:val="000000"/>
                          <w:sz w:val="24"/>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Schedule 1</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Schedule G</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Essential Financial Services</w:t>
      </w:r>
    </w:p>
    <w:p>
      <w:pPr>
        <w:pStyle w:val="TextBody"/>
        <w:bidi w:val="0"/>
        <w:spacing w:before="0" w:after="0"/>
        <w:jc w:val="center"/>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 xml:space="preserve">Collection of all accounts receivable in respect of the Business. </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 xml:space="preserve">Settling all receivables and payables with customers and vendors in respect of the Business. </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Reconciliations for Products sold in all markets.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94995"/>
                <wp:effectExtent l="0" t="0" r="0" b="0"/>
                <wp:wrapNone/>
                <wp:docPr id="89" name="Frame8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Exhibit 10.2</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TRANSITION AND ADVISORY AGREEMENT AND RELEASE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This TRANSITION AND ADVISORY AGREEMENT AND RELEASE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entered into and effective as of May 19, 2023, by and between Viatris Inc. (“</w:t>
      </w:r>
      <w:r>
        <w:rPr>
          <w:rFonts w:ascii="Times New Roman;sans-serif" w:hAnsi="Times New Roman;sans-serif"/>
          <w:b w:val="false"/>
          <w:color w:val="000000"/>
          <w:sz w:val="24"/>
          <w:u w:val="single"/>
        </w:rPr>
        <w:t>Viatris</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Robert J. Coury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WHEREAS, the Executive has served as Executive Chairman of the Company since it became a publicly-traded corporation on November 16, 2020 and prior to such date served in several leadership roles for Mylan N.V. and Mylan Inc., including as Executive Chairman and Chief Executive Officer, for approximately twenty years;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WHEREAS,</w:t>
      </w:r>
      <w:r>
        <w:rPr>
          <w:color w:val="000000"/>
        </w:rPr>
        <w:t xml:space="preserve"> </w:t>
      </w:r>
      <w:r>
        <w:rPr>
          <w:rFonts w:ascii="Times New Roman;sans-serif" w:hAnsi="Times New Roman;sans-serif"/>
          <w:b w:val="false"/>
          <w:color w:val="000000"/>
          <w:sz w:val="24"/>
        </w:rPr>
        <w:t>the Company and the Executive are party to an Executive Employment Agreement, dated as of November 20, 2020 (the “</w:t>
      </w:r>
      <w:r>
        <w:rPr>
          <w:rFonts w:ascii="Times New Roman;sans-serif" w:hAnsi="Times New Roman;sans-serif"/>
          <w:b w:val="false"/>
          <w:color w:val="000000"/>
          <w:sz w:val="24"/>
          <w:u w:val="single"/>
        </w:rPr>
        <w:t>Employment Agreement</w:t>
      </w:r>
      <w:r>
        <w:rPr>
          <w:color w:val="000000"/>
        </w:rPr>
        <w:t>”</w:t>
      </w:r>
      <w:r>
        <w:rPr>
          <w:rFonts w:ascii="Times New Roman;sans-serif" w:hAnsi="Times New Roman;sans-serif"/>
          <w:b w:val="false"/>
          <w:color w:val="000000"/>
          <w:sz w:val="24"/>
        </w:rPr>
        <w:t>), which was unanimously approved by the Compensation Committee of the Board of Directors of the Company and the independent members of the Board of Directors of the Company;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WHEREAS,</w:t>
      </w:r>
      <w:r>
        <w:rPr>
          <w:color w:val="000000"/>
        </w:rPr>
        <w:t xml:space="preserve"> </w:t>
      </w:r>
      <w:r>
        <w:rPr>
          <w:rFonts w:ascii="Times New Roman;sans-serif" w:hAnsi="Times New Roman;sans-serif"/>
          <w:b w:val="false"/>
          <w:color w:val="000000"/>
          <w:sz w:val="24"/>
        </w:rPr>
        <w:t>the Board of Directors of the Company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and the Executive have mutually agreed that the Executive will not stand for re-election to the Board at the 2023 Annual Meeting of Shareholders (the “</w:t>
      </w:r>
      <w:r>
        <w:rPr>
          <w:rFonts w:ascii="Times New Roman;sans-serif" w:hAnsi="Times New Roman;sans-serif"/>
          <w:b w:val="false"/>
          <w:color w:val="000000"/>
          <w:sz w:val="24"/>
          <w:u w:val="single"/>
        </w:rPr>
        <w:t>2023 Annual Meeting</w:t>
      </w:r>
      <w:r>
        <w:rPr>
          <w:color w:val="000000"/>
        </w:rPr>
        <w:t>”</w:t>
      </w:r>
      <w:r>
        <w:rPr>
          <w:rFonts w:ascii="Times New Roman;sans-serif" w:hAnsi="Times New Roman;sans-serif"/>
          <w:b w:val="false"/>
          <w:color w:val="000000"/>
          <w:sz w:val="24"/>
        </w:rPr>
        <w:t xml:space="preserve">) and will cease to serve as a director or employee of the Company as of the close of the 2023 Annual Meeting; </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based on past experiences with the Executive, the Board believes leveraging the Executive’s deep knowledge and industry experience will continue to benefit the Company and its stockholders; and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WHEREAS, at the request of the Board and the Chief Executive Officer of the Company, the Executive has agreed to serve as a Senior Strategic Advisor with the title of Chairman Emeritus through the date the Employment Agreement otherwise would have expired on December 31, 2025 (the “</w:t>
      </w:r>
      <w:r>
        <w:rPr>
          <w:rFonts w:ascii="Times New Roman;sans-serif" w:hAnsi="Times New Roman;sans-serif"/>
          <w:b w:val="false"/>
          <w:color w:val="000000"/>
          <w:sz w:val="24"/>
          <w:u w:val="single"/>
        </w:rPr>
        <w:t>Advisory Period</w:t>
      </w:r>
      <w:r>
        <w:rPr>
          <w:color w:val="000000"/>
        </w:rPr>
        <w:t>”</w:t>
      </w:r>
      <w:r>
        <w:rPr>
          <w:rFonts w:ascii="Times New Roman;sans-serif" w:hAnsi="Times New Roman;sans-serif"/>
          <w:b w:val="false"/>
          <w:color w:val="000000"/>
          <w:sz w:val="24"/>
        </w:rPr>
        <w:t xml:space="preserve">) to promote a transition of roles and responsibilities and so that, among other matters, the Board and the Company may continue to benefit from the Executive’s strategic advice and guidance and critical relationships in the healthcare industry and otherwise.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NOW, THEREFORE,</w:t>
      </w:r>
      <w:r>
        <w:rPr>
          <w:color w:val="000000"/>
        </w:rPr>
        <w:t xml:space="preserve"> </w:t>
      </w:r>
      <w:r>
        <w:rPr>
          <w:rFonts w:ascii="Times New Roman;sans-serif" w:hAnsi="Times New Roman;sans-serif"/>
          <w:b w:val="false"/>
          <w:color w:val="000000"/>
          <w:sz w:val="24"/>
        </w:rPr>
        <w:t>in consideration of the mutual promises made herein and intending to be legally bound, the parties hereby agree as follows: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Termination of Board Service and Employment Relationship.</w:t>
      </w:r>
      <w:r>
        <w:rPr>
          <w:color w:val="000000"/>
        </w:rPr>
        <w:t xml:space="preserve"> </w:t>
      </w:r>
      <w:r>
        <w:rPr>
          <w:rFonts w:ascii="Times New Roman;sans-serif" w:hAnsi="Times New Roman;sans-serif"/>
          <w:b w:val="false"/>
          <w:color w:val="000000"/>
          <w:sz w:val="24"/>
        </w:rPr>
        <w:t>The Executive shall not be nominated for re-election to the Board at the 2023 Annual Meeting. Effective as of the close of the 2023 Annual Meeting (the “</w:t>
      </w:r>
      <w:r>
        <w:rPr>
          <w:rFonts w:ascii="Times New Roman;sans-serif" w:hAnsi="Times New Roman;sans-serif"/>
          <w:b w:val="false"/>
          <w:color w:val="000000"/>
          <w:sz w:val="24"/>
          <w:u w:val="single"/>
        </w:rPr>
        <w:t>Transition Time</w:t>
      </w:r>
      <w:r>
        <w:rPr>
          <w:color w:val="000000"/>
        </w:rPr>
        <w:t>”</w:t>
      </w:r>
      <w:r>
        <w:rPr>
          <w:rFonts w:ascii="Times New Roman;sans-serif" w:hAnsi="Times New Roman;sans-serif"/>
          <w:b w:val="false"/>
          <w:color w:val="000000"/>
          <w:sz w:val="24"/>
        </w:rPr>
        <w:t xml:space="preserve">), the Executive shall cease to serve on the Board and also shall cease to serve as Executive Chairman or as an employee or director in any capacity for Viatris and its subsidiaries and affiliates.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Rights as a Result of Termination of Board Service and Employment Relationship.</w:t>
      </w:r>
      <w:r>
        <w:rPr>
          <w:color w:val="000000"/>
        </w:rPr>
        <w:t xml:space="preserve"> </w:t>
      </w:r>
      <w:r>
        <w:rPr>
          <w:rFonts w:ascii="Times New Roman;sans-serif" w:hAnsi="Times New Roman;sans-serif"/>
          <w:b w:val="false"/>
          <w:color w:val="000000"/>
          <w:sz w:val="24"/>
        </w:rPr>
        <w:t>Viatris and the Executive acknowledge and agree that Executive’s cessation of employment at the Transition Time shall be considered a separation for “Good Reason” as defined in the Employment Agreement and is intended to constitute a “separation from service” under Section 409A of the Internal Revenue Code of 1986, as amended (the “</w:t>
      </w:r>
      <w:r>
        <w:rPr>
          <w:rFonts w:ascii="Times New Roman;sans-serif" w:hAnsi="Times New Roman;sans-serif"/>
          <w:b w:val="false"/>
          <w:color w:val="000000"/>
          <w:sz w:val="24"/>
          <w:u w:val="single"/>
        </w:rPr>
        <w:t>Code</w:t>
      </w:r>
      <w:r>
        <w:rPr>
          <w:color w:val="000000"/>
        </w:rPr>
        <w:t>”</w:t>
      </w:r>
      <w:r>
        <w:rPr>
          <w:rFonts w:ascii="Times New Roman;sans-serif" w:hAnsi="Times New Roman;sans-serif"/>
          <w:b w:val="false"/>
          <w:color w:val="000000"/>
          <w:sz w:val="24"/>
        </w:rPr>
        <w:t xml:space="preserve">), with respect to such employment for all purposes of the Employment Agreement and any other employee benefit plans or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pPr>
      <w:r>
        <w:rPr>
          <w:rFonts w:ascii="Times New Roman;sans-serif" w:hAnsi="Times New Roman;sans-serif"/>
          <w:b w:val="false"/>
          <w:color w:val="000000"/>
          <w:sz w:val="24"/>
        </w:rPr>
        <w:t>programs sponsored or maintained by Viatris. For purposes of clarity, the payments and benefits to which Executive is entitled upon such cessation of employment under the Employment Agreement, the Viatris 2020 Stock Incentive Plan (the “</w:t>
      </w:r>
      <w:r>
        <w:rPr>
          <w:rFonts w:ascii="Times New Roman;sans-serif" w:hAnsi="Times New Roman;sans-serif"/>
          <w:b w:val="false"/>
          <w:color w:val="000000"/>
          <w:sz w:val="24"/>
          <w:u w:val="single"/>
        </w:rPr>
        <w:t>LTIP</w:t>
      </w:r>
      <w:r>
        <w:rPr>
          <w:color w:val="000000"/>
        </w:rPr>
        <w:t>”</w:t>
      </w:r>
      <w:r>
        <w:rPr>
          <w:rFonts w:ascii="Times New Roman;sans-serif" w:hAnsi="Times New Roman;sans-serif"/>
          <w:b w:val="false"/>
          <w:color w:val="000000"/>
          <w:sz w:val="24"/>
        </w:rPr>
        <w:t xml:space="preserve">) or other employee benefit plans or programs sponsored or maintained by Viatris include, but are not limited to, those set forth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3.</w:t>
      </w:r>
      <w:r>
        <w:rPr>
          <w:color w:val="000000"/>
          <w:u w:val="single"/>
        </w:rPr>
        <w:t xml:space="preserve"> “</w:t>
      </w:r>
      <w:r>
        <w:rPr>
          <w:rFonts w:ascii="Times New Roman;sans-serif" w:hAnsi="Times New Roman;sans-serif"/>
          <w:b w:val="false"/>
          <w:color w:val="000000"/>
          <w:sz w:val="24"/>
          <w:u w:val="single"/>
        </w:rPr>
        <w:t>Chairman Emeritus” Title and Senior Strategic Advisor Role.</w:t>
      </w:r>
      <w:r>
        <w:rPr>
          <w:color w:val="000000"/>
        </w:rPr>
        <w:t xml:space="preserve"> </w:t>
      </w:r>
      <w:r>
        <w:rPr>
          <w:rFonts w:ascii="Times New Roman;sans-serif" w:hAnsi="Times New Roman;sans-serif"/>
          <w:b w:val="false"/>
          <w:color w:val="000000"/>
          <w:sz w:val="24"/>
        </w:rPr>
        <w:t>To promote an effective transition of roles and responsibilities and in light of the Executive’s long and successful tenure with Viatris and Mylan and his unique knowledge of the healthcare industry, at the request of the Board and the Chief Executive Officer, the Executive hereby agrees to remain available to the Board as a Senior Strategic Advisor with the honorary title of “Chairman Emeritus” through the Advisory Period. During the Advisory Period, the Executive shall report to the Executive Committee of the Board. The advisory services will be performed at such times as are reasonably requested by the Board after reasonable consultation with the Executive. Executive acknowledges and agrees that his status at all times during the Advisory Period shall be that of an independent contractor, and that the Executive shall have the right to control and determine the method and means of performing the advisory services. The Company also acknowledges and agrees that the Executive may perform the advisory services through a limited liability company or subchapter S corporation.</w:t>
      </w:r>
    </w:p>
    <w:p>
      <w:pPr>
        <w:pStyle w:val="TextBody"/>
        <w:bidi w:val="0"/>
        <w:spacing w:lineRule="auto" w:line="240" w:before="0" w:after="240"/>
        <w:ind w:left="0" w:right="0" w:firstLine="2160"/>
        <w:jc w:val="left"/>
        <w:rPr>
          <w:rFonts w:ascii="Times New Roman;sans-serif" w:hAnsi="Times New Roman;sans-serif"/>
          <w:b w:val="false"/>
          <w:color w:val="000000"/>
          <w:sz w:val="24"/>
        </w:rPr>
      </w:pPr>
      <w:r>
        <w:rPr>
          <w:rFonts w:ascii="Times New Roman;sans-serif" w:hAnsi="Times New Roman;sans-serif"/>
          <w:b w:val="false"/>
          <w:color w:val="000000"/>
          <w:sz w:val="24"/>
        </w:rPr>
        <w:t>In satisfaction of the future compensation and other entitlements to which the Executive otherwise would have been entitled for services throughout the remaining term of the Employment Agreement, the Executive shall be entitled to the compensation set forth below during the Advisory Period for the advisory services herein: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Advisory Retainer.</w:t>
      </w:r>
      <w:r>
        <w:rPr>
          <w:color w:val="000000"/>
        </w:rPr>
        <w:t xml:space="preserve"> </w:t>
      </w:r>
      <w:r>
        <w:rPr>
          <w:rFonts w:ascii="Times New Roman;sans-serif" w:hAnsi="Times New Roman;sans-serif"/>
          <w:b w:val="false"/>
          <w:color w:val="000000"/>
          <w:sz w:val="24"/>
        </w:rPr>
        <w:t xml:space="preserve">The Executive shall receive an annual retainer equal to $15 million, paid in monthly installments in advance on the first business day of each month during the Advisory Period.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Certain Resources.</w:t>
      </w:r>
      <w:r>
        <w:rPr>
          <w:color w:val="000000"/>
        </w:rPr>
        <w:t xml:space="preserve"> </w:t>
      </w:r>
      <w:r>
        <w:rPr>
          <w:rFonts w:ascii="Times New Roman;sans-serif" w:hAnsi="Times New Roman;sans-serif"/>
          <w:b w:val="false"/>
          <w:color w:val="000000"/>
          <w:sz w:val="24"/>
        </w:rPr>
        <w:t>The Executive shall continue to receive such resources as were provided to him immediately prior to the Transition Time. Because of persistent and serious security concerns, during the Advisory Period, the Executive shall continue to be entitled to use of the Company’s aircraft, transportation and personal security services consistent with current use and services. The Company shall reimburse the Executive for all ordinary and necessary business expenses in accordance with established Company policy and procedures. In addition, during the Advisory Period, the Company shall provide the Executive with office space and an executive assistant consistent with those currently provided by the Company, and the Executive shall be entitled to retain all electronic devices and computers he holds as of the Transition Time, in each case to assist the Executive in the performance of his advisory duties hereunder.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Confidentiality Obligations.</w:t>
      </w:r>
      <w:r>
        <w:rPr>
          <w:color w:val="000000"/>
        </w:rPr>
        <w:t xml:space="preserve"> </w:t>
      </w:r>
      <w:r>
        <w:rPr>
          <w:rFonts w:ascii="Times New Roman;sans-serif" w:hAnsi="Times New Roman;sans-serif"/>
          <w:b w:val="false"/>
          <w:color w:val="000000"/>
          <w:sz w:val="24"/>
        </w:rPr>
        <w:t>The Executive recognizes and acknowledges that the business interests of the Company require a confidential relationship between the Company and the Executive and the fullest protection and confidential treatment of the financial data, customer information, supplier information, market information, marketing and/or promotional techniques and methods, pricing information, purchase information, sales policies, employee lists, policy and procedure information, records, advertising information, computer records, trade secrets, know-how, plans and programs, sources of supply and other knowledge of the business of the Company (all of which are hereinafter jointly termed “</w:t>
      </w:r>
      <w:r>
        <w:rPr>
          <w:rFonts w:ascii="Times New Roman;sans-serif" w:hAnsi="Times New Roman;sans-serif"/>
          <w:b w:val="false"/>
          <w:color w:val="000000"/>
          <w:sz w:val="24"/>
          <w:u w:val="single"/>
        </w:rPr>
        <w:t>Confidential Information</w:t>
      </w:r>
      <w:r>
        <w:rPr>
          <w:color w:val="000000"/>
        </w:rPr>
        <w:t>”</w:t>
      </w:r>
      <w:r>
        <w:rPr>
          <w:rFonts w:ascii="Times New Roman;sans-serif" w:hAnsi="Times New Roman;sans-serif"/>
          <w:b w:val="false"/>
          <w:color w:val="000000"/>
          <w:sz w:val="24"/>
        </w:rPr>
        <w:t xml:space="preserve">) which have been or may in whole or in part be conceived, learned or obtained by the Executive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in the course of the Executive’s employment with Viatris prior to the Transition Time and continued advisory service following the Transition Time. Accordingly, the Executive agrees to keep secret and treat as confidential all Confidential Information whether or not copyrightable or patentable, and agrees not to knowingly use or aid others in learning of or using any Confidential Information except in the ordinary course of business and in furtherance of the Company’s interests. During the period the Executive remains an advisor to the Board and at all times thereafter, except insofar as the Executive believes in good faith that disclosure is consistent with the Company’s business interests:</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(a)the Executive will not knowingly disclose any Confidential Information to anyone outside the Company;</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(b)the Executive will not make copies of or otherwise knowingly disclose the contents of documents containing or constituting Confidential Information;</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(c)as to documents which are delivered to the Executive or which are made available to him as a necessary part of the working relationships and advisor duties within the business of the Company, the Executive will treat such documents confidentially and will treat such documents as proprietary and confidential, not to be knowingly reproduced, disclosed or used without appropriate authority of the Company;</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(d)the Executive will not knowingly advise others that the information and/or know-how included in Confidential Information is known to or used by the Company; and</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(e)the Executive will not in any manner knowingly disclose or use Confidential Information for the Executive’s own account and will not knowingly aid, assist or abet others in the use of Confidential Information for their account or benefit, or for the account or benefit of any person or entity other than the Company.</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The obligations set forth in this paragraph are in addition to any other agreements the Executive may have with the Company and any and all rights the Company may have under state or federal statutes or common law. Anything herein to the contrary notwithstanding, the provisions of this section shall not apply (i) when disclosure is required by law or by any court, arbitrator, mediator or administrative or legislative body (including any committee thereof) with actual or apparent jurisdiction to order the Executive to disclose or make accessible any information, (ii) with respect to any other litigation, arbitration or mediation involving this Agreement or other agreement between the Company and the Executive, including, but not limited to, the enforcement of any such agreement, (iii) as to information that becomes generally known to the public or within the relevant trade or industry other than due to the Executive’s violation of this section or (iv) as to information that is or becomes available to the Executive on a non-confidential basis from a source which is entitled to disclose it to the Executive.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Restrictive Covenants.</w:t>
      </w:r>
      <w:r>
        <w:rPr>
          <w:color w:val="000000"/>
        </w:rPr>
        <w:t xml:space="preserve"> </w:t>
      </w:r>
      <w:r>
        <w:rPr>
          <w:rFonts w:ascii="Times New Roman;sans-serif" w:hAnsi="Times New Roman;sans-serif"/>
          <w:b w:val="false"/>
          <w:color w:val="000000"/>
          <w:sz w:val="24"/>
        </w:rPr>
        <w:t xml:space="preserve">The restrictive covenants set forth in Section 5 of the Employment Agreement shall remain in full force and effect pursuant to their existing terms, with the Transition Time considered the date of Termination of Employment under such provisions. Notwithstanding the foregoing, the Company acknowledges and agrees that, (i) the Executive may provide services on behalf of a business or organization that does not itself sell products or provide services that competes with the Company but invests in one or more businesses or organizations that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does sell such products or provide such services, such as, by way of example, a private or state-owned investment fund, and (ii) in any case, in the event the Executive seeks a consent or waiver in connection with the Non-Competition obligations in Section 5 of the Employment Agreement, such consent shall not be unreasonably withheld, conditioned or delayed.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Severability.</w:t>
      </w:r>
      <w:r>
        <w:rPr>
          <w:color w:val="000000"/>
        </w:rPr>
        <w:t xml:space="preserve"> </w:t>
      </w:r>
      <w:r>
        <w:rPr>
          <w:rFonts w:ascii="Times New Roman;sans-serif" w:hAnsi="Times New Roman;sans-serif"/>
          <w:b w:val="false"/>
          <w:color w:val="000000"/>
          <w:sz w:val="24"/>
          <w:shd w:fill="FFFFFF" w:val="clear"/>
        </w:rPr>
        <w:t>Should a court of competent jurisdiction determine that any section or sub-section of this Agreement is unenforceable because one or all of them are vague or overly broad, the parties agree that this Agreement may and shall be enforced to the maximum extent permitted by law. It is the intent of the parties that each section and sub-section of this Agreement be a separate and distinct promise and that unenforceability of any one subsection shall have no effect on the enforceability of another.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Termination of Advisory Period.</w:t>
      </w:r>
      <w:r>
        <w:rPr>
          <w:color w:val="000000"/>
        </w:rPr>
        <w:t xml:space="preserve"> </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(a)The Executive may terminate the Advisory Period for any reason on no less than thirty (30) days’ written notice to the Company. During the thirty-day (30) period following the date on which the Executive gives notice, the Executive will continue to make himself available to effect a smooth and effective transition to the person (if any) who will replace the Executive. The Company reserves the right to accelerate the effective date of the Executive’s resignation. Notwithstanding the foregoing, if the Executive resigns with Good Reason (as defined below), he shall be entitled to resign immediately upon written notice to the Company and without any obligation to provide transition services. Except as set forth below with respect to a resignation for Good Reason, death or Disability, in the event the Executive exercises such termination right, the Company shall have no further obligations to the Executive under Section 3 of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(b)The Company may terminate the Executive’s advisory services for Cause. For purposes of this Agreement,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 xml:space="preserve">shall mean the occurrence of (i) the Executive’s willful and continued gross neglect of duties under this Agreement (other than resulting from incapacity due to physical or mental illness or following the Executive’s delivery of a notice of termination for Good Reason (as defined herein)), (ii) the willful commission by the Executive of a felony that is materially and demonstrably injurious to the Company or (iii) the willful engaging by the Executive in gross misconduct in connection with his advisory services with the Company that is materially and demonstrably injurious to the Company which, in the case of clauses (i) and (iii), has not been cured within 30 days after a written notice is delivered to the Executive by the Board that specifically identifies the manner in which the Board believes that the Executive has willfully and continuously grossly neglected his duties under this Agreement or has willfully engaged in gross misconduct in connection with his advisory capacity with the Company that is materially and demonstrably injurious to the Company. No act, or failure to act, on the part of the Executive shall be considered “willful” unless it is done, or omitted to be done, by the Executive in bad faith or without the belief that the Executive’s action or omission was in the best interests of the Company. Any act, or failure to act, based upon authority given pursuant to a resolution duly adopted by the Board or based upon the advice of counsel for the Company shall be conclusively presumed to be done, or omitted to be done, by the Executive in good faith and in the best interests of the Company. The cessation of advisory services of the Executive shall not be deemed to be for Cause unless and until there shall have been delivered to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Executive a copy of a resolution duly adopted by the affirmative vote of not less than three-quarters of the entire membership of the Board at a meeting of the Board called and held for such purpose (after reasonable notice is provided to the Executive and the Executive is given an opportunity, together with counsel for the Executive, to be heard before the Board), finding that, in the good-faith opinion of the Board, Cause exists and specifying the particulars thereof in detail. In the event of a dispute concerning the existence of “Cause”, any claim by the Executive that “Cause” does not exist shall be presumed correct unless the Company establishes to a court of competent jurisdiction that Cause exists by clear and convincing evidence. If the Executive is terminated for Cause (at any time), then the Company shall have no further obligation to the Executive (other than with respect to already vested benefits under Company plans or programs).</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(c)If the Executive terminates the advisory services hereunder with Good Reason, the Company terminates the advisory services hereunder without Cause or the Advisory Period is terminated due to the Executive’s death or Disability, then the Executive shall receive the payments and benefits set forth below: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Advisory Retainer.</w:t>
      </w:r>
      <w:r>
        <w:rPr>
          <w:color w:val="000000"/>
        </w:rPr>
        <w:t xml:space="preserve"> </w:t>
      </w:r>
      <w:r>
        <w:rPr>
          <w:rFonts w:ascii="Times New Roman;sans-serif" w:hAnsi="Times New Roman;sans-serif"/>
          <w:b w:val="false"/>
          <w:color w:val="000000"/>
          <w:sz w:val="24"/>
        </w:rPr>
        <w:t xml:space="preserve">Within three (3) business days of the termination of the Advisory Period, the Company shall pay the Executive (or his estate) a lump sum amount in cash equal to any and all Advisor Retainer payments that the Executive would have received through the remaining portion of the Advisory Period if his advisory services had not terminated.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 xml:space="preserve">(ii)For the avoidance of doubt, in the event the Executive’s employment terminates prior to the commencement of the Advisory Period for the reasons specified in this Section 7(c), the Executive shall be entitled to the payments and benefits in this Section 7 in addition to any benefits to which he is entitled under Section 8 of the Employment Agreement and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of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(d)For purposes of the Advisory Period, “</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 xml:space="preserve">shall mean: (i) the assignment to the Executive of any duties inconsistent in any respect with the Executive’s position as a Senior Strategic Advisor and Chairman Emeritus or any other diminution in such position (or removal from such position) or the failure to provide the Executive with supporting resources reasonably necessary to complete the advisory services hereunder, in each case excluding for this purpose an isolated, insubstantial and inadvertent action not taken in bad faith and that is remedied by the Company promptly after receipt of notice thereof given by the Executive; (ii) a reduction in the Executive’s compensation hereunder; (iii) any failure by the Company to comply with any of the provisions of Section 3 of this Agreement, other than an isolated, insubstantial and inadvertent failure not occurring in bad faith and that is remedied by the Company promptly after receipt of notice thereof given by the Executive; (iv) a Change in Control as defined in subsections (ii), (iii) or (iv) of the definition of such term in the Company’s 2020 Stock Incentive Plan or a majority of the Board or Executive Committee ceasing to consist of directors who are either directors or members, as applicable, as of the date hereof or who subsequently became directors and whose election, or nomination for election by the Company’s stockholders, was approved by a three-quarters majority of the incumbent directors, provided that any director whose initial assumption of office is in connection with an actual or threatened election contest, including but not limited to a consent solicitation,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relating to the election of directors of the Company shall not qualify as an incumbent director; (v) the Company’s requiring the Executive to be based at any office or location without the consent of the Executive; or (vi) any other breach of this Agreement by the Company, excluding for this purpose an isolated, insubstantial and inadvertent breach that is not taken in bad faith and that is remedied by the Company promptly after receipt of notice thereof given by the Executive.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(e)</w:t>
      </w:r>
      <w:r>
        <w:rPr>
          <w:color w:val="000000"/>
        </w:rPr>
        <w:t>“</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shall mean the Executive’s inability to perform his advisory duties hereunder due to any medically determinable mental, physical or emotional impairment which has lasted for a period of at least twelve (12) consecutive months.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No Duty to Mitigate; Disputes.</w:t>
      </w:r>
      <w:r>
        <w:rPr>
          <w:color w:val="000000"/>
        </w:rPr>
        <w:t xml:space="preserve"> </w:t>
      </w:r>
      <w:r>
        <w:rPr>
          <w:rFonts w:ascii="Times New Roman;sans-serif" w:hAnsi="Times New Roman;sans-serif"/>
          <w:b w:val="false"/>
          <w:color w:val="000000"/>
          <w:sz w:val="24"/>
        </w:rPr>
        <w:t>There shall be no requirement on the part of the Executive to seek other employment or otherwise mitigate damages in order to be entitled to the full amount of any payments and benefits to which the Executive is otherwise entitled under this Agreement, and the amount of such payments and benefits shall not be subject to any set off or reduced by any compensation or benefits received by the Executive from other employment. The Company’s obligation to make payments provided for in this Agreement and otherwise to perform its obligations hereunder shall not be affected by any forfeiture, set-off, counterclaim, recoupment, defense, or other claim, right or action that the Company may have against the Executive or others, whether based on contractual, fiduciary or other claims. In the event of any dispute between the Executive and the Company regarding the Executive’s right to payment under this Section 7 or otherwise, except as set forth below, the Company agrees that, notwithstanding any such dispute, the Company will not for any reason withhold payment of any amounts that the Executive would have been entitled to receive under this Section 7 or otherwise.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Section 280G Matters.</w:t>
      </w:r>
      <w:r>
        <w:rPr>
          <w:color w:val="000000"/>
        </w:rPr>
        <w:t xml:space="preserve"> </w:t>
      </w:r>
      <w:r>
        <w:rPr>
          <w:rFonts w:ascii="Times New Roman;sans-serif" w:hAnsi="Times New Roman;sans-serif"/>
          <w:b w:val="false"/>
          <w:color w:val="000000"/>
          <w:sz w:val="24"/>
        </w:rPr>
        <w:t>Notwithstanding any other provision of this Agreement or any other plan, program, arrangement, agreement or policy with or maintained by the Company: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(i)In the event it is determined by a mutually agreed independent nationally recognized public accounting firm, which is engaged and paid for by the Company prior to the consummation of any transaction constituting a Change of Control (which for purposes of this Section 7(f) shall mean a change in ownership or control as determined in accordance with the regulations promulgated under Section 280G of the Code), which accounting firm shall in no event be the accounting firm for the entity seeking to effectuate the Change of Control (the “</w:t>
      </w:r>
      <w:r>
        <w:rPr>
          <w:rFonts w:ascii="Times New Roman;sans-serif" w:hAnsi="Times New Roman;sans-serif"/>
          <w:b w:val="false"/>
          <w:color w:val="000000"/>
          <w:sz w:val="24"/>
          <w:u w:val="single"/>
        </w:rPr>
        <w:t>Accountant</w:t>
      </w:r>
      <w:r>
        <w:rPr>
          <w:color w:val="000000"/>
        </w:rPr>
        <w:t>”</w:t>
      </w:r>
      <w:r>
        <w:rPr>
          <w:rFonts w:ascii="Times New Roman;sans-serif" w:hAnsi="Times New Roman;sans-serif"/>
          <w:b w:val="false"/>
          <w:color w:val="000000"/>
          <w:sz w:val="24"/>
        </w:rPr>
        <w:t xml:space="preserve">), which determination shall be certified by the Accountant and set forth in a certificate delivered to the Executive not less than ten (10) business days prior to the Change of Control setting forth in reasonable detail the basis of the </w:t>
      </w:r>
    </w:p>
    <w:p>
      <w:pPr>
        <w:pStyle w:val="TextBody"/>
        <w:bidi w:val="0"/>
        <w:spacing w:lineRule="auto" w:line="240" w:before="0" w:after="2"/>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(ii)Accountant's calculations (including any assumptions that the Accountant made in performing the calculations), that part or all of the consideration, compensation or benefits to be paid to the Executive under this Agreement constitute “parachute payments” under Section 280G(b)(2) of the Code, then, if the aggregate present value of such parachute payments, singularly or together with the aggregate present value of any consideration, compensation or benefits to be paid to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
        <w:jc w:val="left"/>
        <w:rPr/>
      </w:pPr>
      <w:r>
        <w:rPr>
          <w:rFonts w:ascii="Times New Roman;sans-serif" w:hAnsi="Times New Roman;sans-serif"/>
          <w:b w:val="false"/>
          <w:color w:val="000000"/>
          <w:sz w:val="24"/>
        </w:rPr>
        <w:t>the Executive under any other plan, arrangement or agreement which constitute “parachute payments” (collectively, the “</w:t>
      </w:r>
      <w:r>
        <w:rPr>
          <w:rFonts w:ascii="Times New Roman;sans-serif" w:hAnsi="Times New Roman;sans-serif"/>
          <w:b w:val="false"/>
          <w:color w:val="000000"/>
          <w:sz w:val="24"/>
          <w:u w:val="single"/>
        </w:rPr>
        <w:t>Parachute Amount</w:t>
      </w:r>
      <w:r>
        <w:rPr>
          <w:color w:val="000000"/>
        </w:rPr>
        <w:t>”</w:t>
      </w:r>
      <w:r>
        <w:rPr>
          <w:rFonts w:ascii="Times New Roman;sans-serif" w:hAnsi="Times New Roman;sans-serif"/>
          <w:b w:val="false"/>
          <w:color w:val="000000"/>
          <w:sz w:val="24"/>
        </w:rPr>
        <w:t>) exceeds the maximum amount that would not give rise to any liability under Section 4999 of the Code, the amounts constituting “parachute payments” which would otherwise be payable to the Executive or for his benefit shall be reduced to the maximum amount that would not give rise to any liability under Section 4999 of the Code (the “</w:t>
      </w:r>
      <w:r>
        <w:rPr>
          <w:rFonts w:ascii="Times New Roman;sans-serif" w:hAnsi="Times New Roman;sans-serif"/>
          <w:b w:val="false"/>
          <w:color w:val="000000"/>
          <w:sz w:val="24"/>
          <w:u w:val="single"/>
        </w:rPr>
        <w:t>Reduced Amount</w:t>
      </w:r>
      <w:r>
        <w:rPr>
          <w:color w:val="000000"/>
        </w:rPr>
        <w:t>”</w:t>
      </w:r>
      <w:r>
        <w:rPr>
          <w:rFonts w:ascii="Times New Roman;sans-serif" w:hAnsi="Times New Roman;sans-serif"/>
          <w:b w:val="false"/>
          <w:color w:val="000000"/>
          <w:sz w:val="24"/>
        </w:rPr>
        <w:t>); provided that such amounts shall not be so reduced if the Accountant determines that without such reduction the Executive would be entitled to receive and retain, on a net after-tax basis (including, without limitation, any excise taxes payable under Section 4999 of the Code), an amount which is greater than the amount, on a net after-tax basis, that the Executive would be entitled to retain upon receipt of the Reduced Amount. In connection with making determinations under this Section 7(f), the Accountant shall take into account any positions to mitigate any excise taxes payable under Section 4999 of the Code, such as the value of any reasonable compensation for services to be rendered by the Executive before or after the Change of Control, including any amounts payable to the Executive following the Executive's termination of advisory services with respect to any non-competition provisions that may apply to the Executive, and the Company shall cooperate in the valuation of any such services, including any non-competition provisions.</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(iii)If the determination made pursuant to Section 7(f)(i) results in a reduction of the payments that would otherwise be paid to the Executive except for the application of Section 7(f)(i), the Company shall promptly give the Executive notice of such determination. Such reduction in payments shall be first applied to reduce any cash payments that the Executive would otherwise be entitled to receive (whether pursuant to this Agreement or otherwise) and shall thereafter be applied to reduce other payments and benefits, in each case, in reverse order beginning with the payments or benefits that are to be paid the furthest in time from the date of such determination, unless, to the extent permitted by Section 409A of the Code, the Executive elects to have the reduction in payments applied in a different order; provided that, in no event may such payments be reduced in a manner that would result in subjecting the Executive to additional taxation under Section 409A of the Code.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(iv)As a result of the uncertainty in the application of Sections 280G and 4999 of the Code at the time of a determination hereunder, it is possible that amounts will have been paid or distributed by the Company to or for the Executive’s benefit pursuant to this Agreement which should not have been so paid or distributed (each, an “</w:t>
      </w:r>
      <w:r>
        <w:rPr>
          <w:rFonts w:ascii="Times New Roman;sans-serif" w:hAnsi="Times New Roman;sans-serif"/>
          <w:b w:val="false"/>
          <w:color w:val="000000"/>
          <w:sz w:val="24"/>
          <w:u w:val="single"/>
        </w:rPr>
        <w:t>Overpayment</w:t>
      </w:r>
      <w:r>
        <w:rPr>
          <w:color w:val="000000"/>
        </w:rPr>
        <w:t>”</w:t>
      </w:r>
      <w:r>
        <w:rPr>
          <w:rFonts w:ascii="Times New Roman;sans-serif" w:hAnsi="Times New Roman;sans-serif"/>
          <w:b w:val="false"/>
          <w:color w:val="000000"/>
          <w:sz w:val="24"/>
        </w:rPr>
        <w:t>) or that additional amounts which will have not been paid or distributed by the Company to or for the Executive's benefit pursuant to this Agreement could have been so paid or distributed (each, an “</w:t>
      </w:r>
      <w:r>
        <w:rPr>
          <w:rFonts w:ascii="Times New Roman;sans-serif" w:hAnsi="Times New Roman;sans-serif"/>
          <w:b w:val="false"/>
          <w:color w:val="000000"/>
          <w:sz w:val="24"/>
          <w:u w:val="single"/>
        </w:rPr>
        <w:t>Underpayment</w:t>
      </w:r>
      <w:r>
        <w:rPr>
          <w:color w:val="000000"/>
        </w:rPr>
        <w:t>”</w:t>
      </w:r>
      <w:r>
        <w:rPr>
          <w:rFonts w:ascii="Times New Roman;sans-serif" w:hAnsi="Times New Roman;sans-serif"/>
          <w:b w:val="false"/>
          <w:color w:val="000000"/>
          <w:sz w:val="24"/>
        </w:rPr>
        <w:t xml:space="preserve">), in each case, consistent with the calculation of the Reduced Amount hereunder. In the event that the Accountant, based upon the assertion of a deficiency by the Internal Revenue Service against either the Company or the Executive which the Accountant believes has a high probability of success, determines that an Overpayment has been made, any such Overpayment paid or distributed by the Company to or for the Executive’s benefit shall be repaid by the Executive to the Company together with interest at the applicable federal rate provided for in Section 7872(f)(2)(A) of the Code;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u w:val="single"/>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 such repayment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shall be required if and to the extent such deemed repayment would not either reduce the amount on which the Executive is subject to tax under Sections 1 and 4999 of the Code or generate a refund of such taxes. In the event that the Accountant, based on controlling precedent or substantial authority, determines that an Underpayment has occurred, any such Underpayment shall be promptly paid by the Company to or for the Executive’s benefit together with interest at the applicable federal rate provided for in Section 7872(f)(2)(A) of the Code.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Mutual Release of Claims.</w:t>
      </w:r>
      <w:r>
        <w:rPr>
          <w:color w:val="000000"/>
        </w:rPr>
        <w:t xml:space="preserve"> </w:t>
      </w:r>
      <w:r>
        <w:rPr>
          <w:rFonts w:ascii="Times New Roman;sans-serif" w:hAnsi="Times New Roman;sans-serif"/>
          <w:b w:val="false"/>
          <w:color w:val="000000"/>
          <w:sz w:val="24"/>
        </w:rPr>
        <w:t>The Executive, on his own behalf and on behalf of his heirs, family members, executors, agents and assigns, hereby and forever releases and discharges Viatris and its current and former officers, directors, employees, agents, investors, attorneys, shareholders, administrators, affiliates, direct and indirect parents and subsidiaries, benefit plans, plan administrators, insurers, trustees, divisions and subsidiaries, predecessor and successor corporations and assigns, and all persons acting with or on behalf of them (collectively, the “</w:t>
      </w:r>
      <w:r>
        <w:rPr>
          <w:rFonts w:ascii="Times New Roman;sans-serif" w:hAnsi="Times New Roman;sans-serif"/>
          <w:b w:val="false"/>
          <w:color w:val="000000"/>
          <w:sz w:val="24"/>
          <w:u w:val="single"/>
        </w:rPr>
        <w:t>Viatris Released Parties</w:t>
      </w:r>
      <w:r>
        <w:rPr>
          <w:color w:val="000000"/>
        </w:rPr>
        <w:t>”</w:t>
      </w:r>
      <w:r>
        <w:rPr>
          <w:rFonts w:ascii="Times New Roman;sans-serif" w:hAnsi="Times New Roman;sans-serif"/>
          <w:b w:val="false"/>
          <w:color w:val="000000"/>
          <w:sz w:val="24"/>
        </w:rPr>
        <w:t>), from any and all claims, complaints, charges, duties, obligations, demands or causes of action relating to any matters of any kind, whether presently known or unknown, suspected or unsuspected, that the Executive may possess against any of the Viatris Released Parties arising from any omissions, acts, failures to act, facts or damages that have occurred up until and including the date the Executive executes this Agreement, including, without limitation:</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(a)any and all claims relating to or arising from the Executive’s employment relationship with Viatris and/or any of the Viatris Released Parties and the cessation of that relationship;</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(b)any and all claims relating to or arising from the Executive’s right to purchase, or actual purchase of shares of stock or ordinary shares of Viatris and/or any of the Viatris Released Parties, including, without limitation, any claims for fraud, misrepresentation, breach of fiduciary duty, breach of duty under applicable state corporate law, and securities fraud under any state or federal law;</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(d)any and all claims under any policy, agreement, understanding or promise, written or oral, formal or informal, between any Viatris Released Parties and the Executive existing as of the date hereof (whether arising before, on or after the date the Executive executes this Agreement);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Employment Act of 1967; the Older Workers Benefit Protection Act; the Employee Retirement Income Security Act of 1974; the Worker Adjustment and Retraining Notification Act; the Family and Medical Leave Act; the Sarbanes-Oxley Act of 2002; the laws and Constitution of the Commonwealth of Pennsylvania, each as amended; or any other federal, state or local law, regulation ordinance or common law;</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(f)any and all claims for violation of the federal or any state constitution;</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(g)any and all claims arising out of any other laws and regulations relating to employment or employment discrimination;</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(h)any claim for any loss, cost, damage or expense arising out of any dispute over the non-withholding or other tax treatment of any of the proceeds received by the Executive as a result of this Agreement, except as specified herein;</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(i)any and all claims for attorneys’ fees and costs; and</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(j)any other claims whatsoever.</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Executive agrees that the release set forth in this section shall be and remain in effect in all respects as a complete general release as to the matters released. This Release does not extend to any of the Executive’s rights under this Agreement or any indemnification agreement with the Company or surviving rights of the Executive under the Employment Agreement (including Section 9 and any other indemnification rights thereof or therein), any claims accruing after execution of this Agreement, any rights the Executive may have under any D&amp;O insurance policy maintained by the Company and/or any of the Viatris Released Parties, any of the Executive’s rights contained in any other agreements between the Company and the Executive, or any of the Executive’s rights under any plans and programs sponsored or maintained by the Company, as determined in accordance with any such plans and programs. This Release does not release claims that cannot be released as a matter of law, including, but not limited to, the Executive’s right to file a charge with or participate in a charge by the Equal Employment Opportunity Commission, or any other local, state or federal administrative body or government agency that is authorized to enforce or administer laws related to employment, against Viatris (with the understanding that any such filing or participation does not give the Executive the right to recover any monetary damages against the Company and/or any of the Viatris Released Parties, and that the Executive’s release of claims herein bars the Executive from recovering such monetary relief from the Company and/or any of the Company Released Parties). The Executive represents that he has made no assignment or transfer of any right, claim, complaint, charge, duty, obligation, demand, cause of action or other matter waived or released by this section.</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on its own behalf and of behalf of any of its subsidiaries and affiliates, hereby and forever releases and discharges the Executive from any and all claims, complaints, charges, duties, obligations, demands, or causes of action relating to any matters of any kind, whether presently known or unknown, suspected or unsuspected, that the Company may possess against the Executive arising from any omissions, acts, failures to act, facts, or damages that have occurred up until and including the date the Company executes this Agreement, other than any claims arising from fraudulent or criminal conduct or claims that cannot be released under applicable law or any rights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Company may have to recover compensation under the Company’s “clawback” policy, if applicable, or similar provision of applicable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Indemnification.</w:t>
      </w:r>
      <w:r>
        <w:rPr>
          <w:color w:val="000000"/>
        </w:rPr>
        <w:t xml:space="preserve"> </w:t>
      </w:r>
      <w:r>
        <w:rPr>
          <w:rFonts w:ascii="Times New Roman;sans-serif" w:hAnsi="Times New Roman;sans-serif"/>
          <w:b w:val="false"/>
          <w:color w:val="000000"/>
          <w:sz w:val="24"/>
        </w:rPr>
        <w:t xml:space="preserve">Section 9 of the Employment Agreement shall survive Termination of Employment under the Employment Agreement in accordance with the terms thereof. </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 addition, with respect to periods of service prior to the Transition Time, the Executive shall continue to receive indemnification in accordance with the Company's Bylaws in effect as of the date of this Agreement. Such indemnification shall be contractual in nature and shall remain in effect notwithstanding any future change to the Company's Bylaws. With respect to periods of service prior to the Transition Time, the Executive shall also continue to receive indemnification in accordance with his Indemnification Agreement with the Company entered into on November 16, 2020.</w:t>
      </w:r>
    </w:p>
    <w:p>
      <w:pPr>
        <w:pStyle w:val="TextBody"/>
        <w:bidi w:val="0"/>
        <w:spacing w:lineRule="auto" w:line="240" w:before="0" w:after="240"/>
        <w:ind w:left="0" w:right="0" w:firstLine="14"/>
        <w:jc w:val="left"/>
        <w:rPr/>
      </w:pPr>
      <w:r>
        <w:rPr>
          <w:rFonts w:ascii="Times New Roman;sans-serif" w:hAnsi="Times New Roman;sans-serif"/>
          <w:b w:val="false"/>
          <w:color w:val="000000"/>
          <w:sz w:val="24"/>
        </w:rPr>
        <w:t>With respect to period of service on or after the Transition Time, in the event that the Executive is made a party or is threatened to be made a party to or is involved in any action, suit or proceeding (including those brought by or in the right of the Company) whether civil, criminal, administrative or investigative (“</w:t>
      </w:r>
      <w:r>
        <w:rPr>
          <w:rFonts w:ascii="Times New Roman;sans-serif" w:hAnsi="Times New Roman;sans-serif"/>
          <w:b w:val="false"/>
          <w:color w:val="000000"/>
          <w:sz w:val="24"/>
          <w:u w:val="single"/>
        </w:rPr>
        <w:t>proceeding</w:t>
      </w:r>
      <w:r>
        <w:rPr>
          <w:color w:val="000000"/>
        </w:rPr>
        <w:t>”</w:t>
      </w:r>
      <w:r>
        <w:rPr>
          <w:rFonts w:ascii="Times New Roman;sans-serif" w:hAnsi="Times New Roman;sans-serif"/>
          <w:b w:val="false"/>
          <w:color w:val="000000"/>
          <w:sz w:val="24"/>
        </w:rPr>
        <w:t xml:space="preserve">), by reason of the fact that he is or was an advisor or independent contractor to the Company or any subsidiary of the Company, whether the basis of such proceeding is alleged action in an official capacity as an advisor or independent contractor or in any other capacity while serving as an advisor or independent contractor, the Executive shall be indemnified and held harmless by the Company to the fullest extent authorized by law against all expenses, liabilities and losses (including attorneys fees, judgments, fines, ERISA excise taxes or penalties and amounts paid or to be paid in settlement) reasonably incurred or suffered by the Executive in connection therewith except to the extent that such expenses, liabilities and losses are determined by a court of competent jurisdiction to have been caused by the bad faith, fraud or willful misconduct (including but not limited to a willful breach of this Agreement) of the Executive. Such right shall be a contract right and shall include the right to be paid by the Company expenses incurred in defending any such proceeding in advance of its final disposition;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payment of such expenses incurred by the Executive in his capacity as an advisor or independent contractor in advance of the final disposition of such proceeding will be made only upon delivery to the Company of an undertaking, by or on behalf of the Executive, to repay all amounts to Company so advanced if it should be determined ultimately that the Executive is not entitled to be indemnified under this section or otherwise.</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Promptly after receipt by the Executive of notice of the commencement of any action, suit or proceeding for which the Executive may be entitled to be indemnified, the Executive shall notify the Company in writing of the commencement thereof (but the failure to notify the Company shall not relieve it from any liability which it may have under this Section 9 unless and to the extent that it has been prejudiced in a material respect by such failure or from the forfeiture of substantial rights and defenses). If any such action, suit or proceeding is brought against the Executive and he notifies the Company of the commencement thereof, the Company will be entitled to participate therein, and, to the extent it may elect by written notice delivered to the Executive promptly after receiving the aforesaid notice from the Executive, to assume the defense thereof with counsel reasonably satisfactory to the Executive, which may be the same counsel as counsel to the Company. Notwithstanding the foregoing, the Executive shall have the right to employ his own counsel in any such case, but the fees and expenses of such counsel shall be at the expense of the Executive unless (i) the employment of such counsel shall have been authorized in writing by the Company, (ii) the Company shall not have employed counsel reasonably satisfactory to the Executive to take charge of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11</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defense of such action within a reasonable time after notice of commencement of the action or (iii) the Executive shall have reasonably concluded, after consultation with counsel to the Executive, that a conflict of interest exists which makes representation by counsel chosen by the Company not advisable (in which case the Company shall not have the right to direct the defense of such action on behalf of the Executive), in any of which events such fees and expenses of one additional counsel shall be borne by the Company.</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Anything in this Section 9 to the contrary notwithstanding, the Company shall not be liable for any settlement of any claim or action effected without its written consent.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shd w:fill="FFFFFF" w:val="clear"/>
        </w:rPr>
        <w:t>Legal Fees.</w:t>
      </w:r>
      <w:r>
        <w:rPr>
          <w:color w:val="000000"/>
          <w:shd w:fill="FFFFFF" w:val="clear"/>
        </w:rPr>
        <w:t>  </w:t>
      </w:r>
      <w:r>
        <w:rPr>
          <w:rFonts w:ascii="Times New Roman;sans-serif" w:hAnsi="Times New Roman;sans-serif"/>
          <w:b w:val="false"/>
          <w:color w:val="000000"/>
          <w:sz w:val="24"/>
          <w:shd w:fill="FFFFFF" w:val="clear"/>
        </w:rPr>
        <w:t>Notwithstanding anything to the contrary in Section 9 of this Agreement, the Company shall advance to the Executive all costs (including but not limited to reasonable legal fees and expenses) incurred by the Executive in disputing in good faith any issue hereunder or under the Employment Agreement, including relating to the cessation of the Executive's service, in seeking in good faith to obtain or enforce any benefit or right provided by this Agreement or any agreement or arrangement referenced herein, or in connection with any tax audit or proceeding. Such advancements shall be made promptly upon delivery of the Executive's written request for payment accompanied by appropriate evidence of the related costs (regardless of, and not contingent upon, the outcome of any such dispute). In addition, the Company shall pay or reimburse Executive for all reasonable legal, consulting and other fees and expenses incurred by Executive in connection with the preparation, negotiation and execution of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Notices.</w:t>
      </w:r>
      <w:r>
        <w:rPr>
          <w:color w:val="000000"/>
        </w:rPr>
        <w:t xml:space="preserve"> </w:t>
      </w:r>
      <w:r>
        <w:rPr>
          <w:rFonts w:ascii="Times New Roman;sans-serif" w:hAnsi="Times New Roman;sans-serif"/>
          <w:b w:val="false"/>
          <w:color w:val="000000"/>
          <w:sz w:val="24"/>
        </w:rPr>
        <w:t>All notices hereunder to the parties hereto shall be in writing sent by certified mail, return receipt requested, postage prepaid, and by fax (receipt confirmed), addressed to the respective parties at the following addresses:</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If to the Company:</w:t>
      </w:r>
    </w:p>
    <w:p>
      <w:pPr>
        <w:pStyle w:val="TextBody"/>
        <w:bidi w:val="0"/>
        <w:spacing w:lineRule="auto" w:line="240" w:before="0" w:after="240"/>
        <w:jc w:val="left"/>
        <w:rPr/>
      </w:pPr>
      <w:r>
        <w:rPr>
          <w:rFonts w:ascii="Times New Roman;sans-serif" w:hAnsi="Times New Roman;sans-serif"/>
          <w:b w:val="false"/>
          <w:color w:val="000000"/>
          <w:sz w:val="24"/>
        </w:rPr>
        <w:t xml:space="preserve">Viatris Inc. </w:t>
      </w:r>
      <w:r>
        <w:rPr>
          <w:rFonts w:ascii="Times New Roman;sans-serif" w:hAnsi="Times New Roman;sans-serif"/>
          <w:b w:val="false"/>
          <w:color w:val="000000"/>
          <w:sz w:val="20"/>
        </w:rPr>
        <w:br/>
      </w:r>
      <w:r>
        <w:rPr>
          <w:rFonts w:ascii="Times New Roman;sans-serif" w:hAnsi="Times New Roman;sans-serif"/>
          <w:b w:val="false"/>
          <w:color w:val="000000"/>
          <w:sz w:val="24"/>
        </w:rPr>
        <w:t xml:space="preserve">1000 Mylan Boulevard </w:t>
      </w:r>
      <w:r>
        <w:rPr>
          <w:rFonts w:ascii="Times New Roman;sans-serif" w:hAnsi="Times New Roman;sans-serif"/>
          <w:b w:val="false"/>
          <w:color w:val="000000"/>
          <w:sz w:val="20"/>
        </w:rPr>
        <w:br/>
      </w:r>
      <w:r>
        <w:rPr>
          <w:rFonts w:ascii="Times New Roman;sans-serif" w:hAnsi="Times New Roman;sans-serif"/>
          <w:b w:val="false"/>
          <w:color w:val="000000"/>
          <w:sz w:val="24"/>
        </w:rPr>
        <w:t xml:space="preserve">Canonsburg, PA 15317 </w:t>
      </w:r>
      <w:r>
        <w:rPr>
          <w:rFonts w:ascii="Times New Roman;sans-serif" w:hAnsi="Times New Roman;sans-serif"/>
          <w:b w:val="false"/>
          <w:color w:val="000000"/>
          <w:sz w:val="20"/>
        </w:rPr>
        <w:br/>
      </w:r>
      <w:r>
        <w:rPr>
          <w:rFonts w:ascii="Times New Roman;sans-serif" w:hAnsi="Times New Roman;sans-serif"/>
          <w:b w:val="false"/>
          <w:color w:val="000000"/>
          <w:sz w:val="24"/>
        </w:rPr>
        <w:t xml:space="preserve">Attention: Global General Counsel </w:t>
      </w:r>
      <w:r>
        <w:rPr>
          <w:rFonts w:ascii="Times New Roman;sans-serif" w:hAnsi="Times New Roman;sans-serif"/>
          <w:b w:val="false"/>
          <w:color w:val="000000"/>
          <w:sz w:val="20"/>
        </w:rPr>
        <w:br/>
      </w:r>
      <w:r>
        <w:rPr>
          <w:rFonts w:ascii="Times New Roman;sans-serif" w:hAnsi="Times New Roman;sans-serif"/>
          <w:b w:val="false"/>
          <w:color w:val="000000"/>
          <w:sz w:val="24"/>
        </w:rPr>
        <w:t>Fax: (724) 514-1871</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If to the Executive:</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Executive’s most recent address or fax number on file with the Company.</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Either party may, by written notice complying with the requirements of this section, specify another or different person or address for the purpose of notification hereunder. All notices shall be deemed to have been given and received on the day a fax is sent or, if mailed only, on the third business day following such mailing.</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Withholding.</w:t>
      </w:r>
      <w:r>
        <w:rPr>
          <w:color w:val="000000"/>
        </w:rPr>
        <w:t xml:space="preserve"> </w:t>
      </w:r>
      <w:r>
        <w:rPr>
          <w:rFonts w:ascii="Times New Roman;sans-serif" w:hAnsi="Times New Roman;sans-serif"/>
          <w:b w:val="false"/>
          <w:color w:val="000000"/>
          <w:sz w:val="24"/>
        </w:rPr>
        <w:t>All payments required to be made by the Company hereunder to the Executive or his dependents, beneficiaries or estate will be subject to the withholding of such amounts relating to tax and/or other payroll deductions, if required by applicable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Modification and Waiver.</w:t>
      </w:r>
      <w:r>
        <w:rPr>
          <w:color w:val="000000"/>
        </w:rPr>
        <w:t xml:space="preserve"> </w:t>
      </w:r>
      <w:r>
        <w:rPr>
          <w:rFonts w:ascii="Times New Roman;sans-serif" w:hAnsi="Times New Roman;sans-serif"/>
          <w:b w:val="false"/>
          <w:color w:val="000000"/>
          <w:sz w:val="24"/>
          <w:shd w:fill="FFFFFF" w:val="clear"/>
        </w:rPr>
        <w:t xml:space="preserve">This Agreement may not be changed or terminated orally, nor shall any change, termination or attempted waiver of any of the provisions contained in this Agreement be binding unless in writing and signed by the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party against whom the same is sought to be enforced, nor shall this section itself be waived verbally. This Agreement may be amended only by a written instrument duly executed by or on behalf of the parties hereto.</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Construction of Agreement.</w:t>
      </w:r>
      <w:r>
        <w:rPr>
          <w:color w:val="000000"/>
        </w:rPr>
        <w:t xml:space="preserve"> </w:t>
      </w:r>
      <w:r>
        <w:rPr>
          <w:rFonts w:ascii="Times New Roman;sans-serif" w:hAnsi="Times New Roman;sans-serif"/>
          <w:b w:val="false"/>
          <w:color w:val="000000"/>
          <w:sz w:val="24"/>
          <w:shd w:fill="FFFFFF" w:val="clear"/>
        </w:rPr>
        <w:t>This Agreement and all of its provisions were subject to negotiation and shall not be construed more strictly against one party than against another party regardless of which party drafted any particular provision.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Successors and Assigns.</w:t>
      </w:r>
      <w:r>
        <w:rPr>
          <w:color w:val="000000"/>
        </w:rPr>
        <w:t xml:space="preserve"> </w:t>
      </w:r>
      <w:r>
        <w:rPr>
          <w:rFonts w:ascii="Times New Roman;sans-serif" w:hAnsi="Times New Roman;sans-serif"/>
          <w:b w:val="false"/>
          <w:color w:val="000000"/>
          <w:sz w:val="24"/>
        </w:rPr>
        <w:t xml:space="preserve">This Agreement and all of its provisions, rights and obligations shall be binding upon and inure to the benefit of the parties hereto and the Company’s successors and assigns. This Agreement may not be assigned by the Company. No right or interest to or in any payments or benefits hereunder shall be assignable by the Executive;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this provision shall not preclude him from designating one or more beneficiaries to receive any amount that may be payable after his death, and shall not preclude the legal representative of his estate from assigning any right hereunder to the person or persons entitled thereto under his will or, in the case of intestacy, to the person or persons entitled thereto under the laws of intestacy applicable to his estate. The term “beneficiaries” as used in this Agreement shall mean a beneficiary or beneficiaries so designated to receive any such amount, or, if no beneficiary has been so designated, the legal representative of the Executive’s estate. No right, benefit or interest hereunder shall be subject to anticipation, alienation, sale, assignment, encumbrance, charge, pledge, hypothecation or set-off in respect of any claim, debt or obligation, or to execution, attachment, levy or similar process, or assignment by operation of law. Any attempt, voluntary or involuntary, to effect any action specified in the immediately preceding sentence shall, to the full extent permitted by law, be null, void and of no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Choice of Law and Forum.</w:t>
      </w:r>
      <w:r>
        <w:rPr>
          <w:color w:val="000000"/>
        </w:rPr>
        <w:t xml:space="preserve"> </w:t>
      </w:r>
      <w:r>
        <w:rPr>
          <w:rFonts w:ascii="Times New Roman;sans-serif" w:hAnsi="Times New Roman;sans-serif"/>
          <w:b w:val="false"/>
          <w:color w:val="000000"/>
          <w:sz w:val="24"/>
          <w:shd w:fill="FFFFFF" w:val="clear"/>
        </w:rPr>
        <w:t>This Agreement shall be construed and enforced according to, and the rights and obligations of the parties shall be governed in all respects by, the laws of the State of New York. The parties irrevocably submit to the exclusive jurisdiction of the state and federal courts located in New York County, New York, solely in respect of the interpretation and enforcement of the provisions of this Agreement, and in respect of the transactions contemplated by this Agreement, and hereby waive, and agree not to assert, as a defense in any action, suit or proceeding for the interpretation or enforcement of this Agreement, that it is not subject to this Agreement or that such action, suit or proceeding may not be brought or is not maintainable in said courts or that the venue thereof may not be appropriate or that this Agreement may not be enforced in or by such courts, and the parties hereto irrevocably agree that all claims with respect to such action or proceeding shall be heard and determined in such a court. The parties hereby consent to and grant any such court exclusive jurisdiction over the person of such parties and over the subject matter of such dispute and agree that mailing of process or other papers in connection with any such action or proceeding in the manner provided in Section 11 or in such other manner as may be permitted by law, shall be valid and sufficient service thereof. The Executive and the Company (on its behalf and on behalf of its affiliates) each hereby waives any right to a trial by jury with respect to any dispute described in this Section 16.</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Headings.</w:t>
      </w:r>
      <w:r>
        <w:rPr>
          <w:color w:val="000000"/>
        </w:rPr>
        <w:t xml:space="preserve"> </w:t>
      </w:r>
      <w:r>
        <w:rPr>
          <w:rFonts w:ascii="Times New Roman;sans-serif" w:hAnsi="Times New Roman;sans-serif"/>
          <w:b w:val="false"/>
          <w:color w:val="000000"/>
          <w:sz w:val="24"/>
        </w:rPr>
        <w:t>The headings of the sections of this Agreement have been inserted for convenience of reference only and shall in no way affect the interpretation of any of the terms or conditions of this Agreement.</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13</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Execution in Counterparts.</w:t>
      </w:r>
      <w:r>
        <w:rPr>
          <w:color w:val="000000"/>
        </w:rPr>
        <w:t xml:space="preserve"> </w:t>
      </w:r>
      <w:r>
        <w:rPr>
          <w:rFonts w:ascii="Times New Roman;sans-serif" w:hAnsi="Times New Roman;sans-serif"/>
          <w:b w:val="false"/>
          <w:color w:val="000000"/>
          <w:sz w:val="24"/>
        </w:rPr>
        <w:t>This Agreement may be executed in one or more counterparts, each of which shall be deemed an original, but all of which together shall constitute one and the same instrument.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Section 409A.</w:t>
      </w:r>
      <w:r>
        <w:rPr>
          <w:color w:val="000000"/>
        </w:rPr>
        <w:t xml:space="preserve"> </w:t>
      </w:r>
      <w:r>
        <w:rPr>
          <w:rFonts w:ascii="Times New Roman;sans-serif" w:hAnsi="Times New Roman;sans-serif"/>
          <w:b w:val="false"/>
          <w:color w:val="000000"/>
          <w:sz w:val="24"/>
        </w:rPr>
        <w:t xml:space="preserve">The Executive and the Company agree that in no event will the Company require, nor will the Executive perform, a level of services during the Advisory Period that would result in the Executive not having a “separation from service” (within the meaning of Section 409A of the Code) from the Company and its affiliates at the Transition Time. </w:t>
      </w:r>
      <w:r>
        <w:rPr>
          <w:rFonts w:ascii="Times New Roman;sans-serif" w:hAnsi="Times New Roman;sans-serif"/>
          <w:b w:val="false"/>
          <w:color w:val="000000"/>
          <w:sz w:val="24"/>
          <w:shd w:fill="FFFFFF" w:val="clear"/>
        </w:rPr>
        <w:t>The intent of the parties is that payments and benefits under this Agreement shall be exempt from or comply with Section 409A of the Code, to the extent subject thereto, and, accordingly, to the maximum extent permitted, this Agreement shall be interpreted and administered to be in compliance therewith, and each of the parties shall report the payments and benefits under this Agreement as exempt from or compliant with Section 409A of the Code. For purposes of this Agreement, each amount to be paid or benefit to be provided shall be construed as a separate identified payment for purposes of Section 409A of the Code, and any payments described in this Agreement that are due within the “short-term deferral period” as defined in Section 409A of the Code shall not be treated as deferred compensation unless applicable law requires otherwise. In the event that any payments hereunder or under any other</w:t>
      </w:r>
      <w:r>
        <w:rPr>
          <w:color w:val="000000"/>
        </w:rPr>
        <w:t xml:space="preserve"> </w:t>
      </w:r>
      <w:r>
        <w:rPr>
          <w:rFonts w:ascii="Times New Roman;sans-serif" w:hAnsi="Times New Roman;sans-serif"/>
          <w:b w:val="false"/>
          <w:color w:val="000000"/>
          <w:sz w:val="24"/>
        </w:rPr>
        <w:t>employee benefit plans or programs sponsored or maintained by Viatris or the terms or provisions thereof (the “</w:t>
      </w:r>
      <w:r>
        <w:rPr>
          <w:rFonts w:ascii="Times New Roman;sans-serif" w:hAnsi="Times New Roman;sans-serif"/>
          <w:b w:val="false"/>
          <w:color w:val="000000"/>
          <w:sz w:val="24"/>
          <w:u w:val="single"/>
        </w:rPr>
        <w:t>Total Payments</w:t>
      </w:r>
      <w:r>
        <w:rPr>
          <w:color w:val="000000"/>
        </w:rPr>
        <w:t>”</w:t>
      </w:r>
      <w:r>
        <w:rPr>
          <w:rFonts w:ascii="Times New Roman;sans-serif" w:hAnsi="Times New Roman;sans-serif"/>
          <w:b w:val="false"/>
          <w:color w:val="000000"/>
          <w:sz w:val="24"/>
        </w:rPr>
        <w:t>) give rise to penalty taxes and/or interest imposed under Section 409A of the Code or any similar provision of applicable state law (a “</w:t>
      </w:r>
      <w:r>
        <w:rPr>
          <w:rFonts w:ascii="Times New Roman;sans-serif" w:hAnsi="Times New Roman;sans-serif"/>
          <w:b w:val="false"/>
          <w:color w:val="000000"/>
          <w:sz w:val="24"/>
          <w:u w:val="single"/>
        </w:rPr>
        <w:t>Tax Penalty</w:t>
      </w:r>
      <w:r>
        <w:rPr>
          <w:color w:val="000000"/>
        </w:rPr>
        <w:t>”</w:t>
      </w:r>
      <w:r>
        <w:rPr>
          <w:rFonts w:ascii="Times New Roman;sans-serif" w:hAnsi="Times New Roman;sans-serif"/>
          <w:b w:val="false"/>
          <w:color w:val="000000"/>
          <w:sz w:val="24"/>
        </w:rPr>
        <w:t xml:space="preserve">), then the Executive shall be entitled to receive an additional payment or payments in an amount such that the net amount of such additional payment or payments received by the Executive, after deduction of any federal, state, local and foreign income and employment taxes and any additional penalty or excise taxes on such additional payment or payments, shall be equal to such Tax Penalty, and such additional payment or payments shall be paid to the Executive no later than ten (10) days prior to the due date for the payment of the Tax Penalty. In the event of any audit or proceeding with respect to application of Section 409A of the Code or any similar provision of applicable state law to the Total Payments, the Company shall be entitled to, at its own expense, control such audit or proceeding and the Executive shall cooperate with the Company in connection with such audit or proceeding;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Company shall not be entitled to settle any such audit or proceeding without the written consent of the Executive (which shall not be unreasonably withheld, conditioned or delayed). </w:t>
      </w:r>
      <w:r>
        <w:rPr>
          <w:rFonts w:ascii="Times New Roman;sans-serif" w:hAnsi="Times New Roman;sans-serif"/>
          <w:b w:val="false"/>
          <w:color w:val="000000"/>
          <w:sz w:val="24"/>
          <w:shd w:fill="FFFFFF" w:val="clear"/>
        </w:rPr>
        <w:t>To the extent required in order to avoid any Tax Penalty, amounts that otherwise would be payable and benefits that otherwise would be provided pursuant to this Agreement during the six-month (6) period immediately following the Executive’s separation from service shall instead be paid on the first business day after the date that is six months following the Executive’s separation from service (or death, if earlier). To the extent required to avoid any Tax Penalty, amounts reimbursable to the Executive under this Agreement shall be paid to the Executive on or before the last day of the year following the year in which the expense was incurred and the amount of expenses eligible for reimbursement (and in-kind benefits provided to the Executive) during any one year may not affect amounts reimbursable or provided in any subsequent year and such benefits may not be liquidated or exchanged for another benefit; </w:t>
      </w:r>
      <w:r>
        <w:rPr>
          <w:rFonts w:ascii="Times New Roman;sans-serif" w:hAnsi="Times New Roman;sans-serif"/>
          <w:b w:val="false"/>
          <w:color w:val="000000"/>
          <w:sz w:val="24"/>
          <w:u w:val="single"/>
          <w:shd w:fill="FFFFFF" w:val="clear"/>
        </w:rPr>
        <w:t>provided</w:t>
      </w:r>
      <w:r>
        <w:rPr>
          <w:rFonts w:ascii="Times New Roman;sans-serif" w:hAnsi="Times New Roman;sans-serif"/>
          <w:b w:val="false"/>
          <w:color w:val="000000"/>
          <w:sz w:val="24"/>
          <w:shd w:fill="FFFFFF" w:val="clear"/>
        </w:rPr>
        <w:t>, </w:t>
      </w:r>
      <w:r>
        <w:rPr>
          <w:rFonts w:ascii="Times New Roman;sans-serif" w:hAnsi="Times New Roman;sans-serif"/>
          <w:b w:val="false"/>
          <w:color w:val="000000"/>
          <w:sz w:val="24"/>
          <w:u w:val="single"/>
          <w:shd w:fill="FFFFFF" w:val="clear"/>
        </w:rPr>
        <w:t>however</w:t>
      </w:r>
      <w:r>
        <w:rPr>
          <w:rFonts w:ascii="Times New Roman;sans-serif" w:hAnsi="Times New Roman;sans-serif"/>
          <w:b w:val="false"/>
          <w:color w:val="000000"/>
          <w:sz w:val="24"/>
          <w:shd w:fill="FFFFFF" w:val="clear"/>
        </w:rPr>
        <w:t>, that with respect to any reimbursements for any taxes which the Executive would become entitled to under the terms of the Agreement, the payment of such reimbursements shall be made by the Company no later than the end of the calendar year following the calendar year in which the Executive remits the related taxes.</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14</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undersigned have executed this Agreement on the day and year first written above.</w:t>
      </w:r>
    </w:p>
    <w:tbl>
      <w:tblPr>
        <w:tblW w:w="5923" w:type="dxa"/>
        <w:jc w:val="left"/>
        <w:tblInd w:w="0" w:type="dxa"/>
        <w:tblLayout w:type="fixed"/>
        <w:tblCellMar>
          <w:top w:w="28" w:type="dxa"/>
          <w:left w:w="28" w:type="dxa"/>
          <w:bottom w:w="28" w:type="dxa"/>
          <w:right w:w="28" w:type="dxa"/>
        </w:tblCellMar>
      </w:tblPr>
      <w:tblGrid>
        <w:gridCol w:w="777"/>
        <w:gridCol w:w="682"/>
        <w:gridCol w:w="685"/>
        <w:gridCol w:w="181"/>
        <w:gridCol w:w="181"/>
        <w:gridCol w:w="181"/>
        <w:gridCol w:w="264"/>
        <w:gridCol w:w="264"/>
        <w:gridCol w:w="264"/>
        <w:gridCol w:w="714"/>
        <w:gridCol w:w="714"/>
        <w:gridCol w:w="1016"/>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VIATRIS INC.:</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 May 19, 2023</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2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Brian Roman</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4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Brian Roman</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Global General Counsel</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Dated: May 19, 2023</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236"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Robert J. Coury</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Robert J. Coury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A</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Payments and Benefits Upon Cessation of Employment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Capitalized terms used but not defined herein shall have the meanings ascribed to them in the Employment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Accrued Salary.</w:t>
      </w:r>
      <w:r>
        <w:rPr>
          <w:color w:val="000000"/>
        </w:rPr>
        <w:t xml:space="preserve"> </w:t>
      </w:r>
      <w:r>
        <w:rPr>
          <w:rFonts w:ascii="Times New Roman;sans-serif" w:hAnsi="Times New Roman;sans-serif"/>
          <w:b w:val="false"/>
          <w:color w:val="000000"/>
          <w:sz w:val="24"/>
        </w:rPr>
        <w:t>The Executive shall be paid his base salary through the Transition Time in accordance with the Company’s customary payroll practices.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Pro Rata Annual Bonus for 2023.</w:t>
      </w:r>
      <w:r>
        <w:rPr>
          <w:color w:val="000000"/>
        </w:rPr>
        <w:t xml:space="preserve"> </w:t>
      </w:r>
      <w:r>
        <w:rPr>
          <w:rFonts w:ascii="Times New Roman;sans-serif" w:hAnsi="Times New Roman;sans-serif"/>
          <w:b w:val="false"/>
          <w:color w:val="000000"/>
          <w:sz w:val="24"/>
        </w:rPr>
        <w:t>The Executive shall be paid a pro rata annual bonus for 2023, which shall be determined by reference to the bonus the Executive would have earned based on actual performance for 2023 and prorated to reflect the number of days elapsed in the 2023 fiscal year through the Transition Time. The prorated bonus shall be paid as soon as practicable following the Board’s certification of applicable performance metrics for 2023, but in no event later than March 15, 2024.</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Severance Amount.</w:t>
      </w:r>
      <w:r>
        <w:rPr>
          <w:color w:val="000000"/>
        </w:rPr>
        <w:t xml:space="preserve"> </w:t>
      </w:r>
      <w:r>
        <w:rPr>
          <w:rFonts w:ascii="Times New Roman;sans-serif" w:hAnsi="Times New Roman;sans-serif"/>
          <w:b w:val="false"/>
          <w:color w:val="000000"/>
          <w:sz w:val="24"/>
        </w:rPr>
        <w:t xml:space="preserve">As required by Section 8(c) of the Employment Agreement, the Executive shall be paid the Severance Amount ($21,286,170), without duplication of any amount paid pursuant to Section 2 of this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on the date that is six (6) months following the Transition Time.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401(k) Restoration Plan</w:t>
      </w:r>
      <w:r>
        <w:rPr>
          <w:rFonts w:ascii="Times New Roman;sans-serif" w:hAnsi="Times New Roman;sans-serif"/>
          <w:b w:val="false"/>
          <w:color w:val="000000"/>
          <w:sz w:val="24"/>
        </w:rPr>
        <w:t>. The Executive shall be paid the accrued and vested deferred amounts under the 401(k) Restoration Plan, as amended, on the date that is six (6) months following the Transition Time.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Equity-Based Awards.</w:t>
      </w:r>
      <w:r>
        <w:rPr>
          <w:color w:val="000000"/>
        </w:rPr>
        <w:t xml:space="preserve"> </w:t>
      </w:r>
      <w:r>
        <w:rPr>
          <w:rFonts w:ascii="Times New Roman;sans-serif" w:hAnsi="Times New Roman;sans-serif"/>
          <w:b w:val="false"/>
          <w:color w:val="000000"/>
          <w:sz w:val="24"/>
        </w:rPr>
        <w:t>As required by Section 8(c) of the Employment Agreement, the Executive’s outstanding equity-based awards shall be treated as follows: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Stock Options.</w:t>
      </w:r>
      <w:r>
        <w:rPr>
          <w:color w:val="000000"/>
        </w:rPr>
        <w:t xml:space="preserve"> </w:t>
      </w:r>
      <w:r>
        <w:rPr>
          <w:rFonts w:ascii="Times New Roman;sans-serif" w:hAnsi="Times New Roman;sans-serif"/>
          <w:b w:val="false"/>
          <w:color w:val="000000"/>
          <w:sz w:val="24"/>
        </w:rPr>
        <w:t>All vested stock options held on the Transition Time shall remain exercisable for the full term of such stock option (</w:t>
      </w:r>
      <w:r>
        <w:rPr>
          <w:rFonts w:ascii="Times New Roman;sans-serif" w:hAnsi="Times New Roman;sans-serif"/>
          <w:b w:val="false"/>
          <w:color w:val="000000"/>
          <w:sz w:val="24"/>
          <w:u w:val="single"/>
        </w:rPr>
        <w:t>i.e.</w:t>
      </w:r>
      <w:r>
        <w:rPr>
          <w:rFonts w:ascii="Times New Roman;sans-serif" w:hAnsi="Times New Roman;sans-serif"/>
          <w:b w:val="false"/>
          <w:color w:val="000000"/>
          <w:sz w:val="24"/>
        </w:rPr>
        <w:t>, ten (10) years from the grant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Other Equity-Based Awards.</w:t>
      </w:r>
      <w:r>
        <w:rPr>
          <w:color w:val="000000"/>
        </w:rPr>
        <w:t xml:space="preserve"> </w:t>
      </w:r>
      <w:r>
        <w:rPr>
          <w:rFonts w:ascii="Times New Roman;sans-serif" w:hAnsi="Times New Roman;sans-serif"/>
          <w:b w:val="false"/>
          <w:color w:val="000000"/>
          <w:sz w:val="24"/>
        </w:rPr>
        <w:t>All other unvested equity-based awards, including unvested restricted stock units, held on the Transition Time shall vest and shall be settled in accordance with their terms, provided that any such equity-based awards that are subject to Section 409A of the Code shall settle on the date that is six (6) months following the Transition Time (in the case of performance-based restricted stock units, with such vesting based on “target” level performance). The Value Creation Incentive Award shall vest in full and such award shall be settled on the date that is six (6) months following the Transition Time.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Welfare Benefits.</w:t>
      </w:r>
      <w:r>
        <w:rPr>
          <w:color w:val="000000"/>
        </w:rPr>
        <w:t xml:space="preserve"> </w:t>
      </w:r>
      <w:r>
        <w:rPr>
          <w:rFonts w:ascii="Times New Roman;sans-serif" w:hAnsi="Times New Roman;sans-serif"/>
          <w:b w:val="false"/>
          <w:color w:val="000000"/>
          <w:sz w:val="24"/>
        </w:rPr>
        <w:t xml:space="preserve">The Executive shall be provided with the Welfare Benefit Continuation Payments through the Welfare Benefit Continuation Period. Following the Welfare Benefit Continuation Period, the Executive and his eligible dependents shall participate in the Supplemental Health Insurance Plan </w:t>
      </w:r>
      <w:r>
        <w:rPr>
          <w:rFonts w:ascii="Times New Roman;sans-serif" w:hAnsi="Times New Roman;sans-serif"/>
          <w:b w:val="false"/>
          <w:color w:val="000000"/>
          <w:sz w:val="24"/>
          <w:shd w:fill="FFFFFF" w:val="clear"/>
        </w:rPr>
        <w:t>on the terms and conditions set forth in such plan, and shall make premium contributions on the same basis as other participants in such plan.</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LEFT INTENTIONALLY BLANK]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0520"/>
                <wp:effectExtent l="0" t="0" r="0" b="0"/>
                <wp:wrapNone/>
                <wp:docPr id="104" name="Frame1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333"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333"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Scott A. Smith, certify that:</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Viatris Inc.;</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0" w:after="100"/>
        <w:jc w:val="left"/>
        <w:rPr>
          <w:color w:val="000000"/>
        </w:rPr>
      </w:pPr>
      <w:r>
        <w:rPr>
          <w:color w:val="000000"/>
        </w:rPr>
        <w:t> </w:t>
      </w:r>
    </w:p>
    <w:tbl>
      <w:tblPr>
        <w:tblW w:w="2846" w:type="dxa"/>
        <w:jc w:val="left"/>
        <w:tblInd w:w="0" w:type="dxa"/>
        <w:tblLayout w:type="fixed"/>
        <w:tblCellMar>
          <w:top w:w="28" w:type="dxa"/>
          <w:left w:w="28" w:type="dxa"/>
          <w:bottom w:w="28" w:type="dxa"/>
          <w:right w:w="28" w:type="dxa"/>
        </w:tblCellMar>
      </w:tblPr>
      <w:tblGrid>
        <w:gridCol w:w="124"/>
        <w:gridCol w:w="109"/>
        <w:gridCol w:w="109"/>
        <w:gridCol w:w="733"/>
        <w:gridCol w:w="733"/>
        <w:gridCol w:w="1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lineRule="auto" w:line="333"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333"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Sanjeev Narula, certify that:</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Viatris Inc.;</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0" w:after="100"/>
        <w:jc w:val="left"/>
        <w:rPr>
          <w:color w:val="000000"/>
        </w:rPr>
      </w:pPr>
      <w:r>
        <w:rPr>
          <w:color w:val="000000"/>
        </w:rPr>
        <w:t> </w:t>
      </w:r>
    </w:p>
    <w:tbl>
      <w:tblPr>
        <w:tblW w:w="2861" w:type="dxa"/>
        <w:jc w:val="left"/>
        <w:tblInd w:w="0" w:type="dxa"/>
        <w:tblLayout w:type="fixed"/>
        <w:tblCellMar>
          <w:top w:w="28" w:type="dxa"/>
          <w:left w:w="28" w:type="dxa"/>
          <w:bottom w:w="28" w:type="dxa"/>
          <w:right w:w="28" w:type="dxa"/>
        </w:tblCellMar>
      </w:tblPr>
      <w:tblGrid>
        <w:gridCol w:w="124"/>
        <w:gridCol w:w="109"/>
        <w:gridCol w:w="109"/>
        <w:gridCol w:w="738"/>
        <w:gridCol w:w="738"/>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SANJEEV NARULA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Sanjeev Narula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333"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333"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and Principal Financial Officer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333"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Viatris Inc. (the “Company”) for the period ended June 30, 2023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pStyle w:val="TextBody"/>
        <w:bidi w:val="0"/>
        <w:spacing w:lineRule="auto" w:line="333"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333" w:before="100" w:after="24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SANJEEV NARULA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Sanjeev Narula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333"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p>
      <w:pPr>
        <w:pStyle w:val="TextBody"/>
        <w:bidi w:val="0"/>
        <w:spacing w:lineRule="auto" w:line="333"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333"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in accordance with Securities and Exchange Commission Release No. 34-47551 and shall not be considered filed as part of the Form 10-Q.</w:t>
      </w:r>
    </w:p>
    <w:p>
      <w:pPr>
        <w:pStyle w:val="TextBody"/>
        <w:bidi w:val="0"/>
        <w:spacing w:before="18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92044/000179204423000017/ex_104xvtrsx20230331.htm" TargetMode="External"/><Relationship Id="rId3" Type="http://schemas.openxmlformats.org/officeDocument/2006/relationships/hyperlink" Target="http://www.sec.gov/Archives/edgar/data/1792044/000179204423000017/ex_22xvtrsx202303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49180</Words>
  <Characters>272793</Characters>
  <CharactersWithSpaces>319321</CharactersWithSpaces>
  <Paragraphs>4864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