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30480"/>
                    </a:xfrm>
                    <a:prstGeom prst="rect">
                      <a:avLst/>
                    </a:prstGeom>
                    <a:noFill/>
                  </pic:spPr>
                </pic:pic>
              </a:graphicData>
            </a:graphic>
          </wp:anchor>
        </w:drawing>
        <w:drawing>
          <wp:anchor simplePos="0" relativeHeight="251657728" behindDoc="1" locked="0" layoutInCell="0" allowOverlap="1">
            <wp:simplePos x="0" y="0"/>
            <wp:positionH relativeFrom="page">
              <wp:posOffset>422910</wp:posOffset>
            </wp:positionH>
            <wp:positionV relativeFrom="page">
              <wp:posOffset>468630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161290</wp:posOffset>
            </wp:positionV>
            <wp:extent cx="134175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41755" cy="1524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8-K/A</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154305</wp:posOffset>
            </wp:positionV>
            <wp:extent cx="134175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1755" cy="1524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1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August 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167005</wp:posOffset>
            </wp:positionV>
            <wp:extent cx="134175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41755" cy="1524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8"/>
          <w:szCs w:val="38"/>
          <w:b w:val="1"/>
          <w:bCs w:val="1"/>
          <w:color w:val="auto"/>
        </w:rPr>
        <w:t>VIATRIS INC.</w:t>
      </w:r>
    </w:p>
    <w:p>
      <w:pPr>
        <w:spacing w:after="0" w:line="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154305</wp:posOffset>
            </wp:positionV>
            <wp:extent cx="134175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1755" cy="15240"/>
                    </a:xfrm>
                    <a:prstGeom prst="rect">
                      <a:avLst/>
                    </a:prstGeom>
                    <a:noFill/>
                  </pic:spPr>
                </pic:pic>
              </a:graphicData>
            </a:graphic>
          </wp:anchor>
        </w:drawing>
      </w:r>
    </w:p>
    <w:p>
      <w:pPr>
        <w:sectPr>
          <w:pgSz w:w="11900" w:h="16840" w:orient="portrait"/>
          <w:cols w:equalWidth="0" w:num="1">
            <w:col w:w="10560"/>
          </w:cols>
          <w:pgMar w:left="660" w:top="792" w:right="680" w:bottom="1440" w:gutter="0" w:footer="0" w:header="0"/>
        </w:sectPr>
      </w:pPr>
    </w:p>
    <w:p>
      <w:pPr>
        <w:spacing w:after="0" w:line="200" w:lineRule="exact"/>
        <w:rPr>
          <w:sz w:val="24"/>
          <w:szCs w:val="24"/>
          <w:color w:val="auto"/>
        </w:rPr>
      </w:pPr>
    </w:p>
    <w:p>
      <w:pPr>
        <w:spacing w:after="0" w:line="304"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001-39695</w:t>
      </w:r>
    </w:p>
    <w:p>
      <w:pPr>
        <w:spacing w:after="0" w:line="16"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(I.R.S.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83-4364296</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Employer Identification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199" w:lineRule="exact"/>
        <w:rPr>
          <w:sz w:val="24"/>
          <w:szCs w:val="24"/>
          <w:color w:val="auto"/>
        </w:rPr>
      </w:pPr>
    </w:p>
    <w:p>
      <w:pPr>
        <w:sectPr>
          <w:pgSz w:w="11900" w:h="16840" w:orient="portrait"/>
          <w:cols w:equalWidth="0" w:num="5">
            <w:col w:w="3760" w:space="720"/>
            <w:col w:w="2480" w:space="720"/>
            <w:col w:w="420" w:space="40"/>
            <w:col w:w="1600" w:space="40"/>
            <w:col w:w="780"/>
          </w:cols>
          <w:pgMar w:left="660" w:top="792" w:right="68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1000 Mylan Boulevard, Canonsburg, Pennsylvania, 15317</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ectPr>
          <w:pgSz w:w="11900" w:h="16840" w:orient="portrait"/>
          <w:cols w:equalWidth="0" w:num="1">
            <w:col w:w="10560"/>
          </w:cols>
          <w:pgMar w:left="660" w:top="792" w:right="680" w:bottom="1440" w:gutter="0" w:footer="0" w:header="0"/>
          <w:type w:val="continuous"/>
        </w:sectPr>
      </w:pP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(724) 514-1800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167005</wp:posOffset>
            </wp:positionV>
            <wp:extent cx="134175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41755" cy="1524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right="760"/>
        <w:spacing w:after="0" w:line="259"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ind w:left="300" w:hanging="294"/>
        <w:spacing w:after="0"/>
        <w:tabs>
          <w:tab w:leader="none" w:pos="3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76" w:lineRule="exact"/>
        <w:rPr>
          <w:rFonts w:ascii="MS PGothic" w:cs="MS PGothic" w:eastAsia="MS PGothic" w:hAnsi="MS PGothic"/>
          <w:sz w:val="16"/>
          <w:szCs w:val="16"/>
          <w:color w:val="auto"/>
        </w:rPr>
      </w:pPr>
    </w:p>
    <w:p>
      <w:pPr>
        <w:ind w:left="300" w:hanging="294"/>
        <w:spacing w:after="0"/>
        <w:tabs>
          <w:tab w:leader="none" w:pos="3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76" w:lineRule="exact"/>
        <w:rPr>
          <w:rFonts w:ascii="MS PGothic" w:cs="MS PGothic" w:eastAsia="MS PGothic" w:hAnsi="MS PGothic"/>
          <w:sz w:val="16"/>
          <w:szCs w:val="16"/>
          <w:color w:val="auto"/>
        </w:rPr>
      </w:pPr>
    </w:p>
    <w:p>
      <w:pPr>
        <w:ind w:left="300" w:hanging="294"/>
        <w:spacing w:after="0"/>
        <w:tabs>
          <w:tab w:leader="none" w:pos="3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 (b))</w:t>
      </w:r>
    </w:p>
    <w:p>
      <w:pPr>
        <w:spacing w:after="0" w:line="176" w:lineRule="exact"/>
        <w:rPr>
          <w:rFonts w:ascii="MS PGothic" w:cs="MS PGothic" w:eastAsia="MS PGothic" w:hAnsi="MS PGothic"/>
          <w:sz w:val="16"/>
          <w:szCs w:val="16"/>
          <w:color w:val="auto"/>
        </w:rPr>
      </w:pPr>
    </w:p>
    <w:p>
      <w:pPr>
        <w:ind w:right="3260" w:firstLine="6"/>
        <w:spacing w:after="0" w:line="468" w:lineRule="auto"/>
        <w:tabs>
          <w:tab w:leader="none" w:pos="288"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 (c)) Securities registered pursuant to Section 12(b) of the Act:</w:t>
      </w:r>
    </w:p>
    <w:tbl>
      <w:tblPr>
        <w:tblLayout w:type="fixed"/>
        <w:tblInd w:w="0" w:type="dxa"/>
        <w:tblCellMar>
          <w:top w:w="0" w:type="dxa"/>
          <w:left w:w="0" w:type="dxa"/>
          <w:bottom w:w="0" w:type="dxa"/>
          <w:right w:w="0" w:type="dxa"/>
        </w:tblCellMar>
      </w:tblPr>
      <w:tr>
        <w:trPr>
          <w:trHeight w:val="181"/>
        </w:trPr>
        <w:tc>
          <w:tcPr>
            <w:tcW w:w="3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6"/>
              </w:rPr>
              <w:t>Trading</w:t>
            </w:r>
          </w:p>
        </w:tc>
        <w:tc>
          <w:tcPr>
            <w:tcW w:w="100" w:type="dxa"/>
            <w:vAlign w:val="bottom"/>
          </w:tcPr>
          <w:p>
            <w:pPr>
              <w:spacing w:after="0"/>
              <w:rPr>
                <w:sz w:val="15"/>
                <w:szCs w:val="15"/>
                <w:color w:val="auto"/>
              </w:rPr>
            </w:pPr>
          </w:p>
        </w:tc>
        <w:tc>
          <w:tcPr>
            <w:tcW w:w="32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7"/>
              </w:rPr>
              <w:t>Name of each exchange</w:t>
            </w:r>
          </w:p>
        </w:tc>
      </w:tr>
      <w:tr>
        <w:trPr>
          <w:trHeight w:val="223"/>
        </w:trPr>
        <w:tc>
          <w:tcPr>
            <w:tcW w:w="370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80" w:type="dxa"/>
            <w:vAlign w:val="bottom"/>
          </w:tcPr>
          <w:p>
            <w:pPr>
              <w:spacing w:after="0"/>
              <w:rPr>
                <w:sz w:val="19"/>
                <w:szCs w:val="19"/>
                <w:color w:val="auto"/>
              </w:rPr>
            </w:pP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Symbol(s)</w:t>
            </w:r>
          </w:p>
        </w:tc>
        <w:tc>
          <w:tcPr>
            <w:tcW w:w="100" w:type="dxa"/>
            <w:vAlign w:val="bottom"/>
          </w:tcPr>
          <w:p>
            <w:pPr>
              <w:spacing w:after="0"/>
              <w:rPr>
                <w:sz w:val="19"/>
                <w:szCs w:val="19"/>
                <w:color w:val="auto"/>
              </w:rPr>
            </w:pP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on which registered</w:t>
            </w:r>
          </w:p>
        </w:tc>
      </w:tr>
      <w:tr>
        <w:trPr>
          <w:trHeight w:val="203"/>
        </w:trPr>
        <w:tc>
          <w:tcPr>
            <w:tcW w:w="37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80" w:type="dxa"/>
            <w:vAlign w:val="bottom"/>
          </w:tcPr>
          <w:p>
            <w:pPr>
              <w:spacing w:after="0"/>
              <w:rPr>
                <w:sz w:val="17"/>
                <w:szCs w:val="17"/>
                <w:color w:val="auto"/>
              </w:rPr>
            </w:pPr>
          </w:p>
        </w:tc>
        <w:tc>
          <w:tcPr>
            <w:tcW w:w="3480" w:type="dxa"/>
            <w:vAlign w:val="bottom"/>
          </w:tcPr>
          <w:p>
            <w:pPr>
              <w:ind w:left="1560"/>
              <w:spacing w:after="0"/>
              <w:rPr>
                <w:sz w:val="20"/>
                <w:szCs w:val="20"/>
                <w:color w:val="auto"/>
              </w:rPr>
            </w:pPr>
            <w:r>
              <w:rPr>
                <w:rFonts w:ascii="Times New Roman" w:cs="Times New Roman" w:eastAsia="Times New Roman" w:hAnsi="Times New Roman"/>
                <w:sz w:val="16"/>
                <w:szCs w:val="16"/>
                <w:color w:val="auto"/>
              </w:rPr>
              <w:t>VTRS</w:t>
            </w:r>
          </w:p>
        </w:tc>
        <w:tc>
          <w:tcPr>
            <w:tcW w:w="100" w:type="dxa"/>
            <w:vAlign w:val="bottom"/>
          </w:tcPr>
          <w:p>
            <w:pPr>
              <w:spacing w:after="0"/>
              <w:rPr>
                <w:sz w:val="17"/>
                <w:szCs w:val="17"/>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The NASDAQ Stock Market</w:t>
            </w:r>
          </w:p>
        </w:tc>
      </w:tr>
    </w:tbl>
    <w:p>
      <w:pPr>
        <w:spacing w:after="0" w:line="144" w:lineRule="exact"/>
        <w:rPr>
          <w:sz w:val="24"/>
          <w:szCs w:val="24"/>
          <w:color w:val="auto"/>
        </w:rPr>
      </w:pPr>
    </w:p>
    <w:p>
      <w:pPr>
        <w:ind w:right="540"/>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9" w:lineRule="exact"/>
        <w:rPr>
          <w:sz w:val="24"/>
          <w:szCs w:val="24"/>
          <w:color w:val="auto"/>
        </w:rPr>
      </w:pPr>
    </w:p>
    <w:p>
      <w:pPr>
        <w:spacing w:after="0" w:line="185" w:lineRule="exact"/>
        <w:rPr>
          <w:sz w:val="20"/>
          <w:szCs w:val="20"/>
          <w:color w:val="auto"/>
        </w:rPr>
      </w:pPr>
      <w:r>
        <w:rPr>
          <w:rFonts w:ascii="Times New Roman" w:cs="Times New Roman" w:eastAsia="Times New Roman" w:hAnsi="Times New Roman"/>
          <w:sz w:val="16"/>
          <w:szCs w:val="16"/>
          <w:color w:val="auto"/>
        </w:rPr>
        <w:t>Emerging growth company</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09" w:lineRule="exact"/>
        <w:rPr>
          <w:sz w:val="24"/>
          <w:szCs w:val="24"/>
          <w:color w:val="auto"/>
        </w:rPr>
      </w:pPr>
    </w:p>
    <w:p>
      <w:pPr>
        <w:ind w:right="280"/>
        <w:spacing w:after="0" w:line="205"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67075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221615</wp:posOffset>
            </wp:positionV>
            <wp:extent cx="6707505" cy="30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7505" cy="304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343535</wp:posOffset>
            </wp:positionV>
            <wp:extent cx="670750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60"/>
          </w:cols>
          <w:pgMar w:left="660" w:top="792" w:right="680" w:bottom="1440" w:gutter="0" w:footer="0" w:header="0"/>
          <w:type w:val="continuous"/>
        </w:sectPr>
      </w:pPr>
    </w:p>
    <w:bookmarkStart w:id="1" w:name="page2"/>
    <w:bookmarkEnd w:id="1"/>
    <w:p>
      <w:pPr>
        <w:ind w:left="940" w:right="160" w:hanging="935"/>
        <w:spacing w:after="0" w:line="262" w:lineRule="auto"/>
        <w:tabs>
          <w:tab w:leader="none" w:pos="920" w:val="left"/>
        </w:tabs>
        <w:rPr>
          <w:sz w:val="20"/>
          <w:szCs w:val="20"/>
          <w:color w:val="auto"/>
        </w:rPr>
      </w:pPr>
      <w:r>
        <w:rPr>
          <w:rFonts w:ascii="Times New Roman" w:cs="Times New Roman" w:eastAsia="Times New Roman" w:hAnsi="Times New Roman"/>
          <w:sz w:val="16"/>
          <w:szCs w:val="16"/>
          <w:b w:val="1"/>
          <w:bCs w:val="1"/>
          <w:color w:val="auto"/>
        </w:rPr>
        <w:t>Item 5.02</w:t>
      </w:r>
      <w:r>
        <w:rPr>
          <w:sz w:val="20"/>
          <w:szCs w:val="20"/>
          <w:color w:val="auto"/>
        </w:rPr>
        <w:tab/>
      </w:r>
      <w:r>
        <w:rPr>
          <w:rFonts w:ascii="Times New Roman" w:cs="Times New Roman" w:eastAsia="Times New Roman" w:hAnsi="Times New Roman"/>
          <w:sz w:val="16"/>
          <w:szCs w:val="16"/>
          <w:b w:val="1"/>
          <w:bCs w:val="1"/>
          <w:color w:val="auto"/>
        </w:rPr>
        <w:t>Departure of Directors or Certain Officers; Election of Directors; Appointment of Certain Officers; Compensatory Arrangements of Certain Officers.</w:t>
      </w:r>
    </w:p>
    <w:p>
      <w:pPr>
        <w:spacing w:after="0" w:line="14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On August 4, 2025, Viatris Inc. (the “Company”) filed a Current Report on Form 8-K (the “Initial 8-K”) to report the appointment of David Simmons to the Board of Directors of the Company (the “Board”). At the time of the Initial 8-K, the Board had not determined the committee(s) to which Mr. Simmons would be named. This Amendment No. 1 to the Initial 8-K is being filed to report that on December 4, 2025, the Board appointed Mr. Simmons to serve on the Compensation Committee and the Science and Technology Committee, effective immediately after the 2025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198120</wp:posOffset>
            </wp:positionV>
            <wp:extent cx="670750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460"/>
          </w:cols>
          <w:pgMar w:left="660" w:top="555" w:right="780" w:bottom="1440" w:gutter="0" w:footer="0" w:header="0"/>
        </w:sectPr>
      </w:pPr>
    </w:p>
    <w:bookmarkStart w:id="2" w:name="page3"/>
    <w:bookmarkEnd w:id="2"/>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7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color w:val="auto"/>
        </w:rPr>
        <w:t>VIATRIS INC.</w:t>
      </w:r>
    </w:p>
    <w:p>
      <w:pPr>
        <w:spacing w:after="0" w:line="176" w:lineRule="exact"/>
        <w:rPr>
          <w:sz w:val="20"/>
          <w:szCs w:val="20"/>
          <w:color w:val="auto"/>
        </w:rPr>
      </w:pPr>
    </w:p>
    <w:p>
      <w:pPr>
        <w:spacing w:after="0"/>
        <w:tabs>
          <w:tab w:leader="none" w:pos="5260" w:val="left"/>
          <w:tab w:leader="none" w:pos="5800" w:val="left"/>
        </w:tabs>
        <w:rPr>
          <w:sz w:val="20"/>
          <w:szCs w:val="20"/>
          <w:color w:val="auto"/>
        </w:rPr>
      </w:pPr>
      <w:r>
        <w:rPr>
          <w:rFonts w:ascii="Times New Roman" w:cs="Times New Roman" w:eastAsia="Times New Roman" w:hAnsi="Times New Roman"/>
          <w:sz w:val="16"/>
          <w:szCs w:val="16"/>
          <w:color w:val="auto"/>
        </w:rPr>
        <w:t>Date: December 5,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5715</wp:posOffset>
            </wp:positionV>
            <wp:extent cx="301815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18155" cy="15240"/>
                    </a:xfrm>
                    <a:prstGeom prst="rect">
                      <a:avLst/>
                    </a:prstGeom>
                    <a:noFill/>
                  </pic:spPr>
                </pic:pic>
              </a:graphicData>
            </a:graphic>
          </wp:anchor>
        </w:drawing>
      </w:r>
    </w:p>
    <w:p>
      <w:pPr>
        <w:ind w:left="5820"/>
        <w:spacing w:after="0"/>
        <w:rPr>
          <w:sz w:val="20"/>
          <w:szCs w:val="20"/>
          <w:color w:val="auto"/>
        </w:rPr>
      </w:pPr>
      <w:r>
        <w:rPr>
          <w:rFonts w:ascii="Times New Roman" w:cs="Times New Roman" w:eastAsia="Times New Roman" w:hAnsi="Times New Roman"/>
          <w:sz w:val="16"/>
          <w:szCs w:val="16"/>
          <w:color w:val="auto"/>
        </w:rPr>
        <w:t>Theodora Mistras</w:t>
      </w:r>
    </w:p>
    <w:p>
      <w:pPr>
        <w:spacing w:after="0" w:line="1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268605</wp:posOffset>
            </wp:positionV>
            <wp:extent cx="670750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300"/>
          </w:cols>
          <w:pgMar w:left="660" w:top="555" w:right="940" w:bottom="1440" w:gutter="0" w:footer="0" w:header="0"/>
        </w:sectPr>
      </w:pPr>
    </w:p>
    <w:bookmarkStart w:id="3" w:name="page4"/>
    <w:bookmarkEnd w:id="3"/>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2025-12-05T16:38:51Z</dcterms:created>
  <dcterms:modified xsi:type="dcterms:W3CDTF">2025-12-05T16:38:51Z</dcterms:modified>
</cp:coreProperties>
</file>