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GOETTLER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w w:val="97"/>
              </w:rPr>
              <w:t>CANONSBURG PA</w:t>
            </w:r>
          </w:p>
        </w:tc>
        <w:tc>
          <w:tcPr>
            <w:tcW w:w="820" w:type="dxa"/>
            <w:vAlign w:val="bottom"/>
          </w:tcPr>
          <w:p>
            <w:pPr>
              <w:spacing w:after="0"/>
              <w:rPr>
                <w:sz w:val="21"/>
                <w:szCs w:val="21"/>
                <w:color w:val="auto"/>
              </w:rPr>
            </w:pPr>
          </w:p>
        </w:tc>
        <w:tc>
          <w:tcPr>
            <w:tcW w:w="1340" w:type="dxa"/>
            <w:vAlign w:val="bottom"/>
          </w:tcPr>
          <w:p>
            <w:pPr>
              <w:ind w:left="160"/>
              <w:spacing w:after="0"/>
              <w:rPr>
                <w:sz w:val="20"/>
                <w:szCs w:val="20"/>
                <w:color w:val="auto"/>
              </w:rPr>
            </w:pPr>
            <w:r>
              <w:rPr>
                <w:rFonts w:ascii="Arial" w:cs="Arial" w:eastAsia="Arial" w:hAnsi="Arial"/>
                <w:sz w:val="17"/>
                <w:szCs w:val="17"/>
                <w:color w:val="0000FF"/>
              </w:rPr>
              <w:t>15317</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50,352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9.866</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136,796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the reporting person's acquisition of 50,352 shares of common stock in transactions ranging from $9.78 to $9.97.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569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2022-03-15T19:11:47Z</dcterms:created>
  <dcterms:modified xsi:type="dcterms:W3CDTF">2022-03-15T19:11:47Z</dcterms:modified>
</cp:coreProperties>
</file>