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264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26415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Groothuis Leo Frans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5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color w:val="0000FF"/>
                <w:w w:val="99"/>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ind w:lef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40,350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16"/>
              <w:spacing w:after="0"/>
              <w:rPr>
                <w:sz w:val="20"/>
                <w:szCs w:val="20"/>
                <w:color w:val="auto"/>
              </w:rPr>
            </w:pPr>
            <w:r>
              <w:rPr>
                <w:rFonts w:ascii="Times New Roman" w:cs="Times New Roman" w:eastAsia="Times New Roman" w:hAnsi="Times New Roman"/>
                <w:sz w:val="16"/>
                <w:szCs w:val="16"/>
                <w:color w:val="0000FF"/>
                <w:w w:val="93"/>
              </w:rPr>
              <w:t>1,166</w:t>
            </w:r>
            <w:r>
              <w:rPr>
                <w:rFonts w:ascii="Times New Roman" w:cs="Times New Roman" w:eastAsia="Times New Roman" w:hAnsi="Times New Roman"/>
                <w:sz w:val="20"/>
                <w:szCs w:val="20"/>
                <w:color w:val="008000"/>
                <w:w w:val="93"/>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9.37</w:t>
            </w:r>
          </w:p>
        </w:tc>
        <w:tc>
          <w:tcPr>
            <w:tcW w:w="130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39,184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96"/>
              <w:spacing w:after="0"/>
              <w:rPr>
                <w:sz w:val="20"/>
                <w:szCs w:val="20"/>
                <w:color w:val="auto"/>
              </w:rPr>
            </w:pPr>
            <w:r>
              <w:rPr>
                <w:rFonts w:ascii="Times New Roman" w:cs="Times New Roman" w:eastAsia="Times New Roman" w:hAnsi="Times New Roman"/>
                <w:sz w:val="16"/>
                <w:szCs w:val="16"/>
                <w:color w:val="0000FF"/>
                <w:w w:val="90"/>
              </w:rPr>
              <w:t>773</w:t>
            </w:r>
            <w:r>
              <w:rPr>
                <w:rFonts w:ascii="Times New Roman" w:cs="Times New Roman" w:eastAsia="Times New Roman" w:hAnsi="Times New Roman"/>
                <w:sz w:val="20"/>
                <w:szCs w:val="20"/>
                <w:color w:val="008000"/>
                <w:w w:val="90"/>
                <w:vertAlign w:val="superscript"/>
              </w:rPr>
              <w:t>(2)</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39,957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96"/>
              <w:spacing w:after="0" w:line="301" w:lineRule="exact"/>
              <w:rPr>
                <w:sz w:val="20"/>
                <w:szCs w:val="20"/>
                <w:color w:val="auto"/>
              </w:rPr>
            </w:pPr>
            <w:r>
              <w:rPr>
                <w:rFonts w:ascii="Times New Roman" w:cs="Times New Roman" w:eastAsia="Times New Roman" w:hAnsi="Times New Roman"/>
                <w:sz w:val="32"/>
                <w:szCs w:val="32"/>
                <w:color w:val="0000FF"/>
                <w:w w:val="84"/>
                <w:vertAlign w:val="subscript"/>
              </w:rPr>
              <w:t>50</w:t>
            </w:r>
            <w:r>
              <w:rPr>
                <w:rFonts w:ascii="Times New Roman" w:cs="Times New Roman" w:eastAsia="Times New Roman" w:hAnsi="Times New Roman"/>
                <w:sz w:val="10"/>
                <w:szCs w:val="10"/>
                <w:color w:val="008000"/>
                <w:w w:val="84"/>
              </w:rPr>
              <w:t>(3)</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9.37</w:t>
            </w:r>
          </w:p>
        </w:tc>
        <w:tc>
          <w:tcPr>
            <w:tcW w:w="130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39,907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36"/>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15"/>
                <w:szCs w:val="15"/>
                <w:color w:val="auto"/>
              </w:rPr>
            </w:pPr>
          </w:p>
        </w:tc>
        <w:tc>
          <w:tcPr>
            <w:tcW w:w="520" w:type="dxa"/>
            <w:vAlign w:val="bottom"/>
            <w:vMerge w:val="restart"/>
          </w:tcPr>
          <w:p>
            <w:pPr>
              <w:jc w:val="center"/>
              <w:ind w:right="216"/>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15"/>
                <w:szCs w:val="15"/>
                <w:color w:val="auto"/>
              </w:rPr>
            </w:pPr>
          </w:p>
        </w:tc>
        <w:tc>
          <w:tcPr>
            <w:tcW w:w="520" w:type="dxa"/>
            <w:vAlign w:val="bottom"/>
            <w:vMerge w:val="restart"/>
          </w:tcPr>
          <w:p>
            <w:pPr>
              <w:jc w:val="center"/>
              <w:ind w:right="216"/>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the restricted stock units (RSUs) granted on March 4, 2024.</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5 pursuant to the terms of the RSU award agreement under the Viatris Inc. 2020 Stock Incentive Plan.</w:t>
      </w:r>
    </w:p>
    <w:p>
      <w:pPr>
        <w:spacing w:after="0" w:line="39" w:lineRule="exact"/>
        <w:rPr>
          <w:rFonts w:ascii="Times New Roman" w:cs="Times New Roman" w:eastAsia="Times New Roman" w:hAnsi="Times New Roman"/>
          <w:sz w:val="13"/>
          <w:szCs w:val="13"/>
          <w:color w:val="008000"/>
        </w:rPr>
      </w:pPr>
    </w:p>
    <w:p>
      <w:pPr>
        <w:ind w:left="40" w:right="2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the dividend equivalent units (DEUs) that accrued with respect to the RSUs previously granted on March 4, 2024.</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28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850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2025-03-05T18:11:56Z</dcterms:created>
  <dcterms:modified xsi:type="dcterms:W3CDTF">2025-03-05T18:11:56Z</dcterms:modified>
</cp:coreProperties>
</file>