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August 8, 2024</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August 8, 2024, Viatris Inc. (“Viatris” or the “Company”) issued a press release reporting the Company's financial results for the period ended June 30, 2024.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41"/>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second quarter of 2024, dated August 8, 2024.</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Theodora Mistras</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Viatris Reports Second Quarter Financial Results for 2024</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Strong Results Demonstrate Power of Company's Diversification, Execution and Growing Base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0"/>
          <w:szCs w:val="20"/>
          <w:i w:val="1"/>
          <w:iCs w:val="1"/>
          <w:color w:val="auto"/>
        </w:rPr>
        <w:t>Total Revenues of $3.8 Billion and Operational Revenue Growth of ~2% on a Divestiture-Adjusted Basis[1]</w:t>
      </w:r>
    </w:p>
    <w:p>
      <w:pPr>
        <w:spacing w:after="0" w:line="246"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0"/>
          <w:szCs w:val="20"/>
          <w:i w:val="1"/>
          <w:iCs w:val="1"/>
          <w:color w:val="auto"/>
        </w:rPr>
        <w:t>Strong New Product Revenues in the Quarter of $210 Million Drove Growth Across Segments</w:t>
      </w:r>
    </w:p>
    <w:p>
      <w:pPr>
        <w:spacing w:after="0" w:line="260" w:lineRule="exact"/>
        <w:rPr>
          <w:rFonts w:ascii="Arial" w:cs="Arial" w:eastAsia="Arial" w:hAnsi="Arial"/>
          <w:sz w:val="22"/>
          <w:szCs w:val="22"/>
          <w:i w:val="1"/>
          <w:iCs w:val="1"/>
          <w:color w:val="auto"/>
        </w:rPr>
      </w:pPr>
    </w:p>
    <w:p>
      <w:pPr>
        <w:ind w:left="340" w:right="200" w:hanging="332"/>
        <w:spacing w:after="0" w:line="250"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0"/>
          <w:szCs w:val="20"/>
          <w:i w:val="1"/>
          <w:iCs w:val="1"/>
          <w:color w:val="auto"/>
        </w:rPr>
        <w:t>U.S. GAAP Net Loss was $326 Million; Adjusted EBITDA Grew ~2% to $1.2 Billion on a Divestiture-Adjusted Basis; U.S. GAAP Diluted EPS was a Loss of $0.27 per Share; Adjusted EPS Grew ~3% to $0.69 per Share on a Divestiture-Adjusted Basis[2]</w:t>
      </w:r>
    </w:p>
    <w:p>
      <w:pPr>
        <w:spacing w:after="0" w:line="229"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1"/>
          <w:szCs w:val="21"/>
          <w:i w:val="1"/>
          <w:iCs w:val="1"/>
          <w:color w:val="auto"/>
        </w:rPr>
      </w:pPr>
      <w:r>
        <w:rPr>
          <w:rFonts w:ascii="Arial" w:cs="Arial" w:eastAsia="Arial" w:hAnsi="Arial"/>
          <w:sz w:val="19"/>
          <w:szCs w:val="19"/>
          <w:i w:val="1"/>
          <w:iCs w:val="1"/>
          <w:color w:val="auto"/>
        </w:rPr>
        <w:t>Completion of Divestitures Marks Inflection Point in Company's Move Towards Accelerated Growth and Shareholder Return</w:t>
      </w:r>
    </w:p>
    <w:p>
      <w:pPr>
        <w:spacing w:after="0" w:line="258" w:lineRule="exact"/>
        <w:rPr>
          <w:rFonts w:ascii="Arial" w:cs="Arial" w:eastAsia="Arial" w:hAnsi="Arial"/>
          <w:sz w:val="21"/>
          <w:szCs w:val="21"/>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0"/>
          <w:szCs w:val="20"/>
          <w:i w:val="1"/>
          <w:iCs w:val="1"/>
          <w:color w:val="auto"/>
        </w:rPr>
        <w:t>Raises 2024 Full-Year New Product Revenues Range to $500 Million-$600 Million</w:t>
      </w:r>
    </w:p>
    <w:p>
      <w:pPr>
        <w:spacing w:after="0" w:line="260"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0"/>
          <w:szCs w:val="20"/>
          <w:i w:val="1"/>
          <w:iCs w:val="1"/>
          <w:color w:val="auto"/>
        </w:rPr>
        <w:t>Expects 2024 Full-Year Total Revenues Growth of ~2% on a Divestiture-Adjusted Operational Basis[3]</w:t>
      </w:r>
    </w:p>
    <w:p>
      <w:pPr>
        <w:spacing w:after="0" w:line="200" w:lineRule="exact"/>
        <w:rPr>
          <w:sz w:val="20"/>
          <w:szCs w:val="20"/>
          <w:color w:val="auto"/>
        </w:rPr>
      </w:pPr>
    </w:p>
    <w:p>
      <w:pPr>
        <w:spacing w:after="0" w:line="261"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 xml:space="preserve">PITTSBURGH – August 8, 2024 </w:t>
      </w:r>
      <w:r>
        <w:rPr>
          <w:rFonts w:ascii="Arial" w:cs="Arial" w:eastAsia="Arial" w:hAnsi="Arial"/>
          <w:sz w:val="20"/>
          <w:szCs w:val="20"/>
          <w:color w:val="auto"/>
        </w:rPr>
        <w:t>– Viatris Inc. (NASDAQ: VTRS) today announced strong financial results for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2024, including total revenues of $ 3.8 billion and new product revenues of $210 million, demonstrating the Company’s ability to continue to grow its diversified base business.</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color w:val="auto"/>
        </w:rPr>
        <w:t>With the substantial completion of its divestitures the Company believes it has increased its financial strength and has a strong foundation from which to accelerate growth and shareholder return.</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“I am pleased to report strong second quarter results in which we delivered divestiture-adjusted operational revenue growth across all segments, including strong growth in Greater China. This represents our fifth consecutive quarter of divestiture-adjusted operational revenue growth and demonstrates our ability to execute and grow our base business,” said Scott A. Smith, CEO, Viatris. “With our divestitures behind us and a strong foundation to build on, we believe we are at an inflection point for our Company. In our next chapter, our strategy will focus on three main pillars: our diversified and growing base business, our financial strength and significant cash flow, and our expanding innovative portfolio. We expect these three pillars will enable us to accelerate growth and shareholder return.”</w:t>
      </w:r>
    </w:p>
    <w:p>
      <w:pPr>
        <w:spacing w:after="0" w:line="199"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“Our solid fundamentals, including our growing base business, our financial strength and our ability to generate significant cash flow drove our second quarter results,” said Doretta Mistras, CFO, Viatris. “We had another quarter of divestiture-adjusted operational revenue growth, up approximately two percent, which benefited from strong new product revenues. Adjusted EBITDA grew approximately two percent and adjusted EPS grew approximately three percent in the quarter, each on a divestiture-adjusted operational basis, supported by strong gross margins and disciplined investment to advance our pipeline. We expect the momentum we are seeing in the business to continue and we believe we are well positioned for a strong second half of the year.”</w:t>
      </w:r>
    </w:p>
    <w:p>
      <w:pPr>
        <w:sectPr>
          <w:pgSz w:w="11900" w:h="16838" w:orient="portrait"/>
          <w:cols w:equalWidth="0" w:num="1">
            <w:col w:w="11220"/>
          </w:cols>
          <w:pgMar w:left="320" w:top="1440" w:right="359" w:bottom="1440" w:gutter="0" w:footer="0" w:header="0"/>
        </w:sectPr>
      </w:pPr>
    </w:p>
    <w:bookmarkStart w:id="5" w:name="page6"/>
    <w:bookmarkEnd w:id="5"/>
    <w:p>
      <w:pPr>
        <w:ind w:left="272" w:hanging="272"/>
        <w:spacing w:after="0"/>
        <w:tabs>
          <w:tab w:leader="none" w:pos="272"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 the quarter ended June 30, 2024, total revenues declined ~3% on a U.S. GAAP basis to $3.8 billion.</w:t>
      </w:r>
    </w:p>
    <w:p>
      <w:pPr>
        <w:spacing w:after="0" w:line="256" w:lineRule="exact"/>
        <w:rPr>
          <w:rFonts w:ascii="Arial" w:cs="Arial" w:eastAsia="Arial" w:hAnsi="Arial"/>
          <w:sz w:val="20"/>
          <w:szCs w:val="20"/>
          <w:color w:val="auto"/>
        </w:rPr>
      </w:pPr>
    </w:p>
    <w:p>
      <w:pPr>
        <w:ind w:left="-8" w:right="200" w:firstLine="8"/>
        <w:spacing w:after="0" w:line="257" w:lineRule="auto"/>
        <w:tabs>
          <w:tab w:leader="none" w:pos="267"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 the quarter ended June 30, 2024, U.S. GAAP net earnings (loss) declined from $264 million to ($326 million), and U.S. GAAP diluted EPS declined from $0.22 per share to ($0.27) per share on a U.S. GAAP basis.</w:t>
      </w:r>
    </w:p>
    <w:p>
      <w:pPr>
        <w:spacing w:after="0" w:line="182" w:lineRule="exact"/>
        <w:rPr>
          <w:rFonts w:ascii="Arial" w:cs="Arial" w:eastAsia="Arial" w:hAnsi="Arial"/>
          <w:sz w:val="20"/>
          <w:szCs w:val="20"/>
          <w:color w:val="auto"/>
        </w:rPr>
      </w:pPr>
    </w:p>
    <w:p>
      <w:pPr>
        <w:ind w:left="-8" w:firstLine="8"/>
        <w:spacing w:after="0" w:line="248" w:lineRule="auto"/>
        <w:tabs>
          <w:tab w:leader="none" w:pos="267" w:val="left"/>
        </w:tabs>
        <w:numPr>
          <w:ilvl w:val="0"/>
          <w:numId w:val="3"/>
        </w:numPr>
        <w:rPr>
          <w:rFonts w:ascii="Arial" w:cs="Arial" w:eastAsia="Arial" w:hAnsi="Arial"/>
          <w:sz w:val="20"/>
          <w:szCs w:val="20"/>
          <w:color w:val="auto"/>
        </w:rPr>
      </w:pPr>
      <w:r>
        <w:rPr>
          <w:rFonts w:ascii="Arial" w:cs="Arial" w:eastAsia="Arial" w:hAnsi="Arial"/>
          <w:sz w:val="20"/>
          <w:szCs w:val="20"/>
          <w:color w:val="auto"/>
        </w:rPr>
        <w:t>U.S. GAAP total revenues for 2024 as of August 8, 2024, is estimated to be between $14.60 and $15.10 billion, with a midpoint of $14.85 billion or a full-year decrease of ~4%. Please see “Financial Guidance” and “Non-GAAP Financial Measures” for additional information.</w:t>
      </w:r>
    </w:p>
    <w:p>
      <w:pPr>
        <w:spacing w:after="0" w:line="200" w:lineRule="exact"/>
        <w:rPr>
          <w:sz w:val="20"/>
          <w:szCs w:val="20"/>
          <w:color w:val="auto"/>
        </w:rPr>
      </w:pPr>
    </w:p>
    <w:p>
      <w:pPr>
        <w:spacing w:after="0" w:line="3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72"/>
          </w:cols>
          <w:pgMar w:left="328" w:top="1130"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Second Quarter Results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center"/>
              <w:ind w:left="56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4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line="193"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8"/>
                <w:szCs w:val="18"/>
                <w:b w:val="1"/>
                <w:bCs w:val="1"/>
                <w:color w:val="auto"/>
                <w:vertAlign w:val="superscript"/>
              </w:rPr>
              <w:t>(1) (2)</w:t>
            </w:r>
          </w:p>
        </w:tc>
        <w:tc>
          <w:tcPr>
            <w:tcW w:w="100" w:type="dxa"/>
            <w:vAlign w:val="bottom"/>
          </w:tcPr>
          <w:p>
            <w:pPr>
              <w:spacing w:after="0"/>
              <w:rPr>
                <w:sz w:val="16"/>
                <w:szCs w:val="16"/>
                <w:color w:val="auto"/>
              </w:rPr>
            </w:pPr>
          </w:p>
        </w:tc>
        <w:tc>
          <w:tcPr>
            <w:tcW w:w="10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(3)</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3,785.9</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3,909.5</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6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2,319.2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2,353.8</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648.1</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4760" w:type="dxa"/>
            <w:vAlign w:val="bottom"/>
          </w:tcPr>
          <w:p>
            <w:pPr>
              <w:ind w:left="220"/>
              <w:spacing w:after="0"/>
              <w:rPr>
                <w:sz w:val="20"/>
                <w:szCs w:val="20"/>
                <w:color w:val="auto"/>
              </w:rPr>
            </w:pPr>
            <w:r>
              <w:rPr>
                <w:rFonts w:ascii="Arial" w:cs="Arial" w:eastAsia="Arial" w:hAnsi="Arial"/>
                <w:sz w:val="16"/>
                <w:szCs w:val="16"/>
                <w:color w:val="auto"/>
              </w:rPr>
              <w:t>JANZ</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375.5</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532.1</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2,363.1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2,444.7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Generics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1,464.8</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1,608.6</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41.1 %</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2,331.7</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59.5 %</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U.S. GAAP Net (Loss) Earnings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(326.4)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(Loss) Earnings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826.5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905.4</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0.75</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1,163.4</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1,207.9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1,305.7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Net Cash Provided by Operating Activities </w:t>
            </w:r>
            <w:r>
              <w:rPr>
                <w:rFonts w:ascii="Arial" w:cs="Arial" w:eastAsia="Arial" w:hAnsi="Arial"/>
                <w:sz w:val="21"/>
                <w:szCs w:val="21"/>
                <w:color w:val="auto"/>
                <w:vertAlign w:val="superscript"/>
              </w:rPr>
              <w:t>(6)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379.1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525.1</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67.8</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(2)(5)(6)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457.3</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right="20" w:hanging="328"/>
        <w:spacing w:after="0" w:line="222" w:lineRule="auto"/>
        <w:tabs>
          <w:tab w:leader="none" w:pos="56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operational change for net sales, adjusted EBITDA, and adjusted EPS which excludes the impacts of foreign currency translation. See “Certain Key Terms and Presentation Matters” in this release for more information.</w:t>
      </w:r>
    </w:p>
    <w:p>
      <w:pPr>
        <w:spacing w:after="0" w:line="40" w:lineRule="exact"/>
        <w:rPr>
          <w:rFonts w:ascii="Arial" w:cs="Arial" w:eastAsia="Arial" w:hAnsi="Arial"/>
          <w:sz w:val="19"/>
          <w:szCs w:val="19"/>
          <w:color w:val="auto"/>
          <w:vertAlign w:val="superscript"/>
        </w:rPr>
      </w:pPr>
    </w:p>
    <w:p>
      <w:pPr>
        <w:ind w:left="540" w:hanging="208"/>
        <w:spacing w:after="0"/>
        <w:tabs>
          <w:tab w:leader="none" w:pos="540" w:val="left"/>
        </w:tabs>
        <w:numPr>
          <w:ilvl w:val="0"/>
          <w:numId w:val="4"/>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68" w:lineRule="exact"/>
        <w:rPr>
          <w:rFonts w:ascii="Arial" w:cs="Arial" w:eastAsia="Arial" w:hAnsi="Arial"/>
          <w:sz w:val="9"/>
          <w:szCs w:val="9"/>
          <w:color w:val="auto"/>
        </w:rPr>
      </w:pPr>
    </w:p>
    <w:p>
      <w:pPr>
        <w:ind w:left="660" w:hanging="328"/>
        <w:spacing w:after="0" w:line="231" w:lineRule="auto"/>
        <w:tabs>
          <w:tab w:leader="none" w:pos="58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proportionate results from the divestitures that closed in 2023 and 2024, from the 2023 period on an operational basis. See “Certain Key Terms and Presentation Matters” in this release for more information.</w:t>
      </w:r>
    </w:p>
    <w:p>
      <w:pPr>
        <w:spacing w:after="0" w:line="39" w:lineRule="exact"/>
        <w:rPr>
          <w:rFonts w:ascii="Arial" w:cs="Arial" w:eastAsia="Arial" w:hAnsi="Arial"/>
          <w:sz w:val="19"/>
          <w:szCs w:val="19"/>
          <w:color w:val="auto"/>
          <w:vertAlign w:val="superscript"/>
        </w:rPr>
      </w:pPr>
    </w:p>
    <w:p>
      <w:pPr>
        <w:ind w:left="660" w:hanging="328"/>
        <w:spacing w:after="0" w:line="222" w:lineRule="auto"/>
        <w:tabs>
          <w:tab w:leader="none" w:pos="59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i w:val="1"/>
          <w:iCs w:val="1"/>
          <w:color w:val="auto"/>
        </w:rPr>
        <w:t>Complex Gx</w:t>
      </w:r>
      <w:r>
        <w:rPr>
          <w:rFonts w:ascii="Arial" w:cs="Arial" w:eastAsia="Arial" w:hAnsi="Arial"/>
          <w:sz w:val="14"/>
          <w:szCs w:val="14"/>
          <w:color w:val="auto"/>
        </w:rPr>
        <w:t>, which was previously presented as a separate line item in the prior year period, is now included within</w:t>
      </w:r>
      <w:r>
        <w:rPr>
          <w:rFonts w:ascii="Arial" w:cs="Arial" w:eastAsia="Arial" w:hAnsi="Arial"/>
          <w:sz w:val="14"/>
          <w:szCs w:val="14"/>
          <w:i w:val="1"/>
          <w:iCs w:val="1"/>
          <w:color w:val="auto"/>
        </w:rPr>
        <w:t xml:space="preserve"> Generics</w:t>
      </w:r>
      <w:r>
        <w:rPr>
          <w:rFonts w:ascii="Arial" w:cs="Arial" w:eastAsia="Arial" w:hAnsi="Arial"/>
          <w:sz w:val="14"/>
          <w:szCs w:val="14"/>
          <w:color w:val="auto"/>
        </w:rPr>
        <w:t>. Reclassifications were made to prior</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to conform to the current period presentation.</w:t>
      </w:r>
    </w:p>
    <w:p>
      <w:pPr>
        <w:spacing w:after="0" w:line="40" w:lineRule="exact"/>
        <w:rPr>
          <w:rFonts w:ascii="Arial" w:cs="Arial" w:eastAsia="Arial" w:hAnsi="Arial"/>
          <w:sz w:val="19"/>
          <w:szCs w:val="19"/>
          <w:color w:val="auto"/>
          <w:vertAlign w:val="superscript"/>
        </w:rPr>
      </w:pPr>
    </w:p>
    <w:p>
      <w:pPr>
        <w:jc w:val="both"/>
        <w:ind w:left="660" w:hanging="328"/>
        <w:spacing w:after="0" w:line="300" w:lineRule="auto"/>
        <w:tabs>
          <w:tab w:leader="none" w:pos="720" w:val="left"/>
        </w:tabs>
        <w:numPr>
          <w:ilvl w:val="0"/>
          <w:numId w:val="4"/>
        </w:numPr>
        <w:rPr>
          <w:rFonts w:ascii="Arial" w:cs="Arial" w:eastAsia="Arial" w:hAnsi="Arial"/>
          <w:sz w:val="9"/>
          <w:szCs w:val="9"/>
          <w:color w:val="auto"/>
        </w:rPr>
      </w:pPr>
      <w:r>
        <w:rPr>
          <w:rFonts w:ascii="Arial" w:cs="Arial" w:eastAsia="Arial" w:hAnsi="Arial"/>
          <w:sz w:val="14"/>
          <w:szCs w:val="14"/>
          <w:color w:val="auto"/>
        </w:rPr>
        <w:t>Excluding the impact of transaction costs primarily related to the divestitures of $106 million, free cash flow for the three months ended June 30, 2024, was $426 million. Excluding the impact of transaction costs related to divestitures of $9 million, free cash flow for the three months ended June 30, 2023, was $466 million.</w:t>
      </w:r>
    </w:p>
    <w:p>
      <w:pPr>
        <w:spacing w:after="0" w:line="2" w:lineRule="exact"/>
        <w:rPr>
          <w:rFonts w:ascii="Arial" w:cs="Arial" w:eastAsia="Arial" w:hAnsi="Arial"/>
          <w:sz w:val="9"/>
          <w:szCs w:val="9"/>
          <w:color w:val="auto"/>
        </w:rPr>
      </w:pPr>
    </w:p>
    <w:p>
      <w:pPr>
        <w:jc w:val="both"/>
        <w:ind w:left="660" w:hanging="328"/>
        <w:spacing w:after="0" w:line="245" w:lineRule="auto"/>
        <w:tabs>
          <w:tab w:leader="none" w:pos="74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free cash flow, and net cash used in investing activities of $10 million for the three months ended June 30, 2023.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4"/>
          </w:tcPr>
          <w:p>
            <w:pPr>
              <w:jc w:val="center"/>
              <w:ind w:left="60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280" w:type="dxa"/>
            <w:vAlign w:val="bottom"/>
          </w:tcPr>
          <w:p>
            <w:pPr>
              <w:spacing w:after="0"/>
              <w:rPr>
                <w:sz w:val="12"/>
                <w:szCs w:val="12"/>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line="198"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(1) (2)</w:t>
            </w:r>
          </w:p>
        </w:tc>
        <w:tc>
          <w:tcPr>
            <w:tcW w:w="1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(3)</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7,439.4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7,628.6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4,484.6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4,524.2</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1,204.5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1,290.0</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667.4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717.7</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1,096.7</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4,672.2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4,865.0</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Generics </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2,767.2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2,763.6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3,150.8</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4,358.7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4,582.6</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59.9 %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vMerge w:val="restart"/>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U.S. GAAP Net (Loss)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488.7</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20" w:type="dxa"/>
            <w:vAlign w:val="bottom"/>
            <w:vMerge w:val="continue"/>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(Loss) Earnings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0.41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1,639.2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1,838.3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1.53</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1,574.3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2,363.1</w:t>
            </w: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2,401.3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2,646.6</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Net Cash Provided by Operating Activities </w:t>
            </w:r>
            <w:r>
              <w:rPr>
                <w:rFonts w:ascii="Arial" w:cs="Arial" w:eastAsia="Arial" w:hAnsi="Arial"/>
                <w:sz w:val="21"/>
                <w:szCs w:val="21"/>
                <w:color w:val="auto"/>
                <w:vertAlign w:val="superscript"/>
              </w:rPr>
              <w:t>(6)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993.7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1,496.3</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115.6</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(2)(5)(6)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885.1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1,380.7</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right="20" w:hanging="328"/>
        <w:spacing w:after="0" w:line="300" w:lineRule="auto"/>
        <w:tabs>
          <w:tab w:leader="none" w:pos="593"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operational change for net sales, adjusted EBITDA, and adjusted EPS which excludes the impacts of foreign currency translation. See “Certain Key Terms and Presentation Matters” in this release for more information.</w:t>
      </w:r>
    </w:p>
    <w:p>
      <w:pPr>
        <w:ind w:left="540" w:hanging="208"/>
        <w:spacing w:after="0"/>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581"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proportionate results from the divestitures that closed in 2023 and 2024, from the 2023 period on an operational basis. See “Certain Key Terms and Presentation Matters” in this release for more information.</w:t>
      </w:r>
    </w:p>
    <w:p>
      <w:pPr>
        <w:spacing w:after="0" w:line="26" w:lineRule="exact"/>
        <w:rPr>
          <w:rFonts w:ascii="Arial" w:cs="Arial" w:eastAsia="Arial" w:hAnsi="Arial"/>
          <w:sz w:val="19"/>
          <w:szCs w:val="19"/>
          <w:color w:val="auto"/>
          <w:vertAlign w:val="superscript"/>
        </w:rPr>
      </w:pPr>
    </w:p>
    <w:p>
      <w:pPr>
        <w:ind w:left="660" w:hanging="328"/>
        <w:spacing w:after="0" w:line="300" w:lineRule="auto"/>
        <w:tabs>
          <w:tab w:leader="none" w:pos="594" w:val="left"/>
        </w:tabs>
        <w:numPr>
          <w:ilvl w:val="0"/>
          <w:numId w:val="5"/>
        </w:numPr>
        <w:rPr>
          <w:rFonts w:ascii="Arial" w:cs="Arial" w:eastAsia="Arial" w:hAnsi="Arial"/>
          <w:sz w:val="9"/>
          <w:szCs w:val="9"/>
          <w:color w:val="auto"/>
        </w:rPr>
      </w:pPr>
      <w:r>
        <w:rPr>
          <w:rFonts w:ascii="Arial" w:cs="Arial" w:eastAsia="Arial" w:hAnsi="Arial"/>
          <w:sz w:val="14"/>
          <w:szCs w:val="14"/>
          <w:i w:val="1"/>
          <w:iCs w:val="1"/>
          <w:color w:val="auto"/>
        </w:rPr>
        <w:t>Complex Gx</w:t>
      </w:r>
      <w:r>
        <w:rPr>
          <w:rFonts w:ascii="Arial" w:cs="Arial" w:eastAsia="Arial" w:hAnsi="Arial"/>
          <w:sz w:val="14"/>
          <w:szCs w:val="14"/>
          <w:color w:val="auto"/>
        </w:rPr>
        <w:t>, which was previously presented as a separate line item in the prior year period, is now included within</w:t>
      </w:r>
      <w:r>
        <w:rPr>
          <w:rFonts w:ascii="Arial" w:cs="Arial" w:eastAsia="Arial" w:hAnsi="Arial"/>
          <w:sz w:val="14"/>
          <w:szCs w:val="14"/>
          <w:i w:val="1"/>
          <w:iCs w:val="1"/>
          <w:color w:val="auto"/>
        </w:rPr>
        <w:t xml:space="preserve"> Generics</w:t>
      </w:r>
      <w:r>
        <w:rPr>
          <w:rFonts w:ascii="Arial" w:cs="Arial" w:eastAsia="Arial" w:hAnsi="Arial"/>
          <w:sz w:val="14"/>
          <w:szCs w:val="14"/>
          <w:color w:val="auto"/>
        </w:rPr>
        <w:t>. Reclassifications were made to prior</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to conform to the current period presentation.</w:t>
      </w:r>
    </w:p>
    <w:p>
      <w:pPr>
        <w:spacing w:after="0" w:line="2" w:lineRule="exact"/>
        <w:rPr>
          <w:rFonts w:ascii="Arial" w:cs="Arial" w:eastAsia="Arial" w:hAnsi="Arial"/>
          <w:sz w:val="9"/>
          <w:szCs w:val="9"/>
          <w:color w:val="auto"/>
        </w:rPr>
      </w:pPr>
    </w:p>
    <w:p>
      <w:pPr>
        <w:jc w:val="both"/>
        <w:ind w:left="660" w:hanging="328"/>
        <w:spacing w:after="0" w:line="234" w:lineRule="auto"/>
        <w:tabs>
          <w:tab w:leader="none" w:pos="63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primarily related to the divestitures of $190 million, free cash flow for the six months ended June 30, 2024, was $1.1 billion. Excluding the impact of transaction costs related to the eye care acquisitions and the divestitures of $31 million, free cash flow for the six months ended June 30, 2023, was $1.4 billion.</w:t>
      </w:r>
    </w:p>
    <w:p>
      <w:pPr>
        <w:spacing w:after="0" w:line="40" w:lineRule="exact"/>
        <w:rPr>
          <w:rFonts w:ascii="Arial" w:cs="Arial" w:eastAsia="Arial" w:hAnsi="Arial"/>
          <w:sz w:val="19"/>
          <w:szCs w:val="19"/>
          <w:color w:val="auto"/>
          <w:vertAlign w:val="superscript"/>
        </w:rPr>
      </w:pPr>
    </w:p>
    <w:p>
      <w:pPr>
        <w:jc w:val="both"/>
        <w:ind w:left="660" w:hanging="328"/>
        <w:spacing w:after="0" w:line="267" w:lineRule="auto"/>
        <w:tabs>
          <w:tab w:leader="none" w:pos="740" w:val="left"/>
        </w:tabs>
        <w:numPr>
          <w:ilvl w:val="0"/>
          <w:numId w:val="5"/>
        </w:numPr>
        <w:rPr>
          <w:rFonts w:ascii="Arial" w:cs="Arial" w:eastAsia="Arial" w:hAnsi="Arial"/>
          <w:sz w:val="9"/>
          <w:szCs w:val="9"/>
          <w:color w:val="auto"/>
        </w:rPr>
      </w:pPr>
      <w:r>
        <w:rPr>
          <w:rFonts w:ascii="Arial" w:cs="Arial" w:eastAsia="Arial" w:hAnsi="Arial"/>
          <w:sz w:val="14"/>
          <w:szCs w:val="14"/>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free cash flow, and net cash used in investing activities of $10 million for the six months ended June 30, 2023.</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5" w:right="339" w:bottom="1440" w:gutter="0" w:footer="0" w:header="0"/>
        </w:sectPr>
      </w:pPr>
    </w:p>
    <w:bookmarkStart w:id="8" w:name="page9"/>
    <w:bookmarkEnd w:id="8"/>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Financial Highlights</w:t>
      </w:r>
    </w:p>
    <w:p>
      <w:pPr>
        <w:spacing w:after="0" w:line="258" w:lineRule="exact"/>
        <w:rPr>
          <w:sz w:val="20"/>
          <w:szCs w:val="20"/>
          <w:color w:val="auto"/>
        </w:rPr>
      </w:pPr>
    </w:p>
    <w:p>
      <w:pPr>
        <w:ind w:left="340" w:right="580" w:hanging="332"/>
        <w:spacing w:after="0" w:line="247"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0"/>
          <w:szCs w:val="20"/>
          <w:color w:val="auto"/>
        </w:rPr>
        <w:t>Second quarter 2024 total net sales were $3.8 billion, up ~2% on a divestiture-adjusted operational basis compared to second-quarter 2023 results, with divestiture-adjusted operational net sales growth across all segments.</w:t>
      </w:r>
    </w:p>
    <w:p>
      <w:pPr>
        <w:spacing w:after="0" w:line="245" w:lineRule="exact"/>
        <w:rPr>
          <w:rFonts w:ascii="Arial" w:cs="Arial" w:eastAsia="Arial" w:hAnsi="Arial"/>
          <w:sz w:val="22"/>
          <w:szCs w:val="22"/>
          <w:color w:val="auto"/>
        </w:rPr>
      </w:pPr>
    </w:p>
    <w:p>
      <w:pPr>
        <w:jc w:val="both"/>
        <w:ind w:left="340" w:right="160" w:hanging="332"/>
        <w:spacing w:after="0" w:line="250"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0"/>
          <w:szCs w:val="20"/>
          <w:color w:val="auto"/>
        </w:rPr>
        <w:t>Brands net sales reflect strong growth in Greater China and the expansion of the Company's portfolio in Emerging Markets and JANZ. This was partially offset by unfavorable channel dynamics in North America and the impact of government price regulations in Japan and Australia.</w:t>
      </w:r>
    </w:p>
    <w:p>
      <w:pPr>
        <w:spacing w:after="0" w:line="242" w:lineRule="exact"/>
        <w:rPr>
          <w:rFonts w:ascii="Arial" w:cs="Arial" w:eastAsia="Arial" w:hAnsi="Arial"/>
          <w:sz w:val="22"/>
          <w:szCs w:val="22"/>
          <w:color w:val="auto"/>
        </w:rPr>
      </w:pPr>
    </w:p>
    <w:p>
      <w:pPr>
        <w:ind w:left="340" w:right="340" w:hanging="332"/>
        <w:spacing w:after="0" w:line="247"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0"/>
          <w:szCs w:val="20"/>
          <w:color w:val="auto"/>
        </w:rPr>
        <w:t>Generics net sales reflect strong growth from new product launch performances in Developed Markets, continued growth from complex products, and solid performance across our broader European portfolio.</w:t>
      </w:r>
    </w:p>
    <w:p>
      <w:pPr>
        <w:spacing w:after="0" w:line="245" w:lineRule="exact"/>
        <w:rPr>
          <w:rFonts w:ascii="Arial" w:cs="Arial" w:eastAsia="Arial" w:hAnsi="Arial"/>
          <w:sz w:val="22"/>
          <w:szCs w:val="22"/>
          <w:color w:val="auto"/>
        </w:rPr>
      </w:pPr>
    </w:p>
    <w:p>
      <w:pPr>
        <w:ind w:left="340" w:right="180" w:hanging="332"/>
        <w:spacing w:after="0" w:line="250"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0"/>
          <w:szCs w:val="20"/>
          <w:color w:val="auto"/>
        </w:rPr>
        <w:t>The Company generated approximately $210 million in new product revenues in the quarter primarily driven by Breyna™, lisdexamfetamine, and other new products globally. The Company's strong year-to-date performance gives it confidence in raising its outlook to approximately $500 million to $600 million in new product revenues in 2024.</w:t>
      </w:r>
    </w:p>
    <w:p>
      <w:pPr>
        <w:spacing w:after="0" w:line="242" w:lineRule="exact"/>
        <w:rPr>
          <w:rFonts w:ascii="Arial" w:cs="Arial" w:eastAsia="Arial" w:hAnsi="Arial"/>
          <w:sz w:val="22"/>
          <w:szCs w:val="22"/>
          <w:color w:val="auto"/>
        </w:rPr>
      </w:pPr>
    </w:p>
    <w:p>
      <w:pPr>
        <w:ind w:left="340" w:right="260" w:hanging="332"/>
        <w:spacing w:after="0" w:line="250" w:lineRule="auto"/>
        <w:tabs>
          <w:tab w:leader="none" w:pos="335" w:val="left"/>
        </w:tabs>
        <w:numPr>
          <w:ilvl w:val="0"/>
          <w:numId w:val="6"/>
        </w:numPr>
        <w:rPr>
          <w:rFonts w:ascii="Arial" w:cs="Arial" w:eastAsia="Arial" w:hAnsi="Arial"/>
          <w:sz w:val="22"/>
          <w:szCs w:val="22"/>
          <w:i w:val="1"/>
          <w:iCs w:val="1"/>
          <w:color w:val="auto"/>
        </w:rPr>
      </w:pPr>
      <w:r>
        <w:rPr>
          <w:rFonts w:ascii="Arial" w:cs="Arial" w:eastAsia="Arial" w:hAnsi="Arial"/>
          <w:sz w:val="20"/>
          <w:szCs w:val="20"/>
          <w:color w:val="auto"/>
        </w:rPr>
        <w:t>U.S. GAAP net loss was $326 million and adjusted EBITDA was $1.2 billion, up ~2% on a divestiture-adjusted operational basis. U.S. GAAP diluted EPS was a loss of $0.27 per share and adjusted EPS was $0.69 per share, up ~3% on a divestiture-adjusted operational basis.</w:t>
      </w:r>
    </w:p>
    <w:p>
      <w:pPr>
        <w:spacing w:after="0" w:line="229" w:lineRule="exact"/>
        <w:rPr>
          <w:rFonts w:ascii="Arial" w:cs="Arial" w:eastAsia="Arial" w:hAnsi="Arial"/>
          <w:sz w:val="22"/>
          <w:szCs w:val="22"/>
          <w:i w:val="1"/>
          <w:iCs w:val="1"/>
          <w:color w:val="auto"/>
        </w:rPr>
      </w:pPr>
    </w:p>
    <w:p>
      <w:pPr>
        <w:ind w:left="340" w:hanging="332"/>
        <w:spacing w:after="0" w:line="25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0"/>
          <w:szCs w:val="20"/>
          <w:color w:val="auto"/>
        </w:rPr>
        <w:t>This quarter’s results demonstrate the Company’s financial strength, as the Company generated U.S. GAAP net cash provided by operating activities of $379 million, and free cash flow, excluding the impact of transaction costs primarily related to the divestitures, of $426 million, and paid down approximately $800 million of debt.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Additional Updates</w:t>
      </w:r>
    </w:p>
    <w:p>
      <w:pPr>
        <w:spacing w:after="0" w:line="258" w:lineRule="exact"/>
        <w:rPr>
          <w:sz w:val="20"/>
          <w:szCs w:val="20"/>
          <w:color w:val="auto"/>
        </w:rPr>
      </w:pPr>
    </w:p>
    <w:p>
      <w:pPr>
        <w:ind w:left="340" w:right="700" w:hanging="332"/>
        <w:spacing w:after="0" w:line="273" w:lineRule="auto"/>
        <w:tabs>
          <w:tab w:leader="none" w:pos="335" w:val="left"/>
        </w:tabs>
        <w:numPr>
          <w:ilvl w:val="0"/>
          <w:numId w:val="7"/>
        </w:numPr>
        <w:rPr>
          <w:rFonts w:ascii="Arial" w:cs="Arial" w:eastAsia="Arial" w:hAnsi="Arial"/>
          <w:sz w:val="21"/>
          <w:szCs w:val="21"/>
          <w:color w:val="auto"/>
        </w:rPr>
      </w:pPr>
      <w:r>
        <w:rPr>
          <w:rFonts w:ascii="Arial" w:cs="Arial" w:eastAsia="Arial" w:hAnsi="Arial"/>
          <w:sz w:val="19"/>
          <w:szCs w:val="19"/>
          <w:color w:val="auto"/>
        </w:rPr>
        <w:t>In July, the Company brought to substantial completion all divestitures with the closing of its Over-the-Counter (OTC) business to Cooper Consumer Health, a leading European over-the-counter drug manufacturer and distributor.</w:t>
      </w:r>
    </w:p>
    <w:p>
      <w:pPr>
        <w:spacing w:after="0" w:line="219" w:lineRule="exact"/>
        <w:rPr>
          <w:rFonts w:ascii="Arial" w:cs="Arial" w:eastAsia="Arial" w:hAnsi="Arial"/>
          <w:sz w:val="21"/>
          <w:szCs w:val="21"/>
          <w:color w:val="auto"/>
        </w:rPr>
      </w:pPr>
    </w:p>
    <w:p>
      <w:pPr>
        <w:ind w:left="340" w:right="4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0"/>
          <w:szCs w:val="20"/>
          <w:color w:val="auto"/>
        </w:rPr>
        <w:t>In June, the Company was named to TIME’s World’s Most Sustainable Companies 2024 List recognizing leading companies in corporate social responsibility from more than 30 countries.</w:t>
      </w:r>
    </w:p>
    <w:p>
      <w:pPr>
        <w:spacing w:after="0" w:line="245" w:lineRule="exact"/>
        <w:rPr>
          <w:rFonts w:ascii="Arial" w:cs="Arial" w:eastAsia="Arial" w:hAnsi="Arial"/>
          <w:sz w:val="22"/>
          <w:szCs w:val="22"/>
          <w:color w:val="auto"/>
        </w:rPr>
      </w:pPr>
    </w:p>
    <w:p>
      <w:pPr>
        <w:ind w:left="340" w:right="120" w:hanging="332"/>
        <w:spacing w:after="0" w:line="250"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0"/>
          <w:szCs w:val="20"/>
          <w:color w:val="auto"/>
        </w:rPr>
        <w:t>In May, the Company published its 2023 Sustainability Report highlighting its actions and initiatives across multiple areas of focus in support of the Company's efforts to continue to be a model for sustainable access to medicine and to make a difference in the communities it 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4C16AE"/>
        </w:rPr>
        <w:t>Financial Guidance</w:t>
      </w:r>
    </w:p>
    <w:p>
      <w:pPr>
        <w:spacing w:after="0" w:line="231"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The following table summarizes the Company's 2024 financial guidance as of August 8, 2024. The Company is not providing forward-looking guidance for U.S. GAAP net (loss) earnings or U.S. GAAP diluted (loss) earnings per share (EPS) or a quantitative reconciliation of its 2024 adjusted EBITDA or adjusted EPS guidance to the most directly comparable U.S. GAAP measures, U.S. GAAP net (loss) earnings or U.S. GAAP diluted EPS, respectively, because it is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With respect to the Estimated Ranges provided as of August 8, 2024, U.S. GAAP net cash provided by operating activities for 2024 is estimated to be between $2.62 billion and $2.92 billion, with a midpoint of approximately $2.77 billion. With respect to the Estimated Ranges provided as of May 9, 2024, Viatris did not provide forward-looking guidance for U.S. GAAP net earnings or U.S. GAAP diluted EPS or a quantitative reconciliation of its 2024 adjusted EBITDA or adjusted EPS guidance. Please see "Non-GAAP Financial Measures" for additional information. With respect to the Estimated Ranges provided on May 9, 2024, U.S. GAAP net cash provided by operating activities for 2024 was estimated to be between $ 2.71 billion and $3.01 billion, with a midpoint of approximately $2.86 billion. The Company currently expects to be at the midpoint of the August 8, 2024, guidance ranges.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Adjusted</w:t>
            </w: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9"/>
                <w:szCs w:val="9"/>
                <w:b w:val="1"/>
                <w:bCs w:val="1"/>
                <w:color w:val="auto"/>
              </w:rPr>
              <w:t>(2)</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xml:space="preserve">Midpoint </w:t>
            </w:r>
            <w:r>
              <w:rPr>
                <w:rFonts w:ascii="Arial" w:cs="Arial" w:eastAsia="Arial" w:hAnsi="Arial"/>
                <w:sz w:val="9"/>
                <w:szCs w:val="9"/>
                <w:b w:val="1"/>
                <w:bCs w:val="1"/>
                <w:color w:val="auto"/>
              </w:rPr>
              <w:t>(2)</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Divestiture</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Acquired IPR&amp;D</w:t>
            </w: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9"/>
                <w:szCs w:val="9"/>
                <w:b w:val="1"/>
                <w:bCs w:val="1"/>
                <w:color w:val="auto"/>
              </w:rPr>
              <w:t>(4)</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Midpoint </w:t>
            </w: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EPS)</w:t>
            </w:r>
          </w:p>
        </w:tc>
        <w:tc>
          <w:tcPr>
            <w:tcW w:w="1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May 9, 2024</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May 9, 2024</w:t>
            </w:r>
          </w:p>
        </w:tc>
        <w:tc>
          <w:tcPr>
            <w:tcW w:w="1280" w:type="dxa"/>
            <w:vAlign w:val="bottom"/>
            <w:gridSpan w:val="2"/>
          </w:tcPr>
          <w:p>
            <w:pPr>
              <w:jc w:val="center"/>
              <w:ind w:right="10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(3)</w:t>
            </w:r>
          </w:p>
        </w:tc>
        <w:tc>
          <w:tcPr>
            <w:tcW w:w="1260" w:type="dxa"/>
            <w:vAlign w:val="bottom"/>
            <w:gridSpan w:val="2"/>
            <w:vMerge w:val="continue"/>
          </w:tcPr>
          <w:p>
            <w:pPr>
              <w:spacing w:after="0"/>
              <w:rPr>
                <w:sz w:val="15"/>
                <w:szCs w:val="15"/>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August 8, 2024</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8"/>
              </w:rPr>
              <w:t>August 8, 2024</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$14,980</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$15,480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$15,230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$14,600</w:t>
            </w:r>
          </w:p>
        </w:tc>
        <w:tc>
          <w:tcPr>
            <w:tcW w:w="1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$15,100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$14,850</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$4,710</w:t>
            </w:r>
          </w:p>
        </w:tc>
        <w:tc>
          <w:tcPr>
            <w:tcW w:w="980" w:type="dxa"/>
            <w:vAlign w:val="bottom"/>
          </w:tcPr>
          <w:p>
            <w:pPr>
              <w:ind w:left="20"/>
              <w:spacing w:after="0"/>
              <w:rPr>
                <w:sz w:val="20"/>
                <w:szCs w:val="20"/>
                <w:color w:val="auto"/>
              </w:rPr>
            </w:pPr>
            <w:r>
              <w:rPr>
                <w:rFonts w:ascii="Arial" w:cs="Arial" w:eastAsia="Arial" w:hAnsi="Arial"/>
                <w:sz w:val="16"/>
                <w:szCs w:val="16"/>
                <w:color w:val="auto"/>
              </w:rPr>
              <w:t>- $5,010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$4,860</w:t>
            </w:r>
          </w:p>
        </w:tc>
        <w:tc>
          <w:tcPr>
            <w:tcW w:w="10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Arial" w:cs="Arial" w:eastAsia="Arial" w:hAnsi="Arial"/>
                <w:sz w:val="16"/>
                <w:szCs w:val="16"/>
                <w:color w:val="auto"/>
                <w:w w:val="96"/>
              </w:rPr>
              <w:t>(~$125)</w:t>
            </w:r>
            <w:r>
              <w:rPr>
                <w:rFonts w:ascii="Arial" w:cs="Arial" w:eastAsia="Arial" w:hAnsi="Arial"/>
                <w:sz w:val="21"/>
                <w:szCs w:val="21"/>
                <w:color w:val="auto"/>
                <w:w w:val="96"/>
                <w:vertAlign w:val="superscript"/>
              </w:rPr>
              <w:t>(5)</w:t>
            </w:r>
          </w:p>
        </w:tc>
        <w:tc>
          <w:tcPr>
            <w:tcW w:w="100" w:type="dxa"/>
            <w:vAlign w:val="bottom"/>
          </w:tcPr>
          <w:p>
            <w:pPr>
              <w:spacing w:after="0"/>
              <w:rPr>
                <w:sz w:val="18"/>
                <w:szCs w:val="18"/>
                <w:color w:val="auto"/>
              </w:rPr>
            </w:pPr>
          </w:p>
        </w:tc>
        <w:tc>
          <w:tcPr>
            <w:tcW w:w="1160" w:type="dxa"/>
            <w:vAlign w:val="bottom"/>
          </w:tcPr>
          <w:p>
            <w:pPr>
              <w:jc w:val="right"/>
              <w:ind w:right="404"/>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$4,600</w:t>
            </w:r>
          </w:p>
        </w:tc>
        <w:tc>
          <w:tcPr>
            <w:tcW w:w="1000" w:type="dxa"/>
            <w:vAlign w:val="bottom"/>
          </w:tcPr>
          <w:p>
            <w:pPr>
              <w:ind w:left="40"/>
              <w:spacing w:after="0"/>
              <w:rPr>
                <w:sz w:val="20"/>
                <w:szCs w:val="20"/>
                <w:color w:val="auto"/>
              </w:rPr>
            </w:pPr>
            <w:r>
              <w:rPr>
                <w:rFonts w:ascii="Arial" w:cs="Arial" w:eastAsia="Arial" w:hAnsi="Arial"/>
                <w:sz w:val="16"/>
                <w:szCs w:val="16"/>
                <w:color w:val="auto"/>
              </w:rPr>
              <w:t>- $4,870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$4,735</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$2,660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$2,460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$2,570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285"/>
        </w:trPr>
        <w:tc>
          <w:tcPr>
            <w:tcW w:w="2080" w:type="dxa"/>
            <w:vAlign w:val="bottom"/>
          </w:tcPr>
          <w:p>
            <w:pPr>
              <w:ind w:left="20"/>
              <w:spacing w:after="0"/>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$2.66</w:t>
            </w:r>
          </w:p>
        </w:tc>
        <w:tc>
          <w:tcPr>
            <w:tcW w:w="980" w:type="dxa"/>
            <w:vAlign w:val="bottom"/>
          </w:tcPr>
          <w:p>
            <w:pPr>
              <w:ind w:left="20"/>
              <w:spacing w:after="0"/>
              <w:rPr>
                <w:sz w:val="20"/>
                <w:szCs w:val="20"/>
                <w:color w:val="auto"/>
              </w:rPr>
            </w:pPr>
            <w:r>
              <w:rPr>
                <w:rFonts w:ascii="Arial" w:cs="Arial" w:eastAsia="Arial" w:hAnsi="Arial"/>
                <w:sz w:val="16"/>
                <w:szCs w:val="16"/>
                <w:color w:val="auto"/>
              </w:rPr>
              <w:t>- $2.81</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$2.73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w:t>
            </w:r>
          </w:p>
        </w:tc>
        <w:tc>
          <w:tcPr>
            <w:tcW w:w="1000" w:type="dxa"/>
            <w:vAlign w:val="bottom"/>
          </w:tcPr>
          <w:p>
            <w:pPr>
              <w:ind w:left="40"/>
              <w:spacing w:after="0"/>
              <w:rPr>
                <w:sz w:val="20"/>
                <w:szCs w:val="20"/>
                <w:color w:val="auto"/>
              </w:rPr>
            </w:pPr>
            <w:r>
              <w:rPr>
                <w:rFonts w:ascii="Arial" w:cs="Arial" w:eastAsia="Arial" w:hAnsi="Arial"/>
                <w:sz w:val="16"/>
                <w:szCs w:val="16"/>
                <w:color w:val="auto"/>
              </w:rPr>
              <w:t>- $2.73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$2.66</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540" w:hanging="208"/>
        <w:spacing w:after="0"/>
        <w:tabs>
          <w:tab w:leader="none" w:pos="540" w:val="left"/>
        </w:tabs>
        <w:numPr>
          <w:ilvl w:val="0"/>
          <w:numId w:val="8"/>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68" w:lineRule="exact"/>
        <w:rPr>
          <w:rFonts w:ascii="Arial" w:cs="Arial" w:eastAsia="Arial" w:hAnsi="Arial"/>
          <w:sz w:val="9"/>
          <w:szCs w:val="9"/>
          <w:color w:val="auto"/>
        </w:rPr>
      </w:pPr>
    </w:p>
    <w:p>
      <w:pPr>
        <w:jc w:val="both"/>
        <w:ind w:left="660" w:hanging="328"/>
        <w:spacing w:after="0"/>
        <w:tabs>
          <w:tab w:leader="none" w:pos="62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2024 Financial Guidance as provided as of May 9, 2024, included the full year expected performance for the then-pending announced divestiture of substantially all of the OTC business and excluded any potential related costs, such as taxes and transaction costs. Also excluded any acquired IPR&amp;D to be incurred in any future period as it could not be reasonably forecasted.</w:t>
      </w:r>
    </w:p>
    <w:p>
      <w:pPr>
        <w:spacing w:after="0" w:line="26" w:lineRule="exact"/>
        <w:rPr>
          <w:rFonts w:ascii="Arial" w:cs="Arial" w:eastAsia="Arial" w:hAnsi="Arial"/>
          <w:sz w:val="19"/>
          <w:szCs w:val="19"/>
          <w:color w:val="auto"/>
          <w:vertAlign w:val="superscript"/>
        </w:rPr>
      </w:pPr>
    </w:p>
    <w:p>
      <w:pPr>
        <w:ind w:left="660" w:right="120" w:hanging="328"/>
        <w:spacing w:after="0" w:line="283" w:lineRule="auto"/>
        <w:tabs>
          <w:tab w:leader="none" w:pos="610" w:val="left"/>
        </w:tabs>
        <w:numPr>
          <w:ilvl w:val="0"/>
          <w:numId w:val="8"/>
        </w:numPr>
        <w:rPr>
          <w:rFonts w:ascii="Arial" w:cs="Arial" w:eastAsia="Arial" w:hAnsi="Arial"/>
          <w:sz w:val="9"/>
          <w:szCs w:val="9"/>
          <w:color w:val="auto"/>
        </w:rPr>
      </w:pPr>
      <w:r>
        <w:rPr>
          <w:rFonts w:ascii="Arial" w:cs="Arial" w:eastAsia="Arial" w:hAnsi="Arial"/>
          <w:sz w:val="14"/>
          <w:szCs w:val="14"/>
          <w:color w:val="auto"/>
        </w:rPr>
        <w:t>With respect to the impact of divestitures, the OTC business divestiture closed on July 3, 2024. The 2024 financial guidance ranges as of August 8, 2024, exclude the expected performance of the OTC business for the remainder of the year through December 31, 2024, which was included in our 2024 Financial Guidance as provided as of May 9, 2024.</w:t>
      </w:r>
    </w:p>
    <w:p>
      <w:pPr>
        <w:spacing w:after="0" w:line="10" w:lineRule="exact"/>
        <w:rPr>
          <w:rFonts w:ascii="Arial" w:cs="Arial" w:eastAsia="Arial" w:hAnsi="Arial"/>
          <w:sz w:val="9"/>
          <w:szCs w:val="9"/>
          <w:color w:val="auto"/>
        </w:rPr>
      </w:pPr>
    </w:p>
    <w:p>
      <w:pPr>
        <w:ind w:left="660" w:hanging="328"/>
        <w:spacing w:after="0" w:line="231" w:lineRule="auto"/>
        <w:tabs>
          <w:tab w:leader="none" w:pos="608"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2024 Financial Guidance as provided as of August 8, 2024, excludes any divestiture-related taxes and transaction costs. Also excludes any acquired IPR&amp;D to be incurred in any future period as it cannot be reasonably forecasted.</w:t>
      </w:r>
    </w:p>
    <w:p>
      <w:pPr>
        <w:spacing w:after="0" w:line="26" w:lineRule="exact"/>
        <w:rPr>
          <w:rFonts w:ascii="Arial" w:cs="Arial" w:eastAsia="Arial" w:hAnsi="Arial"/>
          <w:sz w:val="19"/>
          <w:szCs w:val="19"/>
          <w:color w:val="auto"/>
          <w:vertAlign w:val="superscript"/>
        </w:rPr>
      </w:pPr>
    </w:p>
    <w:p>
      <w:pPr>
        <w:ind w:left="660" w:hanging="328"/>
        <w:spacing w:after="0" w:line="305" w:lineRule="auto"/>
        <w:tabs>
          <w:tab w:leader="none" w:pos="581"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~$105 million for the expected performance of the OTC business for the remainder of the year through December 31, 2024, and ~$20 million estimated net dis-synergies.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Conference Call and Earnings Materials</w:t>
      </w:r>
    </w:p>
    <w:p>
      <w:pPr>
        <w:spacing w:after="0" w:line="231" w:lineRule="exact"/>
        <w:rPr>
          <w:sz w:val="20"/>
          <w:szCs w:val="20"/>
          <w:color w:val="auto"/>
        </w:rPr>
      </w:pPr>
    </w:p>
    <w:p>
      <w:pPr>
        <w:ind w:right="740"/>
        <w:spacing w:after="0" w:line="271" w:lineRule="auto"/>
        <w:rPr>
          <w:sz w:val="20"/>
          <w:szCs w:val="20"/>
          <w:color w:val="auto"/>
        </w:rPr>
      </w:pPr>
      <w:r>
        <w:rPr>
          <w:rFonts w:ascii="Arial" w:cs="Arial" w:eastAsia="Arial" w:hAnsi="Arial"/>
          <w:sz w:val="20"/>
          <w:szCs w:val="20"/>
          <w:color w:val="auto"/>
        </w:rPr>
        <w:t>Viatris will host a conference call and live webcast, today at 8:30 a.m. ET, to review the Company's second quarter 2024 financial results.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Investors and the general public are invited to listen to a live webcast of the call at investor.viatris.com or by calling</w:t>
      </w:r>
    </w:p>
    <w:p>
      <w:pPr>
        <w:spacing w:after="0" w:line="18"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color w:val="auto"/>
        </w:rPr>
        <w:t>844.308.3344 or 412.317.1896 for international callers. The “Viatris Q2 2024 Earnings Presentation,” which will be referenced during the call, can be found at investor.viatris.com. A replay of the webcast also will be available on the website.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0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4C16AE"/>
        </w:rPr>
        <w:t>About Viatris</w:t>
      </w:r>
    </w:p>
    <w:p>
      <w:pPr>
        <w:spacing w:after="0" w:line="231"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 (formerly Twitter).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Non-GAAP Financial Measures</w:t>
      </w:r>
    </w:p>
    <w:p>
      <w:pPr>
        <w:spacing w:after="0" w:line="21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 costs primarily related to the divestitures,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and divestiture-adjusted operational change,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divestitures that have closed during 2023 and 2024 by excluding proportionate net sales from those divested businesses from comparable prior periods.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28" w:right="339" w:bottom="1440" w:gutter="0" w:footer="0" w:header="0"/>
        </w:sectPr>
      </w:pPr>
    </w:p>
    <w:bookmarkStart w:id="11" w:name="page12"/>
    <w:bookmarkEnd w:id="11"/>
    <w:p>
      <w:pPr>
        <w:spacing w:after="0" w:line="234" w:lineRule="auto"/>
        <w:rPr>
          <w:sz w:val="20"/>
          <w:szCs w:val="20"/>
          <w:color w:val="auto"/>
        </w:rPr>
      </w:pPr>
      <w:r>
        <w:rPr>
          <w:rFonts w:ascii="Arial" w:cs="Arial" w:eastAsia="Arial" w:hAnsi="Arial"/>
          <w:sz w:val="20"/>
          <w:szCs w:val="20"/>
          <w:color w:val="auto"/>
        </w:rPr>
        <w:t>"Summary of Total Revenues by Segment" table below compares net sales on an actual and constant currency basis for each reportable segment for the quarters and six months ended June 30, 2024 and 2023 as well as for total revenues, as well as divestiture adjusted operational change in net sales and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 Use of Non-GAAP Financial Measures section of Viatris’ Quarterly Report on Form 10-Q for the three months ended June 30, 2024.</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With respect to the Estimated Ranges as provided as of May 9, 2024, at that time the Company did not provide forward-looking guidance for U.S. GAAP net earnings (loss) or U.S. GAAP diluted EPS or a quantitative reconciliation of its 2024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had not occurred, were out of the Company’s control and/or could be reasonably predicted without unreasonable effort. These items were uncertain, depended on various factors, and could have had a material impact on U.S. GAAP reported results for the guidance period. As previously disclosed, such guidance ranges included the full-year expected performance for the then-pending announced divestiture of substantially all of our OTC business and excluded any potential related costs, such as taxes and transaction costs, as well as any acquired IPR&amp;D to be incurred in any future period as it could not be reasonably forecasted.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Certain Key Terms and Presentation Matters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2024 and the carryover impact of new products, including business development, launched within the last 12 months.</w:t>
      </w:r>
    </w:p>
    <w:p>
      <w:pPr>
        <w:spacing w:after="0" w:line="140" w:lineRule="exact"/>
        <w:rPr>
          <w:sz w:val="20"/>
          <w:szCs w:val="20"/>
          <w:color w:val="auto"/>
        </w:rPr>
      </w:pPr>
    </w:p>
    <w:p>
      <w:pPr>
        <w:jc w:val="both"/>
        <w:ind w:right="480"/>
        <w:spacing w:after="0" w:line="282"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2024 constant currency net sales, revenues, adjusted EBITDA, and adjusted EPS to the corresponding amount in the prior year.</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20"/>
          <w:szCs w:val="20"/>
          <w:u w:val="single" w:color="auto"/>
          <w:color w:val="auto"/>
        </w:rPr>
        <w:t>Divestiture-adjusted operational change:</w:t>
      </w:r>
      <w:r>
        <w:rPr>
          <w:rFonts w:ascii="Arial" w:cs="Arial" w:eastAsia="Arial" w:hAnsi="Arial"/>
          <w:sz w:val="20"/>
          <w:szCs w:val="20"/>
          <w:color w:val="auto"/>
        </w:rPr>
        <w:t xml:space="preserve"> Refers to operational changes, further adjusted for the impact of the proportionate results from the divestitures that closed in 2023 and 2024, from the 2023 period by excluding such net sales from those divested businesses from comparable prior periods. Also, for adjusted EBITDA and adjusted EPS, refers to operational changes, adjusted as outlined in the previous sentence and further adjusted for the mark up for the TSA services provided to Biocon Biologics from the 2023 period.</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u w:val="single" w:color="auto"/>
          <w:color w:val="auto"/>
        </w:rPr>
        <w:t>SG&amp;A and R&amp;D TSA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the mark-up is included in other expense (income), net. For comparability purposes, amounts related to the cost reimbursement were reclassified to adjusted SG&amp;A and adjusted R&amp;D during 2023 and the first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887"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quarter of 2024. This reclassification had no impact on adjusted net earnings, adjusted EBITDA or adjusted EPS.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u w:val="single" w:color="auto"/>
          <w:color w:val="auto"/>
        </w:rPr>
        <w:t>Closed divestitures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divestitures closed in 2023 and 2024</w:t>
      </w:r>
      <w:r>
        <w:rPr>
          <w:rFonts w:ascii="Arial" w:cs="Arial" w:eastAsia="Arial" w:hAnsi="Arial"/>
          <w:sz w:val="20"/>
          <w:szCs w:val="20"/>
          <w:color w:val="auto"/>
        </w:rPr>
        <w:t>: Refers to the divestiture of the Company’s rights to two women’s healthcare products in certain countries (other than the U.K., which remains subject to regulatory approval) that closed in December 2023, the divestitures of the commercialization rights in certain of the Upjohn Distributor markets that closed in 2023 and 2024, the divestiture of the women's healthcare business that closed in March 2024, and the divestiture of the API business in India that closed in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Forward-Looking Statements</w:t>
      </w:r>
    </w:p>
    <w:p>
      <w:pPr>
        <w:spacing w:after="0" w:line="212"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This release contains “forward-looking statements”. These statements are made pursuant to the safe harbor provisions of the Private Securities Litigation Reform Act of 1995. Such forward-looking statements may include, without limitation, statements about 2024 financial</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guidance; strong results demonstrate power of Company's diversification, execution and growing base business; completion of divestitures marks inflection point in Company’s move towards accelerated growth and shareholder return; raises 2024 full-year new product revenues range to $500-$600 million; expects 2024 full-year total revenue growth of ~2% on a divestiture-adjusted operational basis; the Company’s ability to continue to grow its diversified base business; with the substantial completion of its divestitures the Company believes it has increased its financial strength and has a strong foundation from which to accelerate growth and shareholder return; this represents our fifth consecutive quarter of divestiture-adjusted operational revenue growth and demonstrates our ability to execute and grow our base business; with our divestitures behind us and a strong foundation to build on, we believe we are at an inflection point for our Company; in our next chapter, our strategy will focus on three main pillars: our diversified and growing base business, our financial strength and significant cash flow, and our expanding innovative portfolio; we expect these three pillars will enable us to accelerate growth and shareholder return; we expect the momentum we are seeing in the business to continue, and we believe we are well positioned for a strong second half of the year; the Company’s strong year-to-date performance gives it confidence in raising its outlook to approximately $500 million to $600 million in new</w:t>
      </w:r>
    </w:p>
    <w:p>
      <w:pPr>
        <w:spacing w:after="0" w:line="8" w:lineRule="exact"/>
        <w:rPr>
          <w:sz w:val="20"/>
          <w:szCs w:val="20"/>
          <w:color w:val="auto"/>
        </w:rPr>
      </w:pPr>
    </w:p>
    <w:p>
      <w:pPr>
        <w:ind w:right="580"/>
        <w:spacing w:after="0" w:line="226" w:lineRule="auto"/>
        <w:rPr>
          <w:sz w:val="20"/>
          <w:szCs w:val="20"/>
          <w:color w:val="auto"/>
        </w:rPr>
      </w:pPr>
      <w:r>
        <w:rPr>
          <w:rFonts w:ascii="Arial" w:cs="Arial" w:eastAsia="Arial" w:hAnsi="Arial"/>
          <w:sz w:val="18"/>
          <w:szCs w:val="18"/>
          <w:color w:val="auto"/>
        </w:rPr>
        <w:t>product revenues in 2024; the Company currently expects to be at the midpoint of the August 8, 2024, guidance ranges; the goals or outlooks with respect to the Company’s strategic initiatives, including but not limited to the Company’s two-phased strategic vision and</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potential, announced and completed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(including</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divestitures, acquisitions, or other potential transactions) or move up the value chain by focusing on more complex and innovative products to build a more durable higher margin portfolio; the possibility that the Company may be unable to achieve intended or expected benefits, goals,</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outlooks, synergies, growth opportunities and operating efficiencies in connection with divestitures, acquisitions, other transactions, or restructuring programs, within the expected timeframes or at all; with respect to divestitures, failure to realize the total transaction values or proceeds, including as a result of any purchase price adjustment or a failure to achieve any conditions to the payment of any contingent consideration; goodwill or impairment charges or other losses, including but not limited to related to the divestiture or sale of businesses or assets; the Company’s failure to achieve expected or targeted future financial and operating performance and results; the potential impact of public health outbreaks, epidemics and pandemics;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motivate and retain key personnel;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7" w:right="339" w:bottom="1440" w:gutter="0" w:footer="0" w:header="0"/>
        </w:sectPr>
      </w:pPr>
    </w:p>
    <w:bookmarkStart w:id="13" w:name="page14"/>
    <w:bookmarkEnd w:id="13"/>
    <w:p>
      <w:pPr>
        <w:spacing w:after="0" w:line="238" w:lineRule="auto"/>
        <w:rPr>
          <w:sz w:val="20"/>
          <w:szCs w:val="20"/>
          <w:color w:val="auto"/>
        </w:rPr>
      </w:pPr>
      <w:r>
        <w:rPr>
          <w:rFonts w:ascii="Arial" w:cs="Arial" w:eastAsia="Arial" w:hAnsi="Arial"/>
          <w:sz w:val="18"/>
          <w:szCs w:val="18"/>
          <w:color w:val="auto"/>
        </w:rPr>
        <w:t>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to our IT systems; risks associated with having significant operations globally; the ability to protect intellectual property and preserve intellectual property rights; changes in third-party relationships; the effect of any changes in the Company’s or its partners’ customer and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212"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For more detailed information on the risks and uncertainties associated with Viatris, see the risks described in Part I, Item 1A of the Company’s Annual Report on Form 10-K for the year ended December 31, 2023,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w:t>
      </w:r>
    </w:p>
    <w:p>
      <w:pPr>
        <w:ind w:right="340"/>
        <w:spacing w:after="0"/>
        <w:rPr>
          <w:sz w:val="20"/>
          <w:szCs w:val="20"/>
          <w:color w:val="auto"/>
        </w:rPr>
      </w:pPr>
      <w:r>
        <w:rPr>
          <w:rFonts w:ascii="Arial" w:cs="Arial" w:eastAsia="Arial" w:hAnsi="Arial"/>
          <w:sz w:val="17"/>
          <w:szCs w:val="17"/>
          <w:color w:val="auto"/>
        </w:rPr>
        <w:t>address as a means of disclosing material information to the public in a broad, non-exclusionary manner for purposes of the SEC’s Regulation Fair Disclosure (Reg FD). The contents of our website are not incorporated into this release or our filings with the SEC. Viatris</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Media:</w:t>
      </w:r>
    </w:p>
    <w:p>
      <w:pPr>
        <w:spacing w:after="0" w:line="32" w:lineRule="exact"/>
        <w:rPr>
          <w:sz w:val="20"/>
          <w:szCs w:val="20"/>
          <w:color w:val="auto"/>
        </w:rPr>
      </w:pPr>
    </w:p>
    <w:p>
      <w:pPr>
        <w:ind w:left="280" w:hanging="254"/>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1.724.514.1968</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Communications@viatris.com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Mauer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Jennifer.Mauer@viatris.com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 Klein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Matthew.Klein@viatris.com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Investors:</w:t>
      </w:r>
    </w:p>
    <w:p>
      <w:pPr>
        <w:spacing w:after="0" w:line="32" w:lineRule="exact"/>
        <w:rPr>
          <w:sz w:val="20"/>
          <w:szCs w:val="20"/>
          <w:color w:val="auto"/>
        </w:rPr>
      </w:pPr>
    </w:p>
    <w:p>
      <w:pPr>
        <w:ind w:left="280" w:hanging="254"/>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1.724.514.1813</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InvestorRelations@viatris.com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Bill Szablewski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77"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3,785.9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3,909.5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7,439.4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7,628.6</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3,796.6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7,647.7</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4,496.9</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3,150.8</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391.2</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5"/>
        </w:trPr>
        <w:tc>
          <w:tcPr>
            <w:tcW w:w="504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1,990.8</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from operations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290.7</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(Loss) earnings before income taxes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Viatris Inc. shareholders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840" w:top="890" w:right="8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Pr>
          <w:p>
            <w:pPr>
              <w:jc w:val="center"/>
              <w:ind w:left="3528"/>
              <w:spacing w:after="0"/>
              <w:rPr>
                <w:sz w:val="20"/>
                <w:szCs w:val="20"/>
                <w:color w:val="auto"/>
              </w:rPr>
            </w:pPr>
            <w:r>
              <w:rPr>
                <w:rFonts w:ascii="Arial" w:cs="Arial" w:eastAsia="Arial" w:hAnsi="Arial"/>
                <w:sz w:val="14"/>
                <w:szCs w:val="14"/>
                <w:b w:val="1"/>
                <w:bCs w:val="1"/>
                <w:color w:val="auto"/>
              </w:rPr>
              <w:t>June 30,</w:t>
            </w:r>
          </w:p>
        </w:tc>
        <w:tc>
          <w:tcPr>
            <w:tcW w:w="1300" w:type="dxa"/>
            <w:vAlign w:val="bottom"/>
          </w:tcPr>
          <w:p>
            <w:pPr>
              <w:jc w:val="center"/>
              <w:ind w:lef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490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firstLine="14"/>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150495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917.2</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991.9</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3,566.9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3,700.4</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3,942.1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3,469.7</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2,028.1</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2,786.0</w:t>
            </w:r>
          </w:p>
        </w:tc>
      </w:tr>
      <w:tr>
        <w:trPr>
          <w:trHeight w:val="209"/>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11,792.1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12,976.1</w:t>
            </w: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18,419.0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19,181.1</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9,325.9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9,867.1</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5,661.2</w:t>
            </w:r>
          </w:p>
        </w:tc>
      </w:tr>
      <w:tr>
        <w:trPr>
          <w:trHeight w:val="209"/>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45,330.0</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47,685.5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2,367.4</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1,943.4</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held for sale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5,309.0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5,558.9</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16,188.1</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3,369.6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27,218.1</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20,467.4</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47,685.5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40" w:top="890" w:right="35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r>
      <w:tr>
        <w:trPr>
          <w:trHeight w:val="20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r>
      <w:tr>
        <w:trPr>
          <w:trHeight w:val="19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Global Products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Lipitor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737.3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797.9</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Norvasc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w:t>
            </w: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Lyrica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281.4</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w:t>
            </w: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Viagra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226.0</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170.8</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Effexor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Zoloft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111.0</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Xalabrands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16"/>
        </w:trPr>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Segment Products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Dymista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Yupelri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Amitiza ®</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and six months ended June 30, 2024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3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2"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Reconciliation of U.S. GAAP Net (Loss) Earnings to Adjusted Net Earnings and U.S. GAAP (Loss) Earnings Per Share to Adjusted EPS</w:t>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Below is a reconciliation of U.S. GAAP net (loss) earnings and diluted (loss) earnings per share to adjusted net earnings and adjusted EPS for the three and six months ended June 30, 2024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U.S. GAAP net (loss) earnings and U.S. GAAP</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2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2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2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24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line="162" w:lineRule="exact"/>
              <w:rPr>
                <w:sz w:val="20"/>
                <w:szCs w:val="20"/>
                <w:color w:val="auto"/>
              </w:rPr>
            </w:pPr>
            <w:r>
              <w:rPr>
                <w:rFonts w:ascii="Arial" w:cs="Arial" w:eastAsia="Arial" w:hAnsi="Arial"/>
                <w:sz w:val="16"/>
                <w:szCs w:val="16"/>
                <w:color w:val="auto"/>
              </w:rPr>
              <w:t>Purchase accounting amortization (primarily</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709.9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609.3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1,321.6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1,262.6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included in cost of sales)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Impairment of goodwill (included in SG&amp;A) </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(primarily amortization of</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and discounts on long term debt)</w:t>
            </w: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line="162" w:lineRule="exact"/>
              <w:rPr>
                <w:sz w:val="20"/>
                <w:szCs w:val="20"/>
                <w:color w:val="auto"/>
              </w:rPr>
            </w:pPr>
            <w:r>
              <w:rPr>
                <w:rFonts w:ascii="Arial" w:cs="Arial" w:eastAsia="Arial" w:hAnsi="Arial"/>
                <w:sz w:val="16"/>
                <w:szCs w:val="16"/>
                <w:color w:val="auto"/>
              </w:rPr>
              <w:t>Loss on divestitures of businesses (included in</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258.8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188.4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income, net) </w:t>
            </w:r>
            <w:r>
              <w:rPr>
                <w:rFonts w:ascii="Arial" w:cs="Arial" w:eastAsia="Arial" w:hAnsi="Arial"/>
                <w:sz w:val="21"/>
                <w:szCs w:val="21"/>
                <w:color w:val="auto"/>
                <w:vertAlign w:val="superscript"/>
              </w:rPr>
              <w:t>(c)</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Acquisition and divestiture-related costs (primarily</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included in SG&amp;A)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Other special items included in: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(f)</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Research and development expense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Tax effect of the above items and other income tax</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related items </w:t>
            </w:r>
            <w:r>
              <w:rPr>
                <w:rFonts w:ascii="Arial" w:cs="Arial" w:eastAsia="Arial" w:hAnsi="Arial"/>
                <w:sz w:val="21"/>
                <w:szCs w:val="21"/>
                <w:color w:val="auto"/>
                <w:vertAlign w:val="superscript"/>
              </w:rPr>
              <w:t>(g)</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6"/>
                <w:szCs w:val="16"/>
                <w:color w:val="auto"/>
              </w:rPr>
              <w:t>Adjusted net earnings and adjusted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905.4</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0.75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1,639.2</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1,197.7</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ind w:left="660" w:hanging="328"/>
        <w:spacing w:after="0" w:line="227" w:lineRule="auto"/>
        <w:tabs>
          <w:tab w:leader="none" w:pos="653"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2024, includes an IPR&amp;D intangible asset impairment charge of $102.0 million as the Company concluded that one of its IPR&amp;D assets was fully impaired due to unfavorable clinical results and the termination of the development program.</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2024, includes a goodwill impairment charge of $321.0 million related to the JANZ reporting unit.</w:t>
      </w:r>
    </w:p>
    <w:p>
      <w:pPr>
        <w:spacing w:after="0" w:line="57" w:lineRule="exact"/>
        <w:rPr>
          <w:rFonts w:ascii="Arial" w:cs="Arial" w:eastAsia="Arial" w:hAnsi="Arial"/>
          <w:sz w:val="21"/>
          <w:szCs w:val="21"/>
          <w:color w:val="auto"/>
          <w:vertAlign w:val="superscript"/>
        </w:rPr>
      </w:pPr>
    </w:p>
    <w:p>
      <w:pPr>
        <w:jc w:val="both"/>
        <w:ind w:left="660" w:hanging="328"/>
        <w:spacing w:after="0" w:line="237"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2024, includes an additional pre-tax charge related to the divestiture of the OTC Business of approximately $247.6 million to further write down the disposal group to fair value, less cost to sell. Also includes a pre-tax charge related to the divestiture of the API business of approximately $7.0 million and $17.4 million, respectively. For the six months ended June 30, 2024, also includes a pre-tax gain on the divestiture of the women’s healthcare business of approximately $80.8 million for the difference between the consideration received and the carrying value of the assets transferred (including an allocation of goodwill).</w:t>
      </w:r>
    </w:p>
    <w:p>
      <w:pPr>
        <w:spacing w:after="0" w:line="17"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transaction costs including legal and consulting fees and integration activities.</w:t>
      </w:r>
    </w:p>
    <w:p>
      <w:pPr>
        <w:spacing w:after="0" w:line="44" w:lineRule="exact"/>
        <w:rPr>
          <w:rFonts w:ascii="Arial" w:cs="Arial" w:eastAsia="Arial" w:hAnsi="Arial"/>
          <w:sz w:val="21"/>
          <w:szCs w:val="21"/>
          <w:color w:val="auto"/>
          <w:vertAlign w:val="superscript"/>
        </w:rPr>
      </w:pPr>
    </w:p>
    <w:p>
      <w:pPr>
        <w:ind w:left="660" w:hanging="328"/>
        <w:spacing w:after="0" w:line="226" w:lineRule="auto"/>
        <w:tabs>
          <w:tab w:leader="none" w:pos="653"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2024, charges include approximately $11.6 million and $15.6 million, respectively, in cost of sales and approximately $8.5 million and $24.1 million, respectively, in SG&amp;A.</w:t>
      </w:r>
    </w:p>
    <w:p>
      <w:pPr>
        <w:spacing w:after="0" w:line="28" w:lineRule="exact"/>
        <w:rPr>
          <w:rFonts w:ascii="Arial" w:cs="Arial" w:eastAsia="Arial" w:hAnsi="Arial"/>
          <w:sz w:val="21"/>
          <w:szCs w:val="21"/>
          <w:color w:val="auto"/>
          <w:vertAlign w:val="superscript"/>
        </w:rPr>
      </w:pPr>
    </w:p>
    <w:p>
      <w:pPr>
        <w:ind w:left="660" w:hanging="328"/>
        <w:spacing w:after="0" w:line="227" w:lineRule="auto"/>
        <w:tabs>
          <w:tab w:leader="none" w:pos="651"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2024, charges include incremental manufacturing variances at plants in the 2020 restructuring program of approximately $(1.1) million and $11.5 million, respectively.</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30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Below is a reconciliation of U.S. GAAP net (loss) earnings to EBITDA and adjusted EBITDA for the three and six months ended June 30, 2024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r>
      <w:tr>
        <w:trPr>
          <w:trHeight w:val="216"/>
        </w:trPr>
        <w:tc>
          <w:tcPr>
            <w:tcW w:w="6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284.2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290.7</w:t>
            </w:r>
          </w:p>
        </w:tc>
      </w:tr>
      <w:tr>
        <w:trPr>
          <w:trHeight w:val="216"/>
        </w:trPr>
        <w:tc>
          <w:tcPr>
            <w:tcW w:w="60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1,416.7</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1,163.4</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1,574.3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2,363.1</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Loss on divestitures of businesses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w:t>
            </w: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2023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20" w:type="dxa"/>
            <w:vAlign w:val="bottom"/>
            <w:vMerge w:val="restart"/>
          </w:tcPr>
          <w:p>
            <w:pPr>
              <w:jc w:val="center"/>
              <w:ind w:right="108"/>
              <w:spacing w:after="0"/>
              <w:rPr>
                <w:sz w:val="20"/>
                <w:szCs w:val="20"/>
                <w:color w:val="auto"/>
              </w:rPr>
            </w:pPr>
            <w:r>
              <w:rPr>
                <w:rFonts w:ascii="Arial" w:cs="Arial" w:eastAsia="Arial" w:hAnsi="Arial"/>
                <w:sz w:val="14"/>
                <w:szCs w:val="14"/>
                <w:b w:val="1"/>
                <w:bCs w:val="1"/>
                <w:i w:val="1"/>
                <w:iCs w:val="1"/>
                <w:color w:val="auto"/>
              </w:rPr>
              <w:t>(In millions, except %s)</w:t>
            </w: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2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300" w:type="dxa"/>
            <w:vAlign w:val="bottom"/>
          </w:tcPr>
          <w:p>
            <w:pPr>
              <w:spacing w:after="0"/>
              <w:rPr>
                <w:sz w:val="11"/>
                <w:szCs w:val="11"/>
                <w:color w:val="auto"/>
              </w:rPr>
            </w:pPr>
          </w:p>
        </w:tc>
        <w:tc>
          <w:tcPr>
            <w:tcW w:w="820" w:type="dxa"/>
            <w:vAlign w:val="bottom"/>
          </w:tcPr>
          <w:p>
            <w:pPr>
              <w:jc w:val="center"/>
              <w:ind w:right="23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2,319.2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2,353.8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2,334.9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2,322.2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JANZ</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375.5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379.5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2"/>
        </w:trPr>
        <w:tc>
          <w:tcPr>
            <w:tcW w:w="1820" w:type="dxa"/>
            <w:vAlign w:val="bottom"/>
          </w:tcPr>
          <w:p>
            <w:pPr>
              <w:jc w:val="center"/>
              <w:ind w:right="128"/>
              <w:spacing w:after="0"/>
              <w:rPr>
                <w:sz w:val="20"/>
                <w:szCs w:val="20"/>
                <w:color w:val="auto"/>
              </w:rPr>
            </w:pPr>
            <w:r>
              <w:rPr>
                <w:rFonts w:ascii="Arial" w:cs="Arial" w:eastAsia="Arial" w:hAnsi="Arial"/>
                <w:sz w:val="14"/>
                <w:szCs w:val="14"/>
                <w:color w:val="auto"/>
                <w:w w:val="98"/>
              </w:rPr>
              <w:t>Total net sales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3,785.9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3,909.5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3,884.8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3,800.3</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20" w:type="dxa"/>
            <w:vAlign w:val="bottom"/>
            <w:tcBorders>
              <w:top w:val="single" w:sz="8" w:color="CCEEFF"/>
            </w:tcBorders>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3,796.6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3,918.6</w:t>
            </w:r>
          </w:p>
        </w:tc>
        <w:tc>
          <w:tcPr>
            <w:tcW w:w="9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98.9</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3,895.5</w:t>
            </w:r>
          </w:p>
        </w:tc>
        <w:tc>
          <w:tcPr>
            <w:tcW w:w="11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3,809.4</w:t>
            </w:r>
          </w:p>
        </w:tc>
        <w:tc>
          <w:tcPr>
            <w:tcW w:w="12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4"/>
        </w:trPr>
        <w:tc>
          <w:tcPr>
            <w:tcW w:w="182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2023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20" w:type="dxa"/>
            <w:vAlign w:val="bottom"/>
            <w:vMerge w:val="restart"/>
          </w:tcPr>
          <w:p>
            <w:pPr>
              <w:jc w:val="center"/>
              <w:ind w:right="108"/>
              <w:spacing w:after="0"/>
              <w:rPr>
                <w:sz w:val="20"/>
                <w:szCs w:val="20"/>
                <w:color w:val="auto"/>
              </w:rPr>
            </w:pPr>
            <w:r>
              <w:rPr>
                <w:rFonts w:ascii="Arial" w:cs="Arial" w:eastAsia="Arial" w:hAnsi="Arial"/>
                <w:sz w:val="14"/>
                <w:szCs w:val="14"/>
                <w:b w:val="1"/>
                <w:bCs w:val="1"/>
                <w:i w:val="1"/>
                <w:iCs w:val="1"/>
                <w:color w:val="auto"/>
              </w:rPr>
              <w:t>(In millions, except %s)</w:t>
            </w: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2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300" w:type="dxa"/>
            <w:vAlign w:val="bottom"/>
          </w:tcPr>
          <w:p>
            <w:pPr>
              <w:spacing w:after="0"/>
              <w:rPr>
                <w:sz w:val="11"/>
                <w:szCs w:val="11"/>
                <w:color w:val="auto"/>
              </w:rPr>
            </w:pPr>
          </w:p>
        </w:tc>
        <w:tc>
          <w:tcPr>
            <w:tcW w:w="820" w:type="dxa"/>
            <w:vAlign w:val="bottom"/>
          </w:tcPr>
          <w:p>
            <w:pPr>
              <w:jc w:val="center"/>
              <w:ind w:right="23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4,484.6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4,524.2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4,486.3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4,477.5</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6"/>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4"/>
                <w:szCs w:val="14"/>
                <w:color w:val="auto"/>
              </w:rPr>
              <w:t>JANZ</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717.7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728.1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717.1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2"/>
        </w:trPr>
        <w:tc>
          <w:tcPr>
            <w:tcW w:w="182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7,439.4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7,628.6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176.1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7,615.5</w:t>
            </w: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7,473.8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20" w:type="dxa"/>
            <w:vAlign w:val="bottom"/>
            <w:tcBorders>
              <w:top w:val="single" w:sz="8" w:color="CCEEFF"/>
            </w:tcBorders>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7,460.0</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7,647.7</w:t>
            </w:r>
          </w:p>
        </w:tc>
        <w:tc>
          <w:tcPr>
            <w:tcW w:w="9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176.1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7,636.1</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2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7,492.9</w:t>
            </w:r>
          </w:p>
        </w:tc>
        <w:tc>
          <w:tcPr>
            <w:tcW w:w="12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4"/>
        </w:trPr>
        <w:tc>
          <w:tcPr>
            <w:tcW w:w="182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36"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Represents proportionate net sales relating to divestitures that have closed during 2023 and 2024 in the relevant period.</w:t>
      </w:r>
    </w:p>
    <w:p>
      <w:pPr>
        <w:spacing w:after="0" w:line="57" w:lineRule="exact"/>
        <w:rPr>
          <w:rFonts w:ascii="Arial" w:cs="Arial" w:eastAsia="Arial" w:hAnsi="Arial"/>
          <w:sz w:val="21"/>
          <w:szCs w:val="21"/>
          <w:color w:val="auto"/>
          <w:vertAlign w:val="superscript"/>
        </w:rPr>
      </w:pPr>
    </w:p>
    <w:p>
      <w:pPr>
        <w:ind w:left="660" w:hanging="328"/>
        <w:spacing w:after="0"/>
        <w:tabs>
          <w:tab w:leader="none" w:pos="65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have closed during 2023 and 2024 for the relevant period.</w:t>
      </w:r>
    </w:p>
    <w:p>
      <w:pPr>
        <w:spacing w:after="0" w:line="147"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57" w:lineRule="exact"/>
        <w:rPr>
          <w:rFonts w:ascii="Arial" w:cs="Arial" w:eastAsia="Arial" w:hAnsi="Arial"/>
          <w:sz w:val="21"/>
          <w:szCs w:val="21"/>
          <w:color w:val="auto"/>
          <w:vertAlign w:val="superscript"/>
        </w:rPr>
      </w:pPr>
    </w:p>
    <w:p>
      <w:pPr>
        <w:jc w:val="both"/>
        <w:ind w:left="660" w:hanging="328"/>
        <w:spacing w:after="0"/>
        <w:tabs>
          <w:tab w:leader="none" w:pos="65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June 30, 2024, other revenues in Developed Markets, Greater China, JANZ, and Emerging Markets were approximately $5.9 million, $0.4 million</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$0.2 million, and $4.2 million, respectively. For the six months ended June 30, 2024, other revenues in Developed Markets, Greater China, JANZ, and Emerging Markets were approximately $13.1 million, $0.4 million</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$0.5 million, and $6.6 million, respectively.</w:t>
      </w:r>
    </w:p>
    <w:p>
      <w:pPr>
        <w:spacing w:after="0" w:line="200"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2,351.2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4,510.6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4,496.9</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(1,262.7)</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1,592.7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1,586.9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3,101.3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3,065.1</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2,203.9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2,331.7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4,358.7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4,582.6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Deduct: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 and related costs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Share-based compensation expense</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special items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Adjusted R&amp;D</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Adjusted R&amp;D as % of total revenues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4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29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204.1</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403.8</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391.2</w:t>
            </w:r>
          </w:p>
        </w:tc>
      </w:tr>
      <w:tr>
        <w:trPr>
          <w:trHeight w:val="405"/>
        </w:trPr>
        <w:tc>
          <w:tcPr>
            <w:tcW w:w="28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(7.0)</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w:t>
            </w:r>
          </w:p>
        </w:tc>
      </w:tr>
      <w:tr>
        <w:trPr>
          <w:trHeight w:val="203"/>
        </w:trPr>
        <w:tc>
          <w:tcPr>
            <w:tcW w:w="2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(18.4)</w:t>
            </w:r>
          </w:p>
        </w:tc>
      </w:tr>
      <w:tr>
        <w:trPr>
          <w:trHeight w:val="207"/>
        </w:trPr>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386.9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360.9</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-1362075</wp:posOffset>
            </wp:positionV>
            <wp:extent cx="70719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-1096645</wp:posOffset>
            </wp:positionV>
            <wp:extent cx="707199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-839470</wp:posOffset>
            </wp:positionV>
            <wp:extent cx="707199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-582295</wp:posOffset>
            </wp:positionV>
            <wp:extent cx="707199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-299720</wp:posOffset>
            </wp:positionV>
            <wp:extent cx="70719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480"/>
          </w:cols>
          <w:pgMar w:left="320" w:top="890" w:right="33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1,358.0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2,375.5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1,990.8</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goodwill</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tc>
        <w:tc>
          <w:tcPr>
            <w:tcW w:w="3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SG&amp;A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899.8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901.4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1,759.4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1,730.8</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Adjusted SG&amp;A as % of total revenues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0" w:right="339" w:bottom="1440" w:gutter="0" w:footer="0" w:header="0"/>
          <w:type w:val="continuous"/>
        </w:sectPr>
      </w:pPr>
    </w:p>
    <w:bookmarkStart w:id="21" w:name="page22"/>
    <w:bookmarkEnd w:id="21"/>
    <w:tbl>
      <w:tblPr>
        <w:tblLayout w:type="fixed"/>
        <w:tblInd w:w="16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2,381.8</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8"/>
        </w:trPr>
        <w:tc>
          <w:tcPr>
            <w:tcW w:w="5780" w:type="dxa"/>
            <w:vAlign w:val="bottom"/>
          </w:tcPr>
          <w:p>
            <w:pPr>
              <w:ind w:left="24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SG&amp;A adjustments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2,214.1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2,480.7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380" w:right="960"/>
        <w:spacing w:after="0" w:line="332" w:lineRule="auto"/>
        <w:rPr>
          <w:sz w:val="20"/>
          <w:szCs w:val="20"/>
          <w:color w:val="auto"/>
        </w:rPr>
      </w:pPr>
      <w:r>
        <w:rPr>
          <w:rFonts w:ascii="Arial" w:cs="Arial" w:eastAsia="Arial" w:hAnsi="Arial"/>
          <w:sz w:val="14"/>
          <w:szCs w:val="14"/>
          <w:color w:val="auto"/>
        </w:rPr>
        <w:t>Amortization of premiums and discounts on long-term debt Other special items</w:t>
      </w:r>
    </w:p>
    <w:p>
      <w:pPr>
        <w:ind w:left="16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other expense (income),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Loss on divestitures of businesses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items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96"/>
        </w:trPr>
        <w:tc>
          <w:tcPr>
            <w:tcW w:w="20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290"/>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89"/>
        </w:trPr>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145.8</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143.7</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284.2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290.7</w:t>
            </w:r>
          </w:p>
        </w:tc>
      </w:tr>
      <w:tr>
        <w:trPr>
          <w:trHeight w:val="405"/>
        </w:trPr>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3"/>
        </w:trPr>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207"/>
        </w:trPr>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148.9</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311.5</w:t>
            </w:r>
          </w:p>
        </w:tc>
      </w:tr>
      <w:tr>
        <w:trPr>
          <w:trHeight w:val="24"/>
        </w:trPr>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-822325</wp:posOffset>
            </wp:positionV>
            <wp:extent cx="69519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51980" cy="13716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-556895</wp:posOffset>
            </wp:positionV>
            <wp:extent cx="69519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1980" cy="12890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-299720</wp:posOffset>
            </wp:positionV>
            <wp:extent cx="69519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1980" cy="12890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23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91"/>
        </w:trPr>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89"/>
        </w:trPr>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(177.4)</w:t>
            </w:r>
          </w:p>
        </w:tc>
      </w:tr>
      <w:tr>
        <w:trPr>
          <w:trHeight w:val="40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96.0</w:t>
            </w:r>
          </w:p>
        </w:tc>
      </w:tr>
      <w:tr>
        <w:trPr>
          <w:trHeight w:val="203"/>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70.6</w:t>
            </w:r>
          </w:p>
        </w:tc>
      </w:tr>
      <w:tr>
        <w:trPr>
          <w:trHeight w:val="203"/>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96"/>
        </w:trPr>
        <w:tc>
          <w:tcPr>
            <w:tcW w:w="3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r>
      <w:tr>
        <w:trPr>
          <w:trHeight w:val="25"/>
        </w:trPr>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531"/>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7"/>
          </w:tcPr>
          <w:p>
            <w:pPr>
              <w:jc w:val="center"/>
              <w:ind w:right="7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23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left="528"/>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90"/>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-1617980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-1352550</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-1095375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-838200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60" w:space="720"/>
            <w:col w:w="546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earnings before income taxes</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(391.8)</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333.0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(187.2)</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655.7</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1,375.8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744.8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2,138.7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1,532.7</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984.0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1,077.8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1,951.5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2,188.4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222.8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286.9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157.4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312.2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60" w:hanging="328"/>
        <w:spacing w:after="0"/>
        <w:tabs>
          <w:tab w:leader="none" w:pos="65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15"/>
        </w:numPr>
        <w:rPr>
          <w:rFonts w:ascii="Arial" w:cs="Arial" w:eastAsia="Arial" w:hAnsi="Arial"/>
          <w:sz w:val="9"/>
          <w:szCs w:val="9"/>
          <w:color w:val="auto"/>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68" w:lineRule="exact"/>
        <w:rPr>
          <w:rFonts w:ascii="Arial" w:cs="Arial" w:eastAsia="Arial" w:hAnsi="Arial"/>
          <w:sz w:val="9"/>
          <w:szCs w:val="9"/>
          <w:color w:val="auto"/>
        </w:rPr>
      </w:pPr>
    </w:p>
    <w:p>
      <w:pPr>
        <w:ind w:left="660" w:right="20" w:hanging="328"/>
        <w:spacing w:after="0" w:line="231" w:lineRule="auto"/>
        <w:tabs>
          <w:tab w:leader="none" w:pos="64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94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Reconciliation of Estimated 2024 U.S. GAAP Net Cash Provided by Operating Activities to Free Cash Flow as of August 8, 2024</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2024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$2,920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$2,570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5" w:lineRule="exact"/>
        <w:rPr>
          <w:sz w:val="20"/>
          <w:szCs w:val="20"/>
          <w:color w:val="auto"/>
        </w:rPr>
      </w:pPr>
    </w:p>
    <w:p>
      <w:pPr>
        <w:ind w:left="660" w:right="420" w:hanging="328"/>
        <w:spacing w:after="0" w:line="228" w:lineRule="auto"/>
        <w:tabs>
          <w:tab w:leader="none" w:pos="65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Excludes the expected performance of the OTC business for the remainder of the year through December 31, 2024, which was included in our 2024 Financial Guidance as provided as of May 9, 2024. Also excludes any divestiture-related taxes and transaction costs and any acquired IPR&amp;D to be incurred in any future period as it cannot be reasonably forecasted.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2024 U.S. GAAP Net Cash Provided by Operating Activities to Free Cash Flow as of May 9, 2024</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2024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$3,010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$2,660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5" w:lineRule="exact"/>
        <w:rPr>
          <w:sz w:val="20"/>
          <w:szCs w:val="20"/>
          <w:color w:val="auto"/>
        </w:rPr>
      </w:pPr>
    </w:p>
    <w:p>
      <w:pPr>
        <w:ind w:left="660" w:right="200" w:hanging="328"/>
        <w:spacing w:after="0" w:line="222" w:lineRule="auto"/>
        <w:tabs>
          <w:tab w:leader="none" w:pos="65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Included the full-year expected performance for the then-pending announced divestiture of substantially all of our OTC business, and excluded any potential related costs, such as taxes and transaction costs. Also excluded any acquired IPR&amp;D to be incurred in any future period as it cannot be reasonably forecasted.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2024-08-08T07:16:26Z</dcterms:created>
  <dcterms:modified xsi:type="dcterms:W3CDTF">2024-08-08T07:16:26Z</dcterms:modified>
</cp:coreProperties>
</file>