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tbl>
      <w:tblPr>
        <w:tblW w:w="7076" w:type="dxa"/>
        <w:jc w:val="left"/>
        <w:tblInd w:w="0" w:type="dxa"/>
        <w:tblLayout w:type="fixed"/>
        <w:tblCellMar>
          <w:top w:w="28" w:type="dxa"/>
          <w:left w:w="28" w:type="dxa"/>
          <w:bottom w:w="28" w:type="dxa"/>
          <w:right w:w="28" w:type="dxa"/>
        </w:tblCellMar>
      </w:tblPr>
      <w:tblGrid>
        <w:gridCol w:w="124"/>
        <w:gridCol w:w="109"/>
        <w:gridCol w:w="109"/>
        <w:gridCol w:w="1967"/>
        <w:gridCol w:w="1967"/>
        <w:gridCol w:w="2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Fiscal Year Ended December 31, 2023</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7302" w:type="dxa"/>
        <w:jc w:val="left"/>
        <w:tblInd w:w="0" w:type="dxa"/>
        <w:tblLayout w:type="fixed"/>
        <w:tblCellMar>
          <w:top w:w="28" w:type="dxa"/>
          <w:left w:w="28" w:type="dxa"/>
          <w:bottom w:w="28" w:type="dxa"/>
          <w:right w:w="28" w:type="dxa"/>
        </w:tblCellMar>
      </w:tblPr>
      <w:tblGrid>
        <w:gridCol w:w="124"/>
        <w:gridCol w:w="109"/>
        <w:gridCol w:w="109"/>
        <w:gridCol w:w="2035"/>
        <w:gridCol w:w="2035"/>
        <w:gridCol w:w="28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For the transition period from              to             </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001-39695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VIATRIS INC.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(Exact name of registrant as specified in its charter)</w:t>
      </w:r>
    </w:p>
    <w:tbl>
      <w:tblPr>
        <w:tblW w:w="7271" w:type="dxa"/>
        <w:jc w:val="left"/>
        <w:tblInd w:w="0" w:type="dxa"/>
        <w:tblLayout w:type="fixed"/>
        <w:tblCellMar>
          <w:top w:w="28" w:type="dxa"/>
          <w:left w:w="28" w:type="dxa"/>
          <w:bottom w:w="28" w:type="dxa"/>
          <w:right w:w="28" w:type="dxa"/>
        </w:tblCellMar>
      </w:tblPr>
      <w:tblGrid>
        <w:gridCol w:w="1562"/>
        <w:gridCol w:w="1371"/>
        <w:gridCol w:w="1387"/>
        <w:gridCol w:w="109"/>
        <w:gridCol w:w="109"/>
        <w:gridCol w:w="109"/>
        <w:gridCol w:w="766"/>
        <w:gridCol w:w="766"/>
        <w:gridCol w:w="1092"/>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83-4364296</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1000 Mylan Boulevard, Canonsburg, Pennsylvania, 15317 </w:t>
      </w:r>
    </w:p>
    <w:p>
      <w:pPr>
        <w:pStyle w:val="TextBody"/>
        <w:bidi w:val="0"/>
        <w:spacing w:lineRule="auto" w:line="288" w:before="0" w:after="6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offices)(Zip Code)</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(724) 514-1800 </w:t>
      </w:r>
    </w:p>
    <w:p>
      <w:pPr>
        <w:pStyle w:val="TextBody"/>
        <w:bidi w:val="0"/>
        <w:spacing w:lineRule="auto" w:line="288" w:before="0" w:after="6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053" w:type="dxa"/>
        <w:jc w:val="left"/>
        <w:tblInd w:w="0" w:type="dxa"/>
        <w:tblLayout w:type="fixed"/>
        <w:tblCellMar>
          <w:top w:w="28" w:type="dxa"/>
          <w:left w:w="28" w:type="dxa"/>
          <w:bottom w:w="28" w:type="dxa"/>
          <w:right w:w="28" w:type="dxa"/>
        </w:tblCellMar>
      </w:tblPr>
      <w:tblGrid>
        <w:gridCol w:w="1125"/>
        <w:gridCol w:w="987"/>
        <w:gridCol w:w="993"/>
        <w:gridCol w:w="109"/>
        <w:gridCol w:w="109"/>
        <w:gridCol w:w="109"/>
        <w:gridCol w:w="519"/>
        <w:gridCol w:w="519"/>
        <w:gridCol w:w="521"/>
        <w:gridCol w:w="109"/>
        <w:gridCol w:w="109"/>
        <w:gridCol w:w="109"/>
        <w:gridCol w:w="1092"/>
        <w:gridCol w:w="1092"/>
        <w:gridCol w:w="1551"/>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w:t>
            </w:r>
          </w:p>
        </w:tc>
      </w:tr>
    </w:tbl>
    <w:p>
      <w:pPr>
        <w:pStyle w:val="TextBody"/>
        <w:bidi w:val="0"/>
        <w:spacing w:lineRule="auto" w:line="288" w:before="0" w:after="20"/>
        <w:jc w:val="left"/>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bidi w:val="0"/>
        <w:spacing w:lineRule="auto" w:line="288" w:before="0" w:after="40"/>
        <w:ind w:left="0" w:right="0" w:firstLine="495"/>
        <w:jc w:val="both"/>
        <w:rPr/>
      </w:pP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40"/>
        <w:ind w:left="0" w:right="0" w:firstLine="495"/>
        <w:jc w:val="both"/>
        <w:rPr/>
      </w:pPr>
      <w:r>
        <w:rPr>
          <w:rFonts w:ascii="Times New Roman;sans-serif" w:hAnsi="Times New Roman;sans-serif"/>
          <w:b w:val="false"/>
          <w:color w:val="000000"/>
          <w:sz w:val="18"/>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40"/>
        <w:ind w:left="0" w:right="0" w:firstLine="495"/>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40"/>
        <w:ind w:left="0" w:right="0" w:firstLine="495"/>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171"/>
        <w:gridCol w:w="936"/>
        <w:gridCol w:w="883"/>
        <w:gridCol w:w="211"/>
        <w:gridCol w:w="211"/>
        <w:gridCol w:w="211"/>
        <w:gridCol w:w="211"/>
        <w:gridCol w:w="211"/>
        <w:gridCol w:w="211"/>
        <w:gridCol w:w="211"/>
        <w:gridCol w:w="211"/>
        <w:gridCol w:w="211"/>
        <w:gridCol w:w="1314"/>
        <w:gridCol w:w="1314"/>
        <w:gridCol w:w="1323"/>
        <w:gridCol w:w="211"/>
        <w:gridCol w:w="211"/>
        <w:gridCol w:w="211"/>
        <w:gridCol w:w="211"/>
        <w:gridCol w:w="211"/>
        <w:gridCol w:w="310"/>
      </w:tblGrid>
      <w:tr>
        <w:trPr/>
        <w:tc>
          <w:tcPr>
            <w:tcW w:w="117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tc>
      </w:tr>
    </w:tbl>
    <w:p>
      <w:pPr>
        <w:pStyle w:val="TextBody"/>
        <w:bidi w:val="0"/>
        <w:spacing w:lineRule="auto" w:line="288" w:before="0" w:after="6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0" w:after="6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0" w:after="6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60"/>
        <w:ind w:left="0" w:right="0" w:firstLine="495"/>
        <w:jc w:val="both"/>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76" w:before="0" w:after="6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the voting and non-voting common equity held by non-affiliates of the registrant as of June 30, 2023, the last business day of the registrant’s most recently completed second fiscal quarter, was approximately $11,936,712,582. </w:t>
      </w:r>
    </w:p>
    <w:p>
      <w:pPr>
        <w:pStyle w:val="TextBody"/>
        <w:bidi w:val="0"/>
        <w:spacing w:lineRule="auto" w:line="276" w:before="0" w:after="24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of common stock outstanding, par value $0.01 per share, of the registrant as of February 22, 2024 was 1,187,569,149.</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bl>
      <w:tblPr>
        <w:tblW w:w="10205" w:type="dxa"/>
        <w:jc w:val="center"/>
        <w:tblInd w:w="0" w:type="dxa"/>
        <w:tblLayout w:type="fixed"/>
        <w:tblCellMar>
          <w:top w:w="28" w:type="dxa"/>
          <w:left w:w="28" w:type="dxa"/>
          <w:bottom w:w="28" w:type="dxa"/>
          <w:right w:w="28" w:type="dxa"/>
        </w:tblCellMar>
      </w:tblPr>
      <w:tblGrid>
        <w:gridCol w:w="2810"/>
        <w:gridCol w:w="2460"/>
        <w:gridCol w:w="2493"/>
        <w:gridCol w:w="713"/>
        <w:gridCol w:w="713"/>
        <w:gridCol w:w="1016"/>
      </w:tblGrid>
      <w:tr>
        <w:trPr/>
        <w:tc>
          <w:tcPr>
            <w:tcW w:w="2810"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7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Document</w:t>
            </w:r>
          </w:p>
        </w:tc>
        <w:tc>
          <w:tcPr>
            <w:tcW w:w="2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of Form 10-K into Which</w:t>
              <w:br/>
              <w:t>Document is Incorporated</w:t>
            </w:r>
          </w:p>
        </w:tc>
      </w:tr>
      <w:tr>
        <w:trPr/>
        <w:tc>
          <w:tcPr>
            <w:tcW w:w="7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 amendment to this Form 10-K will be filed no later than 120 days after the close of registrant’s fiscal year.</w:t>
            </w:r>
          </w:p>
        </w:tc>
        <w:tc>
          <w:tcPr>
            <w:tcW w:w="2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III</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VIATRIS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7"/>
        <w:gridCol w:w="296"/>
        <w:gridCol w:w="298"/>
        <w:gridCol w:w="2887"/>
        <w:gridCol w:w="2873"/>
        <w:gridCol w:w="3002"/>
        <w:gridCol w:w="149"/>
        <w:gridCol w:w="149"/>
        <w:gridCol w:w="21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16">
              <w:r>
                <w:rPr>
                  <w:rStyle w:val="InternetLink"/>
                  <w:rFonts w:ascii="Times New Roman;sans-serif" w:hAnsi="Times New Roman;sans-serif"/>
                  <w:b w:val="false"/>
                  <w:color w:val="0000FF"/>
                  <w:sz w:val="20"/>
                  <w:u w:val="single"/>
                </w:rPr>
                <w:t>Business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6">
              <w:r>
                <w:rPr>
                  <w:rStyle w:val="InternetLink"/>
                  <w:rFonts w:ascii="Times New Roman;sans-serif" w:hAnsi="Times New Roman;sans-serif"/>
                  <w:b w:val="false"/>
                  <w:color w:val="0000FF"/>
                  <w:sz w:val="20"/>
                  <w:u w:val="single"/>
                </w:rPr>
                <w:t>7</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55">
              <w:r>
                <w:rPr>
                  <w:rStyle w:val="InternetLink"/>
                  <w:rFonts w:ascii="Times New Roman;sans-serif" w:hAnsi="Times New Roman;sans-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55">
              <w:r>
                <w:rPr>
                  <w:rStyle w:val="InternetLink"/>
                  <w:rFonts w:ascii="Times New Roman;sans-serif" w:hAnsi="Times New Roman;sans-serif"/>
                  <w:b w:val="false"/>
                  <w:color w:val="0000FF"/>
                  <w:sz w:val="20"/>
                  <w:u w:val="single"/>
                </w:rPr>
                <w:t>21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58">
              <w:r>
                <w:rPr>
                  <w:rStyle w:val="InternetLink"/>
                  <w:rFonts w:ascii="Times New Roman;sans-serif" w:hAnsi="Times New Roman;sans-serif"/>
                  <w:b w:val="false"/>
                  <w:color w:val="0000FF"/>
                  <w:sz w:val="20"/>
                  <w:u w:val="single"/>
                </w:rPr>
                <w:t>Unresolved Staff Comments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58">
              <w:r>
                <w:rPr>
                  <w:rStyle w:val="InternetLink"/>
                  <w:rFonts w:ascii="Times New Roman;sans-serif" w:hAnsi="Times New Roman;sans-serif"/>
                  <w:b w:val="false"/>
                  <w:color w:val="0000FF"/>
                  <w:sz w:val="20"/>
                  <w:u w:val="single"/>
                </w:rPr>
                <w:t>50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192">
              <w:r>
                <w:rPr>
                  <w:rStyle w:val="InternetLink"/>
                  <w:rFonts w:ascii="Times New Roman;sans-serif" w:hAnsi="Times New Roman;sans-serif"/>
                  <w:b w:val="false"/>
                  <w:color w:val="000080"/>
                  <w:sz w:val="20"/>
                  <w:u w:val="single"/>
                </w:rPr>
                <w:t>C</w:t>
              </w:r>
            </w:hyperlink>
            <w:hyperlink w:anchor="i0b0d5c23417c472eb84c46f5f45cb005_2192">
              <w:r>
                <w:rPr>
                  <w:rStyle w:val="InternetLink"/>
                  <w:rFonts w:ascii="Times New Roman;sans-serif" w:hAnsi="Times New Roman;sans-serif"/>
                  <w:b w:val="false"/>
                  <w:color w:val="000080"/>
                  <w:sz w:val="20"/>
                  <w:u w:val="single"/>
                </w:rPr>
                <w:t>ybersecurity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192">
              <w:r>
                <w:rPr>
                  <w:rStyle w:val="InternetLink"/>
                  <w:rFonts w:ascii="Times New Roman;sans-serif" w:hAnsi="Times New Roman;sans-serif"/>
                  <w:b w:val="false"/>
                  <w:color w:val="0000FF"/>
                  <w:sz w:val="20"/>
                  <w:u w:val="single"/>
                </w:rPr>
                <w:t>50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61">
              <w:r>
                <w:rPr>
                  <w:rStyle w:val="InternetLink"/>
                  <w:rFonts w:ascii="Times New Roman;sans-serif" w:hAnsi="Times New Roman;sans-serif"/>
                  <w:b w:val="false"/>
                  <w:color w:val="0000FF"/>
                  <w:sz w:val="20"/>
                  <w:u w:val="single"/>
                </w:rPr>
                <w:t>Properties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61">
              <w:r>
                <w:rPr>
                  <w:rStyle w:val="InternetLink"/>
                  <w:rFonts w:ascii="Times New Roman;sans-serif" w:hAnsi="Times New Roman;sans-serif"/>
                  <w:b w:val="false"/>
                  <w:color w:val="0000FF"/>
                  <w:sz w:val="20"/>
                  <w:u w:val="single"/>
                </w:rPr>
                <w:t>51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64">
              <w:r>
                <w:rPr>
                  <w:rStyle w:val="InternetLink"/>
                  <w:rFonts w:ascii="Times New Roman;sans-serif" w:hAnsi="Times New Roman;sans-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64">
              <w:r>
                <w:rPr>
                  <w:rStyle w:val="InternetLink"/>
                  <w:rFonts w:ascii="Times New Roman;sans-serif" w:hAnsi="Times New Roman;sans-serif"/>
                  <w:b w:val="false"/>
                  <w:color w:val="0000FF"/>
                  <w:sz w:val="20"/>
                  <w:u w:val="single"/>
                </w:rPr>
                <w:t>51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67">
              <w:r>
                <w:rPr>
                  <w:rStyle w:val="InternetLink"/>
                  <w:rFonts w:ascii="Times New Roman;sans-serif" w:hAnsi="Times New Roman;sans-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67">
              <w:r>
                <w:rPr>
                  <w:rStyle w:val="InternetLink"/>
                  <w:rFonts w:ascii="Times New Roman;sans-serif" w:hAnsi="Times New Roman;sans-serif"/>
                  <w:b w:val="false"/>
                  <w:color w:val="0000FF"/>
                  <w:sz w:val="20"/>
                  <w:u w:val="single"/>
                </w:rPr>
                <w:t>51</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b0d5c23417c472eb84c46f5f45cb005_73">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73">
              <w:r>
                <w:rPr>
                  <w:rStyle w:val="InternetLink"/>
                  <w:rFonts w:ascii="Times New Roman;sans-serif" w:hAnsi="Times New Roman;sans-serif"/>
                  <w:b w:val="false"/>
                  <w:color w:val="0000FF"/>
                  <w:sz w:val="20"/>
                  <w:u w:val="single"/>
                </w:rPr>
                <w:t>52</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76">
              <w:r>
                <w:rPr>
                  <w:rStyle w:val="InternetLink"/>
                  <w:rFonts w:ascii="Times New Roman;sans-serif" w:hAnsi="Times New Roman;sans-serif"/>
                  <w:b w:val="false"/>
                  <w:color w:val="0000FF"/>
                  <w:sz w:val="20"/>
                  <w:u w:val="single"/>
                </w:rPr>
                <w:t>[Reserved]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76">
              <w:r>
                <w:rPr>
                  <w:rStyle w:val="InternetLink"/>
                  <w:rFonts w:ascii="Times New Roman;sans-serif" w:hAnsi="Times New Roman;sans-serif"/>
                  <w:b w:val="false"/>
                  <w:color w:val="0000FF"/>
                  <w:sz w:val="20"/>
                  <w:u w:val="single"/>
                </w:rPr>
                <w:t>53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82">
              <w:r>
                <w:rPr>
                  <w:rStyle w:val="InternetLink"/>
                  <w:rFonts w:ascii="Times New Roman;sans-serif" w:hAnsi="Times New Roman;sans-serif"/>
                  <w:b w:val="false"/>
                  <w:color w:val="0000FF"/>
                  <w:sz w:val="20"/>
                  <w:u w:val="single"/>
                </w:rPr>
                <w:t>54</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121">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21">
              <w:r>
                <w:rPr>
                  <w:rStyle w:val="InternetLink"/>
                  <w:rFonts w:ascii="Times New Roman;sans-serif" w:hAnsi="Times New Roman;sans-serif"/>
                  <w:b w:val="false"/>
                  <w:color w:val="0000FF"/>
                  <w:sz w:val="20"/>
                  <w:u w:val="single"/>
                </w:rPr>
                <w:t>77</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124">
              <w:r>
                <w:rPr>
                  <w:rStyle w:val="InternetLink"/>
                  <w:rFonts w:ascii="Times New Roman;sans-serif" w:hAnsi="Times New Roman;sans-serif"/>
                  <w:b w:val="false"/>
                  <w:color w:val="0000FF"/>
                  <w:sz w:val="20"/>
                  <w:u w:val="single"/>
                </w:rPr>
                <w:t>Financial Statements and Supplementary Data</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24">
              <w:r>
                <w:rPr>
                  <w:rStyle w:val="InternetLink"/>
                  <w:rFonts w:ascii="Times New Roman;sans-serif" w:hAnsi="Times New Roman;sans-serif"/>
                  <w:b w:val="false"/>
                  <w:color w:val="0000FF"/>
                  <w:sz w:val="20"/>
                  <w:u w:val="single"/>
                </w:rPr>
                <w:t>79</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2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20">
              <w:r>
                <w:rPr>
                  <w:rStyle w:val="InternetLink"/>
                  <w:rFonts w:ascii="Times New Roman;sans-serif" w:hAnsi="Times New Roman;sans-serif"/>
                  <w:b w:val="false"/>
                  <w:color w:val="0000FF"/>
                  <w:sz w:val="20"/>
                  <w:u w:val="single"/>
                </w:rPr>
                <w:t>150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23">
              <w:r>
                <w:rPr>
                  <w:rStyle w:val="InternetLink"/>
                  <w:rFonts w:ascii="Times New Roman;sans-serif" w:hAnsi="Times New Roman;sans-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23">
              <w:r>
                <w:rPr>
                  <w:rStyle w:val="InternetLink"/>
                  <w:rFonts w:ascii="Times New Roman;sans-serif" w:hAnsi="Times New Roman;sans-serif"/>
                  <w:b w:val="false"/>
                  <w:color w:val="0000FF"/>
                  <w:sz w:val="20"/>
                  <w:u w:val="single"/>
                </w:rPr>
                <w:t>150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26">
              <w:r>
                <w:rPr>
                  <w:rStyle w:val="InternetLink"/>
                  <w:rFonts w:ascii="Times New Roman;sans-serif" w:hAnsi="Times New Roman;sans-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26">
              <w:r>
                <w:rPr>
                  <w:rStyle w:val="InternetLink"/>
                  <w:rFonts w:ascii="Times New Roman;sans-serif" w:hAnsi="Times New Roman;sans-serif"/>
                  <w:b w:val="false"/>
                  <w:color w:val="0000FF"/>
                  <w:sz w:val="20"/>
                  <w:u w:val="single"/>
                </w:rPr>
                <w:t>150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29">
              <w:r>
                <w:rPr>
                  <w:rStyle w:val="InternetLink"/>
                  <w:rFonts w:ascii="Times New Roman;sans-serif" w:hAnsi="Times New Roman;sans-serif"/>
                  <w:b w:val="false"/>
                  <w:color w:val="0000FF"/>
                  <w:sz w:val="20"/>
                  <w:u w:val="single"/>
                </w:rPr>
                <w:t>Disclosure Regarding Foreign Jurisdictions that Prevent Inspections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29">
              <w:r>
                <w:rPr>
                  <w:rStyle w:val="InternetLink"/>
                  <w:rFonts w:ascii="Times New Roman;sans-serif" w:hAnsi="Times New Roman;sans-serif"/>
                  <w:b w:val="false"/>
                  <w:color w:val="0000FF"/>
                  <w:sz w:val="20"/>
                  <w:u w:val="single"/>
                </w:rPr>
                <w:t>150</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35">
              <w:r>
                <w:rPr>
                  <w:rStyle w:val="InternetLink"/>
                  <w:rFonts w:ascii="Times New Roman;sans-serif" w:hAnsi="Times New Roman;sans-serif"/>
                  <w:b w:val="false"/>
                  <w:color w:val="0000FF"/>
                  <w:sz w:val="20"/>
                  <w:u w:val="single"/>
                </w:rPr>
                <w:t>Directors, Executive Officers and Corporate Governance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35">
              <w:r>
                <w:rPr>
                  <w:rStyle w:val="InternetLink"/>
                  <w:rFonts w:ascii="Times New Roman;sans-serif" w:hAnsi="Times New Roman;sans-serif"/>
                  <w:b w:val="false"/>
                  <w:color w:val="0000FF"/>
                  <w:sz w:val="20"/>
                  <w:u w:val="single"/>
                </w:rPr>
                <w:t>151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38">
              <w:r>
                <w:rPr>
                  <w:rStyle w:val="InternetLink"/>
                  <w:rFonts w:ascii="Times New Roman;sans-serif" w:hAnsi="Times New Roman;sans-serif"/>
                  <w:b w:val="false"/>
                  <w:color w:val="0000FF"/>
                  <w:sz w:val="20"/>
                  <w:u w:val="single"/>
                </w:rPr>
                <w:t>Executive Compensation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38">
              <w:r>
                <w:rPr>
                  <w:rStyle w:val="InternetLink"/>
                  <w:rFonts w:ascii="Times New Roman;sans-serif" w:hAnsi="Times New Roman;sans-serif"/>
                  <w:b w:val="false"/>
                  <w:color w:val="0000FF"/>
                  <w:sz w:val="20"/>
                  <w:u w:val="single"/>
                </w:rPr>
                <w:t>151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b0d5c23417c472eb84c46f5f45cb005_24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41">
              <w:r>
                <w:rPr>
                  <w:rStyle w:val="InternetLink"/>
                  <w:rFonts w:ascii="Times New Roman;sans-serif" w:hAnsi="Times New Roman;sans-serif"/>
                  <w:b w:val="false"/>
                  <w:color w:val="0000FF"/>
                  <w:sz w:val="20"/>
                  <w:u w:val="single"/>
                </w:rPr>
                <w:t>151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4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44">
              <w:r>
                <w:rPr>
                  <w:rStyle w:val="InternetLink"/>
                  <w:rFonts w:ascii="Times New Roman;sans-serif" w:hAnsi="Times New Roman;sans-serif"/>
                  <w:b w:val="false"/>
                  <w:color w:val="0000FF"/>
                  <w:sz w:val="20"/>
                  <w:u w:val="single"/>
                </w:rPr>
                <w:t>151</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47">
              <w:r>
                <w:rPr>
                  <w:rStyle w:val="InternetLink"/>
                  <w:rFonts w:ascii="Times New Roman;sans-serif" w:hAnsi="Times New Roman;sans-serif"/>
                  <w:b w:val="false"/>
                  <w:color w:val="0000FF"/>
                  <w:sz w:val="20"/>
                  <w:u w:val="single"/>
                </w:rPr>
                <w:t>Principal Accounting Fees and Services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47">
              <w:r>
                <w:rPr>
                  <w:rStyle w:val="InternetLink"/>
                  <w:rFonts w:ascii="Times New Roman;sans-serif" w:hAnsi="Times New Roman;sans-serif"/>
                  <w:b w:val="false"/>
                  <w:color w:val="0000FF"/>
                  <w:sz w:val="20"/>
                  <w:u w:val="single"/>
                </w:rPr>
                <w:t>151</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53">
              <w:r>
                <w:rPr>
                  <w:rStyle w:val="InternetLink"/>
                  <w:rFonts w:ascii="Times New Roman;sans-serif" w:hAnsi="Times New Roman;sans-serif"/>
                  <w:b w:val="false"/>
                  <w:color w:val="0000FF"/>
                  <w:sz w:val="20"/>
                  <w:u w:val="single"/>
                </w:rPr>
                <w:t>Exhibits and Consolidated Financial Statement Schedules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53">
              <w:r>
                <w:rPr>
                  <w:rStyle w:val="InternetLink"/>
                  <w:rFonts w:ascii="Times New Roman;sans-serif" w:hAnsi="Times New Roman;sans-serif"/>
                  <w:b w:val="false"/>
                  <w:color w:val="0000FF"/>
                  <w:sz w:val="20"/>
                  <w:u w:val="single"/>
                </w:rPr>
                <w:t>152</w:t>
              </w:r>
            </w:hyperlink>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256">
              <w:r>
                <w:rPr>
                  <w:rStyle w:val="InternetLink"/>
                  <w:rFonts w:ascii="Times New Roman;sans-serif" w:hAnsi="Times New Roman;sans-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256">
              <w:r>
                <w:rPr>
                  <w:rStyle w:val="InternetLink"/>
                  <w:rFonts w:ascii="Times New Roman;sans-serif" w:hAnsi="Times New Roman;sans-serif"/>
                  <w:b w:val="false"/>
                  <w:color w:val="0000FF"/>
                  <w:sz w:val="20"/>
                  <w:u w:val="single"/>
                </w:rPr>
                <w:t>161</w:t>
              </w:r>
            </w:hyperlink>
          </w:p>
        </w:tc>
      </w:tr>
    </w:tbl>
    <w:p>
      <w:pPr>
        <w:pStyle w:val="TextBody"/>
        <w:bidi w:val="0"/>
        <w:spacing w:before="10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Glossary of Defined Terms</w:t>
      </w:r>
    </w:p>
    <w:p>
      <w:pPr>
        <w:pStyle w:val="TextBody"/>
        <w:bidi w:val="0"/>
        <w:spacing w:before="0" w:after="0"/>
        <w:jc w:val="left"/>
        <w:rPr/>
      </w:pPr>
      <w:r>
        <w:rPr/>
      </w:r>
    </w:p>
    <w:p>
      <w:pPr>
        <w:pStyle w:val="TextBody"/>
        <w:bidi w:val="0"/>
        <w:spacing w:lineRule="auto" w:line="25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to “Viatris,” “the Company,” “we,” “us” or “our” in this 2023 Form 10-K (defined below) refer to Viatris Inc. and its subsidiaries. We also have used several other terms in this 2023 Form 10-K, most of which are explained or defined below. Some amounts in this Form 10-K may not add due to rounding.</w:t>
      </w:r>
    </w:p>
    <w:tbl>
      <w:tblPr>
        <w:tblW w:w="10205" w:type="dxa"/>
        <w:jc w:val="left"/>
        <w:tblInd w:w="0" w:type="dxa"/>
        <w:tblLayout w:type="fixed"/>
        <w:tblCellMar>
          <w:top w:w="28" w:type="dxa"/>
          <w:left w:w="28" w:type="dxa"/>
          <w:bottom w:w="28" w:type="dxa"/>
          <w:right w:w="28" w:type="dxa"/>
        </w:tblCellMar>
      </w:tblPr>
      <w:tblGrid>
        <w:gridCol w:w="755"/>
        <w:gridCol w:w="446"/>
        <w:gridCol w:w="366"/>
        <w:gridCol w:w="2859"/>
        <w:gridCol w:w="2389"/>
        <w:gridCol w:w="3390"/>
      </w:tblGrid>
      <w:tr>
        <w:trPr/>
        <w:tc>
          <w:tcPr>
            <w:tcW w:w="75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2003 LTIP</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Amended and Restated 2003 Long-Term Incentive Plan</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Incentive Plan</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2020 Stock Incentive Plan</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505(b)(2)</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streamlined NDA process in which the applicant relies upon one or more investigations conducted by someone other than the applicant and for which the applicant has not obtained right of reference.</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AbbVie</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AbbVie Inc.</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 Protection and Affordable Care Act, as amended by the Health Care and Education and Reconciliation Act</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 that the Company believes is appropriate to provide information to investors - EBITDA (defined below) is further adjusted for share-based compensation expense, litigation settlements, and other contingencies, net, restructuring and other special items</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Artificial intelligence</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ANDA</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Abbreviated New Drug Application</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Announced Divestitures</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following transactions: on October 1, 2023, Viatris announced it had received an offer for the divestiture of its OTC Business and had entered into definitive agreements to divest its women’s healthcare business and, separately, in another transaction, its rights to two women’s healthcare products in certain countries, its API business in India and commercialization rights in the Upjohn Distributor Markets</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AOCE</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earnings</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API</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pharmaceutical ingredient</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ARV</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Antiretroviral medicines</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Limited</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Limited, a majority owned subsidiary of Biocon</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Transaction</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between Viatris and Biocon Biologics pursuant to which Viatris contributed its biosimilars portfolio, composed of the Biocon collaboration programs, biosimilars to Humira®, Enbrel®, and Eylea®, as well as related assets and liabilities to Biocon Biologics </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Agreement</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agreement between Viatris and Biocon Biologics, dated February 27, 2022, relating to the Biocon Biologics Transaction, as amended from time to time</w:t>
            </w:r>
          </w:p>
        </w:tc>
      </w:tr>
      <w:tr>
        <w:trPr/>
        <w:tc>
          <w:tcPr>
            <w:tcW w:w="1567" w:type="dxa"/>
            <w:gridSpan w:val="3"/>
            <w:tcBorders/>
            <w:vAlign w:val="center"/>
          </w:tcPr>
          <w:p>
            <w:pPr>
              <w:pStyle w:val="TableContents"/>
              <w:bidi w:val="0"/>
              <w:spacing w:before="0" w:after="283"/>
              <w:jc w:val="left"/>
              <w:rPr>
                <w:sz w:val="4"/>
                <w:szCs w:val="4"/>
              </w:rPr>
            </w:pPr>
            <w:r>
              <w:rPr>
                <w:sz w:val="4"/>
                <w:szCs w:val="4"/>
              </w:rPr>
            </w:r>
          </w:p>
        </w:tc>
        <w:tc>
          <w:tcPr>
            <w:tcW w:w="8638" w:type="dxa"/>
            <w:gridSpan w:val="3"/>
            <w:tcBorders/>
            <w:vAlign w:val="center"/>
          </w:tcPr>
          <w:p>
            <w:pPr>
              <w:pStyle w:val="TableContents"/>
              <w:bidi w:val="0"/>
              <w:spacing w:before="0" w:after="283"/>
              <w:jc w:val="left"/>
              <w:rPr>
                <w:sz w:val="4"/>
                <w:szCs w:val="4"/>
              </w:rPr>
            </w:pPr>
            <w:r>
              <w:rPr>
                <w:sz w:val="4"/>
                <w:szCs w:val="4"/>
              </w:rPr>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 dated as of July 29, 2019, as amended from time to time, among Viatris, Mylan, Pfizer and certain of their affiliates</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CAMT</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alternative minimum tax</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Compulsory convertible preferred shares</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cGMP</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Good Manufacturing Practices</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CIRP</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Incident Response Plan</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CIRT</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Incident Response Team</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investments</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to define the three equity method investments the Company had in limited liability companies that owned refined coal production plants whose activities qualify for income tax credits under Section 45 of the Code</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Internal Revenue Code of 1986, as amended</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Mylan combining with Pfizer's Upjohn Business in a Reverse Morris Trust transaction to form Viatris on November 16, 2020</w:t>
            </w:r>
          </w:p>
        </w:tc>
      </w:tr>
      <w:tr>
        <w:trPr/>
        <w:tc>
          <w:tcPr>
            <w:tcW w:w="1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Program</w:t>
            </w:r>
          </w:p>
        </w:tc>
        <w:tc>
          <w:tcPr>
            <w:tcW w:w="863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$1.65 billion unsecured commercial paper program entered into as of November 16, 2020 by Viatris, as issuer, Mylan Inc., Utah Acquisition Sub Inc. and Mylan II B.V., as guarantors, and certain dealers from time to time</w:t>
            </w:r>
          </w:p>
        </w:tc>
      </w:tr>
      <w:tr>
        <w:trPr/>
        <w:tc>
          <w:tcPr>
            <w:tcW w:w="15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COPD</w:t>
            </w:r>
          </w:p>
        </w:tc>
        <w:tc>
          <w:tcPr>
            <w:tcW w:w="863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Chronic obstructive pulmonary disease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58"/>
        <w:gridCol w:w="522"/>
        <w:gridCol w:w="530"/>
        <w:gridCol w:w="2621"/>
        <w:gridCol w:w="2347"/>
        <w:gridCol w:w="3327"/>
      </w:tblGrid>
      <w:tr>
        <w:trPr/>
        <w:tc>
          <w:tcPr>
            <w:tcW w:w="85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COSO</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 of Sponsoring Organizations of the Treadway Commission</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Novel coronavirus disease of 2019</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 Notes</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short-term commercial paper notes issued pursuant to the Commercial Paper Program</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Drug Enforcement Agency</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DEI</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Diversity, equity, and inclusion</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 segment</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primarily in the following markets: North America and Europe</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DGCL</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General Corporation Law</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distribution to Pfizer stockholders all the issued and outstanding shares of Upjohn Inc.</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DOJ</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Justice</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Reinvestment and Share Purchase Plan</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 that the Company believes is appropriate to provide information to investors - U.S. GAAP net earnings (loss) adjusted for net contribution attributable to equity method investments, income tax provision (benefit), interest expense and depreciation and amortization</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EDPA</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District Court for the Eastern District of Pennsylvania</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European Medicines Agency </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 segment</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but is not limited to, our operations primarily in the following markets: Parts of Asia, the Middle East, South and Central America, Africa, and Eastern Europe</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EPD Business</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Abbott Laboratories’ non-U.S. developed markets specialty and branded generics business, prior to its acquisition by Mylan in February 2015</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Act </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Famy Life Sciences</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Famy Life Sciences Private Limited</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for the fiscal year ended December 31, 2023</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 Depot</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Long-acting glatiramer acetate depot product</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GDPR</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EU’s General Data Protection Regulation </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Systemically Important Banks</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that are considered systemically important by the Financial Stability Board</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 segment</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primarily in the following markets: China, Taiwan and Hong Kong</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Gx</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 drugs</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Hatch-Waxman Act </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Drug Price Competition and Patent Term Restoration Act of 1984</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HIPAA</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Insurance Portability and Accountability Act of 1996 and the Health Information Technology for Economic and Clinical Health Act</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HIV/AIDS</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Human immunodeficiency virus infection and acquired immune deficiency syndrome</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Idorsia</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Idorsia Pharmaceuticals Ltd.</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NonProprietary Name</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Internal Revenue Service</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 segment</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in the following markets: Japan, Australia and New Zealand</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LAMA</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Long-acting muscarinic antagonist </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Lilly</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Lilly and Company</w:t>
            </w:r>
          </w:p>
        </w:tc>
      </w:tr>
      <w:tr>
        <w:trPr/>
        <w:tc>
          <w:tcPr>
            <w:tcW w:w="19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LOE</w:t>
            </w:r>
          </w:p>
        </w:tc>
        <w:tc>
          <w:tcPr>
            <w:tcW w:w="8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of exclusivity</w:t>
            </w:r>
          </w:p>
        </w:tc>
      </w:tr>
      <w:tr>
        <w:trPr/>
        <w:tc>
          <w:tcPr>
            <w:tcW w:w="19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Mapi</w:t>
            </w:r>
          </w:p>
        </w:tc>
        <w:tc>
          <w:tcPr>
            <w:tcW w:w="82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Mapi Pharma Ltd.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08"/>
        <w:gridCol w:w="402"/>
        <w:gridCol w:w="403"/>
        <w:gridCol w:w="2809"/>
        <w:gridCol w:w="2433"/>
        <w:gridCol w:w="3450"/>
      </w:tblGrid>
      <w:tr>
        <w:trPr/>
        <w:tc>
          <w:tcPr>
            <w:tcW w:w="70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Leverage Ratio </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consolidated leverage ratio financial covenant requiring maintenance of a maximum ratio of consolidated total indebtedness as of the end of any quarter to consolidated EBITDA for the trailing four quarters as defined in the related credit agreements from time to time</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MDL</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Multidistrict litigation</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Momenta</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Momenta Pharmaceuticals, Inc.</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MPI</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Pharmaceuticals Inc.</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and its subsidiaries</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Inc. Euro Notes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2.125% Senior Notes due 2025 issued by Mylan Inc., which are fully and unconditionally guaranteed on a senior unsecured basis by Mylan II B.V., Viatris Inc. and Utah Acquisition Sub Inc.</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Inc. U.S. Dollar Notes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4.550% Senior Notes due 2028, 5.400% Senior Notes due 2043 and 5.200% Senior Notes due 2048 issued by Mylan Inc., which are fully and unconditionally guaranteed on a senior unsecured basis by Mylan II B.V., Viatris Inc. and Utah Acquisition Sub Inc.</w:t>
            </w:r>
          </w:p>
        </w:tc>
      </w:tr>
      <w:tr>
        <w:trPr/>
        <w:tc>
          <w:tcPr>
            <w:tcW w:w="1513" w:type="dxa"/>
            <w:gridSpan w:val="3"/>
            <w:tcBorders/>
            <w:vAlign w:val="center"/>
          </w:tcPr>
          <w:p>
            <w:pPr>
              <w:pStyle w:val="TableContents"/>
              <w:bidi w:val="0"/>
              <w:spacing w:before="0" w:after="283"/>
              <w:jc w:val="left"/>
              <w:rPr>
                <w:sz w:val="4"/>
                <w:szCs w:val="4"/>
              </w:rPr>
            </w:pPr>
            <w:r>
              <w:rPr>
                <w:sz w:val="4"/>
                <w:szCs w:val="4"/>
              </w:rPr>
            </w:r>
          </w:p>
        </w:tc>
        <w:tc>
          <w:tcPr>
            <w:tcW w:w="8692" w:type="dxa"/>
            <w:gridSpan w:val="3"/>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NCDs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noncommunicable diseases</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NCEs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Chemical Entities</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NDA</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w:t>
            </w:r>
          </w:p>
        </w:tc>
      </w:tr>
      <w:tr>
        <w:trPr/>
        <w:tc>
          <w:tcPr>
            <w:tcW w:w="1513" w:type="dxa"/>
            <w:gridSpan w:val="3"/>
            <w:tcBorders/>
            <w:vAlign w:val="center"/>
          </w:tcPr>
          <w:p>
            <w:pPr>
              <w:pStyle w:val="TableContents"/>
              <w:bidi w:val="0"/>
              <w:spacing w:before="0" w:after="283"/>
              <w:jc w:val="left"/>
              <w:rPr>
                <w:sz w:val="4"/>
                <w:szCs w:val="4"/>
              </w:rPr>
            </w:pPr>
            <w:r>
              <w:rPr>
                <w:sz w:val="4"/>
                <w:szCs w:val="4"/>
              </w:rPr>
            </w:r>
          </w:p>
        </w:tc>
        <w:tc>
          <w:tcPr>
            <w:tcW w:w="8692" w:type="dxa"/>
            <w:gridSpan w:val="3"/>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NHS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Health Services</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Securitization Facility</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note securitization facility entered into in August 2023 for borrowings up to $200 million and expiring in August 2024</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OECD</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Organisation for Economic Co-operation and Development</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OTC</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Over-the-counter</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OTC Business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Viatris’ OTC business that the Company has agreed to divest to Cooper Consumer Health SAS, including two manufacturing sites located in Merignac, France, and Confienza, Italy, and an R&amp;D site in Monza, Italy. This excludes the Company’s rights for Viagra®, Dymista® (which, in certain limited markets, are sold as OTC products), and select OTC products in certain markets.</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OTC Transaction</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2023, Viatris announced it had received an offer for the divestiture of its OTC Business.</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 Pharma, Inc.</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PBMs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Pharmacy benefit managers</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PCAOB</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Company Accounting Oversight Board</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Pending Announced Divestitures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Announced Divestitures that have not been consummated</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 Inc.</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Sharing 401(k) Plan</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401(k) retirement plan with a profit sharing component for non-union represented employees</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QCE</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Quality consistency evaluation</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$400 million accounts receivable entered into in August 2020 and expiring in April 2025</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Registered Upjohn Notes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1.650% Senior Notes due 2025,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B.V. and Utah Acquisition Sub Inc.</w:t>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Respiratory Delivery Platform</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proprietary dry powder inhaler delivery platform</w:t>
            </w:r>
          </w:p>
        </w:tc>
      </w:tr>
      <w:tr>
        <w:trPr/>
        <w:tc>
          <w:tcPr>
            <w:tcW w:w="1513" w:type="dxa"/>
            <w:gridSpan w:val="3"/>
            <w:tcBorders/>
            <w:vAlign w:val="center"/>
          </w:tcPr>
          <w:p>
            <w:pPr>
              <w:pStyle w:val="TableContents"/>
              <w:bidi w:val="0"/>
              <w:spacing w:before="0" w:after="283"/>
              <w:jc w:val="left"/>
              <w:rPr>
                <w:sz w:val="4"/>
                <w:szCs w:val="4"/>
              </w:rPr>
            </w:pPr>
            <w:r>
              <w:rPr>
                <w:sz w:val="4"/>
                <w:szCs w:val="4"/>
              </w:rPr>
            </w:r>
          </w:p>
        </w:tc>
        <w:tc>
          <w:tcPr>
            <w:tcW w:w="8692" w:type="dxa"/>
            <w:gridSpan w:val="3"/>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nonvested restricted stock and restricted stock unit awards, including PSUs</w:t>
            </w:r>
          </w:p>
        </w:tc>
      </w:tr>
      <w:tr>
        <w:trPr/>
        <w:tc>
          <w:tcPr>
            <w:tcW w:w="151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Revance</w:t>
            </w:r>
          </w:p>
        </w:tc>
        <w:tc>
          <w:tcPr>
            <w:tcW w:w="86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Revance Therapeutics, Inc.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69"/>
        <w:gridCol w:w="473"/>
        <w:gridCol w:w="476"/>
        <w:gridCol w:w="2598"/>
        <w:gridCol w:w="2480"/>
        <w:gridCol w:w="3509"/>
      </w:tblGrid>
      <w:tr>
        <w:trPr/>
        <w:tc>
          <w:tcPr>
            <w:tcW w:w="6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0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Facility</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 billion revolving facility dated as of July 1, 2021, by and among Viatris, certain lenders and issuing banks from time to time party thereto and Bank of America, N.A., as administrative agent</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RICO</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Racketeer Influenced and Corrupt Organizations Act</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Sanofi</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Sanofi-Aventis U.S., LLC</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858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SDNY</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District Court for the Southern District of New York</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U.S. Dollar Notes</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Upjohn U.S. Dollar Notes, the Utah U.S. Dollar Notes and the Mylan Inc. U.S. Dollar Notes, collectively</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transfer to Upjohn of substantially all the assets and liabilities comprising the Upjohn Business</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 between Viatris and Pfizer, dated as of July 29, 2019, as amended from time to time</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financial rate</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SARs</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Matters Agreement</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 entered into by Pfizer and Viatris in connection with the Separation and the Distribution that governs the parties’ respective rights, responsibilities and obligations with respect to taxes, including taxes arising in the ordinary course of business and taxes, if any, incurred as a result of any failure of the Distribution or certain related transactions to qualify as tax-free transactions</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 Pharmaceutical Industries Ltd.</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Theravance Biopharma</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Theravance Biopharma, Inc.</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TSA</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Upjohn U.S. Dollar Notes</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1.650% Senior Notes due 2025,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B.V. and Utah Acquisition Sub Inc.</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Inc., a wholly owned subsidiary of Pfizer prior to the Distribution, that combined with Mylan and was renamed Viatris Inc.</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Business</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off-patent branded and generic established medicines business that, in connection with the Combination, was separated from Pfizer and combined with Mylan to form Viatris</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Distributor Markets</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geographic markets that were part of the Combination that are smaller in nature and in which we had no established infrastructure prior to or following the Combination and that the Company intends to divest</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Euro Notes</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denominated in euros and issued by Upjohn Finance B.V. pursuant to an indenture dated June 23, 2020</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U.S. Dollar Notes</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denominated in U.S. dollars and originally issued by Upjohn Inc. or Viatris Inc. pursuant to an indenture dated June 22, 2020 and fully and unconditionally guaranteed by Mylan Inc., Mylan II B.V. and Utah Acquisition Sub Inc.</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URP</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Universal reimbursement pricing</w:t>
            </w:r>
          </w:p>
        </w:tc>
      </w:tr>
      <w:tr>
        <w:trPr/>
        <w:tc>
          <w:tcPr>
            <w:tcW w:w="1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Acquisition Sub</w:t>
            </w:r>
          </w:p>
        </w:tc>
        <w:tc>
          <w:tcPr>
            <w:tcW w:w="85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Acquisition Sub Inc., a Delaware corporation and an indirect wholly owned subsidiary of Viatris</w:t>
            </w:r>
          </w:p>
        </w:tc>
      </w:tr>
      <w:tr>
        <w:trPr/>
        <w:tc>
          <w:tcPr>
            <w:tcW w:w="16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Euro Notes</w:t>
            </w:r>
          </w:p>
        </w:tc>
        <w:tc>
          <w:tcPr>
            <w:tcW w:w="858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2.250% Senior Notes due 2024 and 3.125% Senior Notes due 2028 issued by Utah Acquisition Sub Inc., which are fully and unconditionally guaranteed on a senior unsecured basis by Mylan Inc., Viatris Inc. and Mylan II B.V.</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25"/>
        <w:gridCol w:w="403"/>
        <w:gridCol w:w="405"/>
        <w:gridCol w:w="2598"/>
        <w:gridCol w:w="2598"/>
        <w:gridCol w:w="3676"/>
      </w:tblGrid>
      <w:tr>
        <w:trPr/>
        <w:tc>
          <w:tcPr>
            <w:tcW w:w="52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U.S. Dollar Notes</w:t>
            </w:r>
          </w:p>
        </w:tc>
        <w:tc>
          <w:tcPr>
            <w:tcW w:w="8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3.950% Senior Notes due 2026 and 5.250% Senior Notes due 2046 issued by Utah Acquisition Sub Inc., which are fully and unconditionally guaranteed on a senior unsecured basis by Mylan Inc., Viatris Inc. and Mylan II B.V.</w:t>
            </w:r>
          </w:p>
        </w:tc>
      </w:tr>
      <w:tr>
        <w:trPr/>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w:t>
            </w:r>
          </w:p>
        </w:tc>
        <w:tc>
          <w:tcPr>
            <w:tcW w:w="8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Department of Veterans Affairs</w:t>
            </w:r>
          </w:p>
        </w:tc>
      </w:tr>
      <w:tr>
        <w:trPr/>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VBP</w:t>
            </w:r>
          </w:p>
        </w:tc>
        <w:tc>
          <w:tcPr>
            <w:tcW w:w="8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Volume-based procurement</w:t>
            </w:r>
          </w:p>
        </w:tc>
      </w:tr>
      <w:tr>
        <w:trPr/>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w:t>
            </w:r>
          </w:p>
        </w:tc>
        <w:tc>
          <w:tcPr>
            <w:tcW w:w="8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formerly known as Upjohn Inc. prior to the completion of the Combination</w:t>
            </w:r>
          </w:p>
        </w:tc>
      </w:tr>
      <w:tr>
        <w:trPr/>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Board</w:t>
            </w:r>
          </w:p>
        </w:tc>
        <w:tc>
          <w:tcPr>
            <w:tcW w:w="8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Viatris Inc.</w:t>
            </w:r>
          </w:p>
        </w:tc>
      </w:tr>
      <w:tr>
        <w:trPr/>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Bylaws</w:t>
            </w:r>
          </w:p>
        </w:tc>
        <w:tc>
          <w:tcPr>
            <w:tcW w:w="8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bylaws of Viatris Inc. </w:t>
            </w:r>
          </w:p>
        </w:tc>
      </w:tr>
      <w:tr>
        <w:trPr/>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Charter</w:t>
            </w:r>
          </w:p>
        </w:tc>
        <w:tc>
          <w:tcPr>
            <w:tcW w:w="8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Viatris Inc., as amended</w:t>
            </w:r>
          </w:p>
        </w:tc>
      </w:tr>
      <w:tr>
        <w:trPr/>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w:t>
            </w:r>
          </w:p>
        </w:tc>
        <w:tc>
          <w:tcPr>
            <w:tcW w:w="8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World Health Organization</w:t>
            </w:r>
          </w:p>
        </w:tc>
      </w:tr>
      <w:tr>
        <w:trPr/>
        <w:tc>
          <w:tcPr>
            <w:tcW w:w="13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 Facility</w:t>
            </w:r>
          </w:p>
        </w:tc>
        <w:tc>
          <w:tcPr>
            <w:tcW w:w="887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 billion term loan agreement dated as of July 1, 2021, among Viatris, the guarantors from time to time party thereto, the lenders from time to time party thereto and Mizuho Bank, Ltd., as administrative agent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1.Business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About Viatris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is a global healthcare company which we believe is uniquely positioned to bridge the traditional divide between generics and brands, combining the best of both to more holistically address healthcare needs globally. With a mission to empower people worldwide to live healthier at every stage of life, Viatris provides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executive management team is focused on ensuring that the Company is optimally structured and efficiently resourced to deliver sustainable value to patients, shareholders, customers and other key stakeholders. With a global workforce of approximately 38,000,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As of December 31, 2023, Viatris’ portfolio comprised more than 1,400 approved molecules across a wide range of key therapeutic areas, including globally recognized iconic and key brands and generics, including complex products, and the Company operated approximately 40 manufacturing sites worldwide that produce oral solid doses, injectables, complex dosage forms and APIs. As discussed below, Viatris has entered into certain transactions, including the Pending Announced Divestitures. Viatris is headquartered in the U.S., with global centers in Pittsburgh, Pennsylvania, Shanghai, China and Hyderabad, India.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has announced various strategic initiatives, transactions and business arrangements, including our two-phased strategic vision. In Phase 1 of this strategy, we have focused on stabilizing the base business, delivering on our pipeline, reducing debt, maintaining an investment grade credit rating and returning capital to shareholders. The Company also entered into certain transactions in order to simplify its business, accelerate paydown of debt and unlock shareholder value, including the Biocon Biologics Transaction and the Announced Divestitures. During Phase 2, the Company anticipates a period of renewed growth and leadership as it intends to move up the value chain by focusing on more complex and innovative products to build a more durable higher margin portfolio, while continuing to explore opportunities to unlock shareholder value.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2023, the Company announced it received an offer for the divestiture of its OTC Business, and entered into definitive agreements to divest its women’s healthcare business and, separately, in another transaction, its rights to two women’s healthcare products in certain countries, its API business in India and commercialization rights in the Upjohn Distributor Markets. The divestiture of the women’s healthcare business is primarily related to our oral and injectable contraceptives and does not include all of our women’s healthcare related products; as an example, our Xulane® product in the U.S. is excluded. The transaction to divest the Company’s rights to two women’s healthcare products in certain countries (other than in the U.K., which remains subject to regulatory approval) closed in December 2023. The divestitures of the commercialization rights in certain of the Upjohn Distributor Markets closed during 2023. Additionally, we expect to consummate the divestiture of our women’s healthcare business and our API business in India by the end of the first quarter of 2024, and in January 2024, we exercised our option to accept the offer in the OTC Transaction and entered into a definitive transaction agreement with respect to such OTC Transaction. We currently expect the OTC Transaction to close by mid-year 2024. The transactions that have not yet closed remain subject to regulatory approvals, receipt of required consents and other closing conditions, including, in the case of the API business divestiture, a financing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agreements, Viatris expects to receive gross proceeds of up to approximately $2.17 billion for the OTC Business and up to approximately $1.4 billion for the remaining divestitures. Upon closing of the divestitures of the women’s healthcare and API businesses, the Company expects to record gains for the differences between the expected consideration to be received and the carrying values of the businesses to be divested. The OTC, API and women’s healthcare businesses are deemed businesses for U.S. GAAP accounting purposes. As such, the assets and liabilities include an allocation of goodwill. The sale of the rights to two women’s healthcare products in certain countries was accounted for as an asset sale. In conjunction with these transactions, Viatris and the respective buyers have entered or will enter into various agreements to provide a framework for our relationship with the respective buyers after the closing of the divestitures, including TSAs, manufacturing and supply agreements, and distribution agreements, as necessary.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2024, the Company announced that it will acquire the development programs and certain personnel related to selatogrel and cenerimod from Idorsia in exchange for an upfront payment to Idorsia of $350 million, potential development and regulatory milestone payments, and certain contingent payments of additional sales milestone payments and tiered sales royalties. Viatris and Idorsia will both contribute to the development costs for both programs. Viatris will have worldwide commercialization rights for both selatogrel and cenerimod (excluding, for cenerimod only, Japan, South Korea and certain countries in the Asia-Pacific region). The agreements also provide Viatris a right of first refusal and a right of first negotiation for certain other assets in Idorsia’s pipeline. The closing of the transaction is subject to certain closing conditions.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completed the acquisition of Oyster Point for approximately $427.4 million in cash, which included $11 per share paid to Oyster Point stockholders through a tender offer, payment for vested share-based awards, and the repayment of the Oyster Point debt. Oyster Point is focused on the discovery, development, and commercialization of first-in-class pharmaceutical therapies to treat ophthalmic diseases.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2022, the Company entered into a definitive agreement to acquire the remaining equity shares of Famy Life Sciences, a privately-owned research company with a complementary portfolio of ophthalmology therapies under development, for consideration of $281 million. The transaction to acquire the remaining equity shares of Famy Life Sciences closed during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Ophthalmology is one of the key therapeutic areas of focus of the Company. With the combination of Viatris' global commercial footprint, R&amp;D and regulatory capabilities and supply chain, along with Oyster Point's deep knowledge of the ophthalmology space from a clinical, medical, regulatory and commercial perspective—including Tyrvaya®—and Famy Life Sciences' Phase III-ready pipeline, the Company believes it has the foundation to create a leading global ophthalmology franchise, accelerating efforts to address the unmet needs of patients with ophthalmic disease and the eye care professionals who treat them.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29, 2022, Viatris completed the transaction to contribute its biosimilars portfolio to Biocon Biologics to create what it expects to be a vertically integrated global biosimilars leader.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Viatris also is entitled to $335 million of additional cash payments in 2024. In addition, Viatris and Biocon Biologics have agreed to a closing working capital target of $250 million, of which $220 million was paid during 2023. The remaining amount may become payable to Biocon Biologics in connection with certain events in the future, depending on the valuations attributable to such events. Upon closing of the transaction, the Company recognized a gain on sale of approximately $1.75 billion and has not recognized the results of the business in its consolidated financial statements subsequent to November 29,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industry data included in this Item 1 are sourced from IQVIA Holdings Inc. and are for the twelve months ended November 2023 and Viatris product and other company data included in this Item 1 are from internal sources and are as of November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Upjohn was incorporated in Delaware on February 14, 2019 as a wholly-owned subsidiary of Pfizer to operate the Upjohn Business. Effective as of November 16, 2020, Upjohn, Mylan and Pfizer consummated the combination of Mylan with the Upjohn Business through a Reverse Morris Trust transaction, Viatris became the parent entity of the combined Upjohn Business and Mylan business, and Upjohn changed its name to “Viatris Inc.”. As a result of the Combination, Mylan ceased to exist as a separate legal entity after merging with and into Mylan II B.V., an indirect wholly owned subsidiary of Viatris.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Upjohn Business was a global, primarily off-patent branded and generic established medicines business, which included 20 primarily off-patent oral solid dose legacy brands, such as Lyrica®, Lipitor®, Celebrex® and Viagra®.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Mylan was founded in 1961 as a privately-owned company and grew over time into one of the largest manufacturers of generic drugs in the U.S. Mylan became a publicly traded company in 1973. Mylan’s strategy then led to many acquisitions which played a significant role in the evolution of that company, including Matrix Laboratories Limited (2007); Merck KGaA’s generic and specialty pharmaceutical business (2007); the EPD Business (2015) and Meda AB (publ.) (2016). These acquisitions assisted in creating robust research, manufacturing, supply chain and commercial platforms on a global scale; substantially expanding its portfolio of medicines; diversifying by geography, product type and channel; maintaining its commitment to quality; and cultivating its global workforce.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Business Model and Operations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is a new kind of healthcare company - a Next-Gen Hybrid Pharmaceutical Company with a relentless focus on delivering access at scale that has been built for the future of healthcare. Our strength is in our diversity and in our mission to empower people worldwide to live healthier at every stage of life. Our business and operating model is deliberately designed and implemented to deliver on our strategy to provide and sustain access to medicine at scale. Underpinned by Viatris’ relevance and success in meeting evolving healthcare needs, we seek to create value for and together with our key stakeholders – the people who trust our medicines every day, the health systems who rely on us, the people who make up Viatris, our partners and the investors who believe in our ability to execute on our ambitious mission.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are convinced that patients and systems around the world are best served by a healthcare company applying a well-rounded and long-term approach, maintaining viability while working to manage inherent risks and opportunities and continuously striving to advance sustainable operations and responsible practices in a focused way. We see healthcare not as it is, but as it should be. We act courageously and believe we are uniquely positioned to be a source of stability in a world of evolving healthcare needs. Viatris empowers people worldwide to live healthier at every stage of life. We do so via</w:t>
      </w:r>
      <w:r>
        <w:rPr>
          <w:color w:val="000000"/>
        </w:rPr>
        <w:t xml:space="preserve"> </w:t>
      </w:r>
      <w:r>
        <w:rPr>
          <w:rFonts w:ascii="Times New Roman;sans-serif" w:hAnsi="Times New Roman;sans-serif"/>
          <w:b/>
          <w:color w:val="000000"/>
          <w:sz w:val="20"/>
        </w:rPr>
        <w:t>Access</w:t>
      </w:r>
      <w:r>
        <w:rPr>
          <w:rFonts w:ascii="Times New Roman;sans-serif" w:hAnsi="Times New Roman;sans-serif"/>
          <w:b w:val="false"/>
          <w:color w:val="000000"/>
          <w:sz w:val="20"/>
        </w:rPr>
        <w:t xml:space="preserve">, </w:t>
      </w:r>
      <w:r>
        <w:rPr>
          <w:rFonts w:ascii="Times New Roman;sans-serif" w:hAnsi="Times New Roman;sans-serif"/>
          <w:b/>
          <w:color w:val="000000"/>
          <w:sz w:val="20"/>
        </w:rPr>
        <w:t>Leadership</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rPr>
        <w:t>Partnership</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before="0" w:after="240"/>
        <w:jc w:val="left"/>
        <w:rPr/>
      </w:pPr>
      <w:r>
        <w:rPr/>
        <w:drawing>
          <wp:inline distT="0" distB="0" distL="0" distR="0">
            <wp:extent cx="571500" cy="60007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571500" cy="600075"/>
                    </a:xfrm>
                    <a:prstGeom prst="rect">
                      <a:avLst/>
                    </a:prstGeom>
                  </pic:spPr>
                </pic:pic>
              </a:graphicData>
            </a:graphic>
          </wp:inline>
        </w:drawing>
      </w:r>
    </w:p>
    <w:p>
      <w:pPr>
        <w:pStyle w:val="TextBody"/>
        <w:bidi w:val="0"/>
        <w:spacing w:lineRule="auto" w:line="288" w:before="0" w:after="240"/>
        <w:jc w:val="left"/>
        <w:rPr/>
      </w:pPr>
      <w:r>
        <w:rPr>
          <w:rFonts w:ascii="Times New Roman;sans-serif" w:hAnsi="Times New Roman;sans-serif"/>
          <w:b/>
          <w:color w:val="000000"/>
          <w:sz w:val="20"/>
        </w:rPr>
        <w:t>ACCESS</w:t>
      </w:r>
      <w:r>
        <w:rPr>
          <w:color w:val="000000"/>
        </w:rPr>
        <w:t xml:space="preserve"> </w:t>
      </w:r>
    </w:p>
    <w:p>
      <w:pPr>
        <w:pStyle w:val="TextBody"/>
        <w:bidi w:val="0"/>
        <w:spacing w:lineRule="auto" w:line="288" w:before="0" w:after="0"/>
        <w:ind w:left="0" w:right="0" w:firstLine="720"/>
        <w:jc w:val="left"/>
        <w:rPr/>
      </w:pPr>
      <w:r>
        <w:rPr>
          <w:rFonts w:ascii="Times New Roman;sans-serif" w:hAnsi="Times New Roman;sans-serif"/>
          <w:b/>
          <w:color w:val="000000"/>
          <w:sz w:val="20"/>
        </w:rPr>
        <w:t>Viatris provides high-quality, trusted medicines, regardless of geography or circumstance.</w:t>
      </w:r>
      <w:r>
        <w:rPr>
          <w:color w:val="000000"/>
        </w:rPr>
        <w:t xml:space="preserve"> </w:t>
      </w:r>
      <w:r>
        <w:rPr>
          <w:rFonts w:ascii="Times New Roman;sans-serif" w:hAnsi="Times New Roman;sans-serif"/>
          <w:b w:val="false"/>
          <w:color w:val="000000"/>
          <w:sz w:val="20"/>
        </w:rPr>
        <w:t>As noted above access is fundamental to our mission. It is not an initiative; it is our business model, and it is personal. It begins with our ability to sustainably deliver quality medicines to people, regardless of geography or circumstance. We believe we are a company uniquely positioned to bridge the traditional divide between generics and brands, combining the best of both to more holistically address healthcare needs globally. We are committed to improving access to high-quality medicines and working to ensure a reliable supply so patients can get the treatments they need, when and where they need them. Our global portfolio, supported by our science, medical and manufacturing expertise, delivers global iconic and key brands, generics, including complex products, and OTC products. As discussed above, the Company has entered into a definitive agreement to divest its OTC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see access as fundamental to empowering people worldwide to live healthier at every stage of life—a powerful concept in challenging times.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what we believe is an extensive portfolio of medicines to meet nearly every health need, a one-of-a-kind global supply chain designed to reach more people with health solutions when and where they need them, and the scientific expertise to address some of the world’s most enduring health challenges, access takes on deeper meaning at Viatris.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our unique vantage point, we touch all of life’s moments, from birth to the end of life, acute conditions to chronic diseases. We see across multiple therapeutic areas to the person at the center of their own unique health journey. We are focused on meeting individual needs, whether with a generic medicine, an improved version of an existing medicine, or a truly novel therapeutic solution.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Ultimately, we know we are stronger together. Both as a company and as a global community. Our pursuit of access is relentless. Because health matters everywhere.</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company, Viatris: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Covers a broad range of therapeutic areas</w:t>
      </w:r>
      <w:r>
        <w:rPr>
          <w:rFonts w:ascii="Times New Roman;sans-serif" w:hAnsi="Times New Roman;sans-serif"/>
          <w:b w:val="false"/>
          <w:color w:val="000000"/>
          <w:sz w:val="20"/>
        </w:rPr>
        <w:t>. We produce medicines for patients across a broad range of major therapeutic areas. From 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While we intend to maintain our broad range of therapeutic areas, we have, as previously announced, identified three core, global therapeutic areas – ophthalmology, gastrointestinal, and dermatology – that we believe particularly fit our own internal capabilities while leveraging our global platform. In addition to the three therapeutic areas identified, we will continue to seek opportunities in other therapeutic areas that move the Company forward and leverage the strength of our internal capabilities and global platform.</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Helps ease the burden of noncommunicable diseases.</w:t>
      </w:r>
      <w:r>
        <w:rPr>
          <w:color w:val="000000"/>
        </w:rPr>
        <w:t xml:space="preserve"> </w:t>
      </w:r>
      <w:r>
        <w:rPr>
          <w:rFonts w:ascii="Times New Roman;sans-serif" w:hAnsi="Times New Roman;sans-serif"/>
          <w:b w:val="false"/>
          <w:color w:val="000000"/>
          <w:sz w:val="20"/>
        </w:rPr>
        <w:t>According to the WHO, NCDs, such as ischemic heart disease, stroke, diabetes, certain cancers and chronic obstructive pulmonary disease, are among the leading causes of death globally. NCDs affect people of every age, gender and socioeconomic status in every corner of the world, and pose a heavy burden on individuals, families and communities. To overcome this global public health threat, patients worldwide need a partner they can trust – one that not only believes everyone deserves good health, but also has the portfolio, experience and expertise to make this belief a reality.</w:t>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 xml:space="preserve">Helps hearts stay healthier. </w:t>
      </w:r>
      <w:r>
        <w:rPr>
          <w:rFonts w:ascii="Times New Roman;sans-serif" w:hAnsi="Times New Roman;sans-serif"/>
          <w:b w:val="false"/>
          <w:color w:val="000000"/>
          <w:sz w:val="20"/>
        </w:rPr>
        <w:t>According to the WHO, coronary heart disease is the number one cause of death globally. Viatris collaborates with many organizations to help prevent, diagnose, and treat many cardiovascular illnesses. Our deep experience in emerging and developed markets affords a tried-and-true method of achieving high impact across the patient experience, from awareness to adherence. In close collaboration with governments, healthcare providers, technology partners and patients, we at Viatris work to nurture healthcare systems that can adapt and respond to patients’ ever-changing needs. We continue to collaborate with medical associations, patient advocacy groups and academia to develop innovative, integrated solutions and programs to help strengthen both the delivery and quality of healthcare.</w:t>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Fights infectious disease</w:t>
      </w:r>
      <w:r>
        <w:rPr>
          <w:rFonts w:ascii="Times New Roman;sans-serif" w:hAnsi="Times New Roman;sans-serif"/>
          <w:b w:val="false"/>
          <w:color w:val="000000"/>
          <w:sz w:val="20"/>
        </w:rPr>
        <w:t>. We are also a global leader in treating infectious diseases such as HIV/AIDS, hepatitis, and tuberculosis, and offer an extensive portfolio across these disease states. While many important strides have been made to treat these illnesses, there is still more to be done in countries where lack of access to therapeutics, preventative treatment and diagnostics often result in patients not receiving proper care, and those where HIV transmission continues thirty years into the epidemic. From manufacturing a pediatric-friendly antiretroviral used to treat HIV-positive infants to providing HIV self-tests in some low- and middle-income countries, we are innovating to help patients.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An Increasingly Innovative and Differentiated Pipeline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confidence in the future delivery of our pipeline is rooted in our strong historic development programs and list of firsts, including the first FDA approvals of the generic version of Allergan's Restasis® and the generic version of Symbicort®, Breyna™. In addition, we are working on many other programs, including the potential to be first to market for our generics of Abilify Maintena®, Injectafer®, Invega Trinza®, Ozempic®, Venofer® and Wegovy™. We are also working with our partners on novel and complex products such as our BOTOX® (onabotulinumtoxinA) biosimilar and Glatiramer Acetate Depot, a long-acting injection version of the approved glatiramer acetate.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will continue to diligently pursue important generics opportunities, we will increasingly focus on limited-competition complex and novel products targeting gaps in care, all with a first-to-market emphasis and serving our mission of patient access. Complex product categories are critical to patient health and are growing at a rapid pace. Our goal is to enhance our proven scientific capabilities and current global platform, including our Global Healthcare Gateway®, which allows partners to access our infrastructure and many established strengths to reach patients they may not have the resources to reach on their own, to create a durable and higher-margin portfolio of products. And that means further expanding beyond our current scope into more innovative products, including NCEs and 505(b)(2)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240"/>
        <w:jc w:val="left"/>
        <w:rPr/>
      </w:pPr>
      <w:r>
        <w:rPr/>
        <w:drawing>
          <wp:inline distT="0" distB="0" distL="0" distR="0">
            <wp:extent cx="571500" cy="542925"/>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571500" cy="542925"/>
                    </a:xfrm>
                    <a:prstGeom prst="rect">
                      <a:avLst/>
                    </a:prstGeom>
                  </pic:spPr>
                </pic:pic>
              </a:graphicData>
            </a:graphic>
          </wp:inline>
        </w:drawing>
      </w:r>
    </w:p>
    <w:p>
      <w:pPr>
        <w:pStyle w:val="TextBody"/>
        <w:bidi w:val="0"/>
        <w:spacing w:lineRule="auto" w:line="288" w:before="0" w:after="240"/>
        <w:jc w:val="left"/>
        <w:rPr/>
      </w:pPr>
      <w:r>
        <w:rPr>
          <w:rFonts w:ascii="Times New Roman;sans-serif" w:hAnsi="Times New Roman;sans-serif"/>
          <w:b/>
          <w:color w:val="000000"/>
          <w:sz w:val="20"/>
        </w:rPr>
        <w:t>LEADERSHIP</w:t>
      </w:r>
      <w:r>
        <w:rPr>
          <w:color w:val="000000"/>
        </w:rPr>
        <w:t xml:space="preserve"> </w:t>
      </w:r>
    </w:p>
    <w:p>
      <w:pPr>
        <w:pStyle w:val="TextBody"/>
        <w:bidi w:val="0"/>
        <w:spacing w:lineRule="auto" w:line="288" w:before="0" w:after="240"/>
        <w:ind w:left="0" w:right="0" w:firstLine="720"/>
        <w:jc w:val="left"/>
        <w:rPr/>
      </w:pPr>
      <w:r>
        <w:rPr>
          <w:rFonts w:ascii="Times New Roman;sans-serif" w:hAnsi="Times New Roman;sans-serif"/>
          <w:b/>
          <w:color w:val="000000"/>
          <w:sz w:val="20"/>
        </w:rPr>
        <w:t xml:space="preserve">Viatris is advancing sustainable operations and innovative solutions to improve patient health and support more resilient healthcare systems. </w:t>
      </w:r>
      <w:r>
        <w:rPr>
          <w:rFonts w:ascii="Times New Roman;sans-serif" w:hAnsi="Times New Roman;sans-serif"/>
          <w:b w:val="false"/>
          <w:color w:val="000000"/>
          <w:sz w:val="20"/>
        </w:rPr>
        <w:t>Viatris is committed to providing steady leadership in a world that is constantly evolving. We take that commitment seriously and know that advancing sustainable operations and innovative solutions to improve patient health requires strong global leadership. We know what it takes to reach more patients with more products, and believe that Viatris is uniquely positioned to make a difference through our:</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Powerful global operating platform</w:t>
      </w:r>
      <w:r>
        <w:rPr>
          <w:rFonts w:ascii="Times New Roman;sans-serif" w:hAnsi="Times New Roman;sans-serif"/>
          <w:b w:val="false"/>
          <w:color w:val="000000"/>
          <w:sz w:val="20"/>
        </w:rPr>
        <w:t>, which combines what we believe to be best-in-class manufacturing and supply chain capabilities. We have designed our global operations and supply chain to be a reliable and flexible partner for access across the world, constantly adapting to an ever-evolving landscape. As of December 31, 2023, Viatris operated approximately 40 manufacturing sites worldwide that produce oral solid doses, injectables, complex dosage forms and APIs on five different continents. Together with a global, flexible and diverse supply chain, our platform strives to mitigate risks of disruption and ensure supply reliability. Our responsive global network has helped us maintain a reliable supply of much needed medicines throughout times of significant volatility. We are committed to advancing responsible and sustainable operations and work diligently to minimize our environmental footprint across the Viatris network while safeguarding access to medicine. As discussed above, the Company has entered into a definitive agreement to divest its API business in India.</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Robust global technical resources</w:t>
      </w:r>
      <w:r>
        <w:rPr>
          <w:rFonts w:ascii="Times New Roman;sans-serif" w:hAnsi="Times New Roman;sans-serif"/>
          <w:b w:val="false"/>
          <w:color w:val="000000"/>
          <w:sz w:val="20"/>
        </w:rPr>
        <w:t>, including thousands of scientists, regulatory experts and medical and product safety professionals working around the world on innovative therapies and solutions for patients everywhere.</w:t>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Strong global commercial team</w:t>
      </w:r>
      <w:r>
        <w:rPr>
          <w:rFonts w:ascii="Times New Roman;sans-serif" w:hAnsi="Times New Roman;sans-serif"/>
          <w:b w:val="false"/>
          <w:color w:val="000000"/>
          <w:sz w:val="20"/>
        </w:rPr>
        <w:t>, including sales team members and marketing professionals whose goal is to ensure that products are shipped to customers around the globe.</w:t>
      </w:r>
    </w:p>
    <w:p>
      <w:pPr>
        <w:pStyle w:val="TextBody"/>
        <w:bidi w:val="0"/>
        <w:spacing w:lineRule="auto" w:line="288" w:before="0" w:after="240"/>
        <w:ind w:left="0" w:right="0" w:hanging="360"/>
        <w:jc w:val="left"/>
        <w:rPr/>
      </w:pPr>
      <w:r>
        <w:rPr>
          <w:color w:val="000000"/>
        </w:rPr>
        <w:t>•</w:t>
      </w:r>
      <w:r>
        <w:rPr>
          <w:rFonts w:ascii="Times New Roman;sans-serif" w:hAnsi="Times New Roman;sans-serif"/>
          <w:b/>
          <w:color w:val="000000"/>
          <w:sz w:val="20"/>
        </w:rPr>
        <w:t>Diverse and differentiated global portfolio</w:t>
      </w:r>
      <w:r>
        <w:rPr>
          <w:color w:val="000000"/>
        </w:rPr>
        <w:t xml:space="preserve"> </w:t>
      </w:r>
      <w:r>
        <w:rPr>
          <w:rFonts w:ascii="Times New Roman;sans-serif" w:hAnsi="Times New Roman;sans-serif"/>
          <w:b w:val="false"/>
          <w:color w:val="000000"/>
          <w:sz w:val="20"/>
        </w:rPr>
        <w:t xml:space="preserve">includes products in more than 10 major therapeutic areas, including both infectious diseases and NCDs and medicines that treat the top 10 leading causes of death globally, as determined by the WHO. We are a leading supplier of medicines to the HIV/AIDS community around the world, with a legacy of providing access to high-quality and affordable ARVs in more than 100 countries.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Viatris’ global leadership in all of these areas uniquely positions us to efficiently and effectively serve patients regardless of geography or circumstance. Together, with our commitment to provide access to a sustainable, affordable, and diverse portfolio of high-quality medicines and our goal to be a Partner of Choice® for companies big and small, Viatris works to improve access and meet evolving healthcare needs around the world.</w:t>
      </w:r>
    </w:p>
    <w:p>
      <w:pPr>
        <w:pStyle w:val="TextBody"/>
        <w:bidi w:val="0"/>
        <w:spacing w:before="0" w:after="240"/>
        <w:jc w:val="left"/>
        <w:rPr/>
      </w:pPr>
      <w:r>
        <w:rPr/>
        <w:drawing>
          <wp:inline distT="0" distB="0" distL="0" distR="0">
            <wp:extent cx="571500" cy="54292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571500" cy="542925"/>
                    </a:xfrm>
                    <a:prstGeom prst="rect">
                      <a:avLst/>
                    </a:prstGeom>
                  </pic:spPr>
                </pic:pic>
              </a:graphicData>
            </a:graphic>
          </wp:inline>
        </w:drawing>
      </w:r>
    </w:p>
    <w:p>
      <w:pPr>
        <w:pStyle w:val="TextBody"/>
        <w:bidi w:val="0"/>
        <w:spacing w:lineRule="auto" w:line="288" w:before="0" w:after="240"/>
        <w:jc w:val="left"/>
        <w:rPr/>
      </w:pPr>
      <w:r>
        <w:rPr>
          <w:rFonts w:ascii="Times New Roman;sans-serif" w:hAnsi="Times New Roman;sans-serif"/>
          <w:b/>
          <w:color w:val="000000"/>
          <w:sz w:val="20"/>
        </w:rPr>
        <w:t>PARTNERSHIP</w:t>
      </w:r>
      <w:r>
        <w:rPr>
          <w:color w:val="000000"/>
        </w:rPr>
        <w:t xml:space="preserve"> </w:t>
      </w:r>
    </w:p>
    <w:p>
      <w:pPr>
        <w:pStyle w:val="TextBody"/>
        <w:bidi w:val="0"/>
        <w:spacing w:lineRule="auto" w:line="288" w:before="0" w:after="0"/>
        <w:ind w:left="0" w:right="0" w:firstLine="720"/>
        <w:jc w:val="left"/>
        <w:rPr/>
      </w:pPr>
      <w:r>
        <w:rPr>
          <w:rFonts w:ascii="Times New Roman;sans-serif" w:hAnsi="Times New Roman;sans-serif"/>
          <w:b/>
          <w:color w:val="000000"/>
          <w:sz w:val="20"/>
        </w:rPr>
        <w:t xml:space="preserve">Leveraging our collective expertise to connect people to products and services. </w:t>
      </w:r>
      <w:r>
        <w:rPr>
          <w:rFonts w:ascii="Times New Roman;sans-serif" w:hAnsi="Times New Roman;sans-serif"/>
          <w:b w:val="false"/>
          <w:color w:val="000000"/>
          <w:sz w:val="20"/>
        </w:rPr>
        <w:t xml:space="preserve">Partnerships and collaborations are critical, as are policies and strong healthcare systems that allow for healthy competitive environments. We have a strong history of partnering with other pharmaceutical companies, nonprofit organizations, government agencies, policymakers, trade associations and alliances, industry researchers and patient advocacy groups to promote sustainable access to treatment, build more resilient healthcare systems and drive these issues within our industry on global, regional and local levels. We hold leadership roles in several industry associations and actively engage with more than 100 groups worldwide to this end. Many of our collaborations focus on access to medicine; public awareness and disease screening; and healthcare professional education and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Our Global Healthcare Gateway® Built to Fuel Growth and Partnerships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Global Healthcare Gateway®</w:t>
      </w:r>
      <w:r>
        <w:rPr>
          <w:color w:val="000000"/>
        </w:rPr>
        <w:t xml:space="preserve"> </w:t>
      </w:r>
      <w:r>
        <w:rPr>
          <w:rFonts w:ascii="Times New Roman;sans-serif" w:hAnsi="Times New Roman;sans-serif"/>
          <w:b w:val="false"/>
          <w:color w:val="000000"/>
          <w:sz w:val="20"/>
        </w:rPr>
        <w:t>is open for business.</w:t>
      </w:r>
      <w:r>
        <w:rPr>
          <w:color w:val="000000"/>
        </w:rPr>
        <w:t xml:space="preserve"> </w:t>
      </w:r>
      <w:r>
        <w:rPr>
          <w:rFonts w:ascii="Times New Roman;sans-serif" w:hAnsi="Times New Roman;sans-serif"/>
          <w:b w:val="false"/>
          <w:color w:val="000000"/>
          <w:sz w:val="20"/>
        </w:rPr>
        <w:t>Our platform, which allows existing and new partners to access our many established strengths to reach patients they may not have the resources to reach on their own, connects more people with even more products and services.</w:t>
      </w:r>
      <w:r>
        <w:rPr>
          <w:color w:val="000000"/>
        </w:rPr>
        <w:t xml:space="preserve"> </w:t>
      </w:r>
      <w:r>
        <w:rPr>
          <w:rFonts w:ascii="Times New Roman;sans-serif" w:hAnsi="Times New Roman;sans-serif"/>
          <w:b w:val="false"/>
          <w:color w:val="000000"/>
          <w:sz w:val="20"/>
        </w:rPr>
        <w:t xml:space="preserve">We are actively engaging with potential partners to help them accelerate possibilities of using their own healthcare assets to reach more patients by leveraging our unique global platform – our R&amp;D, supply chain, manufacturing, regulatory, commercial and legal expertise. With the global platforms and infrastructure supporting our innovative Global Healthcare Gateway®, we are enhancing our capital allocation approach to business development, and our organic and inorganic R&amp;D investments through a focused governance structure to ensure the highest level of strategic decision-making.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Global Healthcare Gateway®, we connect more people with even more products and services to advance access and health. Ultimately, we know we are stronger together, working collaboratively and relentlessly across our company and with the broader global community, in pursuit of access.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Licensing and Other Partner Agreements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enter into commercial licensing and other partner agreements with other pharmaceutical companies for the development, manufacture, marketing and/or sale of pharmaceutical products. Doing so helps us share risks and costs, leverage strengths and scale up commercialization, but usually requires us to also share future profits. The result often is that medicines become available sooner and to a significantly larger group of patients.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Our significant licensing and other partner agreements are primarily focused on the development, manufacturing, supply and commercialization of multiple, high-value generic compounds and respiratory products, among other complex products. Refer to Note 18 </w:t>
      </w:r>
      <w:r>
        <w:rPr>
          <w:rFonts w:ascii="Times New Roman;sans-serif" w:hAnsi="Times New Roman;sans-serif"/>
          <w:b w:val="false"/>
          <w:i/>
          <w:color w:val="000000"/>
          <w:sz w:val="20"/>
        </w:rPr>
        <w:t>Licensing and Other Partner Agreements</w:t>
      </w:r>
      <w:r>
        <w:rPr>
          <w:color w:val="000000"/>
        </w:rPr>
        <w:t xml:space="preserve"> </w:t>
      </w:r>
      <w:r>
        <w:rPr>
          <w:rFonts w:ascii="Times New Roman;sans-serif" w:hAnsi="Times New Roman;sans-serif"/>
          <w:b w:val="false"/>
          <w:color w:val="000000"/>
          <w:sz w:val="20"/>
        </w:rPr>
        <w:t>included in Part II, Item 8 of this Form 10-K for more information. As we intend to move up the value chain during Phase 2 of our two-phased strategic vision, we may enter into more financial commitments in connection with agreements with our collaboration partners that provide for certain services, as well as cross manufacturing, development and licensing arrangements.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has developed an end-to-end experience across the total product life cycle, which includes global regulatory licensing, launch, growth and post-approval lifecycle management. Our research, development and medical platform seeks to maximize the impact of our existing portfolio by examining whether there is an opportunity for new indications, label extensions, formulations, and market registrations for our products. We also use our platform to determine whether there is an opportunity to integrate new products into our portfolio.</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manufacturing of APIs and finished dosage forms is currently performed by a combination of internal and external manufacturing operations. Historically, we maintained a vertical integration strategy with respect to many of the products we produce; meaning we manufactured both the APIs and finished dosage forms related to those products. However, as discussed above, the Company has entered into a definitive agreement to divest its API business in India as we intend to move up the value chain during Phase 2 of our two-phased strategic vision by focusing on more complex and innovative products to build a more durable, higher-margin portfolio. We expect to retain some selective R&amp;D capabilities in API and to continue to have access to adequate API supplies through a manufacturing and supply agreement with the API business buyer and our arrangements with other manufacturers. For additional information, see Part I, Item 1A “Risk Factors - </w:t>
      </w:r>
      <w:r>
        <w:rPr>
          <w:rFonts w:ascii="Times New Roman;sans-serif" w:hAnsi="Times New Roman;sans-serif"/>
          <w:b w:val="false"/>
          <w:i/>
          <w:color w:val="000000"/>
          <w:sz w:val="20"/>
        </w:rPr>
        <w:t>We have a limited number of manufacturing facilities and certain third-party suppliers produce a substantial portion of our API and products, some of which require a highly exacting and complex manufacturing process.</w:t>
      </w:r>
      <w:r>
        <w:rPr>
          <w:color w:val="000000"/>
        </w:rPr>
        <w:t xml:space="preserve">” </w:t>
      </w:r>
      <w:r>
        <w:rPr>
          <w:rFonts w:ascii="Times New Roman;sans-serif" w:hAnsi="Times New Roman;sans-serif"/>
          <w:b w:val="false"/>
          <w:color w:val="000000"/>
          <w:sz w:val="20"/>
        </w:rPr>
        <w:t>of this Form 10-K.</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manufacturing, warehousing and distribution activities are located primarily in the U.S., Puerto Rico, Singapore, India, Australia, China, and certain E.U. countries, including Ireland. In addition, we maintain administrative facilities around the world. While many of these key facilities are owned, Viatris also leases certain facilities from third parties.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all our facilities are in good operating condition, the machinery and equipment are well-maintained, the facilities are suitable for their intended purposes, and they have capacities adequate for the current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records related to our products are subject to periodic inspection by the FDA, the EMA and other regulatory authorities in jurisdictions where our products are marketed. In addition, authorities often conduct pre-approval plant inspections to determine whether our systems and processes comply with current GMP and other regulations, and clinical-trial reviews to evaluate regulatory compliance and data integrity. Our suppliers, contract manufacturers, clinical trial partners and other business partners are subject to similar regulations and periodic inspections. The Company remains committed to maintaining the highest quality manufacturing standards at its facilities around the world and to continuous assessment and improvement in a time of evolving industry dynamics and regulatory expectations.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Customers and Marketing</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include retail and pharmacy establishments, wholesalers and distributors, payers, insurers and governments, and institutions such as hospitals; among others. See “Channel Types” below for more information about our customers.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displays the percentage of consolidated net sales to our largest customers during the years ended December 31, 2023, 2022 and 2021:</w:t>
      </w:r>
    </w:p>
    <w:tbl>
      <w:tblPr>
        <w:tblW w:w="5753" w:type="dxa"/>
        <w:jc w:val="left"/>
        <w:tblInd w:w="0" w:type="dxa"/>
        <w:tblLayout w:type="fixed"/>
        <w:tblCellMar>
          <w:top w:w="28" w:type="dxa"/>
          <w:left w:w="28" w:type="dxa"/>
          <w:bottom w:w="28" w:type="dxa"/>
          <w:right w:w="28" w:type="dxa"/>
        </w:tblCellMar>
      </w:tblPr>
      <w:tblGrid>
        <w:gridCol w:w="999"/>
        <w:gridCol w:w="879"/>
        <w:gridCol w:w="882"/>
        <w:gridCol w:w="180"/>
        <w:gridCol w:w="181"/>
        <w:gridCol w:w="356"/>
        <w:gridCol w:w="143"/>
        <w:gridCol w:w="143"/>
        <w:gridCol w:w="143"/>
        <w:gridCol w:w="180"/>
        <w:gridCol w:w="181"/>
        <w:gridCol w:w="356"/>
        <w:gridCol w:w="143"/>
        <w:gridCol w:w="143"/>
        <w:gridCol w:w="143"/>
        <w:gridCol w:w="143"/>
        <w:gridCol w:w="143"/>
        <w:gridCol w:w="415"/>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Consolidated Net Sales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AmerisourceBergen Corporation</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serve our customers through a team of highly-skilled sales and marketing professionals, all of whom are focused on establishing Viatris as our customers’ partner of choice. To best meet customers’ needs, the Company manages its business on a geographic basis.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being dynamic, the pharmaceutical industry is complex. How it functions, how it is regulated and how it provides patients access varies by location. Similarly, competition is affected by many factors. Examples of factors include innovation and development, timely approval of prescription drugs by health authorities, manufacturing capabilities, product quality, marketing effectiveness, portfolio size, customer service, consumer acceptance, product price, political stability and the availability of funding for healthcare.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parts of our business also are affected by seasonality, e.g., due to the timing and severity of peak cough, cold and flu incidence, which can cause variability in sales trends for some of our products. While seasonality may affect quarterly comparisons within a fiscal year, it generally is not material to our annual consolidated results.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these and other reasons, the Company’s sales and marketing efforts vary accordingly by product, market and channel type, each of which is described below.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See the </w:t>
      </w:r>
      <w:r>
        <w:rPr>
          <w:rFonts w:ascii="Times New Roman;sans-serif" w:hAnsi="Times New Roman;sans-serif"/>
          <w:b w:val="false"/>
          <w:i/>
          <w:color w:val="000000"/>
          <w:sz w:val="20"/>
        </w:rPr>
        <w:t>Application of Critical Accounting Policies</w:t>
      </w:r>
      <w:r>
        <w:rPr>
          <w:color w:val="000000"/>
        </w:rPr>
        <w:t xml:space="preserve"> </w:t>
      </w:r>
      <w:r>
        <w:rPr>
          <w:rFonts w:ascii="Times New Roman;sans-serif" w:hAnsi="Times New Roman;sans-serif"/>
          <w:b w:val="false"/>
          <w:color w:val="000000"/>
          <w:sz w:val="20"/>
        </w:rPr>
        <w:t>section in Part II, Item 7 of this Form 10-K for more information related to customer arrangements.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We offer a broad and diverse range of treatment options across all our therapeutic areas, with many categories containing several products in a range of dosage forms, formulations and delivery systems that allow physicians to tailor care for optimal treatment.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Company looks to the future, its goal is to leverage its proven scientific capabilities to create a durable and higher-margin portfolio of products. Viatris intends to continue building its pipeline and focusing on products with greater complexity while also investing in the lifecycle management of certain key products in our current portfolio. The Company also expects to expand further beyond its current scope into more innovative products, including NCEs and 505(b)(2)s.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is further enhancing its commercial and scientific capabilities as needed for this future portfolio and intends to increase its R&amp;D investment as well as inorganically grow via business development through its Global Healthcare Gateway®.</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currently markets prescription brand and generic drugs, including complex drugs.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Brand drugs</w:t>
      </w:r>
      <w:r>
        <w:rPr>
          <w:color w:val="000000"/>
        </w:rPr>
        <w:t xml:space="preserve"> </w:t>
      </w:r>
      <w:r>
        <w:rPr>
          <w:rFonts w:ascii="Times New Roman;sans-serif" w:hAnsi="Times New Roman;sans-serif"/>
          <w:b w:val="false"/>
          <w:color w:val="000000"/>
          <w:sz w:val="20"/>
        </w:rPr>
        <w:t>typically are prescription</w:t>
      </w:r>
      <w:r>
        <w:rPr>
          <w:color w:val="000000"/>
        </w:rPr>
        <w:t xml:space="preserve"> </w:t>
      </w:r>
      <w:r>
        <w:rPr>
          <w:rFonts w:ascii="Times New Roman;sans-serif" w:hAnsi="Times New Roman;sans-serif"/>
          <w:b w:val="false"/>
          <w:color w:val="000000"/>
          <w:sz w:val="20"/>
        </w:rPr>
        <w:t xml:space="preserve">pharmaceuticals that are sufficiently novel as to be protected by patents or other forms of exclusivity. As such, these drugs, which bear trade names, may be produced and sold only by those owning the rights, subject to certain challenges that other companies may make. Developing new medicines can take years and significant investment. Only a few promising therapies ever enter clinical trials. Fewer still are approved for sale by health authorities, at which point marketing to healthcare providers and consumers begins. Because patents and exclusivities last many years, they serve as an incentive to developers. During the periods protected, developers often recoup their investments and earn a profit. In many high-income countries, the brand business often is characterized by higher margins on lower volumes - especially as compared with generic manufacturers. Viatris has numerous branded drugs, including iconic brands, as well as several global key brands to help patients manage their health. Brand drugs include branded generics which are off-patent products that are sold under an approved proprietary name for marketing purposes. Brand products often become branded generics once patent protections or other forms of exclusivity expire. Branded generic products are common in many countries outside the U.S., including emerging markets. Brand and branded generic products are more sensitive to promotion than are unbranded generic products. They therefore represent the primary focus of most of our sales representatives and product-level marketing activity. Our OTC products, which are sold directly to consumers without a prescription and without reimbursement, are generally sold under a brand name.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Generic drugs</w:t>
      </w:r>
      <w:r>
        <w:rPr>
          <w:color w:val="000000"/>
        </w:rPr>
        <w:t xml:space="preserve"> </w:t>
      </w:r>
      <w:r>
        <w:rPr>
          <w:rFonts w:ascii="Times New Roman;sans-serif" w:hAnsi="Times New Roman;sans-serif"/>
          <w:b w:val="false"/>
          <w:color w:val="000000"/>
          <w:sz w:val="20"/>
        </w:rPr>
        <w:t xml:space="preserve">are therapeutically equivalent versions of brand drugs. Generics generally become available once the patents and other exclusivities on their branded counterparts expire. The generics business is generally characterized by lower margins on higher volumes of a relatively large number of products. Our generic medicines work in the same way and provide the same clinical benefits as their as their brand-name counterparts and may cost less, providing patients and the healthcare system important savings and medicine options which we believe are essential to making healthcare accessible. The manufacturing of generic medicines is held to the same standards of GMP by health authorities as the manufacturing of branded medicines. National health authorities inspect our facilities around the world to ensure that generic manufacturing, packaging and testing sites pass the same quality standards as those of brand drugs. Gx products typically are sold under their INNs. INNs facilitate the identification of pharmaceutical substances or APIs. Each INN is unique and globally recognized. A nonproprietary name also is known as a generic name.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Complex drugs</w:t>
      </w:r>
      <w:r>
        <w:rPr>
          <w:color w:val="000000"/>
        </w:rPr>
        <w:t xml:space="preserve"> </w:t>
      </w:r>
      <w:r>
        <w:rPr>
          <w:rFonts w:ascii="Times New Roman;sans-serif" w:hAnsi="Times New Roman;sans-serif"/>
          <w:b w:val="false"/>
          <w:color w:val="000000"/>
          <w:sz w:val="20"/>
        </w:rPr>
        <w:t>are medicines that could have a complex active ingredient, complex formulation, complex route of delivery or complex drug device combinations. Viatris offers a number of these important medicines to patients, including Breyna™ Inhalation Aerosol, the first FDA-approved generic version of Symbicort®, Wixela Inhub®, the first generic of ADVAIR DISKUS® and glatiramer acetate injection, a generic version of Copaxone®, for example. Our current complex products are considered generics and are included within our generics revenue category.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we will continue to diligently pursue important generics opportunities, we will increasingly focus on limited-competition complex and novel products targeting gaps in care, all with a first-to-market emphasis and serving our mission of patient access. We believe complex products categories are critical to patient health and are growing at a rapid pace.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also often incur substantial litigation expense as a result of defending or challenging brand patents or exclusivities, which is described further in Note 19 </w:t>
      </w:r>
      <w:r>
        <w:rPr>
          <w:rFonts w:ascii="Times New Roman;sans-serif" w:hAnsi="Times New Roman;sans-serif"/>
          <w:b w:val="false"/>
          <w:i/>
          <w:color w:val="000000"/>
          <w:sz w:val="20"/>
        </w:rPr>
        <w:t xml:space="preserve">Litigation </w:t>
      </w:r>
      <w:r>
        <w:rPr>
          <w:rFonts w:ascii="Times New Roman;sans-serif" w:hAnsi="Times New Roman;sans-serif"/>
          <w:b w:val="false"/>
          <w:color w:val="000000"/>
          <w:sz w:val="20"/>
        </w:rPr>
        <w:t>included in Part II, Item 8 of this Form 10-K.</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Types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focuses its sales and marketing efforts on the people who make key decisions around pharmaceutical prescribing, dispensing or buying. Decision-makers vary by country or region, reflecting law and custom, giving rise to different types of pharmaceutical markets. Many countries feature a mix of or hybrids of various market types, though the Company may focus on just one type in a particular country.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prescription</w:t>
      </w:r>
      <w:r>
        <w:rPr>
          <w:color w:val="000000"/>
        </w:rPr>
        <w:t xml:space="preserve"> </w:t>
      </w:r>
      <w:r>
        <w:rPr>
          <w:rFonts w:ascii="Times New Roman;sans-serif" w:hAnsi="Times New Roman;sans-serif"/>
          <w:b w:val="false"/>
          <w:color w:val="000000"/>
          <w:sz w:val="20"/>
        </w:rPr>
        <w:t>markets, physicians decide which medicines patients will take. Pharmacies then dispense the products as directed. Drug companies employ sales forces to educate doctors about the clinical benefits of their products. Representatives call on individual doctors or group practices; the process is known as detailing. Examples of countries served by Viatris that are mainly prescription markets are the U.S. brand business, China, Turkey, Poland and Mexico.</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substitution</w:t>
      </w:r>
      <w:r>
        <w:rPr>
          <w:color w:val="000000"/>
        </w:rPr>
        <w:t xml:space="preserve"> </w:t>
      </w:r>
      <w:r>
        <w:rPr>
          <w:rFonts w:ascii="Times New Roman;sans-serif" w:hAnsi="Times New Roman;sans-serif"/>
          <w:b w:val="false"/>
          <w:color w:val="000000"/>
          <w:sz w:val="20"/>
        </w:rPr>
        <w:t xml:space="preserve">markets, pharmacists generally are authorized (and in some cases required) by law to dispense an unbranded or branded generic, if available, in place of a brand-name medicine, or vice versa. Drug companies may use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forces in these markets too, with representatives calling on and educating pharmacy personnel about their organization and products. Examples of countries served by Viatris that are mainly substitution markets are France, Italy, Spain, Portugal, Japan and Australia.</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tender</w:t>
      </w:r>
      <w:r>
        <w:rPr>
          <w:color w:val="000000"/>
        </w:rPr>
        <w:t xml:space="preserve"> </w:t>
      </w:r>
      <w:r>
        <w:rPr>
          <w:rFonts w:ascii="Times New Roman;sans-serif" w:hAnsi="Times New Roman;sans-serif"/>
          <w:b w:val="false"/>
          <w:color w:val="000000"/>
          <w:sz w:val="20"/>
        </w:rPr>
        <w:t>markets, payers, such as governments or insurance companies, negotiate the lowest price for a drug (or group of drugs) on behalf of their constituents or members. In exchange, the chosen supplier’s product is placed on the payer’s formulary, or list of covered prescriptions. Often, a supplier’s drug is the only one available in an entire class of drugs. Large sales forces are not needed to reach these decision-makers. Examples of generic markets served by Viatris that are mainly tender markets are New Zealand, Sweden, South Africa, as well as Germany.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distribution</w:t>
      </w:r>
      <w:r>
        <w:rPr>
          <w:color w:val="000000"/>
        </w:rPr>
        <w:t xml:space="preserve"> </w:t>
      </w:r>
      <w:r>
        <w:rPr>
          <w:rFonts w:ascii="Times New Roman;sans-serif" w:hAnsi="Times New Roman;sans-serif"/>
          <w:b w:val="false"/>
          <w:color w:val="000000"/>
          <w:sz w:val="20"/>
        </w:rPr>
        <w:t>markets, retailers and wholesalers make drug-purchasing decisions. Large sales forces are not needed to reach the decision-makers representing these organizations. Note, however, that pharmacists operating in distribution markets also may be authorized to make substitution decisions when dispensing medicines. Examples of countries served by Viatris that are mainly distribution markets are the U.S. generics business, the U.K. and Norway.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allocation of our sales and marketing resources reflects the characteristics of these different market types.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case of OTC products, consumers are the decision-makers. OTC products are commonly sold via retail channels, such as pharmacies, drugstores and supermarkets. This makes their sale and marketing comparable to other retail businesses, with broad advertising and trade-channel promotion. Consumers often are loyal to well-known OTC brands. For this reason, suppliers of OTC products, Viatris included, must invest the time and resources needed to build strong OTC brand names. As discussed above, the Company has entered into a definitive agreement to divest its OTC Business. The Company will retain rights for Viagra® and Dymista® (which, in certain limited markets, are sold as OTC products) and select OTC products in certain markets.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Channel Types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products make their way to patients through a variety of intermediaries, or channels.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Pharmaceutical</w:t>
      </w:r>
      <w:r>
        <w:rPr>
          <w:color w:val="000000"/>
        </w:rPr>
        <w:t xml:space="preserve"> </w:t>
      </w:r>
      <w:r>
        <w:rPr>
          <w:rFonts w:ascii="Times New Roman;sans-serif" w:hAnsi="Times New Roman;sans-serif"/>
          <w:b w:val="false"/>
          <w:i/>
          <w:color w:val="000000"/>
          <w:sz w:val="20"/>
        </w:rPr>
        <w:t>wholesalers/distributors</w:t>
      </w:r>
      <w:r>
        <w:rPr>
          <w:color w:val="000000"/>
        </w:rPr>
        <w:t xml:space="preserve"> </w:t>
      </w:r>
      <w:r>
        <w:rPr>
          <w:rFonts w:ascii="Times New Roman;sans-serif" w:hAnsi="Times New Roman;sans-serif"/>
          <w:b w:val="false"/>
          <w:color w:val="000000"/>
          <w:sz w:val="20"/>
        </w:rPr>
        <w:t>purchase prescription medicines and other medical products directly from manufacturers for storage in warehouses and distribution centers. The distributors then fill orders placed by healthcare providers and other authorized buyers.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Pharmaceutical</w:t>
      </w:r>
      <w:r>
        <w:rPr>
          <w:color w:val="000000"/>
        </w:rPr>
        <w:t xml:space="preserve"> </w:t>
      </w:r>
      <w:r>
        <w:rPr>
          <w:rFonts w:ascii="Times New Roman;sans-serif" w:hAnsi="Times New Roman;sans-serif"/>
          <w:b w:val="false"/>
          <w:i/>
          <w:color w:val="000000"/>
          <w:sz w:val="20"/>
        </w:rPr>
        <w:t>retailers</w:t>
      </w:r>
      <w:r>
        <w:rPr>
          <w:color w:val="000000"/>
        </w:rPr>
        <w:t xml:space="preserve"> </w:t>
      </w:r>
      <w:r>
        <w:rPr>
          <w:rFonts w:ascii="Times New Roman;sans-serif" w:hAnsi="Times New Roman;sans-serif"/>
          <w:b w:val="false"/>
          <w:color w:val="000000"/>
          <w:sz w:val="20"/>
        </w:rPr>
        <w:t>purchase products directly from manufacturers or wholesalers/distributors. They then sell them to consumers in relatively small quantities for personal use.</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Institutional pharmacies</w:t>
      </w:r>
      <w:r>
        <w:rPr>
          <w:color w:val="000000"/>
        </w:rPr>
        <w:t xml:space="preserve"> </w:t>
      </w:r>
      <w:r>
        <w:rPr>
          <w:rFonts w:ascii="Times New Roman;sans-serif" w:hAnsi="Times New Roman;sans-serif"/>
          <w:b w:val="false"/>
          <w:color w:val="000000"/>
          <w:sz w:val="20"/>
        </w:rPr>
        <w:t>address the unique needs of hospitals, nursing homes and other such venues. Among the services provided are specialized packaging, including for injectables and unit-dose products, for controlled administration.</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Mail-order and e-commerce pharmacies</w:t>
      </w:r>
      <w:r>
        <w:rPr>
          <w:color w:val="000000"/>
        </w:rPr>
        <w:t xml:space="preserve"> </w:t>
      </w:r>
      <w:r>
        <w:rPr>
          <w:rFonts w:ascii="Times New Roman;sans-serif" w:hAnsi="Times New Roman;sans-serif"/>
          <w:b w:val="false"/>
          <w:color w:val="000000"/>
          <w:sz w:val="20"/>
        </w:rPr>
        <w:t>receive prescriptions by mail, fax, phone or the internet at a central location; process them in large, mostly automated centers; and mail the drugs to the consumer.</w:t>
      </w:r>
    </w:p>
    <w:p>
      <w:pPr>
        <w:pStyle w:val="TextBody"/>
        <w:bidi w:val="0"/>
        <w:spacing w:lineRule="auto" w:line="288" w:before="0" w:after="240"/>
        <w:ind w:left="0" w:right="0" w:firstLine="720"/>
        <w:jc w:val="left"/>
        <w:rPr/>
      </w:pPr>
      <w:r>
        <w:rPr>
          <w:rFonts w:ascii="Times New Roman;sans-serif" w:hAnsi="Times New Roman;sans-serif"/>
          <w:b w:val="false"/>
          <w:i/>
          <w:color w:val="000000"/>
          <w:sz w:val="20"/>
        </w:rPr>
        <w:t>Specialty pharmacies</w:t>
      </w:r>
      <w:r>
        <w:rPr>
          <w:color w:val="000000"/>
        </w:rPr>
        <w:t xml:space="preserve"> </w:t>
      </w:r>
      <w:r>
        <w:rPr>
          <w:rFonts w:ascii="Times New Roman;sans-serif" w:hAnsi="Times New Roman;sans-serif"/>
          <w:b w:val="false"/>
          <w:color w:val="000000"/>
          <w:sz w:val="20"/>
        </w:rPr>
        <w:t>focus on managing the handling and service requirements associated with high-cost and more-complex drug therapies, such as those used to treat patients with rare or serious diseases.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has four reportable segments: Developed Markets, Greater China, JANZ, and Emerging Markets. The Company reports segment information on the basis of markets and geography, which reflects its focus on bringing its broad and diversified portfolio of branded and generic products, including complex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Developed Markets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Developed Markets segment comprises our operations primarily in North America and Europe. The Company’s business in North America is driven mainly by our operations in the U.S., where we are one of the largest providers of prescription medicines. The U.S. pharmaceutical industry is very competitive, and the primary means of competition are innovation and development, timely FDA approval, manufacturing capabilities, product quality, marketing, portfolio size, customer service, reputation and price. We rely on cost-effective manufacturing processes to meet the rapidly changing needs of our customers around a reliable, high quality supply of pharmaceutical products. Europe, where many governments provide healthcare at a low direct cost to consumers and regulate pharmaceutical prices or patient reimbursement levels, continues to be a highly competitive market, especially in terms of pricing, quality standards, service levels and product portfolio. Our leadership position in a number of countries provides us a platform to fulfill the needs of patients, physicians, pharmacies, customers and payors.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products sold by the Developed Markets segment include Lyrica®, Lipitor®, Creon®, Influvac®, Wixela Inhub®, EpiPen® Auto-Injector, Fraxiparine®, and Yupelri®.</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New product launches are an important growth driver. Important recent launches include lenalidomide and Breyna™ in the U.S.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our U.S. customer base is extensive, it comprises a small number of very large firms as the pharmaceutical industry has undergone tremendous change and consolidation. We believe Viatris is well positioned to serve such customers in the Developed Markets due to the scale we have built in terms of R&amp;D, manufacturing, and portfolio breadth.</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Greater China</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Greater China segment includes our operations in mainland China, Taiwan, and Hong Kong. The Viatris Greater China portfolio predominantly consists of branded LOE products.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China, the recent healthcare reform measures are aimed at controlling the overall healthcare costs, while providing better and broader care to the population. Healthcare spending is expected to increase in-line with GDP growth. The VBP policy for LOE molecules is now in its fifth year and includes more than 330 molecules. All major Viatris brands are included in the VBP molecule lists. We have re-balanced our business to expand our focus on the retail pharmacy and e-commerce channels while maintaining our presence in the hospital channel. Healthcare consumerism, increased spending power, and demand for premium medical products have generated strong growth in these new channels and partially absorbed the reductions seen in hospital channel due to VBP. Additional pricing and volume pressure for pharmaceutical products sold in the hospital channels is expected to continue during 2024 and could negatively impact our results of operations. For additional information, see Part I, Item 1A “Risk Factors - </w:t>
      </w:r>
      <w:r>
        <w:rPr>
          <w:rFonts w:ascii="Times New Roman;sans-serif" w:hAnsi="Times New Roman;sans-serif"/>
          <w:b w:val="false"/>
          <w:i/>
          <w:color w:val="000000"/>
          <w:sz w:val="20"/>
        </w:rPr>
        <w:t>We have and may continue to experience pressure on the pricing of and reimbursements for certain of our products due to pricing controls, social or government pressure to lower the cost of drugs, and consolidation across the supply chain.</w:t>
      </w:r>
      <w:r>
        <w:rPr>
          <w:color w:val="000000"/>
        </w:rPr>
        <w:t xml:space="preserve">” </w:t>
      </w:r>
      <w:r>
        <w:rPr>
          <w:rFonts w:ascii="Times New Roman;sans-serif" w:hAnsi="Times New Roman;sans-serif"/>
          <w:b w:val="false"/>
          <w:color w:val="000000"/>
          <w:sz w:val="20"/>
        </w:rPr>
        <w:t>of this Form 10-K.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products within the Greater China segment include Lipitor®, Norvasc®, and Viagra®.</w:t>
      </w:r>
    </w:p>
    <w:p>
      <w:pPr>
        <w:pStyle w:val="TextBody"/>
        <w:bidi w:val="0"/>
        <w:spacing w:lineRule="auto" w:line="256" w:before="0" w:after="240"/>
        <w:jc w:val="left"/>
        <w:rPr>
          <w:rFonts w:ascii="Times New Roman;sans-serif" w:hAnsi="Times New Roman;sans-serif"/>
          <w:b/>
          <w:i/>
          <w:color w:val="000000"/>
          <w:sz w:val="20"/>
        </w:rPr>
      </w:pPr>
      <w:r>
        <w:rPr>
          <w:rFonts w:ascii="Times New Roman;sans-serif" w:hAnsi="Times New Roman;sans-serif"/>
          <w:b/>
          <w:i/>
          <w:color w:val="000000"/>
          <w:sz w:val="20"/>
        </w:rPr>
        <w:t>JANZ</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JANZ</w:t>
      </w:r>
      <w:r>
        <w:rPr>
          <w:color w:val="000000"/>
        </w:rPr>
        <w:t xml:space="preserve"> </w:t>
      </w:r>
      <w:r>
        <w:rPr>
          <w:rFonts w:ascii="Times New Roman;sans-serif" w:hAnsi="Times New Roman;sans-serif"/>
          <w:b w:val="false"/>
          <w:color w:val="000000"/>
          <w:sz w:val="20"/>
        </w:rPr>
        <w:t>segment consists of our operations in Japan, Australia and New Zealand. In Japan, the National Health Insurance regulates the pricing of pharmaceutical products to healthcare providers. The Company sells products in Japan primarily through a network of wholesalers who then sell the products to doctors, hospitals and pharmacies. In Australia, the healthcare system is a mix of public and private healthcare sectors, with Medicare, Australia’s public healthcare system, covering most of the country’s medical costs. The Department of Health oversees healthcare governance, law, and policy while the various state and territory governments administer the system. Most prescription pharmaceutical products are subsidized under the pharmaceutical benefits scheme by the federal government. Pricing of reimbursed pharmaceutical products is regulated by the government and funded via the Medicare levy and through company and patient contributions. The Company sells products primarily through the wholesale system, while promoting its products to both physicians and pharmacists.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products within the JANZ segment include AMITIZA®, Lipacreon®, Lyrica®, Norvasc®, Effexor® and Dymista®.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Emerging Markets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Emerging Markets segment encompasses our presence in more than 125 countries with developing markets and emerging economies including in Asia, Africa, Eastern Europe, Latin America and the Middle East as well as the Company’s ARV franchise. With healthcare at various stages of development across these markets, we believe we are positioned to not only leverage our large geographical footprint to maximize the similarities between these markets, but also tailor solutions to meet local need. There is demand in this segment for better healthcare to serve a growing population and economic expansion. Many countries in this segment are brand-conscious with generic penetration rates lower than developed markets.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Among our products sold in the segment are Lipitor®, Lyrica®, Norvasc®, Celebrex®, and ARVs.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Refer to Note 15 </w:t>
      </w:r>
      <w:r>
        <w:rPr>
          <w:rFonts w:ascii="Times New Roman;sans-serif" w:hAnsi="Times New Roman;sans-serif"/>
          <w:b w:val="false"/>
          <w:i/>
          <w:color w:val="000000"/>
          <w:sz w:val="20"/>
        </w:rPr>
        <w:t>Segment Information</w:t>
      </w:r>
      <w:r>
        <w:rPr>
          <w:color w:val="000000"/>
        </w:rPr>
        <w:t xml:space="preserve"> </w:t>
      </w:r>
      <w:r>
        <w:rPr>
          <w:rFonts w:ascii="Times New Roman;sans-serif" w:hAnsi="Times New Roman;sans-serif"/>
          <w:b w:val="false"/>
          <w:color w:val="000000"/>
          <w:sz w:val="20"/>
        </w:rPr>
        <w:t>included in Part II, Item 8 of this Form 10-K for more information about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Regulation by governmental authorities is a significant factor in the R&amp;D, manufacture, marketing, sales and distribution of pharmaceuticals. Our products are subject to robust developmental studies which include analytical determinations of strength, quality, purity as well as rigorous safety and efficacy determinations using preclinical, pharmacokinetic studies and clinical evaluations to gather data to support regulatory review and approval. This body of work results in extensive data and scientific information that is incorporated into a given product’s regulatory dossier. Manufacturing is conducted under exacting conditions governed by extensive regulation including strict in-process and finished pharmaceutical products specifications and controls. Post-approval activities, such as advertising and promotion, pharmacovigilance, post-marketing regulatory commitments, and pharmacopeial monographs, are subject to extensive regulation and controls as well.</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lengthy process of developing products and obtaining required approvals and the continuing need for post-approval compliance with applicable statutes and regulations require the expenditure of substantial resources. Regulatory approval, if and when obtained, may be limited in scope. Further, approved drugs, as well as their manufacturers, are subject to ongoing post-marketing review and inspection, which can lead to the discovery of previously unknown attributes of the products or the manufacturing or quality control procedures used in their production, which may impact the marketing of the products or result in restrictions on their manufacture, sale or use or in their withdrawal from the market.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or delay by us, our suppliers of manufactured drug product, collaborators or licensees, in obtaining and maintaining regulatory approvals could adversely affect the marketing of our products and our ability to receive product revenue, license revenue or profit-sharing payments.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Regulatory Requirements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a wide range of various other federal, state, non-governmental, and local agency rules and regulations. They focus on fraud and corruption, pricing and reimbursement, data privacy, and the environment, among many other considerations. For more information about certain of these regulations and the associated risks we face, see Part I, Item 1A “Risk Factors”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R&amp;D organization, which includes developers and regulatory and clinical experts, works collaboratively across our different R&amp;D centers around the world, which include technology-focused development sites and global R&amp;D centers.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development and clinical platform, which includes regulatory activities, seeks to deliver new product opportunities across all of our categories and markets and to evaluate opportunities to expand the scope of our existing product portfolio with a focus on development activities. Our product pipeline includes a variety of dosage forms, including oral solid dosage forms, transdermals, injectables, inhalation, and other delivery systems. While committed to generics and specialty products, over the last several years, a greater portion of our investments has been focused on complex or difficult-to-formulate products, such as modified release injectables, rather than on commodity products, such as conventional oral solid dosage forms. For example, we are working on a number of programs including the potential to be first to market for our generics of Abilify Maintena®, Injectafer®, Invega Trinza®, Ozempic®, Venofer® and Wegovy™. We are also working with our partners on novel and/or complex products such as our biosimilar to BOTOX® (onabotulinumtoxinA) and Glatiramer Acetate Depot, a long-acting injection version of the approved glatiramer acetate. As previously mentioned, to facilitate our future growth, we expect to expand our current scope of development into more innovative products, including NCEs and 505(b)(2) products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particular focus on three therapeutic areas: ophthalmology, gastrointestinal, and dermatology. Viatris invests significant sums in R&amp;D, and this amount is likely to increase as we intend to move up the value chain during Phase 2 of our two-phased strategic vision by focusing on more complex and innovative products to build a more durable higher margin portfolio with exclusivity opportunities. In addition to increasing our R&amp;D and IPR&amp;D investment, we also expect to inorganically grow via business development through strategic alliances with partners, including through our Global Healthcare Gateway®, and agreements with collaboration partners.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the protection of our intellectual property rights to be extremely valuable, and we act to protect them from infringement by third parties.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an extensive trademark portfolio totaling more than 34,000 trademarks filed globally and routinely apply to register key brand names, generic names, branded generic names, and trade names in numerous countries around the world. Our registered trademarks are renewable indefinitely, and are maintained in accordance with the laws of the countries in which they are registered.</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also have an extensive patent portfolio and actively file for patent protection in various countries to protect our brand-name, generic, branded generic, and OTC products, including processes for making and using them. We have more than 3,300 patents filed globally. For additional information, see Part I, Item 1A “Risk Factors - </w:t>
      </w:r>
      <w:r>
        <w:rPr>
          <w:rFonts w:ascii="Times New Roman;sans-serif" w:hAnsi="Times New Roman;sans-serif"/>
          <w:b w:val="false"/>
          <w:i/>
          <w:color w:val="000000"/>
          <w:sz w:val="20"/>
        </w:rPr>
        <w:t>We rely on the effectiveness of our patents, trademarks, confidentiality agreements and other measures to protect our intellectual property rights.</w:t>
      </w:r>
      <w:r>
        <w:rPr>
          <w:color w:val="000000"/>
        </w:rPr>
        <w:t xml:space="preserve">” </w:t>
      </w:r>
      <w:r>
        <w:rPr>
          <w:rFonts w:ascii="Times New Roman;sans-serif" w:hAnsi="Times New Roman;sans-serif"/>
          <w:b w:val="false"/>
          <w:color w:val="000000"/>
          <w:sz w:val="20"/>
        </w:rPr>
        <w:t>of this Form 10-K.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have well-established safeguards in place to protect our proprietary know-how and trade secrets, both of which we consider extremely valuable to our intellectual property portfolio.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look for intellectual property licensing opportunities to or from third parties, related not only to our existing products, but as a means for expanding our product portfolio.</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the aforementioned types of intellectual property, as well as our copyrights, trade dress, regulatory exclusivities and contractual protections, to establish a broad scope of intellectual property rights for our product portfolio.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Sustainability</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To learn about our sustainability work in depth, we encourage you to read our 2022 Sustainability Report</w:t>
      </w:r>
      <w:r>
        <w:rPr>
          <w:rFonts w:ascii="Times New Roman;sans-serif" w:hAnsi="Times New Roman;sans-serif"/>
          <w:b w:val="false"/>
          <w:color w:val="000000"/>
          <w:sz w:val="13"/>
        </w:rPr>
        <w:t>1</w:t>
      </w:r>
      <w:r>
        <w:rPr>
          <w:rFonts w:ascii="Times New Roman;sans-serif" w:hAnsi="Times New Roman;sans-serif"/>
          <w:b w:val="false"/>
          <w:color w:val="000000"/>
          <w:sz w:val="20"/>
        </w:rPr>
        <w:t>. The Sustainability Report, published in May 2023, sets forth Viatris’ work and efforts in 2022 to further advance sustainable and responsible operations. It also discusses how we progressed in 2022 on our initial companywide sustainability goals in the areas of: access and global health; DEI; and environment (climate, water, and waste). This includes that our Scope 1, 2 and 3 emission reduction targets have been validated and approved by the SBTi.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2023 accolades include inclusion on 3BL’s 100 Best Corporate Citizens list, Newsweek’s America’s Greenest Companies 2024, TIME’s World’s Best Companies 2023 list and USA Today’s inaugural list of America’s Climate Leaders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highlights our systematic efforts and progress across key areas: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Access and Global Health</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noted above, access is fundamental to our mission. It is not an initiative; it is our business model, and it is personal. We are Access at Scale – all day, every day. It begins with our ability to sustainably deliver quality medicines to people, regardless of geography or circumstance. We believe we are a company uniquely positioned to bridge the traditional divide between generics and brands, combining the best of both to more holistically address healthcare needs globally.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exceptionally extensive and diverse portfolio helps address acute conditions to chronic diseases across multiple therapeutic areas. We are focused on striving to meet individual needs, whether with a generic medicine, a trusted brand, an improved version of an existing medicine, or a truly novel therapeutic solution.</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Please note that our website, Sustainability Report and their respective contents are not incorporated by reference into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go beyond developing, manufacturing, and distributing quality medicines. With the needs of people at the center, we often work to help find solutions that support resilient healthcare systems. We have designed our global operations and supply chain to be a reliable and flexible partner for access across the world, constantly adapting to an ever-evolving landscape.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pursue holistic approaches to prevention, diagnosis, treatment, and disease management. We work to build public health awareness, to support and implement research, to deliver access to health education, and to advocate for public policies that advance sustainable access at scale, globally.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keenly aware that no one can meet this high aspiration alone. Partnerships and collaborations are critical, as are policies and strong healthcare systems that allow for healthy competitive environments. The need is universal, and we work with an array of organizations, globally, regionally, locally, public and private to support sustainable access to quality medicines at consistent quality standards.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Environmental Stewardship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minimizing our impact on the environment while safeguarding a reliable supply of medicine. Our commitment entails systematic and continuous work, and a global integrated approach to managing our impact on and from climate change, energy efficiency and renewable energy, water and waste reduction, and air emissions.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having our Scope 1, 2 and 3 emission reduction targets validated and approved by SBTi, SBTi classified Viatris’ scope 1 and 2 target ambition and has determined that it is in line with the 1.5°C trajectory. Further, we have concluded a climate scenario analysis, a key recommendation of the Task Force on Climate-Related Financial Disclosures. The analysis is global in scope and helps us to continue to understand the risk and uncertainties in different hypothetical scenarios. Key actions and strategies for making progress toward our SBTi climate targets include increasing renewable energy usage, implementing energy-efficiency projects, preventing refrigerant leaks and transitioning to greener refrigerants, using alternative fuels and technologies, and leveraging infrastructure upgrades and utility replacement projects. While it is very hard to predict accurately the future costs associated with compliance with environmental laws, this is not expected to require significant capital expenditures and has not had, and is not expected to have, a material adverse effect on our operations or competitive position.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remain engaged in promoting environmentally responsible supply chains, including through the continued adoption of the AMR Industry Alliance’s Common Antibiotic Manufacturing Standard in our operations and in the external supply chain. Furthermore, we are leveraging our membership in the Pharmaceutical Supply Chains Initiative in external supplier sustainability engagement.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Community Engagement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foster healthy communities around the world by supporting education, health and disease awareness efforts that, in particular, promote empowering patients and creating access to care. We work via in-kind and monetary donations, volunteering our time and talents and engaging with partners to find solutions. Our work addresses common global themes and leverages our collective capabilities, while addressing unique local needs.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Viatris continued our humanitarian support for emergency response to support victims of conflict, disasters and extreme weather in partnership with Direct Relief and the American Red Cross, to name just a few long-term partners. Furthermore, Viatris colleagues across the globe have done beach cleanups, community fundraisers, and participated in volunteer opportunities to raise money and awareness for patients living with disease.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helping communities around the world where needs are great. As a global healthcare company, our priorities during the humanitarian crises due to the conflicts in Ukraine and the Middle East have been protecting the safety and wellbeing of our colleagues, supporting impacted communities and doing our best to ensure access to essential medicines. To support affected communities, we have been working with partners such as Direct Relief, UNAIDS and World Central Kitchen to respond to various needs, including supporting medical relief shipments and access to food in Ukraine for refugees fleeing the crisis.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Business partnerships, collaboration within and across sectors, memberships, and philanthropic collaborations help us serve patients, healthcare systems and communities worldwide.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Our people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approximately 38,000 colleagues are passionate about our mission, and together we are building a performance-driven, highly engaging and inclusive culture where diverse perspectives drive access, innovation and our ability to make an impact in the world, and truly involves everyone at Viatris in different ways.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been included on Forbes’ list of World’s Best Employers 2023, Fortune’s Change the World list, Newsweek’s America’s Most Responsible Companies 2022 list, a Great Place to Work® certification in India, Capital Magazine’s Best Employers in France list, and HR Asia’s Best Companies to Work for in Asia (Taiwan), among others.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colleagues are leading our mission and we continue to build our culture with a focus on colleague experience and engagement; learning and development; career progression; DEI; talent attraction and our deep commitment to the health, safety and wellbeing of our colleagues, their families and the communities we serve.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newer company, we have remained committed to building upon our foundations, harmonizing our processes and programs and initiating many firsts for Viatris. These have included conducting our first global employee Voice Survey with an 89% participation rate in 2022, sharing their perspective on engagement, DEI, health and wellbeing and transformation and change, and defining our expectations for how we work together. We also grew our initial Employee Resource Groups, which include EmpoWer advocating for an ecosystem that empowers women to reach their full potential; VIVID supporting LGBTQ+ employees and allies; RISE supporting our colleagues of African descent; and Care, advocating for caregivers with the Company. The insights from our Voice Survey are guiding our efforts as we continually strive to create a work environment where people can learn, grow, feel appreciated and make an impact in the world.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expanded our professional development opportunities via internal and external resources, including programs focused on female leadership, management coaching and executive leadership. We completed Viatris’ first full cycle of talent review and succession planning. We further performed a broad talent assessment, focusing on establishing a baseline across the entire enterprise.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DEI is essential to our mission. We seek to understand and embrace what makes individuals and their circumstances unique and believe that recognition is fundamental to our success. Following the launch of our initial DEI goals in the areas of foundational learning, and increasing diversity in management for women, Black and Hispanic/LatinX employees, we have focused on identifying initial actions, building our strategy and setting in place the essential building blocks to advance DEI at Viatris. This includes a Focusing on Inclusion course, which is part of every employee’s learning curriculum.</w:t>
      </w:r>
    </w:p>
    <w:p>
      <w:pPr>
        <w:pStyle w:val="TextBody"/>
        <w:bidi w:val="0"/>
        <w:spacing w:before="0" w:after="0"/>
        <w:jc w:val="left"/>
        <w:rPr/>
      </w:pPr>
      <w:r>
        <w:rPr/>
      </w:r>
    </w:p>
    <w:p>
      <w:pPr>
        <w:pStyle w:val="TextBody"/>
        <w:bidi w:val="0"/>
        <w:spacing w:lineRule="auto" w:line="276"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Health and Safety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a positive impact for patients worldwide relies on having a healthy and thriving workforce. The wellbeing of our colleagues is a priority, and we support colleagues through wellbeing programs across the world, taking into consideration local markets and needs. We also launched our global wellbeing strategy to support and encourage employees to live life fully by providing access to wellbeing platforms, benefits and resources.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importantly, protecting the health and safety of our colleagues is essential at Viatris. We have a global Environmental, Health and Safety Management System, technical requirements, processes and systems that establish the foundation of this program. These elements apply to all locations and guide us in cultivating a culture of health and safety throughout our global workforce.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Exchange Act Reports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maintains a website at Viatris.com where you can find certain reports and associated amendments that the Company files with the SEC in accordance with the Exchange Act. These filings will include our annual reports on Form 10-K, quarterly reports on Form 10-Q, current reports on Form 8-K and any amendments to those reports.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this information available on our website free of charge, as soon as reasonably practicable after we electronically file such material with, or furnish it to, the SEC. The contents of our website are not incorporated by reference in this Annual Report on Form 10-K and shall not be deemed “filed” under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SEC also maintains a website (www.sec.gov) that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complex and rapidly changing environment that involves risks, many of which are beyond our control. Our business, financial condition, results of operations, cash flows, ability to pay dividends, and/or stock price could be materially affected by any of these risks, if they occur, or by other factors not currently known to us, or not currently considered to be material. These risk factors should be read in conjunction with the other information in this Form 10-K, as well as our other filings with the SEC.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risk factors are organized into five categories: Strategic, Operational, Compliance, Finance and General.</w:t>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Summary</w:t>
      </w:r>
    </w:p>
    <w:p>
      <w:pPr>
        <w:pStyle w:val="TextBody"/>
        <w:bidi w:val="0"/>
        <w:spacing w:before="0" w:after="0"/>
        <w:jc w:val="both"/>
        <w:rPr/>
      </w:pPr>
      <w:r>
        <w:rPr/>
      </w:r>
    </w:p>
    <w:p>
      <w:pPr>
        <w:pStyle w:val="TextBody"/>
        <w:bidi w:val="0"/>
        <w:spacing w:lineRule="auto" w:line="25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summary of some of the more significant risks and uncertainties we face. This summary is not exhaustive and is qualified by reference to the full set of risk factors set forth in this Part I, Item 1A.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Strategic Risks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may not realize the intended benefits of, or achieve the intended goals or outlooks with respect to, our strategic initiatives, including divestitures, acquisitions or other potential transactions.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There are risks and uncertainties associated with the Announced Divestitures, including the OTC Transaction, one or more of which could have a material adverse effect on our business, financial condition, results of operations, cash flows, ability to pay dividends or stock price.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integration of acquired businesses as well as restructuring programs have presented and may in the future present significant challenges.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There are ongoing risks and uncertainties associated with the Biocon Biologics Transaction, one or more of which could have a material adverse effect on our business, financial condition, results of operations, cash flows, ability to pay dividends or stock price.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and may continue to experience pressure on the pricing of and reimbursements for certain of our products due to pricing controls, social or government pressure to lower the cost of drugs, and consolidation across the supply chain.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significant operations globally, which exposes us to the risks inherent in conducting our business internationally.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Charges to earnings resulting from acquisitions could have a material adverse effect on our business, financial condition, results of operations, cash flows, ability to pay dividends and/or stock price.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Operational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Current and changing economic conditions, including inflation, may adversely affect our industry, business, partners and suppliers.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pharmaceutical industry is heavily regulated, and we face significant costs and uncertainties associated with our efforts to comply with applicable laws and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we are unable to successfully introduce new products in a timely manner, our future revenue and profitability may be adversely affected.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expend a significant amount of resources on R&amp;D efforts that may not lead to successful product introductions.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Even if our products in development receive regulatory approval, such products may not achieve expected levels of market acceptance.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limited number of manufacturing facilities and certain third-party suppliers produce a substantial portion of our API and products, some of which require a highly exacting and complex manufacturing process.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success is highly dependent on our ability to attract, motivate and retain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 xml:space="preserve">Compliance Risks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are subject to the U.S. Foreign Corrupt Practices Act, the U.K. Bribery Act, Chinese anti-corruption laws and similar worldwide anti-corruption laws, which impose restrictions on certain conduct and may carry substantial fines and penalties.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are involved in various legal proceedings and certain government inquiries and may experience unfavorable outcomes of such proceedings or inquiries.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increasingly dependent on IT and information systems and our systems and infrastructure face certain risks, including cybersecurity and data leakage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 xml:space="preserve">Finance Risks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There can be no guarantee that we will continue to pay dividends or repurchase shares under our stock buyback program.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may not be able to maintain competitive financial flexibility and our corporate tax rate which could adversely affect us and our shareholders.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Currency fluctuations and changes in exchange rates have impacted and could continue to adversely affect our business, financial condition, results of operations, cash flows, ability to pay dividends and/or stock price.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Viatris has suffered and in the future could suffer additional losses due to impairment charges.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Strategic Risks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realize the intended benefits of, or achieve the intended goals or outlooks with respect to, our strategic initiatives, including divestitures, acquisitions or other potential transactions.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announced various strategic initiatives, transactions and business arrangements, including our two-phased strategic vision. In Phase 1 of this strategy, we have focused on stabilizing the base business, delivering on our pipeline, reducing debt, maintaining an investment grade credit rating and returning capital to shareholders. The Company also entered into certain transactions in order to simplify its business, accelerate paydown of debt and unlock shareholder value, including the Biocon Biologics Transaction and the Announced Divestitures. During Phase 2, the Company anticipates a period of renewed growth and leadership as it intends to move up the value chain by focusing on more complex and innovative products to build a more durable higher margin portfolio, while continuing to explore opportunities to unlock shareholder value.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Implementing these and other strategic initiatives has included and may in the future include divestitures (including the Biocon Biologics Transaction and the Announced Divestitures), acquisitions, asset purchases, partnerships, collaborations, joint ventures, product rationalization and other investments. Certain of these transactions and arrangements have been and may in the future be material both from a strategic and financial perspective (including but not limited to divestitures that have resulted or will in the future result in reductions to our results of operations (including but not limited to total revenues) and cash flows). These initiatives, whether we are able to complete them or not, have been and may continue to be complex, time-consuming or expensive, may divert managements’ attention, and expose us to operational ineffectiveness. We may miscalculate the risks associated with our strategic initiatives at the time they are made or not have the resources or ability to access all the relevant information to evaluate them properly, including with regard to the potential of R&amp;D pipelines, manufacturing issues, compliance issues, or the outcome of ongoing legal and other proceedings.</w:t>
      </w:r>
      <w:r>
        <w:rPr>
          <w:color w:val="000000"/>
        </w:rPr>
        <w:t xml:space="preserve"> </w:t>
      </w:r>
      <w:r>
        <w:rPr>
          <w:rFonts w:ascii="Times New Roman;sans-serif" w:hAnsi="Times New Roman;sans-serif"/>
          <w:b w:val="false"/>
          <w:color w:val="000000"/>
          <w:sz w:val="20"/>
        </w:rPr>
        <w:t xml:space="preserve">More complex products are more difficult, costly and time-consuming to develop, receive regulatory approval for and bring to market. There can be no assurance that we will be able to achieve all of our intended goals or outlooks with respect to such strategies within the anticipated timeframes or at all, fully realize the expected benefits of any such transactions or arrangements, or successfully manage base business erosion or grow in future periods. </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Divestitures (including the Biocon Biologics Transaction and the Announced Divestitures), product rationalizations or asset sales have also resulted and could continue to result in asset impairments, or reductions to the size or scope of our business, our market share in particular markets or our opportunities and ability to compete with respect to certain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both"/>
        <w:rPr/>
      </w:pPr>
      <w:r>
        <w:rPr>
          <w:rFonts w:ascii="Times New Roman;sans-serif" w:hAnsi="Times New Roman;sans-serif"/>
          <w:b w:val="false"/>
          <w:color w:val="000000"/>
          <w:sz w:val="20"/>
        </w:rPr>
        <w:t>therapeutic areas or products. We may not be successful in separating divested businesses or assets, which could negatively impact our ongoing operations, future earnings and future goals and outlooks. Certain divestitures also have resulted and may in the future result in continued financial and operational exposure to the divested assets or businesses, such as through guarantees or other financial arrangements, indemnification, continued supply and transition services obligations to the divested businesses, stranded costs, or potential litigation. In addition, we may not be able to obtain the required regulatory approvals for a planned divestiture, or may be unable to dispose of businesses that we intend to divest on satisfactory or commercially reasonable terms or within our anticipated timeline, in part because of competition from other companies in pursuing similar transactions in the pharmaceutical industry. We may also not be able to realize the intended or anticipated benefits from such transactions, such as realizing the anticipated proceeds, deploying the proceeds to pay down our outstanding indebtedness and/or fund other important initiatives, maintaining employee morale and retaining key management and other employees to provide the transition services and to operate our retained business, or may be unable to realize the intended or expected goals, outlooks, synergies or operating efficiencies with respect to such transactions. Please also refer to “</w:t>
      </w:r>
      <w:r>
        <w:rPr>
          <w:rFonts w:ascii="Times New Roman;sans-serif" w:hAnsi="Times New Roman;sans-serif"/>
          <w:b w:val="false"/>
          <w:i/>
          <w:color w:val="000000"/>
          <w:sz w:val="20"/>
        </w:rPr>
        <w:t>There are risks and uncertainties associated with the Announced Divestitures, including the OTC Transaction, one or more of which could have a material adverse effect on our business, financial condition, results of operations, cash flows, ability to pay dividends or stock price.”</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entered into strategic alliances with partners, including through our Global Healthcare Gateway®, to develop, manufacture, market and/or distribute certain products, and/or certain components of our products, in various markets. We have entered into and may in the future enter into agreements with our collaboration partners that provide for certain services, as well as cross manufacturing, development and licensing arrangements. We commit substantial efforts and other resources to these various alliances and collaborations. In addition, as we intend to move up the value chain during Phase 2 of our two-phased strategic vision, we expect to use more capital resources and may enter into more financial commitments in connection with these alliances and collaborations. There is a risk that the investments made by us in these alliances and collaborative arrangements will not generate financial returns. While we believe our relationships with our partners generally are successful, disputes or conflicting priorities and regulatory or legal intervention could be a source of delay or uncertainty as to the expected benefits of the obligations.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overall execution of our strategic initiatives may result in material unanticipated problems, expenses, liabilities, competitive responses, operational inefficiencies, adverse tax consequences, impairment or restructuring charges, loss of customer relationships, difficulty attracting and retaining qualified employees, and diversion of management’s and/or employee’s attention, among other potential adverse consequences. In addition, we may have to terminate a strategic alliance, agreement or arrangement, or our partners may be unable to fulfill their collaboration.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risks described above could have a material adverse effect on our reputation, business, financial condition, results of operations, cash flows, ability to pay dividends and/or stock price.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There are risks and uncertainties associated with the Announced Divestitures, including the OTC Transaction, one or more of which could have a material adverse effect on our business, financial condition, results of operations, cash flows, ability to pay dividends or stock price.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2023, we announced we had received an offer for the divestiture of substantially all of our OTC Business (the “OTC Transaction”) and entered into definitive agreements to divest our women’s healthcare business and, separately, in another transaction, our rights to two women’s healthcare products in certain countries, our API business in India and commercialization rights in the Upjohn Distributor Markets (all such transactions, including the OTC Transaction, referred to as the Announced Divestitures). As of February 28, 2024, we have consummated certain of the Announced Divestitures, including our rights to two women’s healthcare products in certain countries (other than in the U.K., which remains subject to regulatory approval) and commercialization rights in certain of the Upjohn Distributor Markets. Additionally, we expect to consummate the divestiture of our women’s healthcare business and our API business in India by the end of the first quarter of 2024, in each case subject to satisfaction of certain closing conditions, and in January 2024, we exercised our option to accept the offer in the OTC Transaction and entered into a definitive transaction agreement with respect to such OTC Transaction. However, there remain a number of risks and uncertainties associated with the Announced Divestitures, including the remaining Announced Divestitures that have not been consummated (all such remaining Announced Divestitures referred to as the Pending Announced Divestitures), including, among other things: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Pending Announced Divestitures not being completed on the expected timelines or at all, including but not limited to the inefficiencies and lack of control that may result if the Pending Announced Divestitures are delayed or not implemented effectively, and unforeseen difficulties and expenditures that may arise as a result;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risk that the conditions set forth in the definitive agreements with respect to the Pending Announced Divestitures will not be satisfied or waived (including that, with respect to the OTC Transaction, the potential failure of the conditions in that transaction agreement related to obtaining required regulatory and other consents and approvals, which could give rise to the termination of that transaction agreement);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failure to realize the total transaction values for the Announced Divestitures and/or the expected proceeds for any or all of the Announced Divestitures, including as a result of any purchase price adjustment or a failure to achieve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conditions to the payment of any contingent consideration (including, with respect to the OTC Transaction, that transaction agreement’s net indebtedness and working capital adjustments as well as the up to €100.0 million in contingent additional cash consideration);</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possibility that the Company may be unable to realize the intended or expected benefits of, or achieve the intended or expected goals, outlooks, synergies or operating efficiencies with respect to, the Announced Divestitures, including but not limited to as a result of carrying stranded costs;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risk that we will incur additional losses related to the Pending Announced Divestitures (with respect to the OTC Transaction, for instance, we recorded an estimated pre-tax loss of $735 million in the fourth quarter of 2023 for the difference between the estimated consideration to be received, less estimated costs to sell the business, and the carrying value of the business to be divested, including an allocation of goodwill (see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 Part II, Item 8 of this Form 10-K for more information);</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cost of continued post-closing activities related to the divestiture of the commercialization rights in the Upjohn Distributor Markets and the risk that if the divestiture of the commercialization rights in the remaining Upjohn Distributor Markets are not completed, the distribution arrangements will expire in accordance with our agreement with Pfizer and the Company will wind down operations in these markets, which may result in significant additional asset write-offs and other costs being incurred;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risk that we may incur losses related to unhedged foreign exchange exposure related to receiving proceeds from the OTC Transaction in Euros.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the current market price of our common stock reflects an assumption that the Pending Announced Divestitures will be consummated in the timeframe and manner currently anticipated, and that the Company will prioritize use of net proceeds from the Pending Announced Divestitures for debt paydown, any delay in closing or failure to close the Pending Announced Divestitures could result in a decline in the market price of our common stock. Similarly, any delay in closing or failure to close the Pending Announced Divestitures could result in damage to our relationships with customers, suppliers and employees and have an adverse effect on our business. Regarding all of the Announced Divestitures, the attention of our management may be directed toward closing or post-closing matters, and their focus may be diverted from the day-to-day business operations of our company, including from other opportunities that might otherwise be beneficial to us. Also, we have agreed to indemnify the respective purchasers in the Announced Divestitures and certain of their respective representatives against certain losses suffered as a result of certain breaches of our representations, warranties, covenants and agreements in the applicable transaction agreements and related documents. Any event that results in a right for the purchaser in any of the Announced Divestitures to seek indemnity from us could result in substantial liability to us and could adversely affect our financial position and results of operations.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In connection with the Announced Divestitures, we have also agreed, at the closing of the respective transactions, to enter into transition services and manufacturing and supply agreements pursuant to which we will provide services to the respective purchasers, including manufacturing, quality, supply chain, pricing and procurement, regulatory, product safety and risk management, medical affairs, IT, finance, human resources, real estate, commercial development and local commercial operations services, substantially the same as we currently provide to the related businesses, generally for a period of up to 12 months, subject to potential extensions in certain circumstances. In addition, in connection with the OTC Transaction and the divestiture of our women’s healthcare business, we have agreed, at the closing of the respective transactions, to enter into distribution agreements. Once in effect, our obligations under these agreements may result in additional expenses that are borne by us and may divert our focus and resources that would otherwise be invested into maintaining or growing our retained business. In connection with our API business divestiture, we have agreed, at the closing of the transaction, to enter into a manufacturing and supply agreement pursuant to which we will purchase a significant amount of API from the purchaser in that transaction. Our obligations under the manufacturing and supply agreement may make us more vulnerable to API supply shortages and price volatility. Please also refer to “</w:t>
      </w:r>
      <w:r>
        <w:rPr>
          <w:rFonts w:ascii="Times New Roman;sans-serif" w:hAnsi="Times New Roman;sans-serif"/>
          <w:b w:val="false"/>
          <w:i/>
          <w:color w:val="000000"/>
          <w:sz w:val="20"/>
        </w:rPr>
        <w:t>We have a limited number of manufacturing facilities and certain third-party suppliers produce a substantial portion of our API and products, some of which require a highly exacting and complex manufacturing process.”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Whether the Pending Announced Divestitures are ultimately consummated or not, their pendency could have a number of negative effects on our current business, including potentially disrupting our regular operations, diverting the attention of our workforce and management team, and increasing workforce turnover. It could also disrupt existing business relationships, make it harder to develop new business relationships, or otherwise negatively impact the way that we operate the business, which could negatively impact Viatris’ results of operations and cash flows during the pendency of the transactions.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closing of any or all of the Announced Divestitures, our results of operations (including but not limited to total revenues) and cash flows will be reduced. In addition, we have expended significant time and resources, and expect to continue to expend significant time and resources, on these transactions, including management time and focus, costs and expenses related to the separation of the businesses from Viatris, the provision of the transition services and other transaction costs. Many of these expenses must be paid regardless of whether the transactions close, and even if the expected benefits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achieved. These costs may be significant and we currently do not expect to be reimbursed for all such costs. We may also face other challenges as a result of the Announced Divestitures, including that we may not be able to realize the anticipated benefits from such transactions, such as prioritizing use of net proceeds from these divestitures for debt paydown, maintaining employee morale and retaining key management and other employees to provide the transition services and to operate our retained business, and the inability to effectively minimize liabilities and stranded costs associated with the Pending Announced Divestitures. Because the businesses or assets we divest, including our Biosimilars Business and the Announced Divestitures, were or are commingled with Viatris’ other businesses, their financial information must be carved-out of Viatris’ financial and other systems, and this process has impacted or will impact the reporting of our results of operations, financial condition, and cash flows. This process increases the risk of errors in the presentation of our financial results in conformity with U.S. GAAP.</w:t>
      </w:r>
    </w:p>
    <w:p>
      <w:pPr>
        <w:pStyle w:val="TextBody"/>
        <w:bidi w:val="0"/>
        <w:spacing w:before="0" w:after="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Any of the risks described above could have a material adverse effect on our business, financial condition, results of operations, cash flows, ability to pay dividends and/or stock price. Refer to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 Part II, Item 8 of this Form 10-K for more information about the Announced Divestitures.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The integration of acquired businesses as well as restructuring programs have presented and may in the future present significant challenges.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combination of two or more independent businesses, including, for example, the Combination and our recent acquisitions of Oyster Point and Famy Life Sciences, is a complex, costly and time-consuming process and there is a significant degree of difficulty inherent in the integration process. These difficulties may include:</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diversion of management’s attention from the ongoing operations of Viatris to integration and restructuring matters;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challenge of integrating the employees and business cultures;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retaining existing customers and suppliers, or obtaining new customers and suppliers;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risks associated with managing a larger and more complex company;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loss of institutional knowledge;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challenge and cost of integrating manufacturing, logistics, IT, communications and other systems;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potential difficulty retaining key personnel and other employees;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challenges in reducing reliance on transition services, including difficulties in hiring employees or finding suitable replacements, prior to the expiration of any period in which such services are provided;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reducing costs associated with transition services, including managing the amount for replacement costs.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in the past undertaken and may in the future undertake restructuring programs in order to achieve synergies and ensure the Company is optimally structured and efficiently resourced. The process of integrating operations and implementing restructuring initiatives could cause an interruption of, or loss of momentum in, the activities of one or more of Viatris’ businesses. These integration and restructuring processes have in the past and may in the future require Viatris’ senior management to devote considerable amounts of time to these processes, which could decrease the time they have to manage and service Viatris’ businesses, and develop new products or strategies. Even if integration activities and restructuring programs are successful, we may not achieve anticipated synergies, growth opportunities and other financial and operating benefits within the timeline we anticipate, or at all. </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integration activities or restructuring programs are unsuccessful, if the estimated costs are higher than anticipated, or if we are unable to realize the anticipated synergies and other benefits, there could be a material adverse effect on Viatris’ business, financial condition, results of operations, cash flows, ability to pay dividends and/or stock price.</w:t>
      </w:r>
    </w:p>
    <w:p>
      <w:pPr>
        <w:pStyle w:val="TextBody"/>
        <w:bidi w:val="0"/>
        <w:spacing w:before="0" w:after="0"/>
        <w:ind w:left="0" w:right="0" w:firstLine="720"/>
        <w:jc w:val="both"/>
        <w:rPr/>
      </w:pPr>
      <w:r>
        <w:rPr/>
      </w:r>
    </w:p>
    <w:p>
      <w:pPr>
        <w:pStyle w:val="TextBody"/>
        <w:bidi w:val="0"/>
        <w:spacing w:lineRule="auto" w:line="276" w:before="0" w:after="0"/>
        <w:jc w:val="both"/>
        <w:rPr/>
      </w:pPr>
      <w:r>
        <w:rPr>
          <w:rFonts w:ascii="Times New Roman;sans-serif" w:hAnsi="Times New Roman;sans-serif"/>
          <w:b/>
          <w:i/>
          <w:color w:val="000000"/>
          <w:sz w:val="20"/>
        </w:rPr>
        <w:t>There are ongoing risks and uncertainties associated with the Biocon Biologics Transaction, one or more of which</w:t>
      </w:r>
      <w:r>
        <w:rPr>
          <w:color w:val="000000"/>
        </w:rPr>
        <w:t xml:space="preserve"> </w:t>
      </w:r>
      <w:r>
        <w:rPr>
          <w:rFonts w:ascii="Times New Roman;sans-serif" w:hAnsi="Times New Roman;sans-serif"/>
          <w:b/>
          <w:i/>
          <w:color w:val="000000"/>
          <w:sz w:val="20"/>
        </w:rPr>
        <w:t>could have a material adverse effect on our business, financial condition, results of operations, cash flows, ability to pay dividends or stock price.</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the consideration that we received in the Biocon Biologics Transaction is in the form of equity in Biocon Biologics, which is currently a privately held Indian company. Although we have negotiated certain “downside” protection regarding the value of that equity in the Biocon Agreement and related documents, such protection does not guarantee any particular liquidity event or our ability to monetize our equity and, even if we are able to successfully liquidate our equity, the downside protection may be inadequate to guarantee a minimum return that we or investors expect. In addition, we believe the success of the Biocon Biologics business will be highly dependent upon the successful transition of the business to, and ongoing operation of the business by, Biocon Biologics. While the transition services that we agreed to provide Biocon Biologics were substantially completed by the end of 2023, we continue to provide certain limited services to Biocon Biologics and, if the remaining transition and ongoing operation of the business is not successful, it could have a significant impact on the value of the equity we will own in Biocon Biologics and could negatively impact our business or financial condition.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agreed to indemnify Biocon Biologics and certain of its representatives against certain losses suffered as a result of certain breaches of our representations, warranties, covenants and agreements in the Biocon Agreement and related documents. Any event that results in a right for Biocon Biologics to seek indemnity from us could result in substantial liability to us and could adversely affect our financial position and results of operations.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risks described above could have a material adverse effect on our business, financial condition, results of operations, cash flows, ability to pay dividends and/or stock price.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and may continue to experience pressure on the pricing of and reimbursements for certain of our products due to pricing controls, social or government pressure to lower the cost of drugs, and consolidation across the supply chain. </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challenging environment, with significant pressures on the pricing of our products and on our ability to obtain and maintain satisfactory rates of reimbursement for our products by governments, insurers and other payors. We face numerous cost-containment measures by governments and other payors, including certain government-imposed industry-wide price reductions, caps on price increases, mandatory rebates or pricing, international reference pricing (i.e., the practice of a country linking its regulated medicine prices to those of other countries), VBP, tender systems, shifting of the payment burden to patients through higher co-payments, and requirements for increased transparency on pricing, all of which may have an adverse impact on the pricing of our products. In addition, rising rates of inflation have increased and may continue to increase pressure on governments, insurers and other payors to implement additional cost containment measures. There is no guarantee that these cost containment measures will be rolled back in the event that inflation rates decrease in the future.</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markets in which we operate have implemented or may implement tender systems for generic pharmaceuticals in an effort to lower prices. Under such tender systems, manufacturers submit bids which establish prices for generic pharmaceutical products. Upon winning the tender, the winning company will receive a preferential reimbursement for a period of time. If our bids do not win, we may not be able to participate in the given market or may lose out on market share. In addition, if customers to whom we supply API do not win their tender bids, the amount of API that we sell to them may be reduced. While criteria other than price can be included in tenders, tender systems often select the lowest bid, which often results in companies underbidding one another by proposing low pricing in order to win the tender. Other markets may also consider the implementation of a tender system, and even if a tender system or other price controls are ultimately not implemented, the anticipation of such could result in price reductions.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EU, U.K. and some other international markets, the government provides healthcare at low cost to consumers and regulates pharmaceutical prices, patient eligibility and/or reimbursement levels to control costs for the government-sponsored healthcare system. These systems of price regulations may lead to inconsistent and lower prices. The availability of our products in some markets at lower prices undermines our sales in other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cross-border trade. In addition to the impacts of these government-sponsored healthcare systems, in the EU, U.K. and other international markets, certain governmental agencies have enacted, or are considering enacting, further measures to decrease the costs of providing healthcare, including government mandated price reductions and/or other forms of price controls, including retrospective “clawback” price reductions.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China, pricing pressures have increased in recent years, and the Chinese government has also increased its focus on patient access and reimbursement for pharmaceutical medicines. For example, in 2013, China began to implement a QCE process for post-LOE products to improve the quality of domestically manufactured generic drugs, primarily by requiring such drugs to pass a test to assess their bioequivalence to a qualified reference drug (typically the originator drug). Effective January 1, 2024, China implemented measures that aim to further improve quality management of drugs, including, among other things, stipulating additional responsibilities of marketing authorization holders and medical institutions to have a robust quality management system with respect to drug purchase, storage and use. In addition, since 2018, China's National Healthcare Security Administration, in conjunction with relevant departments, has been promoting a centralized VBP policy for drugs, which has become standard practice and subjects many drugs to a competitive bidding process. Molecules subject to the VBP bidding process have seen significant price cuts, with some bidders reducing the price of their products by as much as 96% as they attempt to secure volumes on the Chinese pharmaceutical market. We expect pricing pressures on our products included in the VBP bidding process to continue to increase as a result of this policy. We have failed, and may continue to fail, to win bids due to various factors, including uncompetitive bidding prices. In addition, the URP policy will cap reimbursement of molecules at their VBP tender winning price. URP will create additional pricing and volume pressure for pharmaceutical products that are subject to the program and is expected to negatively impact our results of operations.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products also depends in part on the extent to which reimbursements are available. In the U.S., third-party payors increasingly challenge the pricing of pharmaceutical products. These trends and other trends toward managed healthcare, the vertical consolidation among insurers, PBMs and pharmacies, and legislative healthcare reform create significant uncertainties regarding the future levels of payment, price or reimbursement for pharmaceutical products. Further, any payment, price or reimbursement may be reduced in the future to the point that market demand for our products and/or our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declines. Changes to Medicare and/or state Medicaid programs, or changes required in the way in which Medicare payment rates are set, the design of the Medicare Part D and Part B benefits, and/or the way Medicare or Medicaid rebates are calculated, could adversely affect the payment we receive for our products. In order to control expenditures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also been increasing U.S. federal and state legislative and enforcement interest with respect to drug pricing, as well as from international organizations like the United Nations, WHO and OECD, in addition to intense publicity and scrutiny regarding such matters, including publicity and pressure resulting from prices charged by competitors and peer companies for new products as well as price increases by competitors and peer companies on older products that some have deemed excessive. </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executive orders, legislation, and legislative and regulatory proposals, including in connection with government programs such as Medicare, concerning drug prices and related issues, including the perceived need to bring more transparency to drug pricing, reviewing the relationship between pricing and manufacturer patient programs, and reforming government program reimbursement methodologies for drugs. Some states have also signed into law programs that compel manufacturers to provide certain medicines at free or reduced costs to certain patients, and additional states are exploring such programs. Although we expect to see continued focus in regulating pricing, we cannot predict what, if any, additional legislative or regulatory developments may transpire at the state or country level, or what the ultimate impact may be.</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pPr>
      <w:r>
        <w:rPr>
          <w:rFonts w:ascii="Times New Roman;sans-serif" w:hAnsi="Times New Roman;sans-serif"/>
          <w:b w:val="false"/>
          <w:color w:val="000000"/>
          <w:sz w:val="20"/>
        </w:rPr>
        <w:t>In the U.S., certain of these pressures are further compounded by increasing consolidation among wholesalers, retailer drug chains, PBMs, private insurers, managed care organizations and other private payors, which can increase their negotiating power. Please also refer to “</w:t>
      </w:r>
      <w:r>
        <w:rPr>
          <w:rFonts w:ascii="Times New Roman;sans-serif" w:hAnsi="Times New Roman;sans-serif"/>
          <w:b w:val="false"/>
          <w:i/>
          <w:color w:val="000000"/>
          <w:sz w:val="20"/>
        </w:rPr>
        <w:t>A significant portion of our revenues is derived from sales to a limited number of customers.”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numerous cost-containment measures by governments and other payors, failing to win tenders, the implementation of price control systems, adverse legislation and regulation, the consolidation of our customers, or continued social or government pressure to lower the cost of pharmaceutical products could have a material adverse impact on our business, reputation,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Healthcare reform legislation could have a material adverse effect on our business.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there have been numerous initiatives on the federal and state levels for comprehensive reforms affecting the payment for, the availability of and reimbursement for, healthcare services in the U.S., and it is likely that Congress and state legislatures and health agencies will continue to focus on healthcare reform in the future. </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President Biden signed into law the Inflation Reduction Act, which includes numerous Medicare reforms that will affect reimbursement for certain pharmaceuticals covered by Medicare and modify the Part D and Part B program structure, including shifting the liability for certain prescription drug costs shared between Medicare, pharmaceutical manufacturers, and Part D plans. These reforms include government price negotiation for certain high-spend, single-source Medicare drugs, out-of-pocket caps for Medicare beneficiaries using insulin products, and the application of inflation-based rebates for certain Medicare drugs. The implementation of the Inflation Reduction Act, including rulemaking regarding the application of the Medicare Part B and Part D inflation penalties, is still underway and could negatively affect certain Viatris portfolio products based on future pricing decisions and changes in the Consumer Price Index for All Urban Consumers (CPI-U).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unable to predict the future course of federal or state healthcare legislation or reform</w:t>
      </w:r>
      <w:r>
        <w:rPr>
          <w:color w:val="000000"/>
        </w:rPr>
        <w:t xml:space="preserve"> </w:t>
      </w:r>
      <w:r>
        <w:rPr>
          <w:rFonts w:ascii="Times New Roman;sans-serif" w:hAnsi="Times New Roman;sans-serif"/>
          <w:b w:val="false"/>
          <w:color w:val="000000"/>
          <w:sz w:val="20"/>
        </w:rPr>
        <w:t>or the outcome of challenges to such laws or reforms once passed. Significant additional reforms to the U.S. healthcare system, including changes to the ACA, Medicare and Medicaid, or changes to other laws or regulatory frameworks in other markets in which we operate, that reduce our revenues or increase our costs could have a material adverse effect on our business, financial condition, results of operations, cash flows, ability to pay dividends and/or stock price.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have significant operations globally, which exposes us to the risks inherent in conducting our business internationally.</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extend to numerous countries globally and therefore are subject to the risks inherent in this geographic scope. These risks include, but are not limited 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compliance with the national and local laws, regulations and customs of countries in which we do business, including, but not limited to, data privacy and protection, environmental and social regulations, import/export and enforcement of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less established legal and regulatory regimes in certain jurisdictions, including China, where the interpretation and enforcement of laws, rules and regulations may involve uncertainties and can be inconsistent;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that litigation, administrative and court proceedings may be protracted, expensive and unpredictable;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that governments in certain jurisdictions may favor local businesses and make it more difficult for foreign businesses to operate on an equal footing, including but not limited to by promoting or requiring the local manufacture of pharmaceutical products and API or the establishment of local sites and offices;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increased uncertainties related to the enforcement of contracts with certain parties;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compliance with a variety of U.S. laws including, but not limited to, trade controls or sanctions, regulations put forth by the U.S. Treasury’s Office of Foreign Assets Control, the Iran Threat Reduction and Syria Human Rights Act of 2012 and rules relating to the use of certain “conflict minerals” under Section 1502 of the Dodd-Frank Wall Street Reform and the Consumer Protection Act;</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sanctions and our interpretation of those sanctions, trade controls, supply chain and staffing challenges as a result of the ongoing conflict between Russia and Ukraine that have impacted and may continue to impact our ability to market or sell pharmaceuticals in either country or subject us to increased government scrutiny, and a significant escalation or expansion of the conflict’s current scope may have a negative impact on our operations and financial results in future periods;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instability in the Middle East, especially the ongoing conflict in Israel and Gaza, has impacted and may continue to impact our and our partners’ ability to develop and manufacture products in the region and to transport those products to other markets, and may impact the ability of regulators to conduct required inspections at our or our partners’ manufacturing facilities in the region. The conflict has also impacted our and our partners’ ability to market or sell pharmaceutical products in the area, and has caused and may continue to cause other disruptions to the supply chain. A significant escalation or expansion of the conflict’s current scope may have a negative impact on our operations and financial results in future periods;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laws, regulations, and practices that impact the pharmaceutical industry and/or healthcare systems, including but not limited to imports, exports, manufacturing, quality, cost, pricing, reimbursement, approval, inspection, and delivery of healthcare;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policies designed to promote foreign investment, including significant tax incentives, liberalized import and export duties, and preferential rules on foreign investment and repatriation;</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differing local product preferences and product requirements;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adverse changes in the economies in which we or our partners and suppliers operate as a result of a slowdown in overall growth;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government or economic policies, elections, or financial, political, or social change or instability that affects the markets or countries in which we or our partners operate;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employment or labor laws, or wage increases in the countries in which we or our partners and suppliers operate;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local, regional and global restrictions on banking and commercial activities in certain markets, especially emerging markets;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longer payment cycles and increased exposure to counterparty risk;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volatility in international financial markets and increased foreign currency risk;</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inflation or hyperinflation in certain markets, including Turkey;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supply disruptions and increases in energy and transportation costs;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increased tariffs on the import or export of our products or API, including on imports from China to the U.S. as a result of the escalation of trade tensions between the countries or otherwise;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burdens to comply with multiple, changing and potentially conflicting laws, regulations and disclosure requirements, including those relating to environmental, social and governance matters, carbon emissions, health and safety, labor and human rights;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natural or man-made disasters, including droughts, floods, earthquakes, hurricanes and the impact of climate change in the countries in which we or our partners and suppliers operate;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local disturbances, the outbreak of highly contagious diseases or other health epidemics or pandemics, terrorist attacks, riots, social disruption, wars, or regional hostilities in the countries in which we or our partners and suppliers operate and that could affect the economy, our operations and employees by disrupting operations and communications, making travel and the conduct of our business more difficult, and/or causing our customers to be concerned about our ability to meet their needs.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the risk that some of our competitors have more experience with operations in such countries or with international operations generally and may be able to manage unexpected crises more easily. Moreover, the internal political stability of, or the relationship between, any country or countries where we conduct business operations may deteriorate. Changes in a country’s political stability or the state of relations between any such countries are difficult to predict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political or social stability in and/or diplomatic relations between any countries in which we or our partners and suppliers do business could meaningfully deteriorate.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or more of the above risks could have a material adverse effect on our business, financial condition, results of operations, cash flows, ability to pay dividends and/or stock price.</w:t>
      </w:r>
    </w:p>
    <w:p>
      <w:pPr>
        <w:pStyle w:val="TextBody"/>
        <w:bidi w:val="0"/>
        <w:spacing w:lineRule="auto" w:line="276" w:before="0" w:after="0"/>
        <w:jc w:val="both"/>
        <w:rPr/>
      </w:pPr>
      <w:r>
        <w:rPr>
          <w:rFonts w:ascii="Times New Roman;sans-serif" w:hAnsi="Times New Roman;sans-serif"/>
          <w:b/>
          <w:i/>
          <w:color w:val="000000"/>
          <w:sz w:val="20"/>
        </w:rPr>
        <w:t>Charges to earnings resulting from acquisitions could have a material adverse effect on our business, financial condition, results of operations, cash flows, ability to pay dividends and/or stock price</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U.S. GAAP provisions relating to business acquisition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costs incurred to combine the operations of companies we acquire, such as transitional employee expenses and employee retention, redeployment or relocation expenses;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liabilities assumed in purchase accounting;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impairment of goodwill or intangible assets, including acquired IPR&amp;D;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amortization of intangible assets acquired;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 reduction in the useful lives of intangible assets acquired;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identification of or changes to assumed contingent liabilities, including, but not limited to, litigation reserves, contingent purchase price consideration including fair value adjustments, income tax contingencies and other non-income tax contingencies, after our final determination of the amounts for these contingencies or the conclusion of the measurement period (generally up to one year from the acquisition date), whichever comes first;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significant costs to restructure our operations and to reduce our cost structure, including cost related to severance payments, plant shutdowns and costs to achieve anticipated synergies;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charges to our operating results resulting from expenses incurred to effect the acquisition.</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these adjustments could be accounted for as expenses that will decrease our net income and earnings per share for the periods in which those costs are incurred.</w:t>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In particular, the amount of goodwill and identifiable intangible assets in our consolidated balance sheets is significant as a result of our acquisitions and other transactions, and may increase further following future potential acquisitions, and we have in the past and may in the future decide to sell assets that we determine are not critical to our strategy or execution, including the Biocon Biologics Transaction and the Announced Divestitures. These and other future events or decisions have in the past and may in the future lead to asset impairments and/or related charges. For instance, with respect to the OTC Transaction, we recorded an estimated pre-tax loss of $735 million in the fourth quarter of 2023 for the difference between the estimated consideration to be received, less estimated costs to sell the business, and the carrying value of the business to be divested, including an allocation of goodwill (see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 Part II, Item 8 of this Form 10-K for more information). Certain impairments may also result from a change in our strategic goals, business direction or other factors relating to the overall business environment. Any such charges could cause a material adverse effect on our business, financial condition, results of operations, cash flows, ability to pay dividends and/or stock price.</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illegal distribution and sale by third parties of counterfeit or IP-infringing versions of our products or of diverted or stolen products could have a negative impact on our reputation and our business.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drug supply is vulnerable to illegal counterfeiting and the presence of counterfeit or IP-infringing products in a growing number of markets, including widespread sales over the internet.</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illegally distribute and sell counterfeit or IP-infringing versions of our products that do not meet our rigorous manufacturing and testing standards. Counterfeit products are frequently unsafe or ineffective and can be potentially life-threatening. Counterfeit medicines may contain harmful substances, the wrong API, an incorrect dose of API or no API at all, depriving patients of the therapeutic benefit of such medicines. However, to distributors and users, counterfeit products may be visually indistinguishable from the authentic version.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Reports of adverse reactions to counterfeit or IP-infringing drugs or increased levels of counterfeiting could materially affect patient confidence in the authentic product. It is possible that adverse events caused by unsafe counterfeit products will mistakenly be attributed to the authentic product. In addition, unauthorized diversions of products or thefts of inventory at warehouses, plants, or while in-transit could result in improper storage or compromise product integrity and therefore adversely impact patient safety, our reputation, and our business.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Loss of sales or revenues, as well as public loss of confidence in the integrity of pharmaceutical products as a result of counterfeiting, diversion, or theft could have a material adverse effect on our business, reputation, financial condition, results of operations, cash flows, ability to pay dividends and/or stock price.</w:t>
      </w:r>
    </w:p>
    <w:p>
      <w:pPr>
        <w:pStyle w:val="TextBody"/>
        <w:bidi w:val="0"/>
        <w:spacing w:lineRule="auto" w:line="276" w:before="0" w:after="0"/>
        <w:jc w:val="both"/>
        <w:rPr/>
      </w:pPr>
      <w:r>
        <w:rPr>
          <w:rFonts w:ascii="Times New Roman;sans-serif" w:hAnsi="Times New Roman;sans-serif"/>
          <w:b/>
          <w:i/>
          <w:color w:val="000000"/>
          <w:sz w:val="20"/>
        </w:rPr>
        <w:t>We face vigorous competition that threatens the commercial acceptance and pricing of our products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highly competitive. We face competition from other pharmaceutical manufacturers globally, some of whom are significantly larger than us and have stronger, more well-established reputations than us. Our competitors may be able to develop products and processes competitive with or superior to our own for many reasons, including but not limited to the possibility that they may have: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proprietary processes or delivery systems;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larger or more productive R&amp;D and marketing staff;</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larger or more efficient production capabilities in a particular therapeutic area;</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more experience in preclinical testing and human clinical trials;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more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more experience in developing new drugs; or</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greater financial resources.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increasing competition from lower-cost generic products and other branded products, including our ARV products. Many of our products are not protected by patent rights or have limited patent life and will soon lose patent protection. Loss of patent protection for a product typically is followed promptly with the launch of generic products. As a result, sales of many of these products may decline or stop growing over time, and may decline faster than has been projected. For example, Perforomist® lost exclusivity and experienced generic competition in June 2021, and Lyrica’s pediatric exclusivity expired in Japan in July 2022. In addition, Amitiza®, which we commercialize as a patent licensee, may experience generic competition in Japan prior to the expiration of certain patent term extensions. We may not be successful in managing competition from non-branded generics or other alternatives, or in generally managing revenues after loss of exclusivity, and our business may be materially adversely affected.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Generic competitors are also becoming more aggressive in terms of pricing in many of the regions in which Viatris operates. In China, for example, we face strong competition from certain generic manufacturers, which have resulted and may in the future result in price cuts and volume loss on some of Viatris’ branded products. In many emerging markets, we face increased competition and contracting markets for certain of our ARV products, primarily related to competing therapies. We also face competition in the United States, the EU and other mature markets that have a robust generics market and favorable regulatory conditions for generics. In addition, legislative proposals emerge from time to time in various jurisdictions to further encourage the early and rapid approval of generic drugs. Any such proposal that is enacted into law could increase competition and worsen this negative effect on our branded sales.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products also face potential competition from products that may be developed in the future that could render our products uncompetitive or obsolete. For example, Viatris or other companies may develop medicines that treat the same indications targeted by our current products, and these medicines could be more effective than our current products or patients and physicians could prefer these medicines over our current medicines. The introduction of these new competing products could also have a negative impact on product sales.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related factors that could affect our business include: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Competitors’ products may be safer, more effective, more effectively marketed or sold, or have lower prices or better performance features than ours;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PBMs and other pharmaceutical manufacturers may utilize contracting strategies that could decrease utilization of or otherwise negatively impact our products;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Vertical integration of pharmacies and large purchasing organizations or consolidation among distribution outlets; and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Our sales have suffered and may suffer in the future as a result of changes in consumer demand for our products, including those related to fluctuations in consumer buying patterns tied to seasonality or other factors, willingness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customers to switch among products of different pharmaceutical manufacturers, importation by consumers or the introduction of new products by competitors.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have an adverse effect on our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 relatively small group of products may represent a significant portion of our revenues, net sales, gross profit, or net earnings from time to time.</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limited number of our products from time to time represent a significant portion of our revenues, net sales, gross profit, and net earnings. For each of the years ended December 31, 2023 and 2022, Viatris’ top ten products in terms of sales, in the aggregate, represented approximately 33% of the Company’s net sales. If the volume or pricing of our largest selling products declines in the future, our business, financial condition, results of operations, cash flows, and/or share price could be materially adversely affected.</w:t>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Operational Risks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Current and changing economic conditions, including inflation, may adversely affect our industry, business, partners and suppliers.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economy continues to experience significant volatility, and the economic environment may become less favorable. For example, if the U.S. government defaults on its debt, or the U.S. Treasury takes measures to avoid such a default, or if there is an assumption that such an event may occur, this could have a negative impact on general economic conditions, including the liquidity of and access to the capital markets. A sovereign debt default, economic volatility, governmental financial restructuring efforts and evolving deficit and spending reduction programs could negatively impact the global economy and the pharmaceutical industry. This has led, or could lead, to reduced consumer and customer spending, reduced or eliminated governmental or third-party payor coverage or reimbursement or reduced spending on healthcare, including but not limited to pharmaceutical products. While generic drugs present an alternative to higher-priced branded products, our sales could be negatively impacted if patients forego obtaining healthcare, patients and customers reduce spending or purchases, or if governments or third-party payors reduce or eliminate coverage or reimbursement amounts for pharmaceuticals or impose price or other controls adversely impacting the price or availability of pharmaceuticals (whether for generics, branded products or both). Reduced consumer and customer spending, reduced government or third-party payor coverage or reimbursement, or new government controls, may drive us and our competitors to decrease prices, may reduce the ability of customers to pay, or may result in reduced demand for our products.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In addition, higher rates of inflation over the past few years have resulted, and may continue to result, in increased costs of labor, raw materials, other supplies and freight and distribution costs, among others.</w:t>
      </w:r>
      <w:r>
        <w:rPr>
          <w:color w:val="000000"/>
        </w:rPr>
        <w:t xml:space="preserve"> </w:t>
      </w:r>
      <w:r>
        <w:rPr>
          <w:rFonts w:ascii="Times New Roman;sans-serif" w:hAnsi="Times New Roman;sans-serif"/>
          <w:b w:val="false"/>
          <w:color w:val="000000"/>
          <w:sz w:val="20"/>
        </w:rPr>
        <w:t>While inflationary and other macroeconomic pressures have somewhat eased more recently, we do not expect to see a corresponding reduction in these higher costs and expect such higher costs to negatively impact our results of operations. For the pharmaceutical industry and the healthcare systems in the markets in which we participate, regulatory restrictions and the pricing dynamics of our products generally make it difficult to pass on such costs to customers. Inflation has also resulted and may continue to result in higher interest rates and increased costs of capital. In particular, the global economy has recently been impacted by high levels of inflation and rising energy costs, which has resulted in significant economic volatility. As a result, central banks have and continue to tighten their monetary policies and increase interest rates. These macroeconomic pressures combined with the volatility in foreign exchange rates, including the strengthening of the U.S. dollar versus the other currencies in which we operate, has in the past and may in the future, negatively impact our results of operations.</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have a material adverse effect on our industry,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comply with applicable environmental and occupational health and safety laws and regulations worldwide could adversely impact our business, financial condition, results of operations, cash flows, ability to pay dividends and/or stock price.</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globally to various laws and regulations concerning, among other things, the environment, climate change, water, waste, chemicals and employee health and safety. These requirements include regulation of the handling, manufacture, transportation, storage, use and disposal of materials and wastes, including the discharge of regulated materials and emissions into the environment. We are also subject to related permitting, record-keeping, reporting and registration requirements. In the normal course of our business, we are exposed to risks relating to possible releases of hazardous substances into the environment, which could cause environmental or property damage or personal injuries, and which could result in (i) our noncompliance with such environmental and occupational health and safety laws, regulations and permits and (ii) regulatory enforcement actions or claims for personal injury and property damage against us. If environmental discharge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occurs, or if we discover contamination caused by third parties, including by prior owners and operators of properties we acquire or lease, or by neighboring properties or other offsite sources, we could be liable for cleanup or remediation obligations, damages and fines or have relevant permits, authorizations or registrations modified or revoked, regardless of our responsibility for such contamination. In addition, any non-compliance with environmental and occupational health and safety laws and regulations and permits, or emissions into the environment, whether actual or perceived, may result in significant reputational damage. The substantial unexpected costs we may incur could have a material adverse effect on our business, financial condition, results of operations, cash flows, ability to pay dividends and/or stock price. Environmental and occupational health and safety laws and regulations are also complex and subject to change, and our related capital expenditures and costs for compliance may increase substantially in the future as a result of such changes, the development and manufacturing of a new product or increased development or manufacturing activities at any of our facilities. We may be required to expend significant funds and our manufacturing activities could be delayed or suspended or we may lose the ability to purchase or use certain materials, or face restrictions on the amounts of materials we may use or purchase, which could have a material adverse effect on our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pharmaceutical industry is heavily regulated, and we face significant costs and uncertainties associated with our efforts to comply with applicable laws and regulations.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subject to regulation by various governmental authorities in the jurisdictions in which we operate, including the U.S., EU, China and India. For instance, we must comply with applicable laws and requirements of the FDA and other regulatory agencies, including foreign authorities, with respect to the research, development, manufacture, quality, safety, effectiveness, approval, labeling, tracking, tracing, authentication, storage, record-keeping, reporting, pharmacovigilance, sale, distribution, import, export, marketing, advertising, and promotion of pharmaceutical products. We are committed to conducting our business, including the sale and marketing of our products, in compliance with all applicable laws and regulations. These laws and regulations, however, are numerous, complex and continue to evolve, and it is possible that a governmental authority may challenge our activities, or that an employee or agent could violate these laws and regulations without our knowledge. Failure to comply with these laws, regulations or expectations could result in a range of consequences, including, but not limited to, fines, penalties, disgorgement, exclusion from U.S. federal healthcare reimbursement programs, unanticipated compliance expenditures, suspension of review of applications or other submissions, rejection or delay in approval of applications, recall or seizure of products, total or partial suspension of production and/or distribution, our inability to sell products, the return by customers of our products, injunctions, and/or criminal prosecution. Under certain circumstances, a regulator may also have the authority to revoke or vary previously granted drug approvals.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safety profile of any product will continue to be closely monitored by the FDA and comparable foreign regulatory authorities after approval. If such regulatory authorities become aware of new safety information about any of our marketed or investigational products, those authorities may require further inspections, enhancements to manufacturing controls, labeling changes, establishment of a risk evaluation and mitigation strategy or similar strategy, restrictions on a product’s indicated uses or marketing, or post-approval studies or post-market surveillance. In addition, we are subject to regulations in various jurisdictions, including the Federal Drug Supply Chain Security Act in the U.S., the Falsified Medicines Directive in the EU and several other such regulations in other countries that require us to develop electronic systems to serialize, track, trace and authenticate units of our products through the supply chain and distribution system. Compliance with these regulations has in the past and may in the future result in increased expenses for us or impose greater administrative burdens on our organization, and failure to meet these requirements could result in fines or other penalties.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 regulatory framework in China regarding the pharmaceutical industry has undergone significant changes and Chinese authorities have become increasingly vigilant in enforcing laws in the pharmaceutical industry. We believe that Viatris’ strategies regarding pharmaceutical research, development, manufacturing and commercialization in China are currently aligned with the Chinese government’s policies, but they may in the future diverge, requiring a change in such strategies. For example, in order to comply with foreign ownership restrictions and meet regulatory, licensing, and cybersecurity requirements, we conduct some of our business in China through variable interest entities. Although we believe these structures and activities related to our VIEs comply with existing laws and regulations in China, they involve unique risks and uncertainties, including that China may from time to time consider and implement additional changes in their legislative, regulatory, licensing, or other requirements that could subject us to penalties and impact these structures and activities. Any such change may result in increased compliance costs to us or cause delays in or prevent the successful research, development, manufacturing or commercialization of our products in China, result in the loss of required licenses and permits or the suspension or termination of Viatris’ activities in China.</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and comparable foreign regulatory authorities also regulate the facilities and operational procedures that we use to manufacture our products. We must register our facilities with the FDA and similar regulators in other countries. Products must be manufactured in our facilities in accordance with cGMP or similar standards in each territory in which we manufacture. Compliance with such regulations and with our own quality standards requires substantial expenditures of time, money, and effort in multiple areas, including training of personnel, record-keeping, production, and quality control and quality assurance. The FDA and other comparable regulatory authorities, including foreign authorities, periodically inspect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facilities for compliance with cGMP or similar standards in the applicable territory. Regulatory approval to manufacture a drug is granted on a site-specific basis. Failure to comply with cGMP and other regulatory standards at one of our or our partners’ or suppliers’ manufacturing facilities could result in an adverse action brought by the FDA or other regulatory authorities, which has resulted and could in the future result in the receipt of an untitled or warning letter, fines, penalties, disgorgement, unanticipated compliance expenditures, rejection or delay in approval of applications, suspension of review of applications or other submissions, suspension of ongoing clinical trials, recall or seizure of products, total or partial suspension of production and/or distribution, our inability to sell products, the return by customers of our products, orders to suspend, vary, or withdraw marketing authorizations, injunctions, consent decrees, requirements to modify promotional materials or issue corrective information to healthcare practitioners, refusal to permit import or export, criminal prosecution and/or other adverse actions.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could be adversely affected if any regulatory body were to delay, withhold, or withdraw approval of an application; require a recall or other adverse product action; require one of our manufacturing facilities to cease or limit production; or suspend, vary, or withdraw related marketing authorization. Delay and cost in obtaining FDA or other regulatory approval to manufacture at a different facility also could have a material adverse effect on our business.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established internal quality and regulatory compliance programs and policies, there is no guarantee that these programs and policies, as currently designed, will meet regulatory agency standards in the future or will prevent instances of non-compliance with applicable laws and regulations. Additionally, despite our compliance efforts, we or our partners have in the past and may in the future receive notices of manufacturing and quality-related observations following inspections by regulatory authorities around the world, as well as official agency correspondence regarding compliance. If we are unable to resolve these observations and address regulatory concerns in a timely fashion, our business, financial condition, results of operations, cash flows, ability to pay dividends and/or stock price could be materially adversely affected.</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Regulators and policymakers globally are also increasingly focused on addressing drug shortages and expanding transparency across supply chains.</w:t>
      </w:r>
      <w:r>
        <w:rPr>
          <w:color w:val="000000"/>
        </w:rPr>
        <w:t xml:space="preserve"> </w:t>
      </w:r>
      <w:r>
        <w:rPr>
          <w:rFonts w:ascii="Times New Roman;sans-serif" w:hAnsi="Times New Roman;sans-serif"/>
          <w:b w:val="false"/>
          <w:color w:val="000000"/>
          <w:sz w:val="20"/>
        </w:rPr>
        <w:t xml:space="preserve">In the U.S., Congress and the Biden administration are considering measures to enhance supply chain resiliency and ensure the quality of pharmaceutical products, including expansion of reporting requirements to include API and finished dose manufacturing locations and the use of bioequivalence tests. Compliance with any such requirements may be burdensome or costly. </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controlled substances in certain of our current products and products in development, and therefore must meet the requirements of the Controlled Substances Act of 1970 and the related regulations administered by the DEA in the U.S., as well as those of similar laws in other countries where we operate. These laws relate to the manufacture, shipment, storage, sale, and use of controlled substances. The DEA and other regulatory agencies limit the availability of the controlled substances used in certain of our current products and products in development and, as a result, our procurement quota of these active ingredients may not be sufficient to meet commercial demand or complete clinical trials. We must apply to the DEA and similar regulatory agencies for procurement quotas in order to obtain these substances. Any delay or refusal by the DEA or such similar agencies in establishing our procurement quota for controlled substances could delay or stop our clinical trials or product launches, or could cause trade inventory disruptions for those products that have already been launched. In addition, some states have passed laws and regulations imposing assessments on the sale or distribution of certain controlled substances, and other states are considering and may implement similar laws and regulations in the future.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have a material adverse effect on our business, financial condition, results of operations, cash flows, ability to pay dividends and/or stock price.</w:t>
      </w:r>
    </w:p>
    <w:p>
      <w:pPr>
        <w:pStyle w:val="TextBody"/>
        <w:bidi w:val="0"/>
        <w:spacing w:lineRule="auto" w:line="276" w:before="0" w:after="0"/>
        <w:jc w:val="both"/>
        <w:rPr/>
      </w:pPr>
      <w:r>
        <w:rPr>
          <w:rFonts w:ascii="Times New Roman;sans-serif" w:hAnsi="Times New Roman;sans-serif"/>
          <w:b/>
          <w:i/>
          <w:color w:val="000000"/>
          <w:sz w:val="20"/>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both branded and generic, often pursue strategies that could prevent or delay generic alternatives to branded products. These strategies include, but are not limited 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entering into agreements whereby other generic companies will begin to market an authorized generic, which is the approved brand-name drug without the brand-name on its label, at the same time or after generic competition initially enters the market;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launching their own authorized generic product prior to or at the same time or after generic competition initially enters the market;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pricing a branded product at a discount equivalent to generic pricing;</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filing frivolous petitions with the FDA or other regulatory bodies seeking to prevent or delay approvals, including timing the frivolous filings so as to thwart generic competition by causing delays of our product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contracting strategies among pharmaceutical manufacturers and PBMs that could decrease generic or biosimilar utilization and negatively impact our product launches;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seeking to establish regulatory and legal obstacles that would make it more difficult to demonstrate bioequivalence or to meet other requirements for approval, and/or to prevent regulatory agency review of applications;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initiating legislative or other efforts to limit the substitution of generic versions of brand pharmaceuticals;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filing suits for patent infringement and other claims that may delay or prevent regulatory approval, manufacture, and/or sale of generic products;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introducing “next-generation” products prior to the expiration of market exclusivity for the reference product, which often materially reduces the demand for the generic or the reference product for which we seek regulatory approval;</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persuading regulatory bodies to withdraw the approval of brand-name drugs for which the patents are about to expire and converting the market to another product of the brand company on which longer patent protection exists;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obtaining extensions of market exclusivity by conducting clinical trials of brand drugs in pediatric populations or by other methods;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seeking to obtain new patents on drugs for which patent protection is about to expire.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U.S., some companies have lobbied Congress for amendments to Hatch-Waxman Act that would give them additional advantages over generic competitors. For example, although the term of a company’s drug patent can be extended to reflect a portion of the time an NDA (which is filed in the U.S. with the FDA when approval is sought to market a newly developed branded product and, in certain instances, for a new dosage form, a new delivery system or a new indication for a previously approved drug) is under regulatory review, some companies have proposed extending the patent term by a full year for each year spent in clinical trials rather than the one-half year that is currently permitted. Additionally, some companies have lobbied Congress to amend legislation related to patent eligible subject matter that would limit generic drug patent challenges to a single forum (inter partes review or district court). These lobbying efforts, if successful, could discourage the use of inter partes review and limit the ability of generic drug companies to efficiently invalidate improperly granted brand drug patents.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proposals like these in the U.S., EU, or in other countries where we or our partners and suppliers operate were to become effective, or if any other actions by our competitors and other third parties to prevent or delay activities necessary to the approval, manufacture, or distribution of our products are successful, our entry into the market and our ability to generate revenues associated with new products may be delayed, reduced, or eliminated, which could have a material adverse effect on our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successfully introduce new products in a timely manner, our future revenue and profitability may be adversely affected.</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revenues and profitability will depend, in part, upon our ability to successfully and timely develop, license, or otherwise acquire and commercialize new products. Product development is inherently risky, especially for new drugs for which safety and efficacy have not been established and/or the market is not yet fully developed as well as for complex generic drugs and biosimilars. Likewise, product licensing involves inherent risks, including, among others, uncertainties due to matters that may affect the achievement of milestones, as well as the possibility of contractual disagreements with regard to whether the supply of product meets certain specifications or terms such as license scope or termination rights. As Viatris intends to move up the value chain during Phase 2 of its two-phased strategic vision by focusing on more complex and innovative products to build a more durable higher margin portfolio, the development and commercialization process requires substantial time, effort and financial resources. We, or a partner, may not be successful in developing or commercializing such products on a timely basis, or at all, and such products may be less likely or take longer to receive regulatory approval, which could adversely affect our business, financial condition, results of operations, cash flows, ability to pay dividends and/or stock price.</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Before any prescription drug product, including generic drug products, can be marketed, marketing authorization approval is required by the relevant regulatory authorities and/or national regulatory agencies (for example, the FDA in the U.S., the EMA in the EU and other regulatory authorities). The process of obtaining regulatory approval to manufacture and market new branded and generic pharmaceutical products is rigorous, time consuming, costly, and inherently unpredictable. In addition, these regulatory agencies may be delayed in reviewing and approving products as a result of lapsed or insufficient funding, insufficient staffing, travel or work restrictions, or other factors beyond our control. Any delay in regulatory approval could impact the commercial or financial success of a product.</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U.S., the approval process may be more or less rigorous, depending on the country, and the time required for approval may be longer or shorter than that required in the U.S. Bioequivalence, clinical, or other studies conducted in one country may not be accepted in other countries, the requirements for approval may differ among countries, and the approval of a pharmaceutical product in one country does not necessarily mean that the product will be approved in another country. We, or a partner or supplier, may be unable to obtain requisite approvals on a timely basis, or at all, for new products that we may develop, license or otherwise acquire. Moreover, if we obtain regulatory approval for a drug, it may be limited, for example,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indicated uses and delivery methods for which the drug may be marketed, or may include warnings, precautions or contraindications in the labeling, which could restrict our potential market for the drug. A regulatory approval may also include post-approval study or risk management requirements that may substantially increase the resources required to market the drug. Also, for products pending approval, we may obtain raw materials or produce batches of inventory to be used in efficacy and bioequivalence testing, as well as in anticipation of the product’s launch. If regulatory approval is denied or delayed, we could be exposed to the risk of this inventory becoming obsolete.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 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margin, and sales erosion over the generic product life cycle.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Hatch-Waxman Act provides for a period of 180 days of generic marketing exclusivity for a “first applicant,” that is the first submitted ANDA (which is filed in the U.S. with the FDA when approval is sought to market a generic equivalent of a drug product previously approved under an NDA and listed in the FDA publication entitled Approved Drug Products with Therapeutic Equivalence Evaluations, popularly known as the “Orange Book” or for a new dosage strength for a drug previously approved under an ANDA) containing a certification of invalidity, non-infringement or unenforceability related to a patent listed with the ANDA’s reference drug product, commonly referred to as a Paragraph IV certification. During this exclusivity period, which under certain circumstances may be shared with other ANDAs filed on the same day, the FDA cannot grant final approval to later-submitted ANDAs for the same generic equivalent. If an ANDA is awarded 180-day exclusivity, the applicant generally enjoys higher market share, net revenues, and gross margin for that generic product. However, our ability to obtain 180 days of generic marketing exclusivity may be dependent upon our ability to obtain FDA approval or tentative approval within an applicable time period of the FDA’s acceptance of our ANDA. If we are unable to obtain approval or tentative approval within that time period, we may risk forfeiture of such marketing exclusivity. By contrast, if we are not a “first applicant” to challenge a listed patent for such a product, we may lose significant advantages to a competitor with 180-day exclusivity, even if we obtain FDA approval for our generic drug product. The same would be true in situations where we are required to share our exclusivity period with other ANDA sponsors with Paragraph IV certifications.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EU and other countries and regions, there is no exclusivity period for the first generic product. The European Commission or national regulatory agencies may grant marketing authorizations to any number of generics.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navigate our products through the approval process in a timely manner, there could be an adverse effect on our product introduction plans,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expend a significant amount of resources on R&amp;D efforts that may not lead to successful product introductions.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Much of our development effort is focused on technically difficult-to-formulate products and/or products that require advanced manufacturing technology. We conduct R&amp;D primarily to enable us to gain approval for, manufacture, and market pharmaceuticals in accordance with applicable laws and regulations. We also partner with third parties to develop products. Typically, expenses related to the development of innovative or complex compounds and the filing of marketing authorization applications for innovative and complex compounds (such as NDAs in the U.S.) are significantly greater than those expenses associated with the development of and filing of marketing authorization applications for most generic products (such as ANDAs in the U.S. and abridged applications in Europe). As we intend to move up the value chain during Phase 2 of our two-phased strategic vision by focusing on more complex and innovative products to build a more durable higher margin portfolio, our related expenses have increased and will likely continue to increase. Because of the inherent risk associated with R&amp;D efforts in our industry, including the high cost and uncertainty of conducting clinical trials (where required) particularly with respect to new and/or complex or innovative drugs, our, or a partner’s, R&amp;D and Acquired IPR&amp;D expenditures may not result in the successful introduction of new pharmaceutical products approved by the relevant regulatory bodies, or we may incur asset impairment charges in the future if such programs are not successful. Also, after we submit a marketing authorization application for a new compound or generic product, the relevant regulatory authority may change standards and/or request that we conduct additional studies or evaluations and, as a result, we may incur approval delays as well as R&amp;D costs in excess of what we anticipated.</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Clinical testing is expensive and can take many years to complete, and its outcome is inherently uncertain. Failure can occur at any time during the clinical trial process. We or our partners may experience delays in our ongoing or future clinical trials, and we do not know whether planned clinical trials will begin or enroll subjects on time, need to be redesigned, or be completed on schedule,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may be delayed, suspended or prematurely terminated for a variety of reasons. If we experience delays in the completion of, or the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Finally, we cannot be certain that any investment made in developing products will be recovered, even if we are successful in commercialization. To the extent that we expend significant resources on R&amp;D efforts and are not able, ultimately, to introduce successful new and/or complex or innovative products as a result of those efforts, there could be a material adverse effect on our business, financial condition, results of operations, cash flows, ability to pay dividends and/or stock price.</w:t>
      </w:r>
    </w:p>
    <w:p>
      <w:pPr>
        <w:pStyle w:val="TextBody"/>
        <w:bidi w:val="0"/>
        <w:spacing w:lineRule="auto" w:line="276" w:before="0" w:after="240"/>
        <w:jc w:val="both"/>
        <w:rPr/>
      </w:pPr>
      <w:r>
        <w:rPr>
          <w:rFonts w:ascii="Times New Roman;sans-serif" w:hAnsi="Times New Roman;sans-serif"/>
          <w:b/>
          <w:i/>
          <w:color w:val="000000"/>
          <w:sz w:val="20"/>
        </w:rPr>
        <w:t>Even if our products in development receive regulatory approval, such products may not achieve expected levels of market acceptance</w:t>
      </w:r>
      <w:r>
        <w:rPr>
          <w:rFonts w:ascii="Times New Roman;sans-serif" w:hAnsi="Times New Roman;sans-serif"/>
          <w:b w:val="false"/>
          <w:color w:val="000000"/>
          <w:sz w:val="20"/>
        </w:rPr>
        <w:t>.</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able to obtain regulatory approvals for our new products, the success of those products is dependent upon market acceptance. Levels of market acceptance for our products could be impacted by several factors, including but not limited 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availability, perceived advantages, and relative safety and efficacy of alternative products from our competitors;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degree to which the approved labeling supports promotional initiatives for commercial success;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prices of our products relative to those of our competitors;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timing of our market entry;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effectiveness of our marketing, sales, and distribution strategy and operations; and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other competitor actions, including legal actions.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as well as future products. In some cases, such studies have resulted, and may in the future result, in the discontinuation or variation of product marketing authorizations or requirements for risk management programs, such as a patient registry. Any of these events could adversely affect our profitability,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 perceptions of us are very important to our business, especially market perceptions of our company, products, brands and the safety and quality of our products and brands. Viatris believes that maintaining and enhancing certain of its brands is important and often provides certain competitive advantages. If we, our partners and suppliers, or our products or brands suffer from negative publicity, are subject to market withdrawal or recall or are proven to be, or are claimed to be, ineffective or harmful to consumers, then this could have a material adverse effect on our reputation and business. In addition, if customers, patients or regulatory authorities mistake us, our partners and suppliers, or our products and brands for other companies, products or brands, this could lead to brand confusion, unanticipated regulatory inquiries or proceedings and have a negative impact on our reputation and business. </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Viatris’ sales and marketing efforts are anchored by promoting its products to physicians, pharmacists, eye care and other healthcare professionals, clinics and hospitals. Therefore, Viatris’ sales and marketing force, whether in-house sales representatives or third-party commercial partners, must possess a relatively high level of technical knowledge, up-to-date understanding of industry trends and expertise in the relevant therapeutic areas and products, as well as promotion and communication skills. Marketing, advertising and promotions may be expensive and may not achieve their intended benefits. If Viatris is unable to effectively train its in-house sales representatives and third-party commercial partners or monitor and evaluate their marketing performances, our sales and marketing may be less successful than desired. In addition, fewer in-person sales and marketing efforts, or other similar limitations, may result in less successful sales and marketing activities.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our dependence on market perception and sales and marketing efforts, negative publicity associated with product or brand quality, patient illness, or other adverse effects resulting from, or perceived to be resulting from, our products or brands, or our partners’ and suppliers’ manufacturing facilities, or an inability to increase or maintain the effectiveness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efficiency of our sales and marketing activities could have a material adverse effect on our reputation,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revenues is derived from sales to a limited number of customers.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is derived from sales to a limited number of customers. For the years ended December 31, 2023 and 2022, Viatris’ top three customers in terms of net sales, in the aggregate, represented approximately 25% and 26%, respectively, of the Company’s consolidated total net sales. If we were to experience a significant reduction in or loss of business with one or more such customers, or if one or more such customers were to experience difficulty in paying us on a timely basis, our business, financial condition, results of operations, cash flows, ability to pay dividends and/or stock price could be materially adversely affected.</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significant amount of our sales are to a relatively small number of drug wholesalers and retail drug chains. These customers represent an essential part of the distribution chain of pharmaceutical products. Drug wholesalers and retail drug chains have undergone, and are continuing to undergo, significant consolidation. This consolidation has resulted in these groups gaining additional purchasing leverage and, consequently, increasing the product pricing pressures facing our business. We expect this trend of increased pricing pressures to continue. Additionally, the emergence of large buying groups representing retail and wholesale pharmacies and the prevalence and influence of managed care organizations and similar institutions increases the negotiating power of these groups, enabling them to attempt to extract price discounts, rebates, and other restrictive pricing terms on our products. These factors could have a material adverse effect on our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limited number of manufacturing facilities and certain third-party suppliers produce a substantial portion of our API and products, some of which require a highly exacting and complex manufacturing process.</w:t>
      </w:r>
    </w:p>
    <w:p>
      <w:pPr>
        <w:pStyle w:val="TextBody"/>
        <w:bidi w:val="0"/>
        <w:spacing w:before="0" w:after="0"/>
        <w:jc w:val="both"/>
        <w:rPr/>
      </w:pPr>
      <w:r>
        <w:rPr/>
      </w:r>
    </w:p>
    <w:p>
      <w:pPr>
        <w:pStyle w:val="TextBody"/>
        <w:bidi w:val="0"/>
        <w:spacing w:lineRule="auto" w:line="276" w:before="0" w:after="240"/>
        <w:ind w:left="0" w:right="0" w:firstLine="720"/>
        <w:jc w:val="both"/>
        <w:rPr/>
      </w:pPr>
      <w:r>
        <w:rPr>
          <w:rFonts w:ascii="Times New Roman;sans-serif" w:hAnsi="Times New Roman;sans-serif"/>
          <w:b w:val="false"/>
          <w:color w:val="000000"/>
          <w:sz w:val="20"/>
        </w:rPr>
        <w:t>A substantial portion of our capacity, as well as our current production, is attributable to a limited number of manufacturing facilities and certain third-party suppliers. A significant disruption at any such facilities within our internal or third-party supply chain, even on a short-term basis, whether due to the failure of a third-party supplier to fulfill the terms of their agreement with us, labor disruption, adverse quality or compliance observation, other regulatory action, infringement of brand or other third-party intellectual property rights, natural disaster, civil or political unrest, export or import restrictions, or other events could impair our ability to produce and ship products to the market on a timely basis and could, among other consequences, subject us to exposure to claims from customers. Any of these events could have a material adverse effect on our reputation, business, financial condition, results of operations, cash flows, ability to pay dividends and/or stock price. The adverse effects of any of these events could be exacerbated as a result of our previously announced global restructuring program, which includes the closing, downsizing or divesting of a number of facilities globally. If we or our third-party suppliers’ face significant manufacturing issues, this could lead to shutdowns, delays or product shortages, or to our being entirely unable to supply certain products to customers for an extended period of time. In addition, our facilities may be required to close for periods of time, be required to staff at reduced capacity, or suffer other manufacturing delays as the result of an outbreak of disease, epidemic or pandemic, in or near any of our facilities. Such shortages, delays or shutdowns have led and could continue to lead to significant losses of sales revenue, third-party litigation, or negative publicity. See also “</w:t>
      </w:r>
      <w:r>
        <w:rPr>
          <w:rFonts w:ascii="Times New Roman;sans-serif" w:hAnsi="Times New Roman;sans-serif"/>
          <w:b w:val="false"/>
          <w:i/>
          <w:color w:val="000000"/>
          <w:sz w:val="20"/>
        </w:rPr>
        <w:t>The pharmaceutical industry is heavily regulated, and we face significant costs and uncertainties associated with our efforts to comply with applicable laws and regulations.”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certain API and other materials and supplies that we use in our manufacturing operations, as well as certain finished products, from many different foreign and domestic suppliers. The price of API and other materials and supplies is subject to volatility, including as a result of global supply chain disruptions and rates of inflation. In certain cases, we have listed only one supplier in our applications with regulatory agencies. There is no guarantee that we will always have timely, sufficient or affordable access to critical raw materials or finished product supplied by third parties, even when we have more than one supplier, which could lead to our or our partners’ and suppliers’ inability to supply sufficient quantities of our products to meet market demand. In connection with our API business divestiture, we have agreed, at the closing of the transaction, to enter into a manufacturing and supply agreement pursuant to which we will purchase a significant amount of API from the purchaser in that transaction. Our obligations under the manufacturing and supply agreement may make us more vulnerable to API supply shortages and price volatility. In addition, quality deficiencies in the products which we or our suppliers provide, or at our or their manufacturing facilities, have in the past and could in the future adversely impact our manufacturing and supply capabilities, cause supply interruptions, or lead to voluntary market withdrawals or product recalls. For example, the EU has implemented particularly stringent regulations with respect to manufacturing standards for API imported into Europe that place the certification requirement on the regulatory bodies of the exporting countries. An increase in the price, or an interruption in the supply, of a single-sourced or any other raw material, including the relevant API, or in the supply of finished product, could have a material adverse effect on our business, financial condition, results of operations, cash flows, ability to pay dividends and/or stock price.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manufacture of some of our products is a highly exacting and complex process, due in part to strict regulatory requirements. Problems may arise during manufacturing at our or our third-party suppliers’ facilities for a variety of reasons, including, among others, equipment malfunction, failure to follow specific protocols and procedures, problems with raw materials, natural disasters, power outages, labor disputes or other civil unrest, cybersecurity or compliance issues, and environmental, health and safety issues, laws, regulations and permits. If problems arise during the production of a batch of product, that batch of product may have to be discarded. This could, among other things, lead to increased costs, contractual penalties,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or one of our suppliers experience any of the problems described above, such problems could have a material adverse effect on our reputation,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future success is highly dependent on our ability to attract, motivate and retain key personnel.</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size, complexity and global reach of our business, it is important that we attract, motivate and retain qualified management and other key employees in order to develop and commercialize new products, manage our business, and compete effectively. Our ability to do so also depends in part on how well we maintain a strong, diverse and inclusive workplace culture that is attractive to employees. Competition for qualified personnel in the pharmaceutical industry is intense. Current or prospective Viatris employees may have changing expectations around workplace flexibility, and a failure to meet these evolving expectations may result in reduced ability to attract and retain talent. In addition, current or prospective Viatris employees may experience uncertainty about their future roles at the Company as a result of our strategic initiatives, acquisitions, divestitures, integration activities or restructuring program. As a result, we may lose key personnel or may be unable to attract, retain and motivate qualified individuals, or the associated costs may increase. If we fail to attract, develop, incentivize and retain key scientific, technical, commercial, regulatory, information security/privacy, or management personnel, this could lead to loss of customers, business disruption, and a decline in revenues, adversely affect the progress of pipeline products, or otherwise adversely affect our operations.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we work to ensure that we have effective plans in place for management succession throughout the organization (including with respect to the recent transitions of our Executive Chairman and CEO and the previously announced upcoming transitions of our President and CFO), any anticipated or unanticipated management transition could create uncertainty, which could disrupt or result in changes to our strategy and have a negative impact on our business. If we are unsuccessful in retaining our key employees or enforcing certain post-employment contractual provisions such as confidentiality provisions, it may have a material adverse impact on our business, financial condition, results of operations, cash flows, ability to pay dividends and/or stock price.</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Compliance Risks</w:t>
      </w:r>
    </w:p>
    <w:p>
      <w:pPr>
        <w:pStyle w:val="TextBody"/>
        <w:bidi w:val="0"/>
        <w:spacing w:before="0" w:after="0"/>
        <w:jc w:val="both"/>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the U.S. Foreign Corrupt Practices Act, the U.K. Bribery Act, Chinese anti-corruption laws and similar worldwide anti-corruption laws, which impose restrictions on certain conduct and may carry substantial fines and penalties.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the U.K. Bribery Act, Chinese anti-corruption laws and similar anti-corruption laws in other jurisdictions. These laws generally prohibit companies and their intermediaries from engaging in bribery or making other prohibited payments to government officials for the purpose of obtaining or retaining business, and some have record keeping requirements. The failure to comply with these laws could result in substantial criminal and/or monetary penalties, or subject us to costly and time consuming government oversight. We operate in jurisdictions that have experienced corruption, bribery, pay-offs and other similar practices from time-to-time and, in certain circumstances, such practices may be local custom. We have implemented and trained relevant employees and third-party agents regarding internal control policies and procedures that mandate compliance with these anti-corruption laws. However, we cannot be certain that these policies and procedures will protect us against liability. There can be no assurance that our employees or other agents will not engage in such conduct for which we might be held responsible. If our employees or agents are found to have engaged in such practices, we could suffer severe criminal or civil penalties, reputational harm and other consequences that could have a material adverse effect on our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Companies that produce branded pharmaceutical products and other patent holders routinely bring litigation against entities selling or seeking regulatory approval to manufacture and market generic forms of their branded products, as well as other entities involved in the manufacture, supply, and other aspects relating to API and finished pharmaceutical products. These companies and other patent holders may allege patent infringement or other violations of intellectual property rights as the basis for filing suit against an applicant for a generic product as well as others who may be involved in some aspect of research, supply, production, distribution, testing, packaging or other processes. Litigation often involves significant expense and can delay or prevent introduction or sale of our generic products. If patents are held valid and infringed by our products in a particular jurisdiction, we and/or our supplier(s) or partner(s) may need to cease manufacturing and other activities, including but not limited to selling in that jurisdiction. We may also need to pay damages, surrender or withdraw the product, or destroy existing stock in that jurisdiction.</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also may be situations where we use our business judgment and decide to market and sell products directly or through third parties, notwithstanding the fact that allegations of patent infringement(s) and other third-party rights have not been finally resolved by the courts (i.e., an “at-risk launch”). The risk involved in doing so can be substantial because the remedies available to the owner of a patent for infringement may include, among other things, a reasonable royalty on sales, damages measured by the profits lost by the patent holder, or by profits earned by the infringer. If there is a finding by a court of willful infringement, the definition of which is subjective, such damages may be increased by up to three times. An adverse decision in a case such as this, or a judicial order preventing us or our suppliers and partners from manufacturing, marketing, selling, and/or other activities necessary to the manufacture and distribution of our products, could result in substantial penalties, and/or have a material adverse effect on our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the effectiveness of our patents, trademarks, confidentiality agreements and other measures to protect our intellectual property rights.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commercialize any branded product successfully will largely depend upon our or any partner’s or supplier’s ability to obtain, maintain and enforce patents and trademarks of sufficient scope to lawfully prevent third parties from developing and/or marketing infringing products. In the absence of adequate intellectual property or other protections, competitors may adversely affect our branded products business by independently developing and/or marketing substantially equivalent products. It is also possible that we could incur substantial costs if we initiate litigation against others to protect or enforce our intellectual property rights.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submit patent filings covering the API, formulation, methods of making, and/or methods of using for our branded products and branded product candidates. We may not be issued patents based on patent applications already filed or that we file in the future. Further, due to other factors that affect patentability, and if patents are issued, they may be insufficient in scope to protect our branded products from generic competition, as generics may be able to design around our patents. Patents are national in scope and therefore the issuance of a patent in one country does not ensure the issuance of a patent in any other country. Furthermore, the patent position of companies in the pharmaceutical industry generally involves complex legal and factual questions and has been and remains the subject of significant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or institute post-grant review, inter partes review, interference proceedings, or other challenges to our patents or patent applications. Although many of our products do not have patent protection, we continue to take steps to defend our patents for certain of our products.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branded products often have market viability based upon the goodwill of the product name, which typically is the subject of a trademark registration or filing. Our branded products may therefore also be subject to risks related to the loss of a trademark or patent or to competition from generic or other branded products. Challenges can come from other businesses, individuals or governments, and governments could require compulsory licensing of our intellectual property. Any challenge to, or invalidation, opposition or circumvention of, our intellectual property (including patents or patent applications, copyrights and trademark protection) would be costly, would require significant time and attention of our management, and could cause a material adverse effect on our business, financial condition, results of operations, cash flows, ability to pay dividends and/or stock price.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unpatented proprietary know-how, proprietary designs, trade dress, regulatory exclusivity and continuing technological innovation that we seek to protect, in part by confidentiality agreements with licensees, suppliers, employees and consultants. These measures may not provide adequate protection for our unpatented technology. If these agreements are breached, it is possible that we will not have adequate remedies. Disputes may arise concerning the ownership of intellectual property or the applicability of confidentiality agreements. Furthermore, our trade secrets and proprietary technology may otherwise become known or be independently developed by our competitors or we may not be able to maintain the confidentiality of information relating to such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enforce intellectual property rights also depends on the laws of individual countries, each country’s practices with respect to enforcement of intellectual property rights, and the extent to which certain countries may seek to engage in policies or practices that may weaken its intellectual property framework (e.g., a policy of routine compulsory licensing, or threat of compulsory licensing, of pharmaceutical intellectual property). If we are unable to adequately protect our technology, trade secrets or proprietary know-how, or enforce our intellectual property rights, this could cause a material adverse effect on our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reporting and payment obligations related to our participation in U.S. federal healthcare programs, including Medicare, Medicaid and the VA, are complex and often involve subjective decisions that could change as a result of new business circumstances, new regulations or agency guidance, or advice of legal counsel. Any failure to comply with those obligations could subject us to investigation, penalties, and sanctions.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laws regarding reporting and payment obligations with respect to a pharmaceutical company’s participation in federal healthcare programs, including Medicare, Medicaid and the VA, are complex.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and it is possible that such reviews could result in changes that may have material adverse legal, regulatory, or economic consequences.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governmental agencies or authorities that have commenced, or may commence, an investigation of us relating to the sales, marketing, pricing, quality, or manufacturing of pharmaceutical products could seek to impose, based on a claim of violation of anti-fraud and false claims laws or otherwise, civil and/or criminal sanctions, including fines, penalties, and possible exclusion from federal healthcare programs, including Medicare, Medicaid and/or the VA. Some of the applicable laws may impose liability even in the absence of specific intent to defraud. Furthermore, should there be ambiguity with regard to how to properly calculate and report payments—and even in the absence of any such ambiguity—a governmental authority may take a position contrary to a position we have taken, and may impose or pursue civil and/or criminal sanctions. Governmental agencies may also make changes in program interpretations, requirements or conditions of participation, some of which may have implications for amounts previously estimated or paid. There can be no assurance that our submissions will not be found by Centers for Medicare &amp; Medicaid Services or the VA to be incomplete or incorrect. Any failure to comply with the above laws and regulations, and any such penalties or sanctions could have a material adverse effect on our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are involved in various legal proceedings and certain government inquiries and may experience unfavorable outcomes of such proceedings or inquiries. </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 may be involved in various legal proceedings and certain government inquiries or investigations, including, but not limited to, patent infringement, product liability, personal injury, securities fraud, claims with respect to the manufacture, sale, marketing and distribution of opioid products, antitrust matters, breach of contract, and claims involving Medicare, Medicaid and/or VA reimbursements, or laws relating to sales, marketing, and pricing practices. These proceedings may involve claims for, or the possibility of, fines, penalties, or damages involving substantial amounts of money or other relief, including but not limited to civil or criminal fines and penalties and exclusion from participation in various government healthcare-related programs.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Viatris is subject to investigations and extensive regulation by government agencies in the United States, China and other developed markets and emerging markets in which we operate. Criminal charges, substantial fines and/or civil penalties, limitations on Viatris’ ability to conduct business in applicable jurisdictions, as well as reputational harm and increased public interest in the matter could result from government investigations. With respect to government enforcement of state and federal laws, including antitrust laws, as well as private plaintiff litigation of so-called “pay for delay” patent settlements, large verdicts, settlements or government fines are possible, especially in the U.S. and EU. Additionally, some state legislatures have enacted, and the U.S. federal government or additional state legislatures could enact, legislation to limit patent settlements between pharmaceutical companies and deem such patent agreements as anticompetitive. These changes could impact our ability to launch generic products prior to the originator’s patent expiry.</w:t>
      </w:r>
    </w:p>
    <w:p>
      <w:pPr>
        <w:pStyle w:val="TextBody"/>
        <w:bidi w:val="0"/>
        <w:spacing w:lineRule="auto" w:line="276" w:before="0" w:after="240"/>
        <w:ind w:left="0" w:right="0" w:firstLine="720"/>
        <w:jc w:val="both"/>
        <w:rPr/>
      </w:pPr>
      <w:r>
        <w:rPr>
          <w:rFonts w:ascii="Times New Roman;sans-serif" w:hAnsi="Times New Roman;sans-serif"/>
          <w:b w:val="false"/>
          <w:color w:val="000000"/>
          <w:sz w:val="20"/>
          <w:shd w:fill="FFFFFF" w:val="clear"/>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r>
        <w:rPr>
          <w:color w:val="000000"/>
        </w:rPr>
        <w:t xml:space="preserve"> </w:t>
      </w:r>
      <w:r>
        <w:rPr>
          <w:rFonts w:ascii="Times New Roman;sans-serif" w:hAnsi="Times New Roman;sans-serif"/>
          <w:b w:val="false"/>
          <w:color w:val="000000"/>
          <w:sz w:val="20"/>
          <w:shd w:fill="FFFFFF" w:val="clear"/>
        </w:rPr>
        <w:t xml:space="preserve">If Pfizer were to dispute its retention of these matters, or if there is an adverse outcome in the matters that Pfizer has agreed to retain, this could have an adverse impact on Viatris. </w:t>
      </w:r>
      <w:r>
        <w:rPr>
          <w:rFonts w:ascii="Times New Roman;sans-serif" w:hAnsi="Times New Roman;sans-serif"/>
          <w:b w:val="false"/>
          <w:color w:val="000000"/>
          <w:sz w:val="20"/>
        </w:rPr>
        <w:t xml:space="preserve">In addition, Viatris has agreed to pay Pfizer an amount equal to 57% of any losses actually incurred or suffered by Viatris, its predecessors or subsidiaries, since July 29, 2019, arising out of third-party actions relating to the manufacture, distribution, marketing, promotion or sale of opioids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 on behalf of Viatris, its predecessors or subsidiaries. If any of these legal proceedings or inquiries were to result in an adverse outcome, the impact could have a material adverse effect on our business, financial condition, results of operations, cash flows, ability to pay dividends and/or stock price. </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Emerging developments in the U.S. legal landscape relative to the liability of pharmaceutical manufacturers for certain product liabilities claims could increase our exposure to litigation costs and damages, including in connection with third party defense and indemnification demands. Moreover, although we maintain a combination of self-insurance and commercial insurance, no reasonable amount of insurance can fully protect against all risks because of the potential liability inherent in the business of producing pharmaceuticals for human consumption. To the extent that a loss occurs, depending on the nature of the loss and the level of insurance coverage maintained, it could have a material adverse effect on our business, financial condition, results of operations, cash flows, ability to pay dividends and/or stock price.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limited circumstances, entities that we have acquired are party to litigation in matters under which we are, or may be, entitled to indemnification by the previous owners. Even in the case of indemnification, there are risks inherent in such indemnities and, accordingly, there can be no assurance that we will receive the full benefits of such indemnification, or that we will not experience an adverse result in a matter that is not indemnified, which could have a material adverse effect on our business, financial condition, results of operations, cash flows, ability to pay dividends and/or stock price.</w:t>
      </w:r>
    </w:p>
    <w:p>
      <w:pPr>
        <w:pStyle w:val="TextBody"/>
        <w:bidi w:val="0"/>
        <w:spacing w:lineRule="auto" w:line="276" w:before="0" w:after="240"/>
        <w:ind w:left="0" w:right="0" w:firstLine="720"/>
        <w:jc w:val="both"/>
        <w:rPr/>
      </w:pPr>
      <w:r>
        <w:rPr>
          <w:rFonts w:ascii="Times New Roman;sans-serif" w:hAnsi="Times New Roman;sans-serif"/>
          <w:b w:val="false"/>
          <w:color w:val="000000"/>
          <w:sz w:val="20"/>
        </w:rPr>
        <w:t xml:space="preserve">Refer to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Part II, Item 8 in this Form 10-K for further discussion of certain proceedings and litigation matters.</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increasingly dependent on IT and information systems and our systems and infrastructure face certain risks, including cybersecurity and data leakage risks.</w:t>
      </w:r>
    </w:p>
    <w:p>
      <w:pPr>
        <w:pStyle w:val="TextBody"/>
        <w:bidi w:val="0"/>
        <w:spacing w:before="0" w:after="0"/>
        <w:jc w:val="both"/>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disruptions to our IT and information systems or breaches of information security could adversely affect our business. We are increasingly dependent on sophisticated IT and information systems and infrastructure to operate our business. The number of new vulnerabilities identified to these systems combined with the increased number of systems that reach end of life each year creates an opportunity for successful malicious attacks. Such attacks are increasingly sophisticated and are made by groups and individuals with a wide range of motives and expertise, including state and quasi-state actors, criminal groups, “hackers” and others. Evolving work conditions, including work from home protocols, may be less secure and have introduced operational risk, including increased cybersecurity risk. For example, groups and individuals have sought to exploit remote working environments to initiate hacking, phishing, and social engineering attempts and malware attacks.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suppliers, partners, customers and vendors have in the past and will likely continue to experience cybersecurity threats and incidents, including attacks on and compromises of our systems. Although we do not believe such cybersecurity threats or incidents have had a significant impact on us to date, there is no guarantee that a future cybersecurity threat or incident will be detected and remediated to not have a material adverse impact on our business, reputation, financial conditions, cash flows or results of operations. Any security breach or other disruption to our or our vendors’ IT or information systems infrastructure could also interfere with or disrupt our business operations, including our manufacturing, distribution, R&amp;D, sales and/or marketing activities. While we continue to invest in the monitoring, protection and resilience of our information and data security systems, there can be no assurances that our efforts will detect, prevent, or fully recover systems or data from all breakdowns, service interruptions, cybersecurity threats and incidents, attacks and/or breaches.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outsource significant elements of our operations to third parties and provide IT, information and security services to some partners under transition services agreements. Some of these third parties are outside the U.S., including significant elements of our IT and information systems infrastructure, and as a result we are managing many independent vendor relationships with third parties who may or could have access to our confidential information. The overall increase in supply chain attacks on companies generally, and our interdependency on third party suppliers increases the potential for supply disruptions and service IT and information system outages. In addition to our reliance upon third parties to provide IT and information system and security services, the market for such services continues to contract and converge, increasing both the challenges in identifying competent providers and the impact of a breach incident with any single vendor. In the ordinary course of business, we and our vendors collect, store and transmit large amounts of confidential information (including trade secrets or other intellectual property, proprietary business information and personal information), and it is critical that we do so in a secure manner to maintain the confidentiality and integrity of such confidential information. The size and complexity of our and our vendors’ systems and the large amounts of confidential information that is present on them also makes them vulnerable to security breaches from inadvertent or intentional actions by our employees, partners or vendors, or from attacks by malicious third parties. Maintaining the security, confidentiality and integrity of this confidential information (including trade secrets or other intellectual property, proprietary business information and personal information) is important to our competitive business position. However, such information can be difficult and costly to protect. While we have taken steps to identify and protect such information, and to ensure that the third-party vendors’ on which we rely have taken adequate steps to protect such information, there can be no assurance that our or our vendors’ efforts will prevent service interruptions or security breaches in our systems or the unauthorized or inadvertent wrongful use or disclosure of confidential or material non-public information that could adversely affect our business operations or result in the loss, misappropriation, and/or unauthorized access, use or disclosure of, or the prevention of access to, confidential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breach of our or our vendors’ security measures or the accidental loss, inadvertent disclosure, unapproved dissemination, misappropriation or misuse of trade secrets, proprietary information, or other confidential information, whether as a result of a cybersecurity threat or incident, theft, hacking, fraud, trickery, phishing or other forms of deception, or for any other cause, could enable others to produce competing products, use our proprietary technology or information, and/or adversely affect our business position. Further, any such interruption, security breach, or loss, misappropriation, and/or unauthorized access, use or disclosure of confidential information, including personal information regarding our patients and employees, could result in financial, legal, business, and reputational harm to us and could have a material adverse effect on our business, financial condition, results of operations, cash flows, ability to pay dividends and/or stock price.</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Insurance may be insufficient or may not cover the financial, legal, business or reputational losses that may result from a breakdown, breach, cybersecurity threat or incident or other compromise of or interruption to our IT and information systems or confidential and other sensitive information. We also cannot ensure that any limitation of liability or indemnity provisions in our contracts, including with vendors and service providers, for a cybersecurity threat or incident, security lapse or breach or other security incident would be enforceable or adequate or would otherwise protect us from any liabilities or damages with respect to any particular claim. Refer to Part I, Item 1C “Cybersecurity” of this Form 10-K for additional information about the Company’s risk management and strategy and governance with respect to cybersecurity threats and incidents.</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data privacy and security laws and regulations in many different jurisdictions and countries where we do business, and our or our vendors’ inability to comply could result in fines, penalties, or reputational damage, and could impact the way we operate our business.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international data privacy and security laws and regulations governing the collection, use, disclosure, transmission and protection of personal information, including health-related information. As the legislative and regulatory landscape for data privacy and security continues to evolve around the world, there has been an increasing focus on data privacy and security matters that may affect our business.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U.S., federal laws include HIPAA, which governs the use, disclosure, and security of protected health information by HIPAA covered entities and business associates. Several U.S. states have enacted or proposed broad data privacy laws and regulations governing the confidentiality, security, use and disclosure of personal information, which may impose greater restrictions than federal data privacy and security laws and regulations and provide transparency and privacy rights for their citizens. We may also be subject to other state data privacy and security breach notification laws, state health information privacy laws, and federal and state consumer protection laws such as the federal Controlling the Assault of Non-Solicited Pornography and Marketing (CAN-SPAM) Act, which impose requirements for the collection, use, disclosure, transmission and protection of personal information. Each of these laws are subject to varying interpretations by courts and regulatory or government agencies, creating complex compliance issues for us. If we, or the third-party vendors on which we rely, fail to comply with applicable laws and regulations we could be subject to fines, penalties or sanctions, including criminal penalties.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EU’s and U.K.’s GDPR and local implementing regulations also impose significant compliance obligations on our organization. The GDPR contains data protection requirements in the EU and U.K. and imposes a framework of obligations and restrictions governing the collection, processing, and the transmission of personal information to jurisdictions outside of the EU and U.K. The GDPR affords individuals with a series of privacy rights related to the collection, processing, and transmission of their personal information. The GDPR imposes significant compliance obligations, including required processes and policies governing our collection, transmission, processing and use of individuals personal information. In addition, the GDPR includes significant penalties for non-compliance, with fines up to the higher of €20 million or 4% of total annual worldwide revenue. In general, GDPR, and other data protection laws and regulations, could require adaptation of our technologies or practices to satisfy local country data protection requirements and standards.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China, the laws and regulations relating to cybersecurity, data privacy and personal information continue to evolve. In 2021 and 2022, China amended and, in some cases, adopted new laws and regulations governing the collection, transmission, processing and use of individual personal information, including the Administrative Punishment Law of the People’s Republic of China, the Data Security Law, the Cybersecurity Review Measures and the Personal Information Protection Law. These laws and regulations restrict our ability to collect, transfer and use certain personal data, absent an application to and, in some cases, approval from relevant governmental authorities in China. Additional regulations, guidelines, and measures relating to data privacy and data protection are expected to be adopted, including more guidance from industry sector regulators on the catalogues of important data, publication of lists of qualified certification institutions for certifications for cross-border transfers of personal information out of China, which may contain additional requirements for transferring personal information out of mainland China.</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countries in which we operate have, or are developing, laws and regulations governing the collection, use, securing and transmission of personal information as well that may affect our business or require us to adapt our technologies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practices. If we, or the third-party vendors on which we rely, fail to comply with applicable laws and regulations we could be subject to fines, penalties or sanctions, including criminal penalties.</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initiatives could increase the cost of developing, implementing or maintaining our IT systems, require us to allocate more resources to compliance initiatives or increase our costs.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AI-based solutions, including generative AI, are increasingly being used in the pharmaceutical industry, including by us, and we expect to use other systems and tools that incorporate AI-based technologies in the future. The use of AI solutions by our employees or third parties on which we rely could lead to the public disclosure of confidential information (including personal data or proprietary information) in contravention of our internal policies, data protection or other applicable laws, or contractual requirements. The misuse of AI solutions could also result in unauthorized access and use of personal data of our employees, clinical trial participants, collaborators, or other third parties. In addition, the legal and regulatory landscape surrounding AI technologies is rapidly evolving and uncertain, including in the areas of intellectual property, cybersecurity, and privacy and data protection. Compliance with new or changing laws, regulations or industry standards relating to AI may impose significant operational costs and may limit our ability to develop, deploy or use AI technologies. Failure to appropriately respond to this evolving landscape may result in legal liability, regulatory action, loss of trade secrets or other intellectual property, brand and reputational harm, or lead to outcomes with unintended biases or other consequences.</w:t>
      </w:r>
    </w:p>
    <w:p>
      <w:pPr>
        <w:pStyle w:val="TextBody"/>
        <w:bidi w:val="0"/>
        <w:spacing w:before="0" w:after="0"/>
        <w:ind w:left="0" w:right="0" w:firstLine="720"/>
        <w:jc w:val="left"/>
        <w:rPr/>
      </w:pPr>
      <w:r>
        <w:rPr/>
      </w:r>
    </w:p>
    <w:p>
      <w:pPr>
        <w:pStyle w:val="TextBody"/>
        <w:bidi w:val="0"/>
        <w:spacing w:lineRule="auto" w:line="25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failure by us, or our third-party vendors, to comply with applicable data privacy and security laws may lead to government enforcement actions and private litigation, which could result in financial, legal, business, and reputational harm to us and could have a material adverse effect on the way we operate our business, our financial condition, results of operations, cash flows, ability to pay dividends and/or stock price.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Increasing scrutiny and evolving expectations from customers, regulators, governments, investors, lenders, employees, and other stakeholders with respect to our environmental, social and governance practices may impose additional costs on us or expose us to new or additional risks.</w:t>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Companies are facing increasing expectations and scrutiny from customers, regulators, governments, investors, lenders, employees and other stakeholders</w:t>
      </w:r>
      <w:r>
        <w:rPr>
          <w:color w:val="000000"/>
        </w:rPr>
        <w:t xml:space="preserve"> </w:t>
      </w:r>
      <w:r>
        <w:rPr>
          <w:rFonts w:ascii="Times New Roman;sans-serif" w:hAnsi="Times New Roman;sans-serif"/>
          <w:b w:val="false"/>
          <w:color w:val="000000"/>
          <w:sz w:val="20"/>
        </w:rPr>
        <w:t>related to their environmental, social and governance practices and disclosure. Investor advocacy groups, investment funds and influential investors are also increasingly focused on these practices, especially as they relate to the environment, climate change, health and safety, supply chain management, diversity, labor conditions and human rights, both in our own operations and in our supply chain. New government regulations, especially in the EU, could also result in new or more stringent forms of environmental, social and governance oversight, including increased greenhouse gas limitations, and the expansion of mandatory and voluntary reporting, due diligence, and disclosure regarding environmental, social and governance matters. Complying with new and changing regulations will likely require us to modify or update certain of our practices, processes, and manufacturing systems, which could require additional investment of time and resources or result in significant costs. Failure to adapt to or comply with government regulations, regulatory requirements or investor or stakeholder expectations and standards could negatively impact our reputation, ability to do business with certain partners, access to investors and capital, and our stock price, and could lead to novel forms of litigation, including shareholder litigation and governmental investigations or enforcement actions related to environmental, social and governance matters.</w:t>
      </w:r>
    </w:p>
    <w:p>
      <w:pPr>
        <w:pStyle w:val="TextBody"/>
        <w:bidi w:val="0"/>
        <w:spacing w:before="0" w:after="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growing number of our customers, including certain government purchasers, have adopted, or may adopt, procurement policies that include social and environmental requirements, including, for example, requirements to monitor and conduct third party audits, or these customers may seek to include such provisions in their procurement contract terms and conditions. These social and environmental responsibility provisions and initiatives are subject to change, vary from jurisdiction to jurisdiction, and certain elements may be difficult and/or cost prohibitive for us to comply with given the inherent complexity of our external supply chain and the global scope of our operations. In certain circumstances, in order to meet the requirements or standards of our customers, we may be obligated to implement additional processes, modify our sourcing practices or make other operational choices which may require additional investments of time and resources, increase our costs or result in inefficiencies. Alternatively, we may be ineligible to participate in bids or tenders in certain markets, which may result in lost sales and revenues or decrease patient access to medicine.</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Viatris has company wide sustainability goals in the areas of access; diversity, equity &amp; inclusion; and the environment: climate change, water and waste. Achievement of these goals depends on our development and execution of various operational strategies relating to each discrete target. The development and execution of these strategies and achievements of our targets, including our near-term science based emissions reductions targets for scope 1, 2 and 3, are subject to risk and uncertainties, many of which are outside of our control. There are no assurances that we will be able to successfully develop or execute our environmental, social and governance strategies and achieve our environmental, social and governance targets.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factors mentioned above, or the perception that we or our suppliers or contract manufacturers have not responded appropriately to the growing concern for such issues, regardless of whether we are legally required to do so, may damage our reputation and have a material adverse effect on our business, employee relations, access to investors and capital, financial condition, results of operations, cash flows, ability to pay dividends and/or stock price.</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and operations are subject to risks related to climate change.</w:t>
      </w:r>
    </w:p>
    <w:p>
      <w:pPr>
        <w:pStyle w:val="TextBody"/>
        <w:bidi w:val="0"/>
        <w:spacing w:before="0" w:after="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global climate change present risks to our business. Extreme weather, natural disasters, power outages, or other conditions caused by climate change could adversely impact our supply chain and the availability and cost of raw materials, water supply, and other components required for the operation of our business, or result in the delay and/or disruption of our ability to deliver products. Such conditions could also result in physical damage to our or our partners’ products, plants and distribution centers, our ability to operate in certain areas, as well as the infrastructure and facilities of hospitals, medical care facilities and other customers. Our programs to plan for and mitigate risk and build resilience to the impacts of climate change may not be successful, and the cost of implementing such programs may be significant. Current or future insurance arrangements may not provide protection for costs that may arise from such events, particularly if such events are catastrophic in nature or occur in combination. In addition, regulations intended to limit greenhouse gas emissions or water usage, such as greenhouse gas emission reduction obligations, carbon pricing, and taxes on emissions, fuel and energy, or to mitigate the impacts of climate change may become more prevalent, which could increase our operating costs and the costs charged by suppliers. These events could have a material adverse effect on the way we operate our business, including the resiliency of our supply chain, our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Finance Risks</w:t>
      </w:r>
    </w:p>
    <w:p>
      <w:pPr>
        <w:pStyle w:val="TextBody"/>
        <w:bidi w:val="0"/>
        <w:spacing w:before="0" w:after="0"/>
        <w:jc w:val="both"/>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There can be no guarantee that we will continue to pay dividends or repurchase shares under our stock buyback program.</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Viatris currently intends to continue to pay quarterly dividends to its shareholders, there is no assurance that Viatris will declare and pay, or have the ability to declare and pay, any dividends on its common stock in the future. Whether dividends will be paid, and the amount and frequency of any such dividend payments, will depend upon a number of factors, including Viatris’ results of operations, cash flows, financial position, competitive or commercial developments, contractual or statutory restrictions and any other factors considered relevant by the Viatris Board. Such payments, and the amount and frequency thereof, are also subject to the other risks set forth in these risk factors. In addition, the Board of Directors has authorized a $1 billion increase to the Company’s previously announced stock buyback program of up to $1 billion, bringing the total authorization to $2 billion. Pursuant to this program the Company repurchased $250 million of shares in 2023 and $250 million of shares in February 2024, however there is no guarantee with respect to the timing or amount of any future share repurchases, or that we will repurchase the full amount authorized under our current stock buyback program. Other factors, including changes in tax or securities laws, such as the U.S. Inflation Reduction Act of 2022 which imposes a corporate excise tax of 1% on net stock repurchases beginning in 2023, could also impact our stock repurchases. A stock buyback program could affect our stock price and increase volatility, and any announcement of a pause in, or termination of, a stock buyback program may result in a decrease in our stock price. Payment of a cash dividend or stock repurchases will reduce the amount of cash available to the Company for other activities, including repayment of debt, investment in the business or other capital expenditures. If we are unable to, or choose not to, pay a quarterly dividend or repurchase shares under our stock buyback program, this may have a negative impact on the perception of the Company as an investment opportunity by shareholders or investment analysts, which may in turn negatively impact our stock price.</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If the intercompany terms of cross border arrangements that we have among our subsidiaries are determined to be inappropriate or ineffective, our tax liability may increase.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potential tax exposures resulting from the varying application of statutes, regulations, and interpretations which include exposures on intercompany terms of cross-border arrangements among our subsidiaries (including intercompany loans, sales, and services agreements) in relation to various aspects of our business, including manufacturing, marketing, sales, and delivery functions. Although we believe our cross-border arrangements among our subsidiaries are based upon internationally accepted standards and applicable law, tax authorities in various jurisdictions may disagree with and subsequently challenge the amount of profits taxed in their country, which may result in increased tax liability, including accrued interest and penalties, which would cause our tax expense to increase and could have a material adverse effect on our business, financial condition, results of operations, cash flows, ability to pay dividends and/or stock price.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not be able to maintain competitive financial flexibility and our corporate tax rate which could adversely affect us and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structure and operations give us the ability to achieve competitive financial flexibility and a competitive worldwide effective corporate tax rate. We must make material assumptions underlying our expected tax rates, including regarding the effect of certain internal reorganization transactions, intercompany transactions, and divestitures. We cannot give any assurance as to what our effective tax rate will be, however, because of, among other reasons, uncertainty regarding the tax policies of the jurisdictions where we operate, potential changes of laws and interpretations thereof, and the potential for tax audits or challenges. Our actual effective tax rate may vary from our expectation and that variance may be material. For example, in 2022 the U.S. Inflation Reduction Act was signed into law which, among other things, provides for a corporate alternative minimum tax of 15% beginning in 2023 on adjusted financial statement income and an excise tax of 1% on corporate stock repurchases. Moreover, the rate of tax we pay in other jurisdictions may increase significantly upon the adoption and implementation of the OECD Pillar Two Global Anti-Base Erosion rule, which provides for a minimum 15% tax rate in jurisdictions where adopted. We are continuing to evaluate the impact of these laws, and other proposed changes in corporate tax laws, which may significantly increase our global tax liabilities. In addition, the tax laws of other jurisdictions could change in the future, and such changes could cause a material change in our effective tax rate.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factors discussed above could materially increase our overall effective income tax rate, income tax expense and cash taxes paid and could have a material adverse effect on our business, financial condition, results of operations, cash flows, ability to pay dividends and/or stock price.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Unanticipated changes in our tax provisions or exposure to additional income tax liabilities and changes in income tax laws and tax rulings may have a significant adverse impact on our effective tax rate and income tax expense.</w:t>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We are subject to income taxes in many jurisdictions. Significant analysis and judgment are required in determining our worldwide provision for income taxes.</w:t>
      </w:r>
      <w:r>
        <w:rPr>
          <w:color w:val="000000"/>
        </w:rPr>
        <w:t xml:space="preserve"> </w:t>
      </w:r>
      <w:r>
        <w:rPr>
          <w:rFonts w:ascii="Times New Roman;sans-serif" w:hAnsi="Times New Roman;sans-serif"/>
          <w:b w:val="false"/>
          <w:color w:val="000000"/>
          <w:sz w:val="20"/>
        </w:rPr>
        <w:t>In the ordinary course of business, there are many transactions and calculations where the ultimate tax determination is uncertain. We are currently subject to tax audits, investigations and litigations in several jurisdictions, and may be subject to other audits, investigations or litigations in the future. The final determination of any tax audits or related litigation could be materially different from our income tax provisions and accruals.</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changes in the effective tax rate as a result of a change in the mix of earnings in countries with differing statutory tax rates, changes in our overall profitability, changes in the valuation of deferred tax assets and liabilities, changes in tax laws or in their application, the results of audits and the examination of previously filed tax returns and related challenges and assessments by taxing authorities, and continuing assessments of our tax exposures could impact our tax liabilities, income tax expense and cash taxes paid, which could have a material adverse effect on our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Viatris may be subject to significant U.S. tax liabilities or be obligated to indemnify Pfizer for any such tax liability imposed on Pfizer in connection with the Combination.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Combination, Pfizer received a private letter ruling and opinion of counsel, each to the effect that, for U.S. federal income tax purposes, the Distribution, together with certain related transactions, would qualify as a tax-free “reorganization” and the Distribution would qualify as a tax-free distribution. If the Distribution were determined not to have qualified for tax-free treatment, Pfizer would generally be subject to tax as if it sold the Viatris common stock in a transaction taxable to Pfizer, which could result in a material tax liability that, under certain circumstances, Viatris may be required to indemnify Pfizer against pursuant to the Tax Matters Agreement. If Viatris was required to indemnify Pfizer for taxes resulting from the Distribution or certain aspects of the Separation, that indemnification obligation could be substantial and could have a material adverse effect on Viatris, including with respect to our business, financial condition and results of operations. </w:t>
      </w:r>
    </w:p>
    <w:p>
      <w:pPr>
        <w:pStyle w:val="TextBody"/>
        <w:bidi w:val="0"/>
        <w:spacing w:before="0" w:after="0"/>
        <w:ind w:left="0" w:right="0" w:firstLine="720"/>
        <w:jc w:val="both"/>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Currency fluctuations and changes in exchange rates have impacted and could continue to adversely affect our business, financial condition, results of operations, cash flows, ability to pay dividends and/or stock price.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report our financial results in U.S. Dollars, a significant portion of our revenues, indebtedness and other liabilities and our costs are denominated in non-U.S. currencies, including among others the Chinese Renminbi, Euro, Swedish Krona, Indian Rupee, Korean Won, Japanese Yen, Australian Dollar, Canadian Dollar, and British Pound Sterling. Our financial condition, results of operations and cash flows, have in the past been and may in the future be adversely affected by certain movements in currency exchange rates. Defaults or restructurings in other countries could have a similar adverse impact on our financial condition, results of operations and cash flows. In addition, there remains significant international pressure on the Chinese government to adopt a more flexible currency policy, including from the U.S. government, which designated China as a “currency manipulator” in August 2019 and subsequently removed such designation in January 2020, which could result in greater fluctuation of the Renminbi against the U.S. dollar.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Viatris also faces risks arising from currency devaluations and the imposition of cash repatriation restrictions and exchange controls. Currency devaluations result in a diminished value of funds denominated in the currency of the country instituting the devaluation. Cash repatriation restrictions and exchange controls may limit our ability to convert foreign currencies into U.S. dollars or to remit dividends and other payments by our foreign subsidiaries or businesses located in or conducted within a country imposing restrictions or controls. For example, in China the conversion of currency in the “capital account” (e.g., capital items such as direct investments or loans) requires the approval of, or registration or filing with, relevant governmental authorities in China, which could materially and adversely affect the ability of our Chinese operating subsidiaries and affiliated companies to obtain foreign currencies through equity or debt financing or for capital expenditures, therefore impeding our overall business operations in China. While we currently have no need, and do not intend, to repatriate or convert cash held in countries that have significant restrictions or controls in place, should we need to do so to fund our operations, we may be unable to repatriate or convert such cash, or be unable to do so without incurring substantial costs.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cause a material adverse effect on our business, financial condition, results of operations, cash flows, ability to pay dividends and/or stock price.</w:t>
      </w:r>
    </w:p>
    <w:p>
      <w:pPr>
        <w:pStyle w:val="TextBody"/>
        <w:bidi w:val="0"/>
        <w:spacing w:lineRule="auto" w:line="276" w:before="0" w:after="240"/>
        <w:jc w:val="both"/>
        <w:rPr/>
      </w:pPr>
      <w:r>
        <w:rPr>
          <w:rFonts w:ascii="Times New Roman;sans-serif" w:hAnsi="Times New Roman;sans-serif"/>
          <w:b/>
          <w:i/>
          <w:color w:val="000000"/>
          <w:sz w:val="20"/>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r>
        <w:rPr>
          <w:rFonts w:ascii="Times New Roman;sans-serif" w:hAnsi="Times New Roman;sans-serif"/>
          <w:b w:val="false"/>
          <w:color w:val="000000"/>
          <w:sz w:val="20"/>
        </w:rPr>
        <w:t>.</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level of indebtedness could have important consequences, including but not limited 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increasing our vulnerability to general adverse economic and industry conditions;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requiring us to dedicate a substantial portion of our cash flow from operations to make debt service payments, or repay debt as it matures, thereby reducing the availability of cash flow to fund working capital, capital expenditures, acquisitions and investments, dividend payments or share repurchases, and other general corporate purposes;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limiting our flexibility in planning for, or reacting to, challenges and opportunities, and changes in our businesses and the markets in which we operate;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limiting our ability to obtain additional financing to fund our working capital, capital expenditures, acquisitions and debt service requirements and other financing needs;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increasing our vulnerability to increases in interest rates in general related to any of our indebtedness that bears interest at floating rates or when refinancing maturing debt at higher rates;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increasing our exposure to currency fluctuations, since a significant portion of our indebtedness is denominated in currencies other than the U.S. dollar, such as our Euro and Japanese yen denominated debt; and</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placing us at a competitive disadvantage to our competitors that have less debt.</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service our indebtedness will depend on our future operating performance and financial results, which will be subject, in part, to factors beyond our control, including interest rates and general economic, financial and business conditions. If we do not have sufficient cash flow to service our indebtedness, including the repayment of significant near-term indebtedness, we may need to refinance all or part of our existing indebtedness, borrow more money or sell securities or assets, some or all of which may not be available to us at acceptable terms or at all. In addition, we may need to incur additional indebtedness in the future in the ordinary course of business. Although the terms of our credit agreements and our bond indentures allow us to incur additional debt, this is subject to certain limitations which may preclude us from incurring the amount of indebtedness we otherwise desire.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Viatris expects to maintain an investment grade credit rating, a downgrade in the credit rating of Viatris or any indebtedness of Viatris or its subsidiaries could increase the cost of further borrowings or refinancings of such indebtedness, limit access to sources of financing in the future or lead to other adverse consequences.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facilities, senior unsecured notes, commercial paper program,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 our subsidiaries’ ability to pay dividends, merge or consolidate. In addition, our credit facilities require us to maintain specified financial ratios.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 be immediately due and payable. These factors could have a material adverse effect on our business, financial condition, results of operations, cash flows, ability to pay dividends and/or stock price.</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incur additional debt, the risks described above could intensify. If global credit markets contract, future debt financing may not be available to us when required or may not be available on acceptable terms or at all, and as a result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 unable to grow our business, take advantage of business opportunities, respond to competitive pressures or satisfy our obligations under our indebtedness. Any of the foregoing could have a material adverse effect on our business, financial condition, results of operations, cash flows, ability to pay dividends and/or stock price.</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and condensed consolidated financial statements included in the periodic reports we file with the SEC are prepared in accordance with U.S. GAAP. The preparation of financial statements in accordance with U.S. GAAP involves making estimates, judgments and assumptions that affect reported amounts of assets, liabilities, revenues, expenses and income. Estimates, judgments and assumptions are inherently subject to change in the future and any necessary revisions to prior estimates, judgments or assumptions could lead to a restatement. Furthermore, although we have recorded reserves for certain critical accounting estimates, including litigation related contingencies based on estimates of probable future costs, actual costs in the future could be substantially in excess of those reserves. Also, any new or revised accounting standards may require adjustments to previously issued financial statements. Any such changes could result in corresponding changes to the amounts of liabilities, revenues, expenses and income and could have a material adverse effect on our business, financial condition, results of operations, cash flows, ability to pay dividends and/or stock price.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must maintain adequate internal controls and be able to provide an assertion as to the effectiveness of such controls on an annual basis.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are necessary for us to provide reasonable assurance with respect to our financial reports. We spend a substantial amount of management and other employee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requires management’s annual review and evaluation of our internal control over financial reporting and attestation as to the effectiveness of these controls by our independent registered public accounting firm.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condition, results of operations, cash flows, ability to pay dividends and/or stock price.</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Viatris has suffered and in the future could suffer additional losses due to impairment charges.</w:t>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Viatris has significant amounts of goodwill, IPR&amp;D and intangible assets on its balance sheet. Viatris tests goodwill for impairment during the second quarter of every fiscal year, and on an interim date should events or changes in circumstances indicate the carrying value of goodwill may not be recoverable in accordance with ASC 350, </w:t>
      </w:r>
      <w:r>
        <w:rPr>
          <w:rFonts w:ascii="Times New Roman;sans-serif" w:hAnsi="Times New Roman;sans-serif"/>
          <w:b w:val="false"/>
          <w:i/>
          <w:color w:val="000000"/>
          <w:sz w:val="20"/>
        </w:rPr>
        <w:t>Goodwill and Other Intangible Assets</w:t>
      </w:r>
      <w:r>
        <w:rPr>
          <w:rFonts w:ascii="Times New Roman;sans-serif" w:hAnsi="Times New Roman;sans-serif"/>
          <w:b w:val="false"/>
          <w:color w:val="000000"/>
          <w:sz w:val="20"/>
        </w:rPr>
        <w:t>. If the fair value of a reporting unit is revised downward due to declines in business performance or other factors, an impairment under ASC 350 could result and a non-cash charge could be required. Viatris tests intangible assets with indefinite lives for impairment on an annual basis and intangible assets and IPR&amp;D with finite lives for impairment whenever events or changes in circumstances indicate the carrying amount of an asset may not be recoverable. This assessment of the recoverability of intangible assets could result in an impairment and a non-cash charge could be required. In addition, we have incurred and may in the future incur significant impairment charges or losses related to the Announced Divestitures. For instance, in 2022 and 2023 we recorded a total of approximately $511 million of charges related to the commercialization rights in the Upjohn Distributor Markets classified as held for sale, and, with respect to the OTC Transaction, we recorded an estimated pre-tax loss of $735 million in the fourth quarter of 2023 for the difference between the estimated consideration to be received, less estimated costs to sell the business, and the carrying value of the business to be divested, including an allocation of goodwill. Such impairments or losses have in the past and could in the future materially affect Viatris’ reported net earnings, business, financial condition, results of operations, cash flows, ability to pay dividends and/or stock price.</w:t>
      </w:r>
    </w:p>
    <w:p>
      <w:pPr>
        <w:pStyle w:val="TextBody"/>
        <w:bidi w:val="0"/>
        <w:spacing w:before="0" w:after="0"/>
        <w:ind w:left="0" w:right="0" w:firstLine="720"/>
        <w:jc w:val="both"/>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Viatris may be adversely affected by disruptions in the credit markets, including disruptions that reduce customers’ access to credit and increase the costs to customers of obtaining credit.</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markets have historically been volatile and therefore it is not possible to predict the ability of Viatris’ customers to access short-term financing and other forms of capital. If a disruption in the credit markets were to occur, Viatris could be unable to refinance its outstanding indebtedness on reasonable terms or at all. Such a disruption could also pose a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Viatris’ business if customers or suppliers are unable to obtain financing to meet their payment or delivery obligations. In addition, customers may decide to downsize, defer or cancel contracts which could negatively affect our revenue.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Viatris had approximately $284 million of floating rate debt as of December 31, 2023. A one percentage point increase in the average interest rate of this debt would increase the combined interest expense by approximately $2.9 million per year. Accordingly, a spike in interest rates could adversely affect our results of operations and cash flows.</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Viatris has certain material obligations relating to defined benefit pension and termination benefit programs.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Viatris has certain material pension and post-employment benefit obligations associated with acquired businesses in both the U.S. and foreign countries. Our obligations under these plans are significant and future funding obligations are subject to increased interest rates on asset and liability calculations. Each of these liabilities and the related future payment obligations could restrict cash available for Viatris’ operations, capital expenditures, acquisitions, dividend payments and other requirements, and may materially affect Viatris’ financial condition and liquidity.</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General Risks</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 market price of our common stock has been and may continue to be volatile, and the value of your investment could materially decline.</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Investors who hold shares of Viatris common stock may not be able to sell their shares at or above the price at which they acquired them. The price of Viatris’ common stock has in the past and may continue to fluctuate materially from time to time, including as a result of the other risks described herein, and we cannot predict the price of our common stock at any given time. In addition, the stock market in general, including the market for pharmaceutical companies, has experienced significant price and volume fluctuations which may materially harm the market price of our common stock, regardless of our operating performance. In addition, the price of our common stock may be affected by the valuations and recommendations of the analysts who cover us, and if our results do not meet the analysts’ forecasts and expectations, the price of our common stock could decline as a result of analysts lowering their valuations and recommendations or otherwise. Following periods of volatility in the market and/or in the price of a company’s stock, securities class-action litigation actions have been instituted against companies (including Viatris) and may be instituted against us in the future. Such litigation may result in substantial costs and diversion of management’s attention and resources, which could have a material adverse effect on our business, financial condition, results of operations, cash flows, ability to pay dividends and/or stock price. In addition, if we or our stockholders offer or sell shares of our common stock or securities convertible into or exchangeable or exercisable for shares of our common stock, this or the possibility thereof, may depress the future trading price of our common stock and the voting power of our then existing stockholders may be diluted if such a transaction were to occur.</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 expansion of social media platforms presents new risks and challenges.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seek to use social media tools as a means to communicate about our products and/or business, there are uncertainties as to the rules that apply to such communications, or as to the interpretations that authorities will apply to the rules that exist. As a result, despite our efforts to monitor evolving social media communication guidelines and comply with applicable rules, there is risk that our use of social media for such purposes may cause us to be found in violation of them. Our employees may knowingly or inadvertently make use of social media tools in ways that may not be aligned with our social media strategy, may give rise to liability, or could lead to the loss of material non-public information, trade secrets or other intellectual property, or public exposure of personal information (including sensitive personal information) of our employees, clinical trial patients, customers, and others. In addition, negative posts or comments about us on any social media website could damage our reputation. Any of the above risks could have a material adverse effect on our business, reputation, financial condition, results of operations, cash flows, and/or stock price.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Provisions in the Viatris Charter and Viatris Bylaws and of applicable law may prevent or delay an acquisition of Viatris, which could decrease the trading price of Viatris common stock.</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Viatris Charter, Viatris Bylaws and Delaware law contain provisions that may have the effect of deterring takeovers by making such takeovers more expensive to the acquiror and by encouraging prospective acquirors to negotiate with the Viatris Board rather than to attempt a hostile takeover. These provisions include rules regarding how stockholders may present proposals or nominate directors for election at shareholder meetings and the right of the Viatris Board to issue preferred stock without shareholder approval. Delaware law also imposes some restrictions on mergers and other business combinations between Viatris and any holder of 15% or more of Viatris’ outstanding common stock.</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are intended to protect Viatris’ stockholders from coercive or otherwise unfair takeover tactics by requiring potential acquirors to negotiate with the Viatris Board and by providing the Viatris Board with more time to assess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acquisition proposal. These provisions are not intended to make Viatris immune from takeovers. However, these provisions apply even if the offer may be considered beneficial by some stockholders and could delay or prevent an acquisition that the Viatris Board determines is not in the best interests of Viatris and its stockholders. Accordingly, if the Viatris Board determines that a potential business combination transaction is not in the best interests of Viatris and its stockholders, but certain stockholders believe that such a transaction would be beneficial to Viatris and its stockholders, such stockholders may elect to sell their shares in Viatris and the trading price of Viatris common stock could decrease. These and other provisions of the Viatris Charter, the Viatris Bylaws and the DGCL could have the effect of delaying, deferring or preventing a proxy contest, tender offer, merger or other change in control, which may have a material adverse effect on Viatris’ business, financial condition, results of operations, cash flows, ability to pay dividends and/or stock price.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 exclusive forum provisions in the Viatris Charter could discourage lawsuits against Viatris and its directors and officers.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Viatris Charter provides that unless Viatris, through approval of the Viatris Board, otherwise consents in writing, the Court of Chancery of the State of Delaware or, if and only if the Court of Chancery of the State of Delaware dismisses such action for lack of subject matter jurisdiction, another state court sitting in the State of Delaware (or, if no state court located within the State of Delaware has jurisdiction, the federal district court for the District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as each may be amended from time to time, any action or proceeding asserting a claim against Viatris or any of its directors, officers or other employees governed by the internal affairs doctrine or any action or proceeding as to which the DGCL (as it may be amended from time to time) confers jurisdiction on the Court of Chancery of the State of Delaware. The Viatris Charter also provides that unless Viatris (through approval of the Viatris Board) consents in writing to the selection of an alternative forum, the federal district courts of the United States of America, to the fullest extent permitted by law, shall be the sole and exclusive forum for the resolution of any action asserting a cause of action arising under the Securities Act.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provisions contained in the Viatris Charter to be inapplicable or unenforceable.</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exclusive forum provisions may limit the ability of Viatris’ stockholders to bring a claim in a judicial forum that such stockholders find favorable for disputes with Viatris or its directors or officers, which may discourage such lawsuits against Viatris or its directors or officers. Alternatively, if a court were to find these exclusive forum provisions inapplicable to, or unenforceable in respect of, one or more of the specified types of actions or proceedings described above, Viatris may incur additional costs associated with resolving such matters in other jurisdictions or forums, which could materially and adversely affect Viatris’ business, financial condition, results of operations, cash flows, ability to pay dividends and/or stock price.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by pressures from outside of the control of the company, including, but not limited to, shareholder actions, government regulations and disclosure requirements, and other market dynamics, which could cause us to incur significant expenses, hinder execution of our business strategy and negatively impact our share price.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shareholder actions, government regulations and disclosure requirements, and other market dynamics, involving corporate governance, environmental and social matters, human capital, strategic direction and operations have become increasingly prevalent. Shareholder challenges or more extensive government regulation or intervention in these areas, may create a significant distraction or burden for our management and employees, negatively impact our ability to execute our business plans, require our management to expend significant time and resources, create uncertainties with respect to our financial position and operations, adversely affect our ability to attract and retain key employees or result in loss of potential business opportunities with our current and potential customers and business partners. In addition, such actions, regulation and intervention may cause significant fluctuations in our share price based on temporary or speculative market perceptions, uncertainties or other factors that do not necessarily reflect the underlying fundamentals and prospects of our business, which could cause the market value of our common stock to decline.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1B.Unresolved Staff Comments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1C.Cybersecurity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operates in a complex and rapidly changing environment that involves many potential risks, including IT and cybersecurity risks. Risk management is an enterprise-wide objective and is subject to oversight by the Viatris Board and its committees. It is the responsibility of Viatris’ management and employees to identify material risks to our business and to implement and administer risk management and mitigation processes and programs, while also maintaining reasonable flexibility in how we operate. Our internal audit function coordinates cross functionally to periodically complete the Company’s enterprise risk assessment, including the identification of key and emerging risks, and reviews and refreshes this analysis quarterly with executive management. For each key or emerging risk identified, the Company establishes risk monitoring ownership, evaluating risk mitigation opportunities and collecting quarterly updates for executive management and the Viatris Board’s Compliance and Risk Oversight Committee.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IT and cybersecurity risks, Viatris maintains an information security program that is aligned with the National Institute of Standards and Technology Cybersecurity Framework standards, and which is designed to identify, protect, detect, respond to and recover from cybersecurity threats. Viatris’ information security program includes policies, procedures, cybersecurity awareness communications, testing, and training for employees (including mandatory training programs for system users), system monitoring, risk reduction, vulnerability and patch management and monitoring of external developments. The information security team is responsible for defining and overseeing the execution of the Company’s information security program and strategy. The Viatris IT team, led by the Chief Information Officer, is responsible for ongoing security operations such as maintaining firewalls and patch management. In addition, the delivery of many information security programs relies on IT resources to execute the delivery and implementation of security solutions, such as end-point protection and end-of-life protocols.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Information Security Officer &amp; Head of Global Security, under the direction of the Company’s Chief Compliance Officer, reports quarterly to the Risk Management Team, which includes the CEO, President, CFO, General Counsel, Chief Human Relations Officer, Head of Corporate Affairs, Regional Presidents, Chief Information Officer and Chief Compliance Officer, and the Viatris Board on the progress of the information security program and overall security status. Viatris’ current Chief Information Security Officer &amp; Head of Global Security has over 20 years of experience in information security within the pharmaceutical industry.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this program, Viatris has adopted a Cybersecurity Incident Response Plan (referred to as CIRP) to establish a guide for Viatris’ leadership and incident response stakeholders through an “incident” (a single event or a set of anomalous and adverse “events” (for purposes of the CIRP, a change in a system or technology device that could impact the confidentiality, integrity, and availability of Viatris’ data and technology assets) caused by malicious intent or by accident impacting Viatris’ network, computing systems, or digital information). The CIRP is managed by the information security team and is reviewed at least annually. Viatris tests the CIRP through technical exercises at least semi-annually, reviews the CIRP with executive management annually, and periodically conducts executive tabletop exercises/scenarios. The CIRP provides an overview of critical actions to take through the incident response lifecycle and contains a severity matrix used to guide the Company’s incident response stakeholders on communication and escalation protocols. The severity of the incident guides the determination of the parties to whom the incident will be escalated, and the Company may decide to seek assistance from a third-party incident response vendor.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Cybersecurity Incident Response Team (referred to as CIRT) reports to the Chief Information Security Officer &amp; Head of Global Security and has the role of investigating and executing incident protocols. The CIRT is generally responsible for determining the potential impacts to the Company, including severity, notifying appropriate parties pursuant to the CIRP and determining whether to engage a third-party incident response vendor, among other responsibilities. Critical and high severity incidents require the engagement of the senior leadership once such an incident is confirmed. The Company’s Disclosure Controls and Procedures also require (i) the Company’s Information Security function to monitor and escalate, as appropriate, cybersecurity incidents or series of related incidents (including with respect to any third party provider to the Company of IT services) and (ii) the Disclosure Committee to determine, without unreasonable delay, the materiality of any such escalated cybersecurity incidents or series of related incidents with input from Global Compliance, Information Security, Legal, Finance and other groups, as appropriate.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participates in several industry and third-party threat monitoring and information-sharing services, and these engagements provide insight into vulnerabilities and threats which are incorporated into the security operations scanning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well as shared with the IT team for remediation. Key aspects of the information security program are also provided by third-party managed security providers, including but not limited to first- and second-line support for incident response and the Company’s vulnerability assessment process. Our suppliers, subcontractors and third-party service providers, including third-party managed security providers, are subject to cybersecurity obligations and controls. We conduct initial risk assessments of third-party suppliers and service providers based on various factors and then review and monitor these third-party suppliers and service providers based on their relative assessed level of risk. We also require our suppliers, subcontractors and third-party service providers to agree to cybersecurity-related contractual terms and conditions of purchase.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Compliance and Risk Oversight Committee of the Viatris Board is responsible for reviewing management’s exercise of its responsibility to identify, assess, and manage material risks not allocated to the Viatris Board or another Committee of the Viatris Board, including data security programs and cybersecurity and IT. In the event of a severe cybersecurity incident, such as a ransomware attack or other incident that has a severe adverse effect on Viatris’ operations, critical systems or sensitive data, or which may cause severe reputational damage, executive management may determine that is necessary to notify the Viatris Board or the Compliance and Risk Oversight Committee about such a cybersecurity incident immediately. Otherwise, the Compliance and Risk Oversight Committee receives reports from executive management on data security, cybersecurity and information security-related matters on at least a quarterly basis, including with respect to related risks, risk management, risk reduction programs, and relevant legislative, regulatory, and technical developments. On a biannual basis, the Compliance and Risk Oversight Committee and chairs of each other Committee of the Viatris Board receive an information security update from the Company’s Chief Information Security Officer &amp; Head of Global Security, the Chief Compliance Officer and the Chief Information Officer. The full Viatris Board receives a report on the respective quarterly discussions from the Chair of the Compliance and Risk Oversight Committee each quarter.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and our suppliers, partners, customers and vendors have in the past and will likely continue to experience cybersecurity threats and incidents, including attacks on and compromises of our systems. Although we do not believe such cybersecurity threats or incidents have had a significant impact on us to date, there is no guarantee that a future cybersecurity threat or incident will be detected and remediated to not have a material adverse impact on our business, reputation, financial conditions, cash flows or results of operations. For additional information regarding how cybersecurity threats are reasonably likely to materially affect our business, financial condition, results of operations, cash flows, ability to pay dividends and/or stock price, see Part I, Item 1A “Risk Factors – “</w:t>
      </w:r>
      <w:r>
        <w:rPr>
          <w:rFonts w:ascii="Times New Roman;sans-serif" w:hAnsi="Times New Roman;sans-serif"/>
          <w:b w:val="false"/>
          <w:i/>
          <w:color w:val="000000"/>
          <w:sz w:val="20"/>
        </w:rPr>
        <w:t xml:space="preserve">We are increasingly dependent on IT and our systems and infrastructure face certain risks, including cybersecurity and data leakage risks.” </w:t>
      </w:r>
      <w:r>
        <w:rPr>
          <w:rFonts w:ascii="Times New Roman;sans-serif" w:hAnsi="Times New Roman;sans-serif"/>
          <w:b w:val="false"/>
          <w:color w:val="000000"/>
          <w:sz w:val="20"/>
        </w:rPr>
        <w:t>of this Form 10-K.</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2.Properties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properties, refer to Item 1 “Business” in Part I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3.Legal Proceedings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For information regarding legal proceedings, refer to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Item 8 in Part II of this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5.Market for Registrant’s Common Equity, Related Stockholder Matters and Issuer Purchases of Equity Securities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NASDAQ Stock Market under the symbol “VTRS”.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22, 2024, there were approximately 103,200 holders of record of shares of Viatris common stock.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quarterly cash dividends of $0.12 per share on the Company’s issued and outstanding common stock on March 17, 2023, June 16, 2023, September 15, 2023 and December 15, 2023. On February 26, 2024, the Company’s Board of Directors declared a quarterly cash dividend of $0.12 per share on the Company’s issued and outstanding common stock, which will be payable on March 18, 2024 to shareholders of record as of the close of business on March 11, 2024.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paid quarterly cash dividends of $0.12 per share on the Company’s issued and outstanding common stock on March 16, 2022, June 16, 2022, September 16, 2022 and December 16, 2022. The Company paid quarterly cash dividends of $0.11 per share on the Company’s issued and outstanding common stock on June 16, 2021, September 16, 2021 and December 16, 2021. </w:t>
      </w:r>
    </w:p>
    <w:p>
      <w:pPr>
        <w:pStyle w:val="TextBody"/>
        <w:bidi w:val="0"/>
        <w:spacing w:before="0" w:after="240"/>
        <w:jc w:val="center"/>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common stock has been listed on the NASDAQ under the symbol “VTRS” since November 17, 2020. Prior to that time, there was no public market for our common stock. The graph below compares Viatris Inc.’s cumulative total shareholder return on common stock with the cumulative total returns of the S&amp;P 500 index and the Dow Jones US Pharmaceuticals index. The graph tracks the performance of a $100 investment in our common stock and in each index (with the reinvestment of all dividends) from November 16, 2020 to December 31, 2023. The historical share price data has been revised to reflect updated source information. The revisions are not significant to previously reported amounts. </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drawing>
          <wp:inline distT="0" distB="0" distL="0" distR="0">
            <wp:extent cx="6057900" cy="3905250"/>
            <wp:effectExtent l="0" t="0" r="0" b="0"/>
            <wp:docPr id="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 descr=""/>
                    <pic:cNvPicPr>
                      <a:picLocks noChangeAspect="1" noChangeArrowheads="1"/>
                    </pic:cNvPicPr>
                  </pic:nvPicPr>
                  <pic:blipFill>
                    <a:blip r:embed="rId5"/>
                    <a:stretch>
                      <a:fillRect/>
                    </a:stretch>
                  </pic:blipFill>
                  <pic:spPr bwMode="auto">
                    <a:xfrm>
                      <a:off x="0" y="0"/>
                      <a:ext cx="6057900" cy="3905250"/>
                    </a:xfrm>
                    <a:prstGeom prst="rect">
                      <a:avLst/>
                    </a:prstGeom>
                  </pic:spPr>
                </pic:pic>
              </a:graphicData>
            </a:graphic>
          </wp:inline>
        </w:drawing>
      </w:r>
    </w:p>
    <w:p>
      <w:pPr>
        <w:pStyle w:val="TextBody"/>
        <w:bidi w:val="0"/>
        <w:spacing w:before="0" w:after="0"/>
        <w:ind w:left="0" w:right="0" w:firstLine="720"/>
        <w:jc w:val="center"/>
        <w:rPr/>
      </w:pPr>
      <w:r>
        <w:rPr/>
      </w:r>
    </w:p>
    <w:p>
      <w:pPr>
        <w:pStyle w:val="TextBody"/>
        <w:bidi w:val="0"/>
        <w:spacing w:before="0" w:after="60"/>
        <w:ind w:left="0" w:right="0" w:firstLine="720"/>
        <w:jc w:val="center"/>
        <w:rPr/>
      </w:pPr>
      <w:r>
        <w:rPr/>
      </w:r>
    </w:p>
    <w:tbl>
      <w:tblPr>
        <w:tblW w:w="9640" w:type="dxa"/>
        <w:jc w:val="center"/>
        <w:tblInd w:w="0" w:type="dxa"/>
        <w:tblLayout w:type="fixed"/>
        <w:tblCellMar>
          <w:top w:w="28" w:type="dxa"/>
          <w:left w:w="28" w:type="dxa"/>
          <w:bottom w:w="28" w:type="dxa"/>
          <w:right w:w="28" w:type="dxa"/>
        </w:tblCellMar>
      </w:tblPr>
      <w:tblGrid>
        <w:gridCol w:w="987"/>
        <w:gridCol w:w="866"/>
        <w:gridCol w:w="877"/>
        <w:gridCol w:w="374"/>
        <w:gridCol w:w="374"/>
        <w:gridCol w:w="376"/>
        <w:gridCol w:w="109"/>
        <w:gridCol w:w="109"/>
        <w:gridCol w:w="109"/>
        <w:gridCol w:w="364"/>
        <w:gridCol w:w="364"/>
        <w:gridCol w:w="366"/>
        <w:gridCol w:w="109"/>
        <w:gridCol w:w="109"/>
        <w:gridCol w:w="109"/>
        <w:gridCol w:w="364"/>
        <w:gridCol w:w="364"/>
        <w:gridCol w:w="366"/>
        <w:gridCol w:w="109"/>
        <w:gridCol w:w="109"/>
        <w:gridCol w:w="109"/>
        <w:gridCol w:w="364"/>
        <w:gridCol w:w="364"/>
        <w:gridCol w:w="366"/>
        <w:gridCol w:w="109"/>
        <w:gridCol w:w="109"/>
        <w:gridCol w:w="109"/>
        <w:gridCol w:w="390"/>
        <w:gridCol w:w="334"/>
        <w:gridCol w:w="472"/>
      </w:tblGrid>
      <w:tr>
        <w:trPr/>
        <w:tc>
          <w:tcPr>
            <w:tcW w:w="98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16,</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 Jones U.S. Pharmaceuticals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6.[Reserved]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7.Management’s Discussion and Analysis of Financial Condition And Results of Operations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and analysis should be read in conjunction with the consolidated financial statements and the related notes to consolidated financial statements included in Part II, Item 8 in this Form 10-K, and our other SEC filings and public disclosures. </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This Form 10-K contains “forward-looking statements”. These statements are made pursuant to the safe harbor provisions of the Private Securities Litigation Reform Act of 1995. Such forward-looking statements may include, without limitation, </w:t>
      </w:r>
      <w:r>
        <w:rPr>
          <w:rFonts w:ascii="Times New Roman;sans-serif" w:hAnsi="Times New Roman;sans-serif"/>
          <w:b w:val="false"/>
          <w:color w:val="000000"/>
          <w:sz w:val="20"/>
          <w:shd w:fill="FFFFFF" w:val="clear"/>
        </w:rPr>
        <w:t>statements about the goals or outlooks with respect to the Company’s strategic initiatives, including but not limited to the Company’s two-phased strategic vision and potential and announced divestitures, acquisitions or other transactions;</w:t>
      </w:r>
      <w:r>
        <w:rPr>
          <w:color w:val="000000"/>
        </w:rPr>
        <w:t xml:space="preserve"> </w:t>
      </w:r>
      <w:r>
        <w:rPr>
          <w:rFonts w:ascii="Times New Roman;sans-serif" w:hAnsi="Times New Roman;sans-serif"/>
          <w:b w:val="false"/>
          <w:color w:val="000000"/>
          <w:sz w:val="20"/>
        </w:rPr>
        <w:t>the benefits and synergies of such divestitures, acquisitions, or other transactions, or restructuring programs;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possibility that the Company may not realize the intended benefits of, or achieve the intended goals or outlooks with respect to, its strategic initiatives (including divestitures, acquisitions, or other potential transactions) or move up the value chain by focusing on more complex and innovative products to build a more durable higher margin portfolio;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possibility that the Company may be unable to achieve intended or expected benefits, goals, outlooks, synergies, growth opportunities and operating efficiencies in connection with divestitures, acquisitions, other transactions, or restructuring programs, within the expected timeframes or at all;</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with respect to previously announced divestitures that have not been consummated, including the divestiture of substantially all of our OTC Business, such divestitures not being completed on the expected timelines or at all and the risk that the conditions set forth in the definitive agreements with respect to such divestitures will not be satisfied or waived;</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with respect to previously announced divestitures, failure to realize the total transaction values for the divestitures and/or the expected proceeds for any or all such divestitures, including as a result of any purchase price adjustment or a failure to achieve any conditions to the payment of any contingent consideration;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goodwill or impairment charges or other losses related to the divestiture or sale of businesses or assets (including but not limited to announced divestitures that have not yet been consummated);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Company’s failure to achieve expected or targeted future financial and operating performance and results;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potential impact of public health outbreaks, epidemics and pandemics;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actions and decisions of healthcare and pharmaceutical regulators;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ability to attract, motivate and retain key personnel;</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Company’s liquidity, capital resources and ability to obtain financing;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any regulatory, legal or other impediments to the Company’s ability to bring new products to market, including but not limited to “at-risk launches”;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success of clinical trials and the Company’s or its partners’ ability to execute on new product opportunities and develop, manufacture and commercialize products;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any changes in or difficulties with the Company’s manufacturing facilities, including with respect to inspections, remediation and restructuring activities, supply chain or inventory or the ability to meet anticipated demand;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scope, timing and outcome of any ongoing legal proceedings, including government inquiries or investigations, and the impact of any such proceedings on the Company;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any significant breach of data security or data privacy or disruptions to our IT systems;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risks associated with having significant operations globally;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ability to protect intellectual property and preserve intellectual property rights;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changes in third-party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effect of any changes in the Company’s or its partners’ customer and supplier relationships and customer purchasing patterns, including customer loss and business disruption being greater than expected following an acquisition or divestiture;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impacts of competition, including decreases in sales or revenues as a result of the loss of market exclusivity for certain products;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changes in the economic and financial conditions of the Company or its partners;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uncertainties regarding future demand, pricing and reimbursement for the Company’s products;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uncertainties and matters beyond the control of management, including but not limited to general political and economic conditions, inflation rates and global exchange rates; and</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more detailed information on the risks and uncertainties associated with Viatris, see the risks described in Part I, Item 1A in this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10-K and shall not be deemed “filed” under the Securities Exchange Act of 1934, as amended. Viatris undertakes no obligation to update any statements herein for revisions or changes after the filing date of this Form 10-K other than as required by law.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is a global healthcare company which we believe is uniquely positioned to bridge the traditional divide between generics and brands, combining the best of both to more holistically address healthcare needs globally. With a mission to empower people worldwide to live healthier at every stage of life, Viatris provides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executive management team is focused on ensuring that the Company is optimally structured and efficiently resourced to deliver sustainable value to patients, shareholders, customers and other key stakeholders. With a global workforce of approximately 38,000,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As of December 31, 2023, Viatris’ portfolio comprised more than 1,400 approved molecules across a wide range of key therapeutic areas, including globally recognized iconic and key brands and generics, including complex products, and the Company operated approximately 40 manufacturing sites worldwide that produce oral solid doses, injectables, complex dosage forms and APIs. As discussed below, Viatris has entered into certain transactions, including the Pending Announced Divestitures. Viatris is headquartered in the U.S., with global centers in Pittsburgh, Pennsylvania, Shanghai, China and Hyderabad, India.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broad and diversified portfolio of branded and generic products, including complex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before="0" w:after="0"/>
        <w:ind w:left="0" w:right="0" w:firstLine="720"/>
        <w:jc w:val="left"/>
        <w:rPr/>
      </w:pPr>
      <w:r>
        <w:rPr/>
      </w:r>
    </w:p>
    <w:p>
      <w:pPr>
        <w:pStyle w:val="TextBody"/>
        <w:bidi w:val="0"/>
        <w:spacing w:lineRule="auto" w:line="27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Market and Industry Factors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Generic products, particularly in the U.S., generally contribute most significantly to revenues and gross margins at the time of their launch, and even more so in periods of market exclusivity, or in periods of limited generic competition. As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depending on certain factors – including decisions by Japanese regulatory and/or patent authorities – generic entry may occur for Amitiza® 24 μg in Japan prior to one of the patents relevant to Amitiza® expiring in April 2025.</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Sales continue to be negatively affected by the impact of tender systems in certain countries.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and staffing challenges and other economic considerations, supply chain disruptions, foreign currency exchange fluctuations, public health epidemics, changes in intellectual property legal protections and other regulatory changes.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Developments</w:t>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Idorsia Acquisition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2024, the Company announced that it will acquire the development programs and certain personnel related to selatogrel and cenerimod from Idorsia in exchange for an upfront payment to Idorsia of $350 million, potential development and regulatory milestone payments, and certain contingent payments of additional sales milestone payments and tiered sales royalties. Viatris and Idorsia will both contribute to the development costs for both programs. Viatris will have worldwide commercialization rights for both selatogrel and cenerimod (excluding, for cenerimod only, Japan, South Korea and certain countries in the Asia-Pacific region). The agreements also provide Viatris a right of first refusal and a right of first negotiation for certain other assets in Idorsia’s pipeline. The closing of the transaction is subject to certain closing conditions.</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Divestitures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2023, the Company announced it received an offer for the divestiture of its OTC Business, and entered into definitive agreements to divest its women’s healthcare business and, separately, in another transaction, its rights to two women’s healthcare products in certain countries, its API business in India and commercialization rights in the Upjohn Distributor Markets. The divestiture of the women’s healthcare business is primarily related to our oral and injectable contraceptives and does not include all of our women’s healthcare related products; as an example, our Xulane® product in the U.S. is excluded. The transaction to divest the Company’s rights to two women’s healthcare products in certain countries (other than in the U.K., which remains subject to regulatory approval) closed in December 2023. The divestitures of the commercialization rights in certain of the Upjohn Distributor Markets closed during 2023. Additionally, we expect to consummate the divestiture of our women’s healthcare business and our API business in India by the end of the first quarter of 2024, and in January 2024, we exercised our option to accept the offer in the OTC Transaction and entered into a definitive transaction agreement with respect to such OTC Transaction. We currently expect the OTC Transaction to close by mid-year 2024. The transactions that have not yet closed remain subject to regulatory approvals, receipt of required consents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closing conditions, including, in the case of the API business divestiture, a financing condition. Refer to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 Part II, Item 8 of this Form 10-K for more information.</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Ophthalmology Acquisitions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completed the acquisition of Oyster Point for approximately $427.4 million in cash, which included $11 per share paid to Oyster Point stockholders through a tender offer, payment for vested share-based awards, and the repayment of the Oyster Point debt. Oyster Point is focused on the discovery, development, and commercialization of first-in-class pharmaceutical therapies to treat ophthalmic diseases.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2022, the Company entered into a definitive agreement to acquire the remaining equity shares of Famy Life Sciences, a privately-owned research company with a complementary portfolio of ophthalmology therapies under development, for consideration of $281 million. The transaction to acquire the remaining equity shares of Famy Life Sciences closed during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Refer to Note 4 </w:t>
      </w:r>
      <w:r>
        <w:rPr>
          <w:rFonts w:ascii="Times New Roman;sans-serif" w:hAnsi="Times New Roman;sans-serif"/>
          <w:b w:val="false"/>
          <w:i/>
          <w:color w:val="000000"/>
          <w:sz w:val="20"/>
        </w:rPr>
        <w:t>Acquisitions and Other Transactions</w:t>
      </w:r>
      <w:r>
        <w:rPr>
          <w:color w:val="000000"/>
        </w:rPr>
        <w:t xml:space="preserve"> </w:t>
      </w:r>
      <w:r>
        <w:rPr>
          <w:rFonts w:ascii="Times New Roman;sans-serif" w:hAnsi="Times New Roman;sans-serif"/>
          <w:b w:val="false"/>
          <w:color w:val="000000"/>
          <w:sz w:val="20"/>
        </w:rPr>
        <w:t>in Part II, Item 8 of this Form 10-K for more information.</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year ended December 31, 2023, the Company repurchased approximately 21.2 million shares of common stock at a cost of approximately $250 million. In February 2024, the Company repurchased approximately 19.2 million shares of common stock at a cost of approximately $250 million. The Company did not repurchase any shares of common stock under the share repurchase program in 2022. The share repurchase program does not obligate the Company to acquire any particular amount of common stock.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The Company had repurchased a total of $500 million in shares through February 28, 2024 under the program.</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2020 Restructuring Program</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2020, Viatris announced a significant global restructuring program in order to achieve synergies and ensure that the organization was optimally structured and efficiently resourced to deliver sustainable value to patients, shareholders, customers, and other stakeholders. As part of the restructuring, the Company optimized its commercial capabilities and enabling functions, and closed, downsized or divested certain manufacturing facilities globally that were deemed to be no longer viable either due to surplus capacity, challenging market dynamics or a shift in its product portfolio toward more complex products. The actions under the 2020 restructuring program were substantially completed during 2023.</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initiation of the 2020 restructuring program, the Company has incurred total pre-tax charges of approximately $1.4 billion through December 31, 2023. Such charges included approximately $450 million of non-cash charges mainly related to accelerated depreciation and asset impairment charges, including inventory write-offs, and cash costs of approximately $950 million, primarily related to severance and employee benefits expense, as well as other costs, including those related to contract terminations and other plant disposal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Financial Summary</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is a summary of the Company’s financial results for the year ended December 31, 2023 compared to the prior year period:</w:t>
      </w:r>
    </w:p>
    <w:tbl>
      <w:tblPr>
        <w:tblW w:w="7175" w:type="dxa"/>
        <w:jc w:val="left"/>
        <w:tblInd w:w="0" w:type="dxa"/>
        <w:tblLayout w:type="fixed"/>
        <w:tblCellMar>
          <w:top w:w="28" w:type="dxa"/>
          <w:left w:w="28" w:type="dxa"/>
          <w:bottom w:w="28" w:type="dxa"/>
          <w:right w:w="28" w:type="dxa"/>
        </w:tblCellMar>
      </w:tblPr>
      <w:tblGrid>
        <w:gridCol w:w="1037"/>
        <w:gridCol w:w="910"/>
        <w:gridCol w:w="918"/>
        <w:gridCol w:w="211"/>
        <w:gridCol w:w="871"/>
        <w:gridCol w:w="109"/>
        <w:gridCol w:w="109"/>
        <w:gridCol w:w="109"/>
        <w:gridCol w:w="109"/>
        <w:gridCol w:w="211"/>
        <w:gridCol w:w="871"/>
        <w:gridCol w:w="109"/>
        <w:gridCol w:w="109"/>
        <w:gridCol w:w="109"/>
        <w:gridCol w:w="109"/>
        <w:gridCol w:w="211"/>
        <w:gridCol w:w="691"/>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More information about non-GAAP measures used by the Company as part of this discussion, including adjusted cost of sales, adjusted gross margins, adjusted net earnings, and adjusted EBITDA (all of which are defined below) are discussed further in this Part II, Item 7 under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Results of Operations — Use of Non-GAAP Financial Measures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2023 Compared to 2022</w:t>
      </w:r>
    </w:p>
    <w:tbl>
      <w:tblPr>
        <w:tblW w:w="10205" w:type="dxa"/>
        <w:jc w:val="left"/>
        <w:tblInd w:w="0" w:type="dxa"/>
        <w:tblLayout w:type="fixed"/>
        <w:tblCellMar>
          <w:top w:w="28" w:type="dxa"/>
          <w:left w:w="28" w:type="dxa"/>
          <w:bottom w:w="28" w:type="dxa"/>
          <w:right w:w="28" w:type="dxa"/>
        </w:tblCellMar>
      </w:tblPr>
      <w:tblGrid>
        <w:gridCol w:w="697"/>
        <w:gridCol w:w="435"/>
        <w:gridCol w:w="346"/>
        <w:gridCol w:w="211"/>
        <w:gridCol w:w="871"/>
        <w:gridCol w:w="109"/>
        <w:gridCol w:w="109"/>
        <w:gridCol w:w="109"/>
        <w:gridCol w:w="109"/>
        <w:gridCol w:w="211"/>
        <w:gridCol w:w="871"/>
        <w:gridCol w:w="109"/>
        <w:gridCol w:w="109"/>
        <w:gridCol w:w="109"/>
        <w:gridCol w:w="109"/>
        <w:gridCol w:w="198"/>
        <w:gridCol w:w="198"/>
        <w:gridCol w:w="483"/>
        <w:gridCol w:w="109"/>
        <w:gridCol w:w="109"/>
        <w:gridCol w:w="109"/>
        <w:gridCol w:w="254"/>
        <w:gridCol w:w="742"/>
        <w:gridCol w:w="131"/>
        <w:gridCol w:w="109"/>
        <w:gridCol w:w="109"/>
        <w:gridCol w:w="109"/>
        <w:gridCol w:w="260"/>
        <w:gridCol w:w="1075"/>
        <w:gridCol w:w="134"/>
        <w:gridCol w:w="109"/>
        <w:gridCol w:w="109"/>
        <w:gridCol w:w="109"/>
        <w:gridCol w:w="249"/>
        <w:gridCol w:w="249"/>
        <w:gridCol w:w="737"/>
      </w:tblGrid>
      <w:tr>
        <w:trPr/>
        <w:tc>
          <w:tcPr>
            <w:tcW w:w="69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2023 Currency Impact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Constant Currency % Change </w:t>
            </w:r>
            <w:r>
              <w:rPr>
                <w:rFonts w:ascii="Times New Roman;sans-serif" w:hAnsi="Times New Roman;sans-serif"/>
                <w:b/>
                <w:color w:val="000000"/>
                <w:sz w:val="10"/>
              </w:rPr>
              <w:t>(2)</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color w:val="000000"/>
                <w:sz w:val="10"/>
              </w:rPr>
              <w:t>(3)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Consolidated total revenues </w:t>
            </w:r>
            <w:r>
              <w:rPr>
                <w:rFonts w:ascii="Times New Roman;sans-serif" w:hAnsi="Times New Roman;sans-serif"/>
                <w:b/>
                <w:color w:val="000000"/>
                <w:sz w:val="10"/>
              </w:rPr>
              <w:t>(4)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15,685.6 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constant currency percentage change is derived by translating net sales or revenues for the current period at prior year comparative period exchange rates, and in doing so shows the percentage change from 2023 constant currency net sales or revenues to the corresponding amount in the prior year.</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For the year ended December 31, 2023, other revenues in Developed Markets, JANZ, and Emerging Markets were approximately $26.1 million, $1.1 million, and $11.3 million, respectively.</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Amounts exclude intersegment revenue which eliminates on a consolidated basis.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reported total revenues of $15.43 billion, compared to $16.26 billion for the comparable prior year period, representing a decrease of $835.8 million, or 5%. Total revenues include both net sales and other revenues from third parties. Net sales for the year ended December 31, 2023 were $15.39 billion, compared to $16.22 billion for the comparable prior year period, representing a decrease of $829.7 million, or 5%. Other revenues for the year ended December 31, 2023 were $38.5 million, compared to $44.6 million for the comparable prior year period.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was partially driven by the unfavorable impact of foreign currency translation of approximately $258.9 million, or 2%, primarily reflecting changes in the U.S. Dollar as compared to the currencies of subsidiaries in Japan, China and India. Additionally, net sales decreased by approximately $629.5 million, or 4%, due to the inclusion of net sales in the prior year period related to divestitures that have closed during 2022 and 2023. The most significant such impact related to the biosimilars business that was divested on November 29, 2022. On a constant currency basis, net sales from the remaining business increased by approximately $17.0 million, or less than 1%, for the year ended December 31, 2023 compared to the prior year period as new product sales of approximately $451.3 million, primarily in the U.S. and Europe, offset the impact of base business erosion of approximately $434.3 million. New product sales include new products launched in 2023 and the carryover impact of new products, including business development, launched within the last twelve months. Net sales from Tyrvaya® totaled $41.7 million during the year ended December 31, 2023.</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33% for each of the years ended December 31, 2023 and 2022.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are derived from our four reporting segments: Developed Markets, Greater China, JANZ and Emerging Markets.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Developed Markets Segment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Developed Markets decreased by $517.0 million or 5% during the year ended December 31, 2023 when compared to the prior year. The favorable impact of foreign currency translation was approximately $85.2 million, or 1%. Net sales decreased by approximately $539.6 million, or 6%, due to the inclusion of net sales in the prior year period related to divestitures that have closed during 2022 and 2023. The most significant such impact related to the biosimilars business that was divested on November 29, 2022. Constant currency net sales from the remaining business decreased by approximately $104.3 million, or 1%, when compared to the prior year. New product sales, including lenalidomide and Breyna™ in the U.S., combined with the stability of the existing product portfolio helped to partially offset the anticipated lower net sales of certain existing products, including Wixela Inhub®, Xulane® and cyclosporine ophthalmic emulsion in the U.S., as a result of lower volumes and lower pricing due to additional competition. Net sales within North America totaled approximately $3.91 billion and net sales within Europe totaled approximately $5.34 billion. Net sales from Tyrvaya® totaled $41.7 million during the year ended December 31, 2023.</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Greater China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Greater China decreased by $40.8 million, or 2%, for the year ended December 31, 2023 when compared to the prior year. This decrease was the result of the unfavorable impact of foreign currency translation of approximately $87.1 million, or 4%. Constant currency net sales increased by approximately $46.3 million, or 2%, when compared to the prior year, driven primarily by increased volumes of existing products. Divestitures did not have a significant impact on the net sales during the year ended December 31, 2023.</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JANZ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JANZ decreased by $207.9 million or 13% for the year ended December 31, 2023 when compared to the prior year. This decrease was partially the result of the unfavorable impact of foreign currency translation of approximately $96.2 million, or 6%. Net sales also decreased by approximately $18.8 million, or 1%, due to the inclusion of net sales in the prior year period related to divestitures that have closed during 2022 and 2023. Constant currency net sales from the remaining business decreased by approximately $92.9 million, or 6%, when compared to the prior year. The decrease was due to lower net sales of existing products mainly driven by lower pricing and, to a lesser extent, volumes, in Japan as a result of government price reductions and additional competition, and lower volumes of existing products in Australia.</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Emerging Markets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Emerging Markets decreased by $64.0 million or 2% for the year ended December 31, 2023 when compared to the prior year. This decrease was driven by the unfavorable impact of foreign currency translation of approximately $160.8 million, or 6%. In addition, net sales also decreased by approximately $70.4 million, or 3%, due to the inclusion of net sales in the prior year period related to divestitures that have closed during 2022 and 2023. Constant currency net sales from the remaining business increased by approximately $167.2 million, or 6%, when compared to the prior year, primarily driven by higher volumes of existing products in certain Asian countries.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Sales and Gross Profit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decreased from $9.77 billion for the year ended December 31, 2022 to $8.99 billion for the year ended December 31, 2023. Cost of sales was primarily impacted by the decrease in net sales, including the impact of the disposition of the biosimilars business in November 2022, and lower purchase accounting amortization expense.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the year ended December 31, 2023 was $6.44 billion and gross margins were 42%. For the year ended December 31, 2022, gross profit was $6.50 billion and gross margins were 40%. This change in gross profit is primarily related to the decrease in net sales and cost of sales. Adjusted gross margins were approximately 59% for the year ended December 31, 2023, essentially flat when compared to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cost of sales, as reported under U.S. GAAP, and adjusted cost of sales and adjusted gross margin for the year ended December 31, 2023 compared to the year ended December 31, 2022 is as follows:</w:t>
      </w:r>
    </w:p>
    <w:tbl>
      <w:tblPr>
        <w:tblW w:w="7638" w:type="dxa"/>
        <w:jc w:val="left"/>
        <w:tblInd w:w="0" w:type="dxa"/>
        <w:tblLayout w:type="fixed"/>
        <w:tblCellMar>
          <w:top w:w="28" w:type="dxa"/>
          <w:left w:w="28" w:type="dxa"/>
          <w:bottom w:w="28" w:type="dxa"/>
          <w:right w:w="28" w:type="dxa"/>
        </w:tblCellMar>
      </w:tblPr>
      <w:tblGrid>
        <w:gridCol w:w="1728"/>
        <w:gridCol w:w="1514"/>
        <w:gridCol w:w="1528"/>
        <w:gridCol w:w="211"/>
        <w:gridCol w:w="766"/>
        <w:gridCol w:w="271"/>
        <w:gridCol w:w="109"/>
        <w:gridCol w:w="109"/>
        <w:gridCol w:w="109"/>
        <w:gridCol w:w="211"/>
        <w:gridCol w:w="766"/>
        <w:gridCol w:w="316"/>
      </w:tblGrid>
      <w:tr>
        <w:trPr/>
        <w:tc>
          <w:tcPr>
            <w:tcW w:w="172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amortization and other related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divestiture-related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6,681.0 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margin </w:t>
            </w:r>
            <w:r>
              <w:rPr>
                <w:rFonts w:ascii="Times New Roman;sans-serif" w:hAnsi="Times New Roman;sans-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68" w:before="0" w:after="240"/>
        <w:ind w:left="0" w:right="0" w:hanging="36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 for the year ended December 31, 2023 was $805.2 million, compared to $662.2 million for the prior year, an increase of $143.0 million. This increase was primarily due to continued investment in our pipeline, including approximately $42.1 million related to the ophthalmology acquisitions. </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Acquired IPR&amp;D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 expense for the year ended December 31, 2023 was $105.5 million, compared to $36.4 million for the prior year, an increase of $69.1 million. The increase was primarily due to upfront licensing payments to Mapi of $75.0 million related to additional products under development. This was partially offset by an upfront licensing payment of $20.0 million to Calliditas Therapeutics AB related to Nefecon® recorded during the prior year.</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 for the year ended December 31, 2023 was $4.65 billion, compared to $4.18 billion for the prior year, an increase of $471.0 million. The increase was primarily due to: (1) a goodwill impairment charge of approximately $580.1 million related to the planned divestiture of the OTC Business, (2) expenses related to the ophthalmology acquisitions of approximately $152.8 million, (3) higher investment in selling and promotional activities, and (4) increased compensation, including severance-related costs.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offsetting these increases were: (1) lower acquisition and divestiture-related costs of approximately $88.2 million, primarily as a result of costs incurred in 2022 in conjunction with the Biocon Biologics Transaction and transitioning certain support services from Pfizer, (2) charges of $156.5 million incurred in 2022 related to the divestitures of the commercialization rights in the Upjohn Distributor Markets, and (3) a gain recorded in 2023 of approximately $156.2 million on the transaction to divest the Company’s rights to two women’s healthcare products in certain countries (other than in the U.K., which remains subject to regulatory approval).</w:t>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 Settlements and Other Contingencies, Net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the losses/(gains) recognized in litigation settlements and other contingencies, net during the years ended December 31, 2023 and 2022, respectively:</w:t>
      </w:r>
    </w:p>
    <w:tbl>
      <w:tblPr>
        <w:tblW w:w="9789" w:type="dxa"/>
        <w:jc w:val="left"/>
        <w:tblInd w:w="0" w:type="dxa"/>
        <w:tblLayout w:type="fixed"/>
        <w:tblCellMar>
          <w:top w:w="28" w:type="dxa"/>
          <w:left w:w="28" w:type="dxa"/>
          <w:bottom w:w="28" w:type="dxa"/>
          <w:right w:w="28" w:type="dxa"/>
        </w:tblCellMar>
      </w:tblPr>
      <w:tblGrid>
        <w:gridCol w:w="2772"/>
        <w:gridCol w:w="2430"/>
        <w:gridCol w:w="2448"/>
        <w:gridCol w:w="211"/>
        <w:gridCol w:w="616"/>
        <w:gridCol w:w="109"/>
        <w:gridCol w:w="109"/>
        <w:gridCol w:w="109"/>
        <w:gridCol w:w="109"/>
        <w:gridCol w:w="211"/>
        <w:gridCol w:w="511"/>
        <w:gridCol w:w="154"/>
      </w:tblGrid>
      <w:tr>
        <w:trPr/>
        <w:tc>
          <w:tcPr>
            <w:tcW w:w="2772"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adjustment (primarily related to the Respiratory Delivery Platform)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year ended December 31, 2023 totaled $573.1 million, compared to $592.4 million for the year ended December 31, 2022, a decrease of $19.3 million primarily due to the impact of debt repayments.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includes gains and losses from divestitures of businesses, changes in the fair value of equity securities, foreign exchange, expense (income) related to post-employment benefit plans, TSA income, and interest and dividend income. Other income, net for the year ended December 31, 2023 totaled $9.8 million, compared to $1.79 billion for the year ended December 31,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other income, net was driven by: (1) the gain from the Biocon Biologics Transaction of $1.75 billion recorded in the prior year, and (2) charges incurred during the year ended December 31, 2023 of approximately $154.7 million related to the planned divestiture of the OTC Business to write down the disposal group to fair value, less cost to sell, and approximately $85.2 million related to the divestitures of the commercialization rights in the Upjohn Distributor Markets.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was partially offset by: (1) net gains recorded during the year ended December 31, 2023 of approximately $43.4 million as a result of remeasuring our equity interests in Mapi and Famy Life Sciences and the CCPS in Biocon Biologics to fair value, (2) higher interest income of approximately $46.8 million, and (3) an increase in TSA income from Biocon Biologics of approximately $150.3 million. The costs related to the transition services are included in SG&amp;A and R&amp;D.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recognized an income tax provision of $148.2 million, compared to an income tax provision of $734.6 million for the prior year, a change in the provision of $586.4 million. The income tax provision for the year ended December 31, 2023 was negatively impacted by the goodwill impairment related to the planned divestiture of the OTC Business, partially offset by the deferred tax impact of the Company’s internal tax restructuring. The income tax provision for the year ended December 31, 2022 was negatively impacted by the gain from the Biocon Biologics Transaction. The current year and prior year provisions were impacted by the levels of income and the changing mix at which it is earned in jurisdictions with differing tax rates.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2022 Compared to 2021</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Discussions of 2021 items and year-to-year comparisons between 2022 and 2021 are not included in this Form 10-K, and can be found in “Management’s Discussion and Analysis of Financial Condition and Results of Operations” in Part II, Item 7 of the Company’s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Adjusted Cost of Sales and Adjusted Gross Margin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Adjusted Net Earnings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 is a non-GAAP financial measure and provides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EBITDA and Adjusted EBITDA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impairment of long-lived assets, acquisition and divestiture related and other special items to determine adjusted EBITDA. These adjustments are generally permitted under our credit agreement in calculating adjusted EBITDA for determining compliance with our debt covenants.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items excluded from adjusted cost of sales, adjusted net earnings, and adjusted EBITDA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Purchase Accounting Amortization and Other Related Items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intangible asset impairment charges, including for IPR&amp;D, and impairment of goodwill. For the acquisition of businesses accounted for under the provisions of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these purchase accounting impacts are excluded regardless of the financing method used for the acquisitions, including the use of cash, long-term debt, the issuance of common stock, contingent consideration or any combination thereof.</w:t>
      </w:r>
    </w:p>
    <w:p>
      <w:pPr>
        <w:pStyle w:val="TextBody"/>
        <w:bidi w:val="0"/>
        <w:spacing w:lineRule="auto" w:line="26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Fair Value Adjustments, Including Contingent Consideration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changes to the fair value of assets and liabilities, including contingent and deferred consideration and non-marketable equity investments, and the related accretion income or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 is excluded from adjusted cost of sales,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w:t>
      </w:r>
    </w:p>
    <w:p>
      <w:pPr>
        <w:pStyle w:val="TextBody"/>
        <w:bidi w:val="0"/>
        <w:spacing w:before="0" w:after="0"/>
        <w:ind w:left="0" w:right="0" w:firstLine="720"/>
        <w:jc w:val="left"/>
        <w:rPr/>
      </w:pPr>
      <w:r>
        <w:rPr/>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Restructuring, Acquisition and Divestiture-Related Costs, and Other Special Items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related to restructuring, acquisition and divestiture-related activities and other actions are excluded from adjusted cost of sales, adjusted net earnings and adjusted EBITDA, as applicable. These amounts include items such as: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pre-tax loss of the Company’s clean energy investments, whose activities qualify for income tax credits under the Code; only included in adjusted net earnings is the net tax effect of the entity’s activities;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Certain costs to further develop and optimize our global enterprise resource planning systems, operations and supply chain;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Gains or losses from divestitures, including impairments of held for sale assets;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impact of changes related to uncertain tax positions are excluded from adjusted cost of sales and adjusted net earnings. In addition, tax adjustments to adjusted earnings are recorded to present items on an after-tax basis consistent with the presentation of adjusted net earnings.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net earnings and adjusted EBITDA because it believes it is helpful to understanding the underlying, ongoing operational performance of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Litigation Settlements, Net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Charges and gains related to legal matters, such as those discussed in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Part II, Item 8 of this Form 10-K are generally excluded from adjusted net earnings and adjusted EBITDA. Normal, ongoing defense costs of the Company made in the normal course of our business are not excluded.</w:t>
      </w:r>
    </w:p>
    <w:p>
      <w:pPr>
        <w:pStyle w:val="TextBody"/>
        <w:bidi w:val="0"/>
        <w:spacing w:lineRule="auto" w:line="288" w:before="0" w:after="6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Reconciliation of U.S. GAAP Net Earnings (Loss) to Adjusted Net Earnings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net earnings (loss) as reported under U.S. GAAP, and adjusted net earnings for the periods shown follows:</w:t>
      </w:r>
    </w:p>
    <w:tbl>
      <w:tblPr>
        <w:tblW w:w="10205" w:type="dxa"/>
        <w:jc w:val="left"/>
        <w:tblInd w:w="0" w:type="dxa"/>
        <w:tblLayout w:type="fixed"/>
        <w:tblCellMar>
          <w:top w:w="28" w:type="dxa"/>
          <w:left w:w="28" w:type="dxa"/>
          <w:bottom w:w="28" w:type="dxa"/>
          <w:right w:w="28" w:type="dxa"/>
        </w:tblCellMar>
      </w:tblPr>
      <w:tblGrid>
        <w:gridCol w:w="2146"/>
        <w:gridCol w:w="1520"/>
        <w:gridCol w:w="1516"/>
        <w:gridCol w:w="211"/>
        <w:gridCol w:w="766"/>
        <w:gridCol w:w="109"/>
        <w:gridCol w:w="109"/>
        <w:gridCol w:w="466"/>
        <w:gridCol w:w="109"/>
        <w:gridCol w:w="109"/>
        <w:gridCol w:w="109"/>
        <w:gridCol w:w="211"/>
        <w:gridCol w:w="766"/>
        <w:gridCol w:w="109"/>
        <w:gridCol w:w="109"/>
        <w:gridCol w:w="109"/>
        <w:gridCol w:w="109"/>
        <w:gridCol w:w="109"/>
        <w:gridCol w:w="109"/>
        <w:gridCol w:w="211"/>
        <w:gridCol w:w="818"/>
        <w:gridCol w:w="109"/>
        <w:gridCol w:w="109"/>
        <w:gridCol w:w="157"/>
      </w:tblGrid>
      <w:tr>
        <w:trPr/>
        <w:tc>
          <w:tcPr>
            <w:tcW w:w="214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949" w:type="dxa"/>
            <w:gridSpan w:val="10"/>
            <w:tcBorders/>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949" w:type="dxa"/>
            <w:gridSpan w:val="10"/>
            <w:tcBorders/>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 accounting related amortization (primarily included in cost of sales) </w:t>
            </w:r>
            <w:r>
              <w:rPr>
                <w:rFonts w:ascii="Times New Roman;sans-serif" w:hAnsi="Times New Roman;sans-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Impairment of goodwill related to assets held for sale (included in SG&amp;A) </w:t>
            </w:r>
            <w:r>
              <w:rPr>
                <w:rFonts w:ascii="Times New Roman;sans-serif" w:hAnsi="Times New Roman;sans-serif"/>
                <w:b w:val="false"/>
                <w:color w:val="000000"/>
                <w:sz w:val="13"/>
              </w:rPr>
              <w:t>(b)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amortization of premiums and discounts on long 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investments pre-tax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and divestiture-related costs (primarily included in SG&amp;A) </w:t>
            </w:r>
            <w:r>
              <w:rPr>
                <w:rFonts w:ascii="Times New Roman;sans-serif" w:hAnsi="Times New Roman;sans-serif"/>
                <w:b w:val="false"/>
                <w:color w:val="000000"/>
                <w:sz w:val="13"/>
              </w:rPr>
              <w:t>(c)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Loss (gain) on divestitures of businesses (included in other income, net) </w:t>
            </w:r>
            <w:r>
              <w:rPr>
                <w:rFonts w:ascii="Times New Roman;sans-serif" w:hAnsi="Times New Roman;sans-serif"/>
                <w:b w:val="false"/>
                <w:color w:val="000000"/>
                <w:sz w:val="13"/>
              </w:rPr>
              <w:t>(d)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Restructuring-related costs </w:t>
            </w:r>
            <w:r>
              <w:rPr>
                <w:rFonts w:ascii="Times New Roman;sans-serif" w:hAnsi="Times New Roman;sans-serif"/>
                <w:b w:val="false"/>
                <w:color w:val="000000"/>
                <w:sz w:val="13"/>
              </w:rPr>
              <w: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 included in: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sales </w:t>
            </w:r>
            <w:r>
              <w:rPr>
                <w:rFonts w:ascii="Times New Roman;sans-serif" w:hAnsi="Times New Roman;sans-serif"/>
                <w:b w:val="false"/>
                <w:color w:val="000000"/>
                <w:sz w:val="13"/>
              </w:rPr>
              <w:t>(f)</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Selling, general and administrative expense </w:t>
            </w:r>
            <w:r>
              <w:rPr>
                <w:rFonts w:ascii="Times New Roman;sans-serif" w:hAnsi="Times New Roman;sans-serif"/>
                <w:b w:val="false"/>
                <w:color w:val="000000"/>
                <w:sz w:val="13"/>
              </w:rPr>
              <w:t>(g)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net </w:t>
            </w:r>
            <w:r>
              <w:rPr>
                <w:rFonts w:ascii="Times New Roman;sans-serif" w:hAnsi="Times New Roman;sans-serif"/>
                <w:b w:val="false"/>
                <w:color w:val="000000"/>
                <w:sz w:val="13"/>
              </w:rPr>
              <w:t>(h)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effect of the above items and other income tax related items</w:t>
            </w:r>
            <w:r>
              <w:rPr>
                <w:color w:val="000000"/>
              </w:rPr>
              <w:t xml:space="preserve"> </w:t>
            </w:r>
            <w:r>
              <w:rPr>
                <w:rFonts w:ascii="Times New Roman;sans-serif" w:hAnsi="Times New Roman;sans-serif"/>
                <w:b w:val="false"/>
                <w:color w:val="000000"/>
                <w:sz w:val="13"/>
              </w:rPr>
              <w:t>(i)</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items for the year ended December 31, 2023 include the following:</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(a)    </w:t>
      </w:r>
      <w:r>
        <w:rPr>
          <w:rFonts w:ascii="Times New Roman;sans-serif" w:hAnsi="Times New Roman;sans-serif"/>
          <w:b w:val="false"/>
          <w:color w:val="000000"/>
          <w:sz w:val="20"/>
        </w:rPr>
        <w:t>Includes an intangible asset charge related to the divestitures of the commercialization rights in the Upjohn Distributor Markets of approximately $32.0 million to write down the disposal group to fair value, less cost to sell. Also includes amortization of the step-up in the fair value of inventory related to the Oyster Point acquisition of approximately $29.3 million.</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(b)    </w:t>
      </w:r>
      <w:r>
        <w:rPr>
          <w:rFonts w:ascii="Times New Roman;sans-serif" w:hAnsi="Times New Roman;sans-serif"/>
          <w:b w:val="false"/>
          <w:color w:val="000000"/>
          <w:sz w:val="20"/>
        </w:rPr>
        <w:t>A goodwill impairment charge of approximately $580.1 million related to the planned divestiture of the OTC Business.</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(c)    </w:t>
      </w:r>
      <w:r>
        <w:rPr>
          <w:rFonts w:ascii="Times New Roman;sans-serif" w:hAnsi="Times New Roman;sans-serif"/>
          <w:b w:val="false"/>
          <w:color w:val="000000"/>
          <w:sz w:val="20"/>
        </w:rPr>
        <w:t>Acquisition and divestiture-related costs consist primarily of transaction costs including legal and consulting fees and integration activities.</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(d)    </w:t>
      </w:r>
      <w:r>
        <w:rPr>
          <w:rFonts w:ascii="Times New Roman;sans-serif" w:hAnsi="Times New Roman;sans-serif"/>
          <w:b w:val="false"/>
          <w:color w:val="000000"/>
          <w:sz w:val="20"/>
        </w:rPr>
        <w:t xml:space="preserve">Includes a charge related to the planned divestiture of the OTC Business of approximately $154.7 million to write down the disposal group to fair value, less cost to sell, and a charge of approximately $85.2 million related to the divestitures of the commercialization rights in the Upjohn Distributor Markets. </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(e)    </w:t>
      </w:r>
      <w:r>
        <w:rPr>
          <w:rFonts w:ascii="Times New Roman;sans-serif" w:hAnsi="Times New Roman;sans-serif"/>
          <w:b w:val="false"/>
          <w:color w:val="000000"/>
          <w:sz w:val="20"/>
        </w:rPr>
        <w:t xml:space="preserve">Includes approximately $101.8 million in cost of sales, approximately $0.3 million in R&amp;D, and approximately $23.1 million in SG&amp;A. Refer to Note 17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included in Part II, Item 8 of this Form 10-K for additional information.</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(f)    </w:t>
      </w:r>
      <w:r>
        <w:rPr>
          <w:rFonts w:ascii="Times New Roman;sans-serif" w:hAnsi="Times New Roman;sans-serif"/>
          <w:b w:val="false"/>
          <w:color w:val="000000"/>
          <w:sz w:val="20"/>
        </w:rPr>
        <w:t xml:space="preserve">Includes incremental manufacturing variances at plants in the 2020 restructuring program of approximately $45.9 million and charges related to the divestitures of the commercialization rights in the Upjohn Distributor Markets of approximately $19.2 million. </w:t>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(g)</w:t>
      </w:r>
      <w:r>
        <w:rPr>
          <w:color w:val="000000"/>
        </w:rPr>
        <w:t>    </w:t>
      </w:r>
      <w:r>
        <w:rPr>
          <w:rFonts w:ascii="Times New Roman;sans-serif" w:hAnsi="Times New Roman;sans-serif"/>
          <w:b w:val="false"/>
          <w:color w:val="000000"/>
          <w:sz w:val="20"/>
        </w:rPr>
        <w:t>Includes a gain of approximately $156.2 million on the transaction to divest the Company’s rights to two women’s healthcare products in certain countries (other than in the U.K., which remains subject to regulatory approval), which closed in December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pPr>
      <w:r>
        <w:rPr>
          <w:rFonts w:ascii="Times New Roman;sans-serif" w:hAnsi="Times New Roman;sans-serif"/>
          <w:b w:val="false"/>
          <w:color w:val="000000"/>
          <w:sz w:val="10"/>
        </w:rPr>
        <w:t>(h)</w:t>
      </w:r>
      <w:r>
        <w:rPr>
          <w:color w:val="000000"/>
        </w:rPr>
        <w:t>    </w:t>
      </w:r>
      <w:r>
        <w:rPr>
          <w:rFonts w:ascii="Times New Roman;sans-serif" w:hAnsi="Times New Roman;sans-serif"/>
          <w:b w:val="false"/>
          <w:color w:val="000000"/>
          <w:sz w:val="20"/>
        </w:rPr>
        <w:t>Includes net gains of approximately $43.4 million as a result of remeasuring our non-marketable equity investments to fair value, including our equity interests in Mapi and Famy Life Sciences and the CCPS in Biocon Biologics.</w:t>
      </w:r>
    </w:p>
    <w:p>
      <w:pPr>
        <w:pStyle w:val="TextBody"/>
        <w:bidi w:val="0"/>
        <w:spacing w:lineRule="auto" w:line="288" w:before="0" w:after="240"/>
        <w:ind w:left="0" w:right="0" w:hanging="360"/>
        <w:jc w:val="left"/>
        <w:rPr/>
      </w:pPr>
      <w:r>
        <w:rPr>
          <w:rFonts w:ascii="Times New Roman;sans-serif" w:hAnsi="Times New Roman;sans-serif"/>
          <w:b w:val="false"/>
          <w:color w:val="000000"/>
          <w:sz w:val="10"/>
        </w:rPr>
        <w:t>(i)</w:t>
      </w:r>
      <w:r>
        <w:rPr>
          <w:color w:val="000000"/>
        </w:rPr>
        <w:t>    </w:t>
      </w:r>
      <w:r>
        <w:rPr>
          <w:rFonts w:ascii="Times New Roman;sans-serif" w:hAnsi="Times New Roman;sans-serif"/>
          <w:b w:val="false"/>
          <w:color w:val="000000"/>
          <w:sz w:val="20"/>
        </w:rPr>
        <w:t xml:space="preserve">Adjusted for changes for uncertain tax positions. </w:t>
      </w:r>
    </w:p>
    <w:p>
      <w:pPr>
        <w:pStyle w:val="TextBody"/>
        <w:bidi w:val="0"/>
        <w:spacing w:lineRule="auto" w:line="288" w:before="0" w:after="6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Reconciliation of U.S. GAAP Net Earnings (Loss) to EBITDA and Adjusted EBITDA</w:t>
      </w:r>
    </w:p>
    <w:p>
      <w:pPr>
        <w:pStyle w:val="TextBody"/>
        <w:bidi w:val="0"/>
        <w:spacing w:before="0" w:after="0"/>
        <w:ind w:left="0" w:right="0" w:firstLine="27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U.S. GAAP net earnings (loss) to EBITDA and adjusted EBITDA for the year ended December 31, 2023 compared to the prior year periods:</w:t>
      </w:r>
    </w:p>
    <w:tbl>
      <w:tblPr>
        <w:tblW w:w="10205" w:type="dxa"/>
        <w:jc w:val="left"/>
        <w:tblInd w:w="0" w:type="dxa"/>
        <w:tblLayout w:type="fixed"/>
        <w:tblCellMar>
          <w:top w:w="28" w:type="dxa"/>
          <w:left w:w="28" w:type="dxa"/>
          <w:bottom w:w="28" w:type="dxa"/>
          <w:right w:w="28" w:type="dxa"/>
        </w:tblCellMar>
      </w:tblPr>
      <w:tblGrid>
        <w:gridCol w:w="2217"/>
        <w:gridCol w:w="1921"/>
        <w:gridCol w:w="1926"/>
        <w:gridCol w:w="109"/>
        <w:gridCol w:w="211"/>
        <w:gridCol w:w="766"/>
        <w:gridCol w:w="109"/>
        <w:gridCol w:w="109"/>
        <w:gridCol w:w="109"/>
        <w:gridCol w:w="109"/>
        <w:gridCol w:w="211"/>
        <w:gridCol w:w="766"/>
        <w:gridCol w:w="109"/>
        <w:gridCol w:w="109"/>
        <w:gridCol w:w="109"/>
        <w:gridCol w:w="109"/>
        <w:gridCol w:w="211"/>
        <w:gridCol w:w="839"/>
        <w:gridCol w:w="156"/>
      </w:tblGrid>
      <w:tr>
        <w:trPr/>
        <w:tc>
          <w:tcPr>
            <w:tcW w:w="2217"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contribution attributable to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 (deduct) adjustments: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divestitures of businesses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related to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acquisition and divestiture-related and other special items </w:t>
            </w:r>
            <w:r>
              <w:rPr>
                <w:rFonts w:ascii="Times New Roman;sans-serif" w:hAnsi="Times New Roman;sans-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(a)    </w:t>
      </w:r>
      <w:r>
        <w:rPr>
          <w:rFonts w:ascii="Times New Roman;sans-serif" w:hAnsi="Times New Roman;sans-serif"/>
          <w:b w:val="false"/>
          <w:color w:val="000000"/>
          <w:sz w:val="20"/>
        </w:rPr>
        <w:t>Includes amortization of premiums and discounts on long-term debt.</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(b)    </w:t>
      </w:r>
      <w:r>
        <w:rPr>
          <w:rFonts w:ascii="Times New Roman;sans-serif" w:hAnsi="Times New Roman;sans-serif"/>
          <w:b w:val="false"/>
          <w:color w:val="000000"/>
          <w:sz w:val="20"/>
        </w:rPr>
        <w:t>Includes purchase accounting related amortization.</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(c)    </w:t>
      </w:r>
      <w:r>
        <w:rPr>
          <w:rFonts w:ascii="Times New Roman;sans-serif" w:hAnsi="Times New Roman;sans-serif"/>
          <w:b w:val="false"/>
          <w:color w:val="000000"/>
          <w:sz w:val="20"/>
        </w:rPr>
        <w:t xml:space="preserve">See items detailed in the Reconciliation of U.S. GAAP Net Earnings (Loss) to Adjusted Net Earnings. </w:t>
      </w:r>
    </w:p>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 of liquidity is net cash provided by operating activities, which was $2.80 billion for the year ended December 31, 2023.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by $153.0 million to $2.80 billion for the year ended December 31, 2023, as compared to net cash provided by operating activities of $2.95 billion for the year ended December 31, 2022. Net cash provided by operating activities is derived from net earnings (loss)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net cash provided by operating activities was principally due to lower operating earnings, including as a result of the disposition of the biosimilars business in November 2022 and other divestitures during 2023, and the timing of cash payments and collections. This was partially offset by higher deal-related costs in 2022, primarily taxes and transaction costs, associated with the closing of the Biocon Biologics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$764.1 million for the year ended December 31, 2023, as compared to net cash from investing activities of $1.52 billion for the year ended December 31, 2022, a decrease of $2.28 billion.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In 2023, significant items in investing activities included the following: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paid for acquisitions, net of cash acquired, of $667.7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payments for product rights and other, net totaling approximately $97.5 million, related to various product-related payments;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capital expenditures, primarily for equipment and facilities, totaling approximately $377.0 million. While there can be no assurance that current expectations will be realized, capital expenditures for the 2024 calendar year are expected to be approximately $350 million to $450 million;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proceeds from the sale of assets and businesses of $364.1 million, primarily related to divestitures of the Company’s rights to two women’s healthcare products in certain countries (other than in the U.K., which remains subject to regulatory approval) and commercialization rights in certain Upjohn Distributor Markets.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 2022,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proceeds from the sale of assets of $1.95 billion related to the Biocon Biologics Transaction;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capital expenditures, primarily for equipment and facilities, totaling approximately $406.0 million.</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$2.30 billion for the year ended December 31, 2023, as compared to net cash used in financing activities of $3.88 billion for the year ended December 31, 2022, a decrease of $1.58 billion. </w:t>
      </w:r>
    </w:p>
    <w:p>
      <w:pPr>
        <w:pStyle w:val="TextBody"/>
        <w:bidi w:val="0"/>
        <w:spacing w:lineRule="auto" w:line="276"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In 2023, significant items in financing activities included the following: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repayments of Senior Notes at maturity of approximately $1.25 billion, consisting of the 3.125% Senior Notes and the 4.200% Senior Notes;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share repurchases of $250.0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dividends paid of $575.6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payment of $220.0 million to Biocon Biologics related to the closing working capital target, partially offset by net cash of $47.6 million, primarily collected on behalf of other partners, which are included in Other items, net.</w:t>
      </w:r>
    </w:p>
    <w:p>
      <w:pPr>
        <w:pStyle w:val="TextBody"/>
        <w:bidi w:val="0"/>
        <w:spacing w:lineRule="auto" w:line="276" w:before="0" w:after="120"/>
        <w:jc w:val="left"/>
        <w:rPr>
          <w:rFonts w:ascii="Times New Roman;sans-serif" w:hAnsi="Times New Roman;sans-serif"/>
          <w:b/>
          <w:color w:val="000000"/>
          <w:sz w:val="20"/>
        </w:rPr>
      </w:pPr>
      <w:r>
        <w:rPr>
          <w:rFonts w:ascii="Times New Roman;sans-serif" w:hAnsi="Times New Roman;sans-serif"/>
          <w:b/>
          <w:color w:val="000000"/>
          <w:sz w:val="20"/>
        </w:rPr>
        <w:t>In 2022,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repayments of Senior Notes at maturity of approximately $1.79 billion, consisting of the 0.816% Euro Senior Notes and the 1.125% Senior Notes;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borrowings and repayments under the Revolving Facility of $1.88 billion;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net repayments of short-term borrowings of $1.49 billion;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dividends paid of $581.6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proceeds of $19.3 million related to cash collected on behalf of Biocon Biologics.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the consolidated statements of cash flows in Part II, Item 8 of this Form 10-K for additional details on other significant sources and uses of cash during the years ended December 31, 2023 and 2022.</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Capital Resources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totaled $991.9 million at December 31, 2023. The majority of our cash is invested in U.S. government money market funds. In order to support our global operations, we maintain significant cash and cash equivalents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counterparty. The Company anticipates having sufficient liquidity, including existing borrowing capacity under the Revolving Facility, Commercial Paper Program, Receivables Facility, and Note Securitization Facility combined with cash to be generated from operations, to fund foreseeable cash needs without requiring the repatriation of non-U.S. cash.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access to $4.0 billion under the Revolving Facility which matures in July 2026. Effective April 28, 2023, we executed an amendment to the Revolving Facility to convert the benchmark interest rate from LIBOR to an adjusted SOFR, with no change in the applicable interest rate margins. Up to $1.65 billion of the Revolving Facility may be used to support borrowings under our Commercial Paper Program. As of December 31, 2023, the Company did not have any borrowings outstanding under the Commercial Paper Program and the Revolving Facility.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$400 million Receivables Facility which expires in April 2025 and a $200 million Note Securitization Facility which expires in August 2024. As of December 31, 2023, the Company did not have any borrowings outstanding under the Receivables Facility or the Note Securitization Facility.</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 plus 0.775%, and under the Note Securitization Facility at the relevant base rate plus 1.00% and are included as a component of short-term borrowings, while the accounts receivable securing these obligations remain as a component of accounts receivable, net, in our consolidated balance sheets. In addition, the agreements governing the Receivables Facility and Note Securitization Facility contain various customary affirmative and negative covenants, and customary default and termination provisions.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$30.8 million and $34.7 million of accounts receivable as of December 31, 2023 and 2022 under these factoring arrangements, respectively. Additionally, in 2023, we entered into a similar arrangement for certain European countries. As of December 31, 2023, we have assigned and derecognized approximately $415.7 million of </w:t>
      </w:r>
      <w:r>
        <w:rPr>
          <w:rFonts w:ascii="Times New Roman;sans-serif" w:hAnsi="Times New Roman;sans-serif"/>
          <w:b w:val="false"/>
          <w:i/>
          <w:color w:val="000000"/>
          <w:sz w:val="20"/>
        </w:rPr>
        <w:t>Trade Receivables, Net</w:t>
      </w:r>
      <w:r>
        <w:rPr>
          <w:rFonts w:ascii="Times New Roman;sans-serif" w:hAnsi="Times New Roman;sans-serif"/>
          <w:b w:val="false"/>
          <w:color w:val="000000"/>
          <w:sz w:val="20"/>
        </w:rPr>
        <w:t xml:space="preserve">, which are now included in </w:t>
      </w:r>
      <w:r>
        <w:rPr>
          <w:rFonts w:ascii="Times New Roman;sans-serif" w:hAnsi="Times New Roman;sans-serif"/>
          <w:b w:val="false"/>
          <w:i/>
          <w:color w:val="000000"/>
          <w:sz w:val="20"/>
        </w:rPr>
        <w:t>Other Receivables</w:t>
      </w:r>
      <w:r>
        <w:rPr>
          <w:rFonts w:ascii="Times New Roman;sans-serif" w:hAnsi="Times New Roman;sans-serif"/>
          <w:b w:val="false"/>
          <w:color w:val="000000"/>
          <w:sz w:val="20"/>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December 31, 2023 and 2022 were $65.1 million and $33.4 million, respectively. These amounts are included within </w:t>
      </w:r>
      <w:r>
        <w:rPr>
          <w:rFonts w:ascii="Times New Roman;sans-serif" w:hAnsi="Times New Roman;sans-serif"/>
          <w:b w:val="false"/>
          <w:i/>
          <w:color w:val="000000"/>
          <w:sz w:val="20"/>
        </w:rPr>
        <w:t>Accounts payable</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shd w:fill="FFFFFF" w:val="clear"/>
        </w:rPr>
        <w:t xml:space="preserve">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w:t>
      </w:r>
      <w:r>
        <w:rPr>
          <w:rFonts w:ascii="Times New Roman;sans-serif" w:hAnsi="Times New Roman;sans-serif"/>
          <w:b w:val="false"/>
          <w:color w:val="000000"/>
          <w:sz w:val="20"/>
        </w:rPr>
        <w:t>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previously discussed, on October 1, 2023, the Company announced certain divestiture related transactions. Refer to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 Part II, Item 8 of this Form 10-K for more information.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For information regarding our dividends paid and declared and share repurchase program, refer to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 Part II, Item 8 of this Form 10-K.</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Debt Maturity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For information regarding our debt agreements and mandatory minimum repayments remaining on the outstanding notional amount of long-term debt at December 31, 2023, refer to Note 10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in Part II, Item 8 of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YEN Term Loan Facility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for the quarter ended March 31, 2023 and each quarter ending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 compliance with its covenants at December 31, 2023 and expects to remain in compliance for the next twelve months.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Guarantor Financial Information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Inc. is the issuer of the Registered Upjohn Notes, which are fully and unconditionally guaranteed on a senior unsecured basis by Mylan Inc., Mylan II B.V. and Utah Acquisition Sub Inc.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Combination, Utah Acquisition Sub Inc. is the issuer of the Utah U.S. Dollar Notes, which are fully and unconditionally guaranteed on a senior unsecured basis by Mylan Inc., Viatris Inc. and Mylan II B.V.</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Mylan Inc. is the issuer of the Mylan Inc. U.S. Dollar Notes, which are fully and unconditionally guaranteed on a senior unsecured basis by Mylan II B.V., Viatris Inc. and Utah Acquisition Sub Inc.</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unaudited summarized financial information of Viatris Inc., Mylan Inc., Utah Acquisition Sub Inc., and Mylan II B.V. on a combined basis as of and for the years ended December 31, 2023 and 2022. All intercompany balances have been eliminated in consolidation. This unaudited combined summarized financial information is presented utilizing the equity method of accounting.</w:t>
      </w:r>
    </w:p>
    <w:tbl>
      <w:tblPr>
        <w:tblW w:w="10205" w:type="dxa"/>
        <w:jc w:val="left"/>
        <w:tblInd w:w="0" w:type="dxa"/>
        <w:tblLayout w:type="fixed"/>
        <w:tblCellMar>
          <w:top w:w="28" w:type="dxa"/>
          <w:left w:w="28" w:type="dxa"/>
          <w:bottom w:w="28" w:type="dxa"/>
          <w:right w:w="28" w:type="dxa"/>
        </w:tblCellMar>
      </w:tblPr>
      <w:tblGrid>
        <w:gridCol w:w="875"/>
        <w:gridCol w:w="767"/>
        <w:gridCol w:w="721"/>
        <w:gridCol w:w="690"/>
        <w:gridCol w:w="2507"/>
        <w:gridCol w:w="356"/>
        <w:gridCol w:w="356"/>
        <w:gridCol w:w="356"/>
        <w:gridCol w:w="356"/>
        <w:gridCol w:w="698"/>
        <w:gridCol w:w="2016"/>
        <w:gridCol w:w="507"/>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Combined Summarized Balance Sheet Information of Viatris Inc., Mylan Inc., Utah Acquisition Sub Inc. and Mylan II B.V. </w:t>
            </w:r>
          </w:p>
        </w:tc>
      </w:tr>
      <w:tr>
        <w:trPr/>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63,212.6 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61,972.6 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26,631.5 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15,265.2 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5"/>
        <w:gridCol w:w="549"/>
        <w:gridCol w:w="539"/>
        <w:gridCol w:w="997"/>
        <w:gridCol w:w="1881"/>
        <w:gridCol w:w="504"/>
        <w:gridCol w:w="504"/>
        <w:gridCol w:w="504"/>
        <w:gridCol w:w="504"/>
        <w:gridCol w:w="997"/>
        <w:gridCol w:w="1881"/>
        <w:gridCol w:w="720"/>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Combined Summarized Income Statement Information of Viatris Inc., Mylan Inc., Utah Acquisition Sub Inc. and Mylan II B.V. </w:t>
            </w:r>
          </w:p>
        </w:tc>
      </w:tr>
      <w:tr>
        <w:trPr/>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(1,243.8)</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Commitments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$173 million accrued for legal contingencies at December 31, 2023.</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Combination, Viatris entered into a TSA with Pfizer pursuant to which each party provided certain limited transition services to the other party. In addition to 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During the years ended December 31, 2023, 2022 and 2021, the Company incurred $5.5 million, $54.5 million, and $30.4 million, respectively, related to this provision of the TSA, and approximately $143.5 million during the period beginning on the closing date of the Combination and ended December 31, 2023. As of December 31, 2022, the Company had exited substantially all transition services with Pfizer.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Announced Divestitures, Viatris has agreed, at the closing of the respective transactions, to enter into transition services and manufacturing and supply agreements pursuant to which the Company will provide services to the respective purchasers, substantially the same as we currently provide to the related businesses, generally for a period of up to 12 months, subject to potential extensions in certain circumstances. In addition, in connection with the OTC Transaction and the divestiture of our women’s healthcare business, we have agreed, at the closing of the respective transactions, to enter into distribution agreements for certain markets for a limited period of time. In connection with our API business divestiture, we have agreed to enter into a manufacturing and supply agreement pursuant to which we will purchase a significant amount of API from the purchaser in that transaction.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our material cash requirements from known contractual and other obligations primarily relate to repayment of outstanding borrowings and interest, open purchase orders, post-employment benefit plans, unrecognized tax benefits, capital expenditures, dividends and leases. For additional information, refer to Notes 2, 7, 10, 12, 14, and 16 in Part II, Item 8 of this Form 10-K. We anticipate our cash requirements related to ordinary course purchases of goods and services will be consistent with our past levels.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Viatris periodically enters into employment, legal settlement and other agreements which incorporate indemnification provisions. While the maximum amount to which Viatris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employment and other agreements with certain executives and other employees that provide for compensation and certain other benefits. These agreements provide for severance payments under certain circumstances.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Licensing and Other Partner Agreements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Under our licensing and other partner agreements, our potential maximum development milestones not accrued for at December 31, 2023 totaled approximately $415.0 million. We estimate that the amounts that may be paid during the next twelve months to be approximately $89 million. Additionally, these agreements may also include potential sales-based milestones and call for us to pay a percentage of amounts earned from the sale of the product as a royalty or a profit share. Refer to Note 18 </w:t>
      </w:r>
      <w:r>
        <w:rPr>
          <w:rFonts w:ascii="Times New Roman;sans-serif" w:hAnsi="Times New Roman;sans-serif"/>
          <w:b w:val="false"/>
          <w:i/>
          <w:color w:val="000000"/>
          <w:sz w:val="20"/>
        </w:rPr>
        <w:t xml:space="preserve">Licensing and Other Partner Agreements </w:t>
      </w:r>
      <w:r>
        <w:rPr>
          <w:rFonts w:ascii="Times New Roman;sans-serif" w:hAnsi="Times New Roman;sans-serif"/>
          <w:b w:val="false"/>
          <w:color w:val="000000"/>
          <w:sz w:val="20"/>
        </w:rPr>
        <w:t>included in Part II, Item 8 of this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Application of Critical Accounting Policies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Our significant accounting policies are described in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included in Part II, Item 8 of this Form 10-K and are in accordance with U.S. GAAP.</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acquisitions, intangible assets, goodwill and contingent consideration, income taxes and the impact of existing legal matters.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recognize revenues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receivable, net (if settled via credit) and other current liabilities (if paid in cash). Amounts recorded for revenue deductions can result from a complex series of judgements about future events and uncertainties and can rely heavily on estimates and assumptions. As such, they have been identified as critical accounting estimates. The following section briefly describes the nature of our provisions for variable consideration and how such provisions are estimated: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Chargebacks</w:t>
      </w:r>
      <w:r>
        <w:rPr>
          <w:rFonts w:ascii="Times New Roman;sans-serif" w:hAnsi="Times New Roman;sans-serif"/>
          <w:b w:val="false"/>
          <w:color w:val="000000"/>
          <w:sz w:val="20"/>
        </w:rPr>
        <w:t>: the Company has agreements with certain indirect customers, such as independent pharmacies, retail pharmacy chains, managed care 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 We continually monitor our provision for chargebacks and evaluate our reserve and estimates as additional information becomes available. A change of 5% would have an effect on our reserve balance of approximately $26.5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Rebates, promotional programs and other sales allowances</w:t>
      </w:r>
      <w:r>
        <w:rPr>
          <w:rFonts w:ascii="Times New Roman;sans-serif" w:hAnsi="Times New Roman;sans-serif"/>
          <w:b w:val="false"/>
          <w:color w:val="000000"/>
          <w:sz w:val="20"/>
        </w:rPr>
        <w:t>: this category includes rebate and other programs to assist in product sales. These 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A change of 5% would have an effect on our reserve balance of approximately $55.2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Returns</w:t>
      </w:r>
      <w:r>
        <w:rPr>
          <w:rFonts w:ascii="Times New Roman;sans-serif" w:hAnsi="Times New Roman;sans-serif"/>
          <w:b w:val="false"/>
          <w:color w:val="000000"/>
          <w:sz w:val="20"/>
        </w:rPr>
        <w:t>: consistent with industry practice, Viatris maintains a return policy that allows customers to return a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 A change of 5% would have an effect on our reserve balance of approximately $21.3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Governmental rebate programs</w:t>
      </w:r>
      <w:r>
        <w:rPr>
          <w:rFonts w:ascii="Times New Roman;sans-serif" w:hAnsi="Times New Roman;sans-serif"/>
          <w:b w:val="false"/>
          <w:color w:val="000000"/>
          <w:sz w:val="20"/>
        </w:rPr>
        <w:t>: government reimbursement programs in the U.S. include Medicare, Medicaid, and State Pharmacy Assistance 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change of 5% would have an effect on our reserve balance of approximately $21.1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rollforward of the categories of variable consideration during 2023:</w:t>
      </w:r>
    </w:p>
    <w:tbl>
      <w:tblPr>
        <w:tblW w:w="10205" w:type="dxa"/>
        <w:jc w:val="left"/>
        <w:tblInd w:w="0" w:type="dxa"/>
        <w:tblLayout w:type="fixed"/>
        <w:tblCellMar>
          <w:top w:w="28" w:type="dxa"/>
          <w:left w:w="28" w:type="dxa"/>
          <w:bottom w:w="28" w:type="dxa"/>
          <w:right w:w="28" w:type="dxa"/>
        </w:tblCellMar>
      </w:tblPr>
      <w:tblGrid>
        <w:gridCol w:w="599"/>
        <w:gridCol w:w="439"/>
        <w:gridCol w:w="442"/>
        <w:gridCol w:w="224"/>
        <w:gridCol w:w="815"/>
        <w:gridCol w:w="116"/>
        <w:gridCol w:w="109"/>
        <w:gridCol w:w="109"/>
        <w:gridCol w:w="109"/>
        <w:gridCol w:w="247"/>
        <w:gridCol w:w="1020"/>
        <w:gridCol w:w="127"/>
        <w:gridCol w:w="109"/>
        <w:gridCol w:w="109"/>
        <w:gridCol w:w="109"/>
        <w:gridCol w:w="318"/>
        <w:gridCol w:w="636"/>
        <w:gridCol w:w="165"/>
        <w:gridCol w:w="109"/>
        <w:gridCol w:w="109"/>
        <w:gridCol w:w="109"/>
        <w:gridCol w:w="227"/>
        <w:gridCol w:w="962"/>
        <w:gridCol w:w="117"/>
        <w:gridCol w:w="109"/>
        <w:gridCol w:w="109"/>
        <w:gridCol w:w="109"/>
        <w:gridCol w:w="230"/>
        <w:gridCol w:w="558"/>
        <w:gridCol w:w="119"/>
        <w:gridCol w:w="109"/>
        <w:gridCol w:w="109"/>
        <w:gridCol w:w="109"/>
        <w:gridCol w:w="224"/>
        <w:gridCol w:w="813"/>
        <w:gridCol w:w="172"/>
      </w:tblGrid>
      <w:tr>
        <w:trPr/>
        <w:tc>
          <w:tcPr>
            <w:tcW w:w="5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Current Provision Related to Sales Made in the Current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Acquisitions, Divestitures,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Checks/ Credits Issued to Third Parties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Effects of 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2023</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(10,528.0)</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these provisions are presented in the consolidated financial statements as reductions in determining net revenues and as a contra asset in accounts receivable, net (if settled via credit) and other current liabilities (if paid in cash). Accounts receivable are presented net of allowances relating to these provisions, which were comprised of the following at December 31, 2023 and 2022, respectively:</w:t>
      </w:r>
    </w:p>
    <w:tbl>
      <w:tblPr>
        <w:tblW w:w="4675" w:type="dxa"/>
        <w:jc w:val="center"/>
        <w:tblInd w:w="0" w:type="dxa"/>
        <w:tblLayout w:type="fixed"/>
        <w:tblCellMar>
          <w:top w:w="28" w:type="dxa"/>
          <w:left w:w="28" w:type="dxa"/>
          <w:bottom w:w="28" w:type="dxa"/>
          <w:right w:w="28" w:type="dxa"/>
        </w:tblCellMar>
      </w:tblPr>
      <w:tblGrid>
        <w:gridCol w:w="765"/>
        <w:gridCol w:w="670"/>
        <w:gridCol w:w="679"/>
        <w:gridCol w:w="212"/>
        <w:gridCol w:w="773"/>
        <w:gridCol w:w="110"/>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 Intangible Assets, Goodwill and Contingent Consideration</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accounts for acquired businesses using the acquisition method of accounting in accordance with the provisions of ASC 805</w:t>
      </w:r>
      <w:r>
        <w:rPr>
          <w:rFonts w:ascii="Times New Roman;sans-serif" w:hAnsi="Times New Roman;sans-serif"/>
          <w:b w:val="false"/>
          <w:i/>
          <w:color w:val="000000"/>
          <w:sz w:val="20"/>
        </w:rPr>
        <w:t>, Business Combinations</w:t>
      </w:r>
      <w:r>
        <w:rPr>
          <w:rFonts w:ascii="Times New Roman;sans-serif" w:hAnsi="Times New Roman;sans-serif"/>
          <w:b w:val="false"/>
          <w:color w:val="000000"/>
          <w:sz w:val="20"/>
        </w:rPr>
        <w:t xml:space="preserve">,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 Refer to Note 4 </w:t>
      </w:r>
      <w:r>
        <w:rPr>
          <w:rFonts w:ascii="Times New Roman;sans-serif" w:hAnsi="Times New Roman;sans-serif"/>
          <w:b w:val="false"/>
          <w:i/>
          <w:color w:val="000000"/>
          <w:sz w:val="20"/>
        </w:rPr>
        <w:t xml:space="preserve">Acquisitions and Other Transactions </w:t>
      </w:r>
      <w:r>
        <w:rPr>
          <w:rFonts w:ascii="Times New Roman;sans-serif" w:hAnsi="Times New Roman;sans-serif"/>
          <w:b w:val="false"/>
          <w:color w:val="000000"/>
          <w:sz w:val="20"/>
        </w:rPr>
        <w:t>and Note</w:t>
      </w:r>
      <w:r>
        <w:rPr>
          <w:color w:val="000000"/>
        </w:rPr>
        <w:t xml:space="preserve"> </w:t>
      </w:r>
      <w:r>
        <w:rPr>
          <w:rFonts w:ascii="Times New Roman;sans-serif" w:hAnsi="Times New Roman;sans-serif"/>
          <w:b w:val="false"/>
          <w:color w:val="000000"/>
          <w:sz w:val="20"/>
        </w:rPr>
        <w:t xml:space="preserve">8 </w:t>
      </w:r>
      <w:r>
        <w:rPr>
          <w:rFonts w:ascii="Times New Roman;sans-serif" w:hAnsi="Times New Roman;sans-serif"/>
          <w:b w:val="false"/>
          <w:i/>
          <w:color w:val="000000"/>
          <w:sz w:val="20"/>
        </w:rPr>
        <w:t xml:space="preserve">Goodwill and Intangible Assets </w:t>
      </w:r>
      <w:r>
        <w:rPr>
          <w:rFonts w:ascii="Times New Roman;sans-serif" w:hAnsi="Times New Roman;sans-serif"/>
          <w:b w:val="false"/>
          <w:color w:val="000000"/>
          <w:sz w:val="20"/>
        </w:rPr>
        <w:t>included in Part II, Item 8 of this Form 10-K</w:t>
      </w:r>
      <w:r>
        <w:rPr>
          <w:color w:val="000000"/>
          <w:shd w:fill="FFFFFF" w:val="clear"/>
        </w:rPr>
        <w:t xml:space="preserve"> </w:t>
      </w:r>
      <w:r>
        <w:rPr>
          <w:rFonts w:ascii="Times New Roman;sans-serif" w:hAnsi="Times New Roman;sans-serif"/>
          <w:b w:val="false"/>
          <w:color w:val="000000"/>
          <w:sz w:val="20"/>
          <w:shd w:fill="FFFFFF" w:val="clear"/>
        </w:rPr>
        <w:t>for additional information.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developed products and licenses that are accounted for as asset acquisitions are capitalized as intangible assets and amortized over an estimated useful life. IPR&amp;D assets acquired as part of an asset acquisition are expensed immediately if they have no alternative future uses.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contingent consideration liabilities resulting from business acquisitions or divestitures at its estimated fair value on the acquisition or divestiture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operating results, sales targets and profitability. These fair value measurements represent Level 3 measurements as they are based on significant inputs not observable in the market.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judgment is employed in determining the assumptions utilized as of the acquisition or divestiture date and for each subsequent measurement period. Accordingly, changes in the assumptions described above could have a material impact on the Company’s consolidated financial condition and results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compared to the prior year’s annual goodwill impairment test completed on April 1, 2022, the Company has experienced significant fluctuations in foreign exchange rates in certain international markets, combined with a significant increase in market interest rates. These market factors have caused the discount rate utilized in all our reporting units to increase between 1.0% to 4.5%, resulting in a significant reduction in the calculated fair values at April 1, 2023 for all our reporting units. Also, in conjunction with the Company’s annual strategic planning process which included determining long-term growth rate targets for our business, operational results during the forecast period were reduced and long-term growth rates were increased. As a result of these changes, the calculated fair values of the North America, Greater China and Europe reporting units declined in excess of 10% and the JANZ and Emerging Markets reporting units declined in excess of 15% when compared to the prior year fair values.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allocation of the Company’s total goodwill was as follows: North America $3.15 billion, Europe $4.47 billion, Emerging Markets $1.34 billion, JANZ $0.68 billion and Greater China $0.94 billion.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determined that the fair value of the North America and Greater China reporting units was substantially in excess of the respective unit’s carrying value.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Europe reporting unit, the estimated fair value exceeded its carrying value by approximately $535 million or 3.9% for the annual goodwill impairment test. As it relates to the discounted cash flow approach for the Europe reporting unit at April 1, 2023, the Company forecasted cash flows for the next 10 years. During the forecast period, the revenue compound annual growth rate was approximately 2.4%. A terminal year value was calculated with a 2.0% revenue growth rate applied. The discount rate utilized was 11.0% and the estimated tax rate was 14.9%. If all other assumptions are held constant, a reduction in the terminal value growth rate by 1.0% or an increase in discount rate by 0.5% would result in an impairment charge for the Europe reporting unit.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JANZ reporting unit, the estimated fair value exceeded its carrying value by approximately $145 million or 5.5% for the annual goodwill impairment test. As it relates to the discounted cash flow approach for the JANZ reporting unit at April 1, 2023, the Company forecasted cash flows for the next 10 years. During the forecast period, the revenue compound annual growth rate was approximately negative 2.0%. A terminal year value was calculated with a 1.5% revenue growth rate applied. The discount rate utilized was 7.0% and the estimated tax rate was 30.6%. If all other assumptions are held constant, a reduction in the terminal value growth rate by 0.5% or an increase in discount rate by 0.5% would result in an impairment charge for the JANZ reporting unit.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Emerging Markets reporting unit, the estimated fair value exceeded its carrying value by approximately $513 million or 7.7% for the annual goodwill impairment test. As it relates to the discounted cash flow approach for the Emerging Markets reporting unit at April 1, 2023, the Company forecasted cash flows for the next 10 years. During the forecast period, the revenue compound annual growth rate was approximately 1.8%. A terminal year value was calculated with a 2.0% revenue growth rate applied. The discount rate utilized was 11.5% and the estimated tax rate was 17.4%. If all other assumptions are held constant, a reduction in the terminal value growth rate by 2.5% or an increase in discount rate by 1.0% would result in an impairment charge for the Emerging Markets reporting unit.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the fourth quarter of 2022, the commercialization rights in the Upjohn Distributor Markets met the criteria to be classified as held for sale. The Company allocated goodwill to its commercialization rights in the Upjohn Distributor Markets using a relative fair value approach and recorded a goodwill impairment charge of $117.0 million in that quarter within the Emerging Markets reporting unit, which was recorded within </w:t>
      </w:r>
      <w:r>
        <w:rPr>
          <w:rFonts w:ascii="Times New Roman;sans-serif" w:hAnsi="Times New Roman;sans-serif"/>
          <w:b w:val="false"/>
          <w:i/>
          <w:color w:val="000000"/>
          <w:sz w:val="20"/>
        </w:rPr>
        <w:t>SG&amp;A</w:t>
      </w:r>
      <w:r>
        <w:rPr>
          <w:color w:val="000000"/>
        </w:rPr>
        <w:t xml:space="preserve"> </w:t>
      </w:r>
      <w:r>
        <w:rPr>
          <w:rFonts w:ascii="Times New Roman;sans-serif" w:hAnsi="Times New Roman;sans-serif"/>
          <w:b w:val="false"/>
          <w:color w:val="000000"/>
          <w:sz w:val="20"/>
        </w:rPr>
        <w:t>in the consolidated statement of operations. The goodwill impairment charge was the result of the estimated proceeds less selling costs from the disposal of the commercialization rights in the Upjohn Distributor Markets being below the carrying value of the net assets of the disposal group.</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the fourth quarter of 2023, the OTC Business met the criteria to be classified as held for sale. The Company allocated goodwill to its OTC Business using a relative fair value approach and recorded a goodwill impairment charge of $580.1 million in that quarter within the Europe (majority of the charge), JANZ and Emerging Markets reporting units, which was recorded within </w:t>
      </w:r>
      <w:r>
        <w:rPr>
          <w:rFonts w:ascii="Times New Roman;sans-serif" w:hAnsi="Times New Roman;sans-serif"/>
          <w:b w:val="false"/>
          <w:i/>
          <w:color w:val="000000"/>
          <w:sz w:val="20"/>
        </w:rPr>
        <w:t>SG&amp;A</w:t>
      </w:r>
      <w:r>
        <w:rPr>
          <w:color w:val="000000"/>
        </w:rPr>
        <w:t xml:space="preserve"> </w:t>
      </w:r>
      <w:r>
        <w:rPr>
          <w:rFonts w:ascii="Times New Roman;sans-serif" w:hAnsi="Times New Roman;sans-serif"/>
          <w:b w:val="false"/>
          <w:color w:val="000000"/>
          <w:sz w:val="20"/>
        </w:rPr>
        <w:t>in the consolidated statement of operations. The goodwill impairment charge was the result of the estimated proceeds less selling costs from the planned divestiture of the OTC Business being below the carrying value of the net assets of the disposal group.</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Refer to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included in Part II, Item 8 of this Form 10-K for additional information on these divestitures.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We assess the recoverability of certain long-lived assets, principally finite-lived intangible assets, contained within the reporting units whenever certain impairment indicators are present. Any impairment of these assets must be considered prior to our impairment review of goodwill.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For the year ended December 31, 2021, the Company recorded $83.4 million (related to the divestiture of a group of OTC products in the U.S.) of impairment charges for finite-lived intangible assets, which were recorded as a component of amortization expense. At December 31, 2023 and 2022, the Company’s finite-lived intangible assets totaled $18.86 billion and $22.57 billion, respectively. Changes to any of the Company’s assumptions related to the estimated fair value based on the discounted cash flows, including discount rates or the competitive environment related to the assets, could lead to future material impairment charges. Any future long-lived assets impairment charges could have a material impact on the Company’s consolidated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divestitures of the commercialization rights in the remaining Upjohn Distributor Markets are not completed, the distribution arrangements will expire and the Company will wind down operations in these markets, which may result in additional asset write-offs and other costs being incurred.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indefinite-lived intangible assets, principally IPR&amp;D acquired as part of business combinations,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 For the years ended December 31, 2022 and 2021, the Company recorded $0.6 million, and $19.4 million, respectively, of impairment charges, which were recorded as a component of amortization expense. At December 31, 2023 and 2022, the Company’s IPR&amp;D assets totaled $319.4 million and $40.2 million, respectively.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fair value of both IPR&amp;D and finite-lived intangible assets was determined based upon detailed valuations employing the income approach which utilized Level 3 inputs, as defined in Note 9 </w:t>
      </w:r>
      <w:r>
        <w:rPr>
          <w:rFonts w:ascii="Times New Roman;sans-serif" w:hAnsi="Times New Roman;sans-serif"/>
          <w:b w:val="false"/>
          <w:i/>
          <w:color w:val="000000"/>
          <w:sz w:val="20"/>
        </w:rPr>
        <w:t xml:space="preserve">Financial Instruments and Risk Management </w:t>
      </w:r>
      <w:r>
        <w:rPr>
          <w:rFonts w:ascii="Times New Roman;sans-serif" w:hAnsi="Times New Roman;sans-serif"/>
          <w:b w:val="false"/>
          <w:color w:val="000000"/>
          <w:sz w:val="20"/>
        </w:rPr>
        <w:t xml:space="preserve">included in Part II, Item 8 of this Form 10-K. Changes to any of the Company’s assumptions including changes to or abandonment of development programs, regulatory timelines, discount rates or the competitive environment related to the assets could lead to future material impairment charges.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compute our income taxes based on the statutory tax rates and tax reliefs available to Viatris in the various jurisdictions in which we generate income. Significant judgment is required in determining our income taxes and in evaluating our tax positions. We establish reserves in accordance with Viatris’ policy regarding accounting for uncertainty in income taxes. Our policy provides that the tax effects from an uncertain tax position be recognized in Viatris’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 or expiration of the underlying statutes of limitation. Based on this evaluation, as of December 31, 2023, our reserve for unrecognized tax benefits totaled $272.8 million, of which $204.3 million was recorded in connection with the Combination and is subject to Pfizer’s indemnification obligations to Viatris under the Tax Matters Agreement.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2023. Such objective evidence limits the ability to consider other subjective evidence such as our projections for future growth.</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this evaluation and other factors, as of December 31, 2023, a valuation allowance of $421.4 million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 are reduced or if objective negative evidence in the form of cumulative losses is no longer present and additional weight may be given to subjective evidence such as projections for growth. 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 At December 31, 2023 and 2022, the Company’s net deferred tax assets totaled $692.9 million and $925.9 million, respectively.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variance of 5% between estimated reserves and valuation allowances and actual resolution and realization of these tax items would have an effect on our reserve balance and valuation allowance of approximately $34.7 million.</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 potential that an adverse outcome in a legal proceeding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have a material adverse effect on our business, financial condition, results of operations, cash flows, and/or ordinary share price, such estimates are considered to be critical accounting estimates.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A variance of 5% between estimated and recorded litigation reserves and actual resolution of certain legal matters would have an effect on our litigation reserve balance of approximately $8.6 million. Refer to Note 19 </w:t>
      </w:r>
      <w:r>
        <w:rPr>
          <w:rFonts w:ascii="Times New Roman;sans-serif" w:hAnsi="Times New Roman;sans-serif"/>
          <w:b w:val="false"/>
          <w:i/>
          <w:color w:val="000000"/>
          <w:sz w:val="20"/>
        </w:rPr>
        <w:t xml:space="preserve">Litigation </w:t>
      </w:r>
      <w:r>
        <w:rPr>
          <w:rFonts w:ascii="Times New Roman;sans-serif" w:hAnsi="Times New Roman;sans-serif"/>
          <w:b w:val="false"/>
          <w:color w:val="000000"/>
          <w:sz w:val="20"/>
        </w:rPr>
        <w:t>included in Part II, Item 8 of this Form 10-K</w:t>
      </w:r>
      <w:r>
        <w:rPr>
          <w:color w:val="000000"/>
          <w:shd w:fill="FFFFFF" w:val="clear"/>
        </w:rPr>
        <w:t xml:space="preserve"> </w:t>
      </w:r>
      <w:r>
        <w:rPr>
          <w:rFonts w:ascii="Times New Roman;sans-serif" w:hAnsi="Times New Roman;sans-serif"/>
          <w:b w:val="false"/>
          <w:color w:val="000000"/>
          <w:sz w:val="20"/>
          <w:shd w:fill="FFFFFF" w:val="clear"/>
        </w:rPr>
        <w:t>for further discussion of litigation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Impact of Currency Fluctuations and Inflation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results are reported in U.S. Dollars, changes in the rate of exchange between the U.S. Dollar and the local currencies in the markets in which we operate, mainly the Euro, Indian Rupee, Chinese Renminbi, Japanese Yen, Australian Dollar, Canadian Dollar, Pound Sterling and South Korean Won affect our results as previously noted. During 2022 and 2023, the global economy has been impacted by high levels of inflation and rising energy costs, which has resulted in significant economic volatility. As a result, central banks have and may continue to tighten their monetary policies and increase interest rates. These macroeconomic pressures combined with the volatility in foreign exchange rates, including the strengthening of the U.S. dollar versus certain of the other currencies in which we operate, negatively impact our results of operations. We proactively look to manage such macroeconomic pressures by implementing strategies to mitigate and partially offset the impact of these factors. While inflationary and other macroeconomic pressures have somewhat eased more recently, we do not expect to see a corresponding reduction in these higher costs.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Refer to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in Part II, Item 8 of this Form 10-K for recently adopted accounting pronouncements and recently issued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7A.Quantitative and Qualitative Disclosures About Market Risk</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foreign exchange risk is managed through the use of foreign currency forward-exchange contracts. These contracts are used to offset the potential earnings effects from mostly intercompany foreign currency assets and liabilities that arise from operations and from intercompany loans. Any unhedged foreign exchange exposures continue to be subject to market fluctuations.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 holdings at year end were analyzed to determine their sensitivity to foreign exchange rate changes. The fair values of these instruments were determined as follows: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foreign currency forward-exchange contracts — net present values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foreign currency denominated receivables, payables, debt and loans — changes in exchange rates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this sensitivity analysis, we assumed that the change in one currency’s rate relative to the U.S. Dollar would not have an effect on other currencies’ rates relative to the U.S. Dollar. All other factors were held constant.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there were an adverse change in foreign currency exchange rates of 10%, the expected net effect on net income related to Viatris’ foreign currency denominated financial instruments would not be material.</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also exposed to translation risk on non-U.S. dollar-denominated net assets. Non-U.S. dollar borrowings, principally our Euro and Yen denominated long-term debt, are used to hedge the foreign currency exposures of our net investment in certain foreign affiliates and are designated as hedges of net investments. The foreign exchange gains or losses on these hedges is included in the foreign currency translation component of accumulated other comprehensive income (loss). If our net investment decreases below the equivalent value of the non-U.S. debt borrowings, the change in the remeasurement basis of the debt would be subject to recognition in net income as changes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and Long-Term Debt Risk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exposure to interest rate risk arises primarily from our U.S. Dollar and Euro borrowings and U.S. Dollar investments. We invest primarily on a variable-rate basis and we borrow on both a fixed and variable basis. In order to maintain a certain ratio of fixed to variable rate debt, from time to time, depending on market conditions, Viatris will use derivative financial instruments such as interest rate swaps to fix interest rates on variable-rate borrowings or to convert fixed-rate borrowings to variable interest rates.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Viatris’ outstanding fixed rate borrowings consist principally of $17.33 billion notional amount of senior U.S. dollar and Euro notes. Generally, the fair value of fixed interest rate debt will decrease as interest rates rise and increase as interest rates fall. As of December 31, 2023, the fair value of our outstanding fixed rate senior U.S. dollar and Euro notes was approximately $15.25 billion. As of December 31, 2023, Viatris’ outstanding variable rate borrowings consist principally of borrowings under the Yen Term Loan Facility of $283.6 million. A 100 basis point change in interest rates on Viatris’ variable rate debt would result in a change in interest expense of approximately $2.9 million per year.</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Risk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fair value risk exposure relates primarily to our equity investments that do not have readily determinable fair values, principally the CCPS received as part of the Biocon Biologics Transaction. As of December 31, 2023 and 2022, the carrying value of these investments were approximately $1.14 billion and $1.09 billion, respectively. A hypothetical 20 percent decline in the fair value of these investments would have decreased the carrying value and other income, net by approximately $228.4 million at December 31, 2023.</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8.Financial Statements And Supplementary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 and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Supplementary Financial Information</w:t>
      </w:r>
    </w:p>
    <w:tbl>
      <w:tblPr>
        <w:tblW w:w="10125" w:type="dxa"/>
        <w:jc w:val="left"/>
        <w:tblInd w:w="0" w:type="dxa"/>
        <w:tblLayout w:type="fixed"/>
        <w:tblCellMar>
          <w:top w:w="28" w:type="dxa"/>
          <w:left w:w="28" w:type="dxa"/>
          <w:bottom w:w="28" w:type="dxa"/>
          <w:right w:w="28" w:type="dxa"/>
        </w:tblCellMar>
      </w:tblPr>
      <w:tblGrid>
        <w:gridCol w:w="3458"/>
        <w:gridCol w:w="3045"/>
        <w:gridCol w:w="3051"/>
        <w:gridCol w:w="167"/>
        <w:gridCol w:w="167"/>
        <w:gridCol w:w="237"/>
      </w:tblGrid>
      <w:tr>
        <w:trPr/>
        <w:tc>
          <w:tcPr>
            <w:tcW w:w="3458"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127">
              <w:r>
                <w:rPr>
                  <w:rStyle w:val="InternetLink"/>
                  <w:rFonts w:ascii="Times New Roman;sans-serif" w:hAnsi="Times New Roman;sans-serif"/>
                  <w:b w:val="false"/>
                  <w:color w:val="0000FF"/>
                  <w:sz w:val="20"/>
                  <w:u w:val="single"/>
                </w:rPr>
                <w:t>Management’s Report on Internal Control over Financial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27">
              <w:r>
                <w:rPr>
                  <w:rStyle w:val="InternetLink"/>
                  <w:rFonts w:ascii="Times New Roman;sans-serif" w:hAnsi="Times New Roman;sans-serif"/>
                  <w:b w:val="false"/>
                  <w:color w:val="0000FF"/>
                  <w:sz w:val="20"/>
                  <w:u w:val="single"/>
                </w:rPr>
                <w:t>80</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130">
              <w:r>
                <w:rPr>
                  <w:rStyle w:val="InternetLink"/>
                  <w:rFonts w:ascii="Times New Roman;sans-serif" w:hAnsi="Times New Roman;sans-serif"/>
                  <w:b w:val="false"/>
                  <w:color w:val="0000FF"/>
                  <w:sz w:val="20"/>
                  <w:u w:val="single"/>
                </w:rPr>
                <w:t xml:space="preserve">Reports of Independent Registered Public Accounting Firm </w:t>
              </w:r>
            </w:hyperlink>
            <w:r>
              <w:rPr>
                <w:rFonts w:ascii="Times New Roman;sans-serif" w:hAnsi="Times New Roman;sans-serif"/>
                <w:b w:val="false"/>
                <w:color w:val="000000"/>
                <w:sz w:val="20"/>
              </w:rPr>
              <w:t>(PCAOB ID No. 34)</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30">
              <w:r>
                <w:rPr>
                  <w:rStyle w:val="InternetLink"/>
                  <w:rFonts w:ascii="Times New Roman;sans-serif" w:hAnsi="Times New Roman;sans-serif"/>
                  <w:b w:val="false"/>
                  <w:color w:val="0000FF"/>
                  <w:sz w:val="20"/>
                  <w:u w:val="single"/>
                </w:rPr>
                <w:t>81</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136">
              <w:r>
                <w:rPr>
                  <w:rStyle w:val="InternetLink"/>
                  <w:rFonts w:ascii="Times New Roman;sans-serif" w:hAnsi="Times New Roman;sans-serif"/>
                  <w:b w:val="false"/>
                  <w:color w:val="000080"/>
                  <w:sz w:val="20"/>
                  <w:u w:val="single"/>
                </w:rPr>
                <w:t>Consolidated Balance Sheets as of December 31, 202</w:t>
              </w:r>
            </w:hyperlink>
            <w:hyperlink w:anchor="i0b0d5c23417c472eb84c46f5f45cb005_136">
              <w:r>
                <w:rPr>
                  <w:rStyle w:val="InternetLink"/>
                  <w:rFonts w:ascii="Times New Roman;sans-serif" w:hAnsi="Times New Roman;sans-serif"/>
                  <w:b w:val="false"/>
                  <w:color w:val="000080"/>
                  <w:sz w:val="20"/>
                  <w:u w:val="single"/>
                </w:rPr>
                <w:t>3</w:t>
              </w:r>
            </w:hyperlink>
            <w:hyperlink w:anchor="i0b0d5c23417c472eb84c46f5f45cb005_136">
              <w:r>
                <w:rPr>
                  <w:rStyle w:val="InternetLink"/>
                  <w:rFonts w:ascii="Times New Roman;sans-serif" w:hAnsi="Times New Roman;sans-serif"/>
                  <w:b w:val="false"/>
                  <w:color w:val="000080"/>
                  <w:sz w:val="20"/>
                  <w:u w:val="single"/>
                </w:rPr>
                <w:t xml:space="preserve"> and 20</w:t>
              </w:r>
            </w:hyperlink>
            <w:hyperlink w:anchor="i0b0d5c23417c472eb84c46f5f45cb005_136">
              <w:r>
                <w:rPr>
                  <w:rStyle w:val="InternetLink"/>
                  <w:rFonts w:ascii="Times New Roman;sans-serif" w:hAnsi="Times New Roman;sans-serif"/>
                  <w:b w:val="false"/>
                  <w:color w:val="000080"/>
                  <w:sz w:val="20"/>
                  <w:u w:val="single"/>
                </w:rPr>
                <w:t>2</w:t>
              </w:r>
            </w:hyperlink>
            <w:hyperlink w:anchor="i0b0d5c23417c472eb84c46f5f45cb005_136">
              <w:r>
                <w:rPr>
                  <w:rStyle w:val="InternetLink"/>
                  <w:rFonts w:ascii="Times New Roman;sans-serif" w:hAnsi="Times New Roman;sans-serif"/>
                  <w:b w:val="false"/>
                  <w:color w:val="000080"/>
                  <w:sz w:val="20"/>
                  <w:u w:val="single"/>
                </w:rPr>
                <w:t>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36">
              <w:r>
                <w:rPr>
                  <w:rStyle w:val="InternetLink"/>
                  <w:rFonts w:ascii="Times New Roman;sans-serif" w:hAnsi="Times New Roman;sans-serif"/>
                  <w:b w:val="false"/>
                  <w:color w:val="0000FF"/>
                  <w:sz w:val="20"/>
                  <w:u w:val="single"/>
                </w:rPr>
                <w:t>85</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139">
              <w:r>
                <w:rPr>
                  <w:rStyle w:val="InternetLink"/>
                  <w:rFonts w:ascii="Times New Roman;sans-serif" w:hAnsi="Times New Roman;sans-serif"/>
                  <w:b w:val="false"/>
                  <w:color w:val="000080"/>
                  <w:sz w:val="20"/>
                  <w:u w:val="single"/>
                </w:rPr>
                <w:t>Consolidated Statements of Operations for the Years Ended December 31, 202</w:t>
              </w:r>
            </w:hyperlink>
            <w:hyperlink w:anchor="i0b0d5c23417c472eb84c46f5f45cb005_139">
              <w:r>
                <w:rPr>
                  <w:rStyle w:val="InternetLink"/>
                  <w:rFonts w:ascii="Times New Roman;sans-serif" w:hAnsi="Times New Roman;sans-serif"/>
                  <w:b w:val="false"/>
                  <w:color w:val="000080"/>
                  <w:sz w:val="20"/>
                  <w:u w:val="single"/>
                </w:rPr>
                <w:t>3</w:t>
              </w:r>
            </w:hyperlink>
            <w:hyperlink w:anchor="i0b0d5c23417c472eb84c46f5f45cb005_139">
              <w:r>
                <w:rPr>
                  <w:rStyle w:val="InternetLink"/>
                  <w:rFonts w:ascii="Times New Roman;sans-serif" w:hAnsi="Times New Roman;sans-serif"/>
                  <w:b w:val="false"/>
                  <w:color w:val="000080"/>
                  <w:sz w:val="20"/>
                  <w:u w:val="single"/>
                </w:rPr>
                <w:t>, 202</w:t>
              </w:r>
            </w:hyperlink>
            <w:hyperlink w:anchor="i0b0d5c23417c472eb84c46f5f45cb005_139">
              <w:r>
                <w:rPr>
                  <w:rStyle w:val="InternetLink"/>
                  <w:rFonts w:ascii="Times New Roman;sans-serif" w:hAnsi="Times New Roman;sans-serif"/>
                  <w:b w:val="false"/>
                  <w:color w:val="000080"/>
                  <w:sz w:val="20"/>
                  <w:u w:val="single"/>
                </w:rPr>
                <w:t>2</w:t>
              </w:r>
            </w:hyperlink>
            <w:hyperlink w:anchor="i0b0d5c23417c472eb84c46f5f45cb005_139">
              <w:r>
                <w:rPr>
                  <w:rStyle w:val="InternetLink"/>
                  <w:rFonts w:ascii="Times New Roman;sans-serif" w:hAnsi="Times New Roman;sans-serif"/>
                  <w:b w:val="false"/>
                  <w:color w:val="000080"/>
                  <w:sz w:val="20"/>
                  <w:u w:val="single"/>
                </w:rPr>
                <w:t xml:space="preserve"> and 2021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39">
              <w:r>
                <w:rPr>
                  <w:rStyle w:val="InternetLink"/>
                  <w:rFonts w:ascii="Times New Roman;sans-serif" w:hAnsi="Times New Roman;sans-serif"/>
                  <w:b w:val="false"/>
                  <w:color w:val="0000FF"/>
                  <w:sz w:val="20"/>
                  <w:u w:val="single"/>
                </w:rPr>
                <w:t>86</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142">
              <w:r>
                <w:rPr>
                  <w:rStyle w:val="InternetLink"/>
                  <w:rFonts w:ascii="Times New Roman;sans-serif" w:hAnsi="Times New Roman;sans-serif"/>
                  <w:b w:val="false"/>
                  <w:color w:val="000080"/>
                  <w:sz w:val="20"/>
                  <w:u w:val="single"/>
                </w:rPr>
                <w:t>Consolidated Statements of Comprehensive Earnings (Loss) for the Years Ended December 31, 202</w:t>
              </w:r>
            </w:hyperlink>
            <w:hyperlink w:anchor="i0b0d5c23417c472eb84c46f5f45cb005_142">
              <w:r>
                <w:rPr>
                  <w:rStyle w:val="InternetLink"/>
                  <w:rFonts w:ascii="Times New Roman;sans-serif" w:hAnsi="Times New Roman;sans-serif"/>
                  <w:b w:val="false"/>
                  <w:color w:val="000080"/>
                  <w:sz w:val="20"/>
                  <w:u w:val="single"/>
                </w:rPr>
                <w:t>3</w:t>
              </w:r>
            </w:hyperlink>
            <w:hyperlink w:anchor="i0b0d5c23417c472eb84c46f5f45cb005_142">
              <w:r>
                <w:rPr>
                  <w:rStyle w:val="InternetLink"/>
                  <w:rFonts w:ascii="Times New Roman;sans-serif" w:hAnsi="Times New Roman;sans-serif"/>
                  <w:b w:val="false"/>
                  <w:color w:val="000080"/>
                  <w:sz w:val="20"/>
                  <w:u w:val="single"/>
                </w:rPr>
                <w:t>, 202</w:t>
              </w:r>
            </w:hyperlink>
            <w:hyperlink w:anchor="i0b0d5c23417c472eb84c46f5f45cb005_142">
              <w:r>
                <w:rPr>
                  <w:rStyle w:val="InternetLink"/>
                  <w:rFonts w:ascii="Times New Roman;sans-serif" w:hAnsi="Times New Roman;sans-serif"/>
                  <w:b w:val="false"/>
                  <w:color w:val="000080"/>
                  <w:sz w:val="20"/>
                  <w:u w:val="single"/>
                </w:rPr>
                <w:t>2</w:t>
              </w:r>
            </w:hyperlink>
            <w:hyperlink w:anchor="i0b0d5c23417c472eb84c46f5f45cb005_142">
              <w:r>
                <w:rPr>
                  <w:rStyle w:val="InternetLink"/>
                  <w:rFonts w:ascii="Times New Roman;sans-serif" w:hAnsi="Times New Roman;sans-serif"/>
                  <w:b w:val="false"/>
                  <w:color w:val="000080"/>
                  <w:sz w:val="20"/>
                  <w:u w:val="single"/>
                </w:rPr>
                <w:t xml:space="preserve"> and 20</w:t>
              </w:r>
            </w:hyperlink>
            <w:hyperlink w:anchor="i0b0d5c23417c472eb84c46f5f45cb005_142">
              <w:r>
                <w:rPr>
                  <w:rStyle w:val="InternetLink"/>
                  <w:rFonts w:ascii="Times New Roman;sans-serif" w:hAnsi="Times New Roman;sans-serif"/>
                  <w:b w:val="false"/>
                  <w:color w:val="000080"/>
                  <w:sz w:val="20"/>
                  <w:u w:val="single"/>
                </w:rPr>
                <w:t>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42">
              <w:r>
                <w:rPr>
                  <w:rStyle w:val="InternetLink"/>
                  <w:rFonts w:ascii="Times New Roman;sans-serif" w:hAnsi="Times New Roman;sans-serif"/>
                  <w:b w:val="false"/>
                  <w:color w:val="0000FF"/>
                  <w:sz w:val="20"/>
                  <w:u w:val="single"/>
                </w:rPr>
                <w:t>87</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b0d5c23417c472eb84c46f5f45cb005_145">
              <w:r>
                <w:rPr>
                  <w:rStyle w:val="InternetLink"/>
                  <w:rFonts w:ascii="Times New Roman;sans-serif" w:hAnsi="Times New Roman;sans-serif"/>
                  <w:b w:val="false"/>
                  <w:color w:val="000080"/>
                  <w:sz w:val="20"/>
                  <w:u w:val="single"/>
                </w:rPr>
                <w:t>Consolidated Statements of Equity for the Years Ended December 31, 202</w:t>
              </w:r>
            </w:hyperlink>
            <w:hyperlink w:anchor="i0b0d5c23417c472eb84c46f5f45cb005_145">
              <w:r>
                <w:rPr>
                  <w:rStyle w:val="InternetLink"/>
                  <w:rFonts w:ascii="Times New Roman;sans-serif" w:hAnsi="Times New Roman;sans-serif"/>
                  <w:b w:val="false"/>
                  <w:color w:val="000080"/>
                  <w:sz w:val="20"/>
                  <w:u w:val="single"/>
                </w:rPr>
                <w:t>3</w:t>
              </w:r>
            </w:hyperlink>
            <w:hyperlink w:anchor="i0b0d5c23417c472eb84c46f5f45cb005_145">
              <w:r>
                <w:rPr>
                  <w:rStyle w:val="InternetLink"/>
                  <w:rFonts w:ascii="Times New Roman;sans-serif" w:hAnsi="Times New Roman;sans-serif"/>
                  <w:b w:val="false"/>
                  <w:color w:val="000080"/>
                  <w:sz w:val="20"/>
                  <w:u w:val="single"/>
                </w:rPr>
                <w:t>, 202</w:t>
              </w:r>
            </w:hyperlink>
            <w:hyperlink w:anchor="i0b0d5c23417c472eb84c46f5f45cb005_145">
              <w:r>
                <w:rPr>
                  <w:rStyle w:val="InternetLink"/>
                  <w:rFonts w:ascii="Times New Roman;sans-serif" w:hAnsi="Times New Roman;sans-serif"/>
                  <w:b w:val="false"/>
                  <w:color w:val="000080"/>
                  <w:sz w:val="20"/>
                  <w:u w:val="single"/>
                </w:rPr>
                <w:t>2</w:t>
              </w:r>
            </w:hyperlink>
            <w:hyperlink w:anchor="i0b0d5c23417c472eb84c46f5f45cb005_145">
              <w:r>
                <w:rPr>
                  <w:rStyle w:val="InternetLink"/>
                  <w:rFonts w:ascii="Times New Roman;sans-serif" w:hAnsi="Times New Roman;sans-serif"/>
                  <w:b w:val="false"/>
                  <w:color w:val="000080"/>
                  <w:sz w:val="20"/>
                  <w:u w:val="single"/>
                </w:rPr>
                <w:t xml:space="preserve"> and 20</w:t>
              </w:r>
            </w:hyperlink>
            <w:hyperlink w:anchor="i0b0d5c23417c472eb84c46f5f45cb005_145">
              <w:r>
                <w:rPr>
                  <w:rStyle w:val="InternetLink"/>
                  <w:rFonts w:ascii="Times New Roman;sans-serif" w:hAnsi="Times New Roman;sans-serif"/>
                  <w:b w:val="false"/>
                  <w:color w:val="000080"/>
                  <w:sz w:val="20"/>
                  <w:u w:val="single"/>
                </w:rPr>
                <w:t>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45">
              <w:r>
                <w:rPr>
                  <w:rStyle w:val="InternetLink"/>
                  <w:rFonts w:ascii="Times New Roman;sans-serif" w:hAnsi="Times New Roman;sans-serif"/>
                  <w:b w:val="false"/>
                  <w:color w:val="0000FF"/>
                  <w:sz w:val="20"/>
                  <w:u w:val="single"/>
                </w:rPr>
                <w:t>88</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148">
              <w:r>
                <w:rPr>
                  <w:rStyle w:val="InternetLink"/>
                  <w:rFonts w:ascii="Times New Roman;sans-serif" w:hAnsi="Times New Roman;sans-serif"/>
                  <w:b w:val="false"/>
                  <w:color w:val="000080"/>
                  <w:sz w:val="20"/>
                  <w:u w:val="single"/>
                </w:rPr>
                <w:t>Consolidated Statements of Cash Flows for the Years Ended December 31, 202</w:t>
              </w:r>
            </w:hyperlink>
            <w:hyperlink w:anchor="i0b0d5c23417c472eb84c46f5f45cb005_148">
              <w:r>
                <w:rPr>
                  <w:rStyle w:val="InternetLink"/>
                  <w:rFonts w:ascii="Times New Roman;sans-serif" w:hAnsi="Times New Roman;sans-serif"/>
                  <w:b w:val="false"/>
                  <w:color w:val="000080"/>
                  <w:sz w:val="20"/>
                  <w:u w:val="single"/>
                </w:rPr>
                <w:t>3</w:t>
              </w:r>
            </w:hyperlink>
            <w:hyperlink w:anchor="i0b0d5c23417c472eb84c46f5f45cb005_148">
              <w:r>
                <w:rPr>
                  <w:rStyle w:val="InternetLink"/>
                  <w:rFonts w:ascii="Times New Roman;sans-serif" w:hAnsi="Times New Roman;sans-serif"/>
                  <w:b w:val="false"/>
                  <w:color w:val="000080"/>
                  <w:sz w:val="20"/>
                  <w:u w:val="single"/>
                </w:rPr>
                <w:t>, 202</w:t>
              </w:r>
            </w:hyperlink>
            <w:hyperlink w:anchor="i0b0d5c23417c472eb84c46f5f45cb005_148">
              <w:r>
                <w:rPr>
                  <w:rStyle w:val="InternetLink"/>
                  <w:rFonts w:ascii="Times New Roman;sans-serif" w:hAnsi="Times New Roman;sans-serif"/>
                  <w:b w:val="false"/>
                  <w:color w:val="000080"/>
                  <w:sz w:val="20"/>
                  <w:u w:val="single"/>
                </w:rPr>
                <w:t>2</w:t>
              </w:r>
            </w:hyperlink>
            <w:hyperlink w:anchor="i0b0d5c23417c472eb84c46f5f45cb005_148">
              <w:r>
                <w:rPr>
                  <w:rStyle w:val="InternetLink"/>
                  <w:rFonts w:ascii="Times New Roman;sans-serif" w:hAnsi="Times New Roman;sans-serif"/>
                  <w:b w:val="false"/>
                  <w:color w:val="000080"/>
                  <w:sz w:val="20"/>
                  <w:u w:val="single"/>
                </w:rPr>
                <w:t xml:space="preserve"> and 20</w:t>
              </w:r>
            </w:hyperlink>
            <w:hyperlink w:anchor="i0b0d5c23417c472eb84c46f5f45cb005_148">
              <w:r>
                <w:rPr>
                  <w:rStyle w:val="InternetLink"/>
                  <w:rFonts w:ascii="Times New Roman;sans-serif" w:hAnsi="Times New Roman;sans-serif"/>
                  <w:b w:val="false"/>
                  <w:color w:val="000080"/>
                  <w:sz w:val="20"/>
                  <w:u w:val="single"/>
                </w:rPr>
                <w:t>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48">
              <w:r>
                <w:rPr>
                  <w:rStyle w:val="InternetLink"/>
                  <w:rFonts w:ascii="Times New Roman;sans-serif" w:hAnsi="Times New Roman;sans-serif"/>
                  <w:b w:val="false"/>
                  <w:color w:val="0000FF"/>
                  <w:sz w:val="20"/>
                  <w:u w:val="single"/>
                </w:rPr>
                <w:t>89</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0d5c23417c472eb84c46f5f45cb005_151">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0d5c23417c472eb84c46f5f45cb005_151">
              <w:r>
                <w:rPr>
                  <w:rStyle w:val="InternetLink"/>
                  <w:rFonts w:ascii="Times New Roman;sans-serif" w:hAnsi="Times New Roman;sans-serif"/>
                  <w:b w:val="false"/>
                  <w:color w:val="0000FF"/>
                  <w:sz w:val="20"/>
                  <w:u w:val="single"/>
                </w:rPr>
                <w:t>90</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Management of Viatris Inc.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In order to evaluate the effectiveness of internal control over financial reporting, management has conducted an assessment, including testing, using the criteria in</w:t>
      </w:r>
      <w:r>
        <w:rPr>
          <w:color w:val="000000"/>
        </w:rPr>
        <w:t xml:space="preserve">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2013)</w:t>
      </w:r>
      <w:r>
        <w:rPr>
          <w:rFonts w:ascii="Times New Roman;sans-serif" w:hAnsi="Times New Roman;sans-serif"/>
          <w:b w:val="false"/>
          <w:color w:val="000000"/>
          <w:sz w:val="20"/>
        </w:rPr>
        <w:t>, issued by COSO.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As a result of this assessment, management has concluded that the Company maintained effective internal control over financial reporting as of December 31, 2023 based on the criteria in</w:t>
      </w:r>
      <w:r>
        <w:rPr>
          <w:color w:val="000000"/>
        </w:rPr>
        <w:t xml:space="preserve">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(PCAOB ID No. 34), has audited the effectiveness of the Company’s internal control over financial reporting. Deloitte &amp; Touche LLP’s opinion on the Company’s internal control over financial reporting appears on page 84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Viatris Inc.:</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Viatris Inc. and subsidiaries (the "Company") as of December 31, 2023 and 2022, the related consolidated statements of operations, comprehensive earnings (loss), equity, and cash flows, for each of the three years in the period ended December 31, 2023, and the related notes and the schedule listed in the Index at Item 15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 and our report dated February 28, 2024, expressed an unqualified opinion on the Company's internal control over financial reporting.</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Goodwill – Viatris Inc. Europe, JANZ, and Emerging Markets Reporting Units – Refer to Note 8 to the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an annual goodwill impairment test as of April 1, 2023. As of April 1, 2023, the Company had approximately $10.6 billion of consolidated goodwill, $4.47 billion, $1.34 billion and $0.68 billion of which was allocated to its Europe, Emerging Markets and JANZ reporting units, respectively. The Company’s evaluation of goodwill for impairment involves the comparison of the estimated fair value of each reporting unit to its carrying value. The Company performed its valuation analysis, using an income-based approach, to determine the fair value of its Europe, Emerging Markets and JANZ reporting units. The determination of the fair value requires management to make significant estimates and assumptions that affect the reporting unit’s expected future cash flows. These estimates and assumptions, utilizing Level 3 valuation inputs, primarily include, but are not limited to, discount rates, terminal growth rates, operating income before depreciation and amortization, and capital expenditures forecasts. The fair values of the Europe, Emerging Markets and the JANZ reporting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exceeded their carrying values by approximately $0.54 billion, or 3.9%, $0.51 billion, or 7.7%, and $0.15 billion, or 5.5%, respectively, as of April 1, 2023 and, therefore, no impairments were recognized.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Given that the Europe, Emerging Markets, and JANZ reporting unit’s revenues are sensitive to changes in consumer demand, the approval of new product launches, the expansion of existing products into new jurisdictions (which have differentiated distribution and commercialization models throughout the regions), and the impact of business development activity, auditing management’s judgments regarding forecasts of future revenues, and the selection of the discount rates and terminal growth rates required a high degree of auditor judgment and an increased extent of effort, including the need to involve our fair value specialists.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28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forecasts of future revenues (“forecasts”), and the selection of the discount rates and terminal growth rates for the Europe, Emerging Markets, and the JANZ reporting units included the following procedures, among others: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We tested the effectiveness of controls over the review of the goodwill impairment tests, including those over the development of the business forecasts of future revenues and the selection of the discount rates and terminal growth rates.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evaluated management’s ability to accurately forecast future revenues of the Europe, Emerging Markets, and JANZ reporting units by comparing actual results to management’s historical forecasts.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evaluated the reasonableness of management’s revenue forecasts by comparing the projections to (1) historical results, (2) internal communications to management and the Board of Directors, and (3) forecasted information included in Company press releases. We also considered third party reports related to macroeconomic and industry trends and made inquiries of management, including various regional commercial and operations leaders to assess key inputs in the forecast assumptions.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With the assistance of our fair value specialists, we evaluated the reasonableness of the valuation methodology, discount rates, and terminal growth rates, including (1) testing the source information underlying the determination of the discount rates and terminal growth rates and the mathematical accuracy of the calculations, (2) developing a range of independent estimates and comparing those to the discount rates selected by management, and (3) considering third party macroeconomic reports.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Net Revenue Provisions – Sales Returns Accrual at MPI – Refer to Note 3 to the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 Description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customers with the ability to return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The returns reserve at MPI represents a significant component of the global sales returns reserve as of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Estimating the amounts to be accrued for returns requires significant estimation as management’s model utilizes historical experience with actual returns and considers levels of inventory in the distribution channel, product dating and expiration period, size and maturity of the market prior to a product launch, entrance into the market of additional competitors, and changes in the regulatory environment. Given the volume of sales returns and the level of estimation uncertainty involved, auditing management’s judgments required a high degree of auditor judgment and an increased extent of effort.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19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Net Revenue Provisions – Sales Returns Accrual at MPI included the following, among others: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evaluated the Company’s methodology and assumptions in developing their sales returns accrual model, including assessing the completeness and accuracy of the underlying data used by management in their estimates.</w:t>
      </w:r>
    </w:p>
    <w:p>
      <w:pPr>
        <w:pStyle w:val="TextBody"/>
        <w:bidi w:val="0"/>
        <w:spacing w:before="0" w:after="0"/>
        <w:jc w:val="left"/>
        <w:rPr/>
      </w:pPr>
      <w:r>
        <w:rPr/>
      </w:r>
    </w:p>
    <w:p>
      <w:pPr>
        <w:pStyle w:val="TextBody"/>
        <w:bidi w:val="0"/>
        <w:spacing w:lineRule="auto" w:line="199" w:before="0" w:after="0"/>
        <w:ind w:left="0" w:right="0" w:hanging="360"/>
        <w:jc w:val="left"/>
        <w:rPr/>
      </w:pPr>
      <w:r>
        <w:rPr>
          <w:color w:val="000000"/>
        </w:rPr>
        <w:t>•</w:t>
      </w:r>
      <w:r>
        <w:rPr>
          <w:rFonts w:ascii="Times New Roman;sans-serif" w:hAnsi="Times New Roman;sans-serif"/>
          <w:b w:val="false"/>
          <w:color w:val="000000"/>
          <w:sz w:val="20"/>
        </w:rPr>
        <w:t>We tested the effectiveness of controls over the calculation of the sales returns reserve at MPI.</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We compared prior period sales returns accruals to sales returns credits subsequently issued to evaluate management’s ability to accurately forecast sales returns activity.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developed independent expectations of product-level sales returns accruals and sales returns accruals in the aggregate using the following: 1) historical sales and returns activity, 2) remaining shelf life information, 3) finished goods inventory on-hand at the end of the period, and 4) adjustments for known or anticipated sales return activity based on market dynamics (market prior to Viatris launch, impact of competition, and overall regulatory environment) and compared those to the recorded amounts.</w:t>
      </w:r>
    </w:p>
    <w:p>
      <w:pPr>
        <w:pStyle w:val="TextBody"/>
        <w:bidi w:val="0"/>
        <w:spacing w:before="0" w:after="0"/>
        <w:ind w:left="0" w:right="0" w:firstLine="101"/>
        <w:jc w:val="left"/>
        <w:rPr/>
      </w:pPr>
      <w:r>
        <w:rPr/>
      </w:r>
    </w:p>
    <w:p>
      <w:pPr>
        <w:pStyle w:val="TextBody"/>
        <w:bidi w:val="0"/>
        <w:spacing w:before="0" w:after="0"/>
        <w:ind w:left="0" w:right="0" w:firstLine="101"/>
        <w:jc w:val="left"/>
        <w:rPr/>
      </w:pPr>
      <w:r>
        <w:rPr/>
      </w:r>
    </w:p>
    <w:p>
      <w:pPr>
        <w:pStyle w:val="TextBody"/>
        <w:bidi w:val="0"/>
        <w:spacing w:lineRule="auto" w:line="276" w:before="0" w:after="0"/>
        <w:ind w:left="0" w:right="0" w:firstLine="101"/>
        <w:jc w:val="left"/>
        <w:rPr>
          <w:rFonts w:ascii="Times New Roman;sans-serif" w:hAnsi="Times New Roman;sans-serif"/>
          <w:b/>
          <w:i/>
          <w:color w:val="000000"/>
          <w:sz w:val="20"/>
        </w:rPr>
      </w:pPr>
      <w:r>
        <w:rPr>
          <w:rFonts w:ascii="Times New Roman;sans-serif" w:hAnsi="Times New Roman;sans-serif"/>
          <w:b/>
          <w:i/>
          <w:color w:val="000000"/>
          <w:sz w:val="20"/>
        </w:rPr>
        <w:t>/s/ DELOITTE &amp; TOUCHE LLP</w:t>
      </w:r>
    </w:p>
    <w:p>
      <w:pPr>
        <w:pStyle w:val="TextBody"/>
        <w:bidi w:val="0"/>
        <w:spacing w:lineRule="auto" w:line="360" w:before="0" w:after="0"/>
        <w:ind w:left="0" w:right="0" w:firstLine="101"/>
        <w:jc w:val="left"/>
        <w:rPr>
          <w:rFonts w:ascii="Times New Roman;sans-serif" w:hAnsi="Times New Roman;sans-serif"/>
          <w:b w:val="false"/>
          <w:color w:val="000000"/>
          <w:sz w:val="20"/>
        </w:rPr>
      </w:pPr>
      <w:r>
        <w:rPr>
          <w:rFonts w:ascii="Times New Roman;sans-serif" w:hAnsi="Times New Roman;sans-serif"/>
          <w:b w:val="false"/>
          <w:color w:val="000000"/>
          <w:sz w:val="20"/>
        </w:rPr>
        <w:t>Pittsburgh, Pennsylvania</w:t>
      </w:r>
    </w:p>
    <w:p>
      <w:pPr>
        <w:pStyle w:val="TextBody"/>
        <w:bidi w:val="0"/>
        <w:spacing w:lineRule="auto" w:line="720" w:before="0" w:after="0"/>
        <w:ind w:left="0" w:right="0" w:firstLine="101"/>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spacing w:lineRule="auto" w:line="720" w:before="0" w:after="0"/>
        <w:ind w:left="0" w:right="0" w:firstLine="10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1976.</w:t>
      </w:r>
    </w:p>
    <w:p>
      <w:pPr>
        <w:pStyle w:val="TextBody"/>
        <w:bidi w:val="0"/>
        <w:spacing w:before="0" w:after="24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To the shareholders and the Board of Directors of Viatris Inc.: </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0" w:after="0"/>
        <w:jc w:val="left"/>
        <w:rPr/>
      </w:pPr>
      <w:r>
        <w:rPr>
          <w:rFonts w:ascii="Times New Roman;sans-serif" w:hAnsi="Times New Roman;sans-serif"/>
          <w:b w:val="false"/>
          <w:color w:val="000000"/>
          <w:sz w:val="20"/>
        </w:rPr>
        <w:t xml:space="preserve">We have audited the internal control over financial reporting of Viatris, Inc. and subsidiaries (the “Company”)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28, 2024, expressed an unqualified opinion on those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 DELOITTE &amp; TOUCHE LLP</w:t>
      </w:r>
    </w:p>
    <w:p>
      <w:pPr>
        <w:pStyle w:val="TextBody"/>
        <w:bidi w:val="0"/>
        <w:spacing w:lineRule="auto" w:line="360" w:before="0" w:after="0"/>
        <w:ind w:left="0" w:right="0" w:firstLine="10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Pittsburgh, Pennsylvania </w:t>
      </w:r>
    </w:p>
    <w:p>
      <w:pPr>
        <w:pStyle w:val="TextBody"/>
        <w:bidi w:val="0"/>
        <w:spacing w:lineRule="auto" w:line="360" w:before="0" w:after="0"/>
        <w:ind w:left="0" w:right="0" w:firstLine="101"/>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2783"/>
        <w:gridCol w:w="2340"/>
        <w:gridCol w:w="2327"/>
        <w:gridCol w:w="211"/>
        <w:gridCol w:w="871"/>
        <w:gridCol w:w="109"/>
        <w:gridCol w:w="109"/>
        <w:gridCol w:w="109"/>
        <w:gridCol w:w="109"/>
        <w:gridCol w:w="211"/>
        <w:gridCol w:w="871"/>
        <w:gridCol w:w="155"/>
      </w:tblGrid>
      <w:tr>
        <w:trPr/>
        <w:tc>
          <w:tcPr>
            <w:tcW w:w="2783"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and 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shareholders’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3,000,000,000 shares authorized; shares issued: 1,221,994,491 and 1,213,793,231,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 at cost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shares: 21,239,521 as of December 31, 2023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50,022.2 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2580"/>
                <wp:effectExtent l="0" t="0" r="0" b="0"/>
                <wp:wrapNone/>
                <wp:docPr id="90" name="Frame8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bl>
      <w:tblPr>
        <w:tblW w:w="9551" w:type="dxa"/>
        <w:jc w:val="left"/>
        <w:tblInd w:w="0" w:type="dxa"/>
        <w:tblLayout w:type="fixed"/>
        <w:tblCellMar>
          <w:top w:w="28" w:type="dxa"/>
          <w:left w:w="28" w:type="dxa"/>
          <w:bottom w:w="28" w:type="dxa"/>
          <w:right w:w="28" w:type="dxa"/>
        </w:tblCellMar>
      </w:tblPr>
      <w:tblGrid>
        <w:gridCol w:w="1913"/>
        <w:gridCol w:w="1678"/>
        <w:gridCol w:w="1688"/>
        <w:gridCol w:w="211"/>
        <w:gridCol w:w="871"/>
        <w:gridCol w:w="109"/>
        <w:gridCol w:w="109"/>
        <w:gridCol w:w="109"/>
        <w:gridCol w:w="109"/>
        <w:gridCol w:w="211"/>
        <w:gridCol w:w="871"/>
        <w:gridCol w:w="109"/>
        <w:gridCol w:w="109"/>
        <w:gridCol w:w="109"/>
        <w:gridCol w:w="109"/>
        <w:gridCol w:w="211"/>
        <w:gridCol w:w="871"/>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operations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Viatris Inc. shareholders</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2580"/>
                <wp:effectExtent l="0" t="0" r="0" b="0"/>
                <wp:wrapNone/>
                <wp:docPr id="91" name="Frame8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Earnings (Loss)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366"/>
        <w:gridCol w:w="2050"/>
        <w:gridCol w:w="2020"/>
        <w:gridCol w:w="211"/>
        <w:gridCol w:w="511"/>
        <w:gridCol w:w="109"/>
        <w:gridCol w:w="109"/>
        <w:gridCol w:w="109"/>
        <w:gridCol w:w="109"/>
        <w:gridCol w:w="211"/>
        <w:gridCol w:w="766"/>
        <w:gridCol w:w="109"/>
        <w:gridCol w:w="109"/>
        <w:gridCol w:w="109"/>
        <w:gridCol w:w="109"/>
        <w:gridCol w:w="211"/>
        <w:gridCol w:w="831"/>
        <w:gridCol w:w="156"/>
      </w:tblGrid>
      <w:tr>
        <w:trPr/>
        <w:tc>
          <w:tcPr>
            <w:tcW w:w="236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unrecognized (loss) gain and prior service cost related to defined benefit plans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(loss) on derivatives in cash flow hedging relationships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(loss) gain on derivatives in net investment hedging relationships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available-for-sale fixed income securities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provision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net of tax</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(2,155.4)</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2580"/>
                <wp:effectExtent l="0" t="0" r="0" b="0"/>
                <wp:wrapNone/>
                <wp:docPr id="92" name="Frame8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amounts)</w:t>
      </w:r>
    </w:p>
    <w:tbl>
      <w:tblPr>
        <w:tblW w:w="13287" w:type="dxa"/>
        <w:jc w:val="center"/>
        <w:tblInd w:w="0" w:type="dxa"/>
        <w:tblLayout w:type="fixed"/>
        <w:tblCellMar>
          <w:top w:w="28" w:type="dxa"/>
          <w:left w:w="28" w:type="dxa"/>
          <w:bottom w:w="28" w:type="dxa"/>
          <w:right w:w="28" w:type="dxa"/>
        </w:tblCellMar>
      </w:tblPr>
      <w:tblGrid>
        <w:gridCol w:w="757"/>
        <w:gridCol w:w="296"/>
        <w:gridCol w:w="298"/>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540"/>
        <w:gridCol w:w="541"/>
        <w:gridCol w:w="196"/>
        <w:gridCol w:w="109"/>
        <w:gridCol w:w="109"/>
        <w:gridCol w:w="109"/>
        <w:gridCol w:w="211"/>
        <w:gridCol w:w="631"/>
        <w:gridCol w:w="109"/>
        <w:gridCol w:w="109"/>
        <w:gridCol w:w="109"/>
        <w:gridCol w:w="109"/>
        <w:gridCol w:w="233"/>
        <w:gridCol w:w="862"/>
        <w:gridCol w:w="121"/>
        <w:gridCol w:w="109"/>
        <w:gridCol w:w="109"/>
        <w:gridCol w:w="109"/>
        <w:gridCol w:w="109"/>
        <w:gridCol w:w="109"/>
        <w:gridCol w:w="211"/>
        <w:gridCol w:w="871"/>
        <w:gridCol w:w="109"/>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1,206,895,644 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2,611,819 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$0.33 per common share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1,209,507,463 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3,972,427 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$0.48 per common share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1,213,793,231 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restricted stock and stock options exercised, net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7,892,041 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$0.48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1,221,994,491 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2580"/>
                <wp:effectExtent l="0" t="0" r="0" b="0"/>
                <wp:wrapNone/>
                <wp:docPr id="93" name="Frame8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9519" w:type="dxa"/>
        <w:jc w:val="center"/>
        <w:tblInd w:w="0" w:type="dxa"/>
        <w:tblLayout w:type="fixed"/>
        <w:tblCellMar>
          <w:top w:w="28" w:type="dxa"/>
          <w:left w:w="28" w:type="dxa"/>
          <w:bottom w:w="28" w:type="dxa"/>
          <w:right w:w="28" w:type="dxa"/>
        </w:tblCellMar>
      </w:tblPr>
      <w:tblGrid>
        <w:gridCol w:w="2130"/>
        <w:gridCol w:w="1867"/>
        <w:gridCol w:w="1882"/>
        <w:gridCol w:w="199"/>
        <w:gridCol w:w="566"/>
        <w:gridCol w:w="109"/>
        <w:gridCol w:w="109"/>
        <w:gridCol w:w="109"/>
        <w:gridCol w:w="109"/>
        <w:gridCol w:w="196"/>
        <w:gridCol w:w="691"/>
        <w:gridCol w:w="109"/>
        <w:gridCol w:w="109"/>
        <w:gridCol w:w="109"/>
        <w:gridCol w:w="109"/>
        <w:gridCol w:w="196"/>
        <w:gridCol w:w="766"/>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 (loss)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earnings to net cash provided by operating activities: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 (benefit)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other contingencies,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equity method investments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business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assets and liabilities,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received for acquisitions, net of cash acquired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product rights and other, net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 and subsidiaries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marketable securities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marketable securities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financing fees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short-term borrowings, net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common stock</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payments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Non-contingent payments for product rights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on cash of changes in exchange rates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period</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 —</w:t>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2580"/>
                <wp:effectExtent l="0" t="0" r="0" b="0"/>
                <wp:wrapNone/>
                <wp:docPr id="94" name="Frame9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1.Nature of Operations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Viatris is a global healthcare company which we believe is </w:t>
      </w:r>
      <w:r>
        <w:rPr>
          <w:rFonts w:ascii="Times New Roman;sans-serif" w:hAnsi="Times New Roman;sans-serif"/>
          <w:b w:val="false"/>
          <w:color w:val="3F3F3F"/>
          <w:sz w:val="20"/>
        </w:rPr>
        <w:t xml:space="preserve">uniquely positioned to bridge the traditional divide between generics and brands, combining the best of both to more holistically address healthcare needs globally. With a mission to empower people worldwide to live healthier at every stage of life, Viatris provides access at scale, supplying high-quality medicines to patients around the world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Viatris’ portfolio comprised more than 1,400 approved molecules across a wide range of key therapeutic areas, including globally recognized iconic and key brands and generics, including complex products, and the Company operated approximately 40 manufacturing sites worldwide that produce oral solid doses, injectables, complex dosage forms and APIs. We conduct our business through four segments: Developed Markets, Greater China, JANZ, and Emerging Markets. Viatris is headquartered in the U.S., with global centers in Pittsburgh, Pennsylvania, Shanghai, China and Hyderabad, India.</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bidi w:val="0"/>
        <w:spacing w:lineRule="auto" w:line="288" w:before="0" w:after="240"/>
        <w:ind w:left="0" w:right="0" w:firstLine="720"/>
        <w:jc w:val="left"/>
        <w:rPr/>
      </w:pPr>
      <w:r>
        <w:rPr>
          <w:rFonts w:ascii="Times New Roman;sans-serif" w:hAnsi="Times New Roman;sans-serif"/>
          <w:b/>
          <w:i/>
          <w:color w:val="000000"/>
          <w:sz w:val="20"/>
        </w:rPr>
        <w:t>Principles of Consolidation.</w:t>
      </w:r>
      <w:r>
        <w:rPr>
          <w:color w:val="000000"/>
        </w:rPr>
        <w:t> </w:t>
      </w:r>
      <w:r>
        <w:rPr>
          <w:rFonts w:ascii="Times New Roman;sans-serif" w:hAnsi="Times New Roman;sans-serif"/>
          <w:b w:val="false"/>
          <w:color w:val="000000"/>
          <w:sz w:val="20"/>
        </w:rPr>
        <w:t xml:space="preserve">The consolidated financial statements include the accounts of Viatris and those of its wholly owned and majority-owned subsidiaries. All intercompany accounts and transactions have been eliminated in consolidation. Investments in equity method affiliates are recorded at cost and adjusted for the Company’s share of the affiliates’ cumulative results of operations, capital contributions and distributions. </w:t>
      </w:r>
    </w:p>
    <w:p>
      <w:pPr>
        <w:pStyle w:val="TextBody"/>
        <w:bidi w:val="0"/>
        <w:spacing w:lineRule="auto" w:line="288" w:before="0" w:after="240"/>
        <w:ind w:left="0" w:right="0" w:firstLine="720"/>
        <w:jc w:val="left"/>
        <w:rPr/>
      </w:pPr>
      <w:r>
        <w:rPr>
          <w:rFonts w:ascii="Times New Roman;sans-serif" w:hAnsi="Times New Roman;sans-serif"/>
          <w:b/>
          <w:i/>
          <w:color w:val="000000"/>
          <w:sz w:val="20"/>
        </w:rPr>
        <w:t>Use of Estimates in the Preparation of Financial Statements.</w:t>
      </w:r>
      <w:r>
        <w:rPr>
          <w:color w:val="000000"/>
        </w:rPr>
        <w:t> </w:t>
      </w: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pStyle w:val="TextBody"/>
        <w:bidi w:val="0"/>
        <w:spacing w:lineRule="auto" w:line="288" w:before="0" w:after="240"/>
        <w:ind w:left="0" w:right="0" w:firstLine="720"/>
        <w:jc w:val="left"/>
        <w:rPr/>
      </w:pPr>
      <w:r>
        <w:rPr>
          <w:rFonts w:ascii="Times New Roman;sans-serif" w:hAnsi="Times New Roman;sans-serif"/>
          <w:b/>
          <w:i/>
          <w:color w:val="000000"/>
          <w:sz w:val="20"/>
        </w:rPr>
        <w:t>Foreign Currencies.</w:t>
      </w:r>
      <w:r>
        <w:rPr>
          <w:color w:val="000000"/>
        </w:rPr>
        <w:t> </w:t>
      </w:r>
      <w:r>
        <w:rPr>
          <w:rFonts w:ascii="Times New Roman;sans-serif" w:hAnsi="Times New Roman;sans-serif"/>
          <w:b w:val="false"/>
          <w:color w:val="000000"/>
          <w:sz w:val="20"/>
        </w:rPr>
        <w:t>The consolidated financial statements are presented in U.S. Dollars, the reporting currency of Viatris. Statements of 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Under ASC 830, </w:t>
      </w:r>
      <w:r>
        <w:rPr>
          <w:rFonts w:ascii="Times New Roman;sans-serif" w:hAnsi="Times New Roman;sans-serif"/>
          <w:b w:val="false"/>
          <w:i/>
          <w:color w:val="000000"/>
          <w:sz w:val="20"/>
        </w:rPr>
        <w:t>Foreign Currency Matters</w:t>
      </w:r>
      <w:r>
        <w:rPr>
          <w:color w:val="000000"/>
        </w:rPr>
        <w:t xml:space="preserve"> </w:t>
      </w:r>
      <w:r>
        <w:rPr>
          <w:rFonts w:ascii="Times New Roman;sans-serif" w:hAnsi="Times New Roman;sans-serif"/>
          <w:b w:val="false"/>
          <w:color w:val="000000"/>
          <w:sz w:val="20"/>
        </w:rPr>
        <w:t xml:space="preserve">(“ASC 830”), a highly inflationary economy is one that has cumulative inflation of approximately 100% or more over a three-year period. Effective April 1, 2022, we classified Turkey as highly inflationary and began to utilize the U.S. dollar as our functional currency in Turkey, which historically utilized the Turkish lira as the functional currency. Application of the guidance in ASC 830 did not have a material impact on our consolidated financial statements for the years ended December 31, 2023 and 2022. </w:t>
      </w:r>
    </w:p>
    <w:p>
      <w:pPr>
        <w:pStyle w:val="TextBody"/>
        <w:bidi w:val="0"/>
        <w:spacing w:lineRule="auto" w:line="288" w:before="0" w:after="240"/>
        <w:ind w:left="0" w:right="0" w:firstLine="720"/>
        <w:jc w:val="left"/>
        <w:rPr/>
      </w:pPr>
      <w:r>
        <w:rPr>
          <w:rFonts w:ascii="Times New Roman;sans-serif" w:hAnsi="Times New Roman;sans-serif"/>
          <w:b/>
          <w:i/>
          <w:color w:val="000000"/>
          <w:sz w:val="20"/>
        </w:rPr>
        <w:t>Cash and Cash Equivalents.</w:t>
      </w:r>
      <w:r>
        <w:rPr>
          <w:color w:val="000000"/>
        </w:rPr>
        <w:t> </w:t>
      </w:r>
      <w:r>
        <w:rPr>
          <w:rFonts w:ascii="Times New Roman;sans-serif" w:hAnsi="Times New Roman;sans-serif"/>
          <w:b w:val="false"/>
          <w:color w:val="000000"/>
          <w:sz w:val="20"/>
        </w:rPr>
        <w:t>Cash and cash equivalents are comprised of highly liquid investments with an original maturity of three months or less at the date of 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i/>
          <w:color w:val="000000"/>
          <w:sz w:val="20"/>
        </w:rPr>
        <w:t>Debt and Equity Securities.</w:t>
      </w:r>
      <w:r>
        <w:rPr>
          <w:color w:val="000000"/>
        </w:rPr>
        <w:t> </w:t>
      </w:r>
      <w:r>
        <w:rPr>
          <w:rFonts w:ascii="Times New Roman;sans-serif" w:hAnsi="Times New Roman;sans-serif"/>
          <w:b w:val="false"/>
          <w:color w:val="000000"/>
          <w:sz w:val="20"/>
        </w:rPr>
        <w:t xml:space="preserve">Debt securities classified as available-for-sale on the date of purchase are recorded at fair value, with net unrealized gains and losses, net of income taxes, reflected in accumulated other comprehensive loss as a component of shareholders’ equity. Net realized gains and losses on sales of available-for-sale debt securities are computed on a specific security basis and are included 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 xml:space="preserve">in the consolidated statements of operations. Debt securities classified as trading securities are valued using the quoted market price from broker or dealer quotations or transparent pricing sources at the reporting date, with gains and losses included 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statements of operations. Fair value is determined based on observable market quotes or valuation models using assessments of counterparty credit worthiness, credit risk or underlying security and overall capital market liquidity. Debt securities are reviewed for impairment by assessing if the decline in market value of the investment below the carrying value is other than temporary.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Changes in the fair value of equity securities are recorded in </w:t>
      </w:r>
      <w:r>
        <w:rPr>
          <w:rFonts w:ascii="Times New Roman;sans-serif" w:hAnsi="Times New Roman;sans-serif"/>
          <w:b w:val="false"/>
          <w:i/>
          <w:color w:val="000000"/>
          <w:sz w:val="20"/>
        </w:rPr>
        <w:t xml:space="preserve">Other income, net </w:t>
      </w:r>
      <w:r>
        <w:rPr>
          <w:rFonts w:ascii="Times New Roman;sans-serif" w:hAnsi="Times New Roman;sans-serif"/>
          <w:b w:val="false"/>
          <w:color w:val="000000"/>
          <w:sz w:val="20"/>
        </w:rPr>
        <w:t>in the consolidated statements of operations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Investments in equity securities with readily determinable fair values are recorded at fair value. Investments in equity securities without readily determinable fair values for which the Company has elected to utilize the measurement alternative under ASC 321, </w:t>
      </w:r>
      <w:r>
        <w:rPr>
          <w:rFonts w:ascii="Times New Roman;sans-serif" w:hAnsi="Times New Roman;sans-serif"/>
          <w:b w:val="false"/>
          <w:i/>
          <w:color w:val="000000"/>
          <w:sz w:val="20"/>
        </w:rPr>
        <w:t xml:space="preserve">Investments - Equity Securities </w:t>
      </w:r>
      <w:r>
        <w:rPr>
          <w:rFonts w:ascii="Times New Roman;sans-serif" w:hAnsi="Times New Roman;sans-serif"/>
          <w:b w:val="false"/>
          <w:color w:val="000000"/>
          <w:sz w:val="20"/>
        </w:rPr>
        <w:t xml:space="preserve">are recorded at cost minus any impairment, plus or minus changes in their estimated fair value resulting from observable price changes in orderly transactions for the identical or a similar investment of the same issuer. Investments in entities are accounted for using the equity method of accounting when the ability to exercise significant influence over the operating and financial decisions of the investee is maintained. The share of net income or losses of equity method investments are included 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statements of operations. Investments in equity securities without readily determinable fair values and investments in equity accounted for using the equity method are assessed for potential impairment on a quarterly basis based on qualitative factors.</w:t>
      </w:r>
    </w:p>
    <w:p>
      <w:pPr>
        <w:pStyle w:val="TextBody"/>
        <w:bidi w:val="0"/>
        <w:spacing w:lineRule="auto" w:line="288" w:before="0" w:after="240"/>
        <w:ind w:left="0" w:right="0" w:firstLine="720"/>
        <w:jc w:val="left"/>
        <w:rPr/>
      </w:pPr>
      <w:r>
        <w:rPr>
          <w:rFonts w:ascii="Times New Roman;sans-serif" w:hAnsi="Times New Roman;sans-serif"/>
          <w:b/>
          <w:i/>
          <w:color w:val="000000"/>
          <w:sz w:val="20"/>
        </w:rPr>
        <w:t>Concentrations of Credit Risk.</w:t>
      </w:r>
      <w:r>
        <w:rPr>
          <w:color w:val="000000"/>
        </w:rPr>
        <w:t> </w:t>
      </w:r>
      <w:r>
        <w:rPr>
          <w:rFonts w:ascii="Times New Roman;sans-serif" w:hAnsi="Times New Roman;sans-serif"/>
          <w:b w:val="false"/>
          <w:color w:val="000000"/>
          <w:sz w:val="20"/>
        </w:rPr>
        <w:t>Financial instruments that potentially subject the Company to credit risk consist principally of interest-bearing investments, derivatives and accounts receivable.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 transactions, and it does not expect to incur a loss from failure of any counterparties to perform under agreements it has with such counterparties.</w:t>
      </w:r>
    </w:p>
    <w:p>
      <w:pPr>
        <w:pStyle w:val="TextBody"/>
        <w:bidi w:val="0"/>
        <w:spacing w:lineRule="auto" w:line="288" w:before="0" w:after="240"/>
        <w:ind w:left="0" w:right="0" w:firstLine="720"/>
        <w:jc w:val="left"/>
        <w:rPr/>
      </w:pPr>
      <w:r>
        <w:rPr>
          <w:rFonts w:ascii="Times New Roman;sans-serif" w:hAnsi="Times New Roman;sans-serif"/>
          <w:b/>
          <w:i/>
          <w:color w:val="000000"/>
          <w:sz w:val="20"/>
        </w:rPr>
        <w:t>Inventories.</w:t>
      </w:r>
      <w:r>
        <w:rPr>
          <w:color w:val="000000"/>
        </w:rPr>
        <w:t> </w:t>
      </w:r>
      <w:r>
        <w:rPr>
          <w:rFonts w:ascii="Times New Roman;sans-serif" w:hAnsi="Times New Roman;sans-serif"/>
          <w:b w:val="false"/>
          <w:color w:val="000000"/>
          <w:sz w:val="20"/>
        </w:rPr>
        <w:t xml:space="preserve">Inventories are stated at the lower of cost and net realizable value, with cost principally determined by the weighted average cost method. Provisions for potentially obsolete or slow-moving inventory, including pre-launch inventory, are made based on our analysis of product dating, inventory levels, historical obsolescence and future sales forecasts. Included as a component of cost of sales is expense related to the net realizable value of inventories. </w:t>
      </w:r>
    </w:p>
    <w:p>
      <w:pPr>
        <w:pStyle w:val="TextBody"/>
        <w:bidi w:val="0"/>
        <w:spacing w:lineRule="auto" w:line="288" w:before="0" w:after="240"/>
        <w:ind w:left="0" w:right="0" w:firstLine="720"/>
        <w:jc w:val="left"/>
        <w:rPr/>
      </w:pPr>
      <w:r>
        <w:rPr>
          <w:rFonts w:ascii="Times New Roman;sans-serif" w:hAnsi="Times New Roman;sans-serif"/>
          <w:b/>
          <w:i/>
          <w:color w:val="000000"/>
          <w:sz w:val="20"/>
        </w:rPr>
        <w:t>Property, Plant and Equipment.</w:t>
      </w:r>
      <w:r>
        <w:rPr>
          <w:color w:val="000000"/>
        </w:rPr>
        <w:t> </w:t>
      </w:r>
      <w:r>
        <w:rPr>
          <w:rFonts w:ascii="Times New Roman;sans-serif" w:hAnsi="Times New Roman;sans-serif"/>
          <w:b w:val="false"/>
          <w:color w:val="000000"/>
          <w:sz w:val="20"/>
        </w:rPr>
        <w:t xml:space="preserve">Property, plant and equipment are stated at cost less accumulated depreciation. Depreciation is computed and recorded on a straight-line basis over the assets’ estimated service lives (3 to 18 years for machinery and equipment and other fixed assets and 15 to 39 years for buildings and improvements). Capitalized software is included in property, plant and equipment and is amortized over estimated useful lives ranging from 3 to 7 years. </w:t>
      </w:r>
    </w:p>
    <w:p>
      <w:pPr>
        <w:pStyle w:val="TextBody"/>
        <w:bidi w:val="0"/>
        <w:spacing w:lineRule="auto" w:line="288" w:before="0" w:after="240"/>
        <w:ind w:left="0" w:right="0" w:firstLine="720"/>
        <w:jc w:val="left"/>
        <w:rPr/>
      </w:pPr>
      <w:r>
        <w:rPr>
          <w:rFonts w:ascii="Times New Roman;sans-serif" w:hAnsi="Times New Roman;sans-serif"/>
          <w:b/>
          <w:i/>
          <w:color w:val="000000"/>
          <w:sz w:val="20"/>
        </w:rPr>
        <w:t>Intangible Assets and Goodwill.</w:t>
      </w:r>
      <w:r>
        <w:rPr>
          <w:color w:val="000000"/>
        </w:rPr>
        <w:t> </w:t>
      </w:r>
      <w:r>
        <w:rPr>
          <w:rFonts w:ascii="Times New Roman;sans-serif" w:hAnsi="Times New Roman;sans-serif"/>
          <w:b w:val="false"/>
          <w:color w:val="000000"/>
          <w:sz w:val="20"/>
        </w:rPr>
        <w:t>Intangible assets are stated at cost less accumulated amortization. Amortization is generally recorded on a straight-line basis over estimated useful lives ranging from 3 to 20 years. The Company periodically reviews the estimated useful lives of intangible assets and makes adjustments when events indicate that a shorter life is appropriate.</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accounts for acquired businesses using the acquisition method of accounting in accordance with the provisions of ASC 805,</w:t>
      </w:r>
      <w:r>
        <w:rPr>
          <w:color w:val="000000"/>
        </w:rPr>
        <w:t xml:space="preserve">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are amortized over the expected life of the asset. Any excess of the purchase price over the estimated fair values of the net assets acquired is recorded as goodwill.</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developed products and licenses that are accounted for as asset acquisitions, including milestone payments related to development compounds due upon receipt of regulatory approvals, are capitalized as intangible assets and amortized over an estimated useful life. IPR&amp;D assets acquired as part of an asset acquisition are expensed immediately if they have no alternative future 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principally IPR&amp;D acquired as part of business combinations,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w:t>
      </w:r>
    </w:p>
    <w:p>
      <w:pPr>
        <w:pStyle w:val="TextBody"/>
        <w:bidi w:val="0"/>
        <w:spacing w:lineRule="auto" w:line="288" w:before="0" w:after="240"/>
        <w:ind w:left="0" w:right="0" w:firstLine="720"/>
        <w:jc w:val="left"/>
        <w:rPr/>
      </w:pPr>
      <w:r>
        <w:rPr>
          <w:rFonts w:ascii="Times New Roman;sans-serif" w:hAnsi="Times New Roman;sans-serif"/>
          <w:b/>
          <w:i/>
          <w:color w:val="000000"/>
          <w:sz w:val="20"/>
        </w:rPr>
        <w:t>Contingent Consideration.</w:t>
      </w:r>
      <w:r>
        <w:rPr>
          <w:color w:val="000000"/>
        </w:rPr>
        <w:t xml:space="preserve"> </w:t>
      </w:r>
      <w:r>
        <w:rPr>
          <w:rFonts w:ascii="Times New Roman;sans-serif" w:hAnsi="Times New Roman;sans-serif"/>
          <w:b w:val="false"/>
          <w:color w:val="000000"/>
          <w:sz w:val="20"/>
        </w:rPr>
        <w:t xml:space="preserve">Viatris records contingent consideration liabilities resulting from business acquisitions or divestitures at its estimated fair value on the acquisition or divestiture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operating results, sales targets and profitability. These fair value measurements represent Level 3 measurements as they are based on significant inputs not observable in the market.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judgment is employed in determining the assumptions utilized as of the acquisition or divestiture date and for each subsequent measurement period. Accordingly, changes in the assumptions described above could have a material impact on the Company’s consolidated financial condition and results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records contingent consideration assets resulting from divestitures when the contingent consideration is resolved.</w:t>
      </w:r>
    </w:p>
    <w:p>
      <w:pPr>
        <w:pStyle w:val="TextBody"/>
        <w:bidi w:val="0"/>
        <w:spacing w:lineRule="auto" w:line="288" w:before="0" w:after="240"/>
        <w:ind w:left="0" w:right="0" w:firstLine="720"/>
        <w:jc w:val="left"/>
        <w:rPr/>
      </w:pPr>
      <w:r>
        <w:rPr>
          <w:rFonts w:ascii="Times New Roman;sans-serif" w:hAnsi="Times New Roman;sans-serif"/>
          <w:b/>
          <w:i/>
          <w:color w:val="000000"/>
          <w:sz w:val="20"/>
        </w:rPr>
        <w:t>Impairment of Long-Lived Assets.</w:t>
      </w:r>
      <w:r>
        <w:rPr>
          <w:color w:val="000000"/>
        </w:rPr>
        <w:t> </w:t>
      </w:r>
      <w:r>
        <w:rPr>
          <w:rFonts w:ascii="Times New Roman;sans-serif" w:hAnsi="Times New Roman;sans-serif"/>
          <w:b w:val="false"/>
          <w:color w:val="000000"/>
          <w:sz w:val="20"/>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Any future long-lived assets impairment charges could have a material impact on the Company’s consolidated financial condition and results of operations.</w:t>
      </w:r>
    </w:p>
    <w:p>
      <w:pPr>
        <w:pStyle w:val="TextBody"/>
        <w:bidi w:val="0"/>
        <w:spacing w:lineRule="auto" w:line="288" w:before="0" w:after="240"/>
        <w:ind w:left="0" w:right="0" w:firstLine="720"/>
        <w:jc w:val="left"/>
        <w:rPr/>
      </w:pPr>
      <w:r>
        <w:rPr>
          <w:rFonts w:ascii="Times New Roman;sans-serif" w:hAnsi="Times New Roman;sans-serif"/>
          <w:b/>
          <w:i/>
          <w:color w:val="000000"/>
          <w:sz w:val="20"/>
        </w:rPr>
        <w:t xml:space="preserve">Divestitures. </w:t>
      </w:r>
      <w:r>
        <w:rPr>
          <w:rFonts w:ascii="Times New Roman;sans-serif" w:hAnsi="Times New Roman;sans-serif"/>
          <w:b w:val="false"/>
          <w:color w:val="000000"/>
          <w:sz w:val="20"/>
        </w:rPr>
        <w:t xml:space="preserve">For businesses that are divested, including divestitures of products that qualify as a business, the Company records the net gain or loss on the sale within </w:t>
      </w:r>
      <w:r>
        <w:rPr>
          <w:rFonts w:ascii="Times New Roman;sans-serif" w:hAnsi="Times New Roman;sans-serif"/>
          <w:b w:val="false"/>
          <w:i/>
          <w:color w:val="000000"/>
          <w:sz w:val="20"/>
        </w:rPr>
        <w:t>Other income, net</w:t>
      </w:r>
      <w:r>
        <w:rPr>
          <w:rFonts w:ascii="Times New Roman;sans-serif" w:hAnsi="Times New Roman;sans-serif"/>
          <w:b w:val="false"/>
          <w:color w:val="000000"/>
          <w:sz w:val="20"/>
        </w:rPr>
        <w:t xml:space="preserve">, and allocates the relative fair value of goodwill associated with the businesses in the determining the gain or loss on sale. Any resulting goodwill impairment is recorded within SG&amp;A. The Company records amounts received as part of TSAs within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For divestitures of products that qualify as assets, the Company records the gain or loss on sale within SG&amp;A.</w:t>
      </w:r>
    </w:p>
    <w:p>
      <w:pPr>
        <w:pStyle w:val="TextBody"/>
        <w:bidi w:val="0"/>
        <w:spacing w:lineRule="auto" w:line="288" w:before="0" w:after="240"/>
        <w:ind w:left="0" w:right="0" w:firstLine="720"/>
        <w:jc w:val="left"/>
        <w:rPr/>
      </w:pPr>
      <w:r>
        <w:rPr>
          <w:rFonts w:ascii="Times New Roman;sans-serif" w:hAnsi="Times New Roman;sans-serif"/>
          <w:b/>
          <w:i/>
          <w:color w:val="000000"/>
          <w:sz w:val="20"/>
        </w:rPr>
        <w:t>Short-Term Borrowings.</w:t>
      </w:r>
      <w:r>
        <w:rPr>
          <w:color w:val="000000"/>
        </w:rPr>
        <w:t> </w:t>
      </w:r>
      <w:r>
        <w:rPr>
          <w:rFonts w:ascii="Times New Roman;sans-serif" w:hAnsi="Times New Roman;sans-serif"/>
          <w:b w:val="false"/>
          <w:color w:val="000000"/>
          <w:sz w:val="20"/>
        </w:rPr>
        <w:t>The Company’s subsidiaries in India have working capital facilities with several banks which are secured by its current assets. The Company also has the CP Notes, Receivables Facility and the Note Securitization Facility. Under the terms of each of the Receivables Facility and Note Securitization Facility, certain of our accounts receivable secure the amounts borrowed and cannot be used to pay our other debts or liabilities. As the accounts receivable do not transfer to the banks, any amounts outstanding under the facilities are recorded as borrowings and the underlying receivables continue to be included in accounts receivable, net,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i/>
          <w:color w:val="000000"/>
          <w:sz w:val="20"/>
        </w:rPr>
        <w:t xml:space="preserve">Revenue Recognition. </w:t>
      </w:r>
      <w:r>
        <w:rPr>
          <w:rFonts w:ascii="Times New Roman;sans-serif" w:hAnsi="Times New Roman;sans-serif"/>
          <w:b w:val="false"/>
          <w:color w:val="000000"/>
          <w:sz w:val="20"/>
        </w:rPr>
        <w:t xml:space="preserve">The Company recognizes revenues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The following section briefly describes the nature of our provisions for variable consideration and how such provisions are estimated: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Chargebacks</w:t>
      </w:r>
      <w:r>
        <w:rPr>
          <w:rFonts w:ascii="Times New Roman;sans-serif" w:hAnsi="Times New Roman;sans-serif"/>
          <w:b w:val="false"/>
          <w:color w:val="000000"/>
          <w:sz w:val="20"/>
        </w:rPr>
        <w:t>: the Company has agreements with certain indirect customers, such as independent pharmacies, retail pharmacy chains, managed care 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Rebates, promotional programs and other sales allowances</w:t>
      </w:r>
      <w:r>
        <w:rPr>
          <w:rFonts w:ascii="Times New Roman;sans-serif" w:hAnsi="Times New Roman;sans-serif"/>
          <w:b w:val="false"/>
          <w:color w:val="000000"/>
          <w:sz w:val="20"/>
        </w:rPr>
        <w:t xml:space="preserve">: this category includes rebate and other programs to assist in product sales. These 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Returns</w:t>
      </w:r>
      <w:r>
        <w:rPr>
          <w:rFonts w:ascii="Times New Roman;sans-serif" w:hAnsi="Times New Roman;sans-serif"/>
          <w:b w:val="false"/>
          <w:color w:val="000000"/>
          <w:sz w:val="20"/>
        </w:rPr>
        <w:t>: consistent with industry practice, Viatris maintains a return policy that allows customers to return a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Governmental rebate programs</w:t>
      </w:r>
      <w:r>
        <w:rPr>
          <w:rFonts w:ascii="Times New Roman;sans-serif" w:hAnsi="Times New Roman;sans-serif"/>
          <w:b w:val="false"/>
          <w:color w:val="000000"/>
          <w:sz w:val="20"/>
        </w:rPr>
        <w:t>: government reimbursement programs in the U.S. include Medicare, Medicaid, and State Pharmacy Assistance 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consolidated statements of operations.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including deferred consideration, with terms in excess of one year are initially recorded at their net present value using discount rates reflecting the relative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i/>
          <w:color w:val="000000"/>
          <w:sz w:val="20"/>
        </w:rPr>
        <w:t>Research and Development.</w:t>
      </w:r>
      <w:r>
        <w:rPr>
          <w:color w:val="000000"/>
        </w:rPr>
        <w:t> </w:t>
      </w:r>
      <w:r>
        <w:rPr>
          <w:rFonts w:ascii="Times New Roman;sans-serif" w:hAnsi="Times New Roman;sans-serif"/>
          <w:b w:val="false"/>
          <w:color w:val="000000"/>
          <w:sz w:val="20"/>
        </w:rPr>
        <w:t>R&amp;D expenses are charged to operations as incurred. R&amp;D expense consists of costs incurred in performing research and development activities, including but not limited to, compensation and benefits, facilities and overhead expense, clinical trial expense and fees paid to contract research organizations.</w:t>
      </w:r>
    </w:p>
    <w:p>
      <w:pPr>
        <w:pStyle w:val="TextBody"/>
        <w:bidi w:val="0"/>
        <w:spacing w:lineRule="auto" w:line="288" w:before="0" w:after="240"/>
        <w:ind w:left="0" w:right="0" w:firstLine="720"/>
        <w:jc w:val="left"/>
        <w:rPr/>
      </w:pPr>
      <w:r>
        <w:rPr>
          <w:rFonts w:ascii="Times New Roman;sans-serif" w:hAnsi="Times New Roman;sans-serif"/>
          <w:b/>
          <w:i/>
          <w:color w:val="000000"/>
          <w:sz w:val="20"/>
        </w:rPr>
        <w:t xml:space="preserve">Acquired IPR&amp;D. </w:t>
      </w:r>
      <w:r>
        <w:rPr>
          <w:rFonts w:ascii="Times New Roman;sans-serif" w:hAnsi="Times New Roman;sans-serif"/>
          <w:b w:val="false"/>
          <w:color w:val="000000"/>
          <w:sz w:val="20"/>
        </w:rPr>
        <w:t>Acquired IPR&amp;D expense includes the initial cost of externally developed IPR&amp;D projects, acquired directly in a transaction other than a business combination, that do not have an alternative future use. Additionally, the related milestone payment obligations that are incurred prior to regulatory approval of the compound are recorded as acquired IPR&amp;D expense when the event triggering the obligation to pay the milestone occurs.</w:t>
      </w:r>
    </w:p>
    <w:p>
      <w:pPr>
        <w:pStyle w:val="TextBody"/>
        <w:bidi w:val="0"/>
        <w:spacing w:lineRule="auto" w:line="288" w:before="0" w:after="240"/>
        <w:ind w:left="0" w:right="0" w:firstLine="720"/>
        <w:jc w:val="left"/>
        <w:rPr/>
      </w:pPr>
      <w:r>
        <w:rPr>
          <w:rFonts w:ascii="Times New Roman;sans-serif" w:hAnsi="Times New Roman;sans-serif"/>
          <w:b/>
          <w:i/>
          <w:color w:val="000000"/>
          <w:sz w:val="20"/>
        </w:rPr>
        <w:t>Income Taxes.</w:t>
      </w:r>
      <w:r>
        <w:rPr>
          <w:color w:val="000000"/>
        </w:rPr>
        <w:t> </w:t>
      </w:r>
      <w:r>
        <w:rPr>
          <w:rFonts w:ascii="Times New Roman;sans-serif" w:hAnsi="Times New Roman;sans-serif"/>
          <w:b w:val="false"/>
          <w:color w:val="000000"/>
          <w:sz w:val="20"/>
        </w:rPr>
        <w:t>Income taxes have been provided for using an asset and liability approach in which deferred income taxes reflect the tax 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pStyle w:val="TextBody"/>
        <w:bidi w:val="0"/>
        <w:spacing w:lineRule="auto" w:line="288" w:before="0" w:after="240"/>
        <w:ind w:left="0" w:right="0" w:firstLine="720"/>
        <w:jc w:val="left"/>
        <w:rPr/>
      </w:pPr>
      <w:r>
        <w:rPr>
          <w:rFonts w:ascii="Times New Roman;sans-serif" w:hAnsi="Times New Roman;sans-serif"/>
          <w:b/>
          <w:i/>
          <w:color w:val="000000"/>
          <w:sz w:val="20"/>
        </w:rPr>
        <w:t>Earnings per Share.</w:t>
      </w:r>
      <w:r>
        <w:rPr>
          <w:color w:val="000000"/>
        </w:rPr>
        <w:t> </w:t>
      </w:r>
      <w:r>
        <w:rPr>
          <w:rFonts w:ascii="Times New Roman;sans-serif" w:hAnsi="Times New Roman;sans-serif"/>
          <w:b w:val="false"/>
          <w:color w:val="000000"/>
          <w:sz w:val="20"/>
        </w:rPr>
        <w:t>Basic earnings per share is computed by dividing net earnings attributable to holders of Viatris Inc. common stock by the weighted average number of shares outstanding during the period. Diluted earnings per share is computed by dividing net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attributable to Viatris Inc. are calculated as follows:</w:t>
      </w:r>
    </w:p>
    <w:tbl>
      <w:tblPr>
        <w:tblW w:w="10205" w:type="dxa"/>
        <w:jc w:val="left"/>
        <w:tblInd w:w="0" w:type="dxa"/>
        <w:tblLayout w:type="fixed"/>
        <w:tblCellMar>
          <w:top w:w="28" w:type="dxa"/>
          <w:left w:w="28" w:type="dxa"/>
          <w:bottom w:w="28" w:type="dxa"/>
          <w:right w:w="28" w:type="dxa"/>
        </w:tblCellMar>
      </w:tblPr>
      <w:tblGrid>
        <w:gridCol w:w="2328"/>
        <w:gridCol w:w="2020"/>
        <w:gridCol w:w="2037"/>
        <w:gridCol w:w="223"/>
        <w:gridCol w:w="543"/>
        <w:gridCol w:w="109"/>
        <w:gridCol w:w="109"/>
        <w:gridCol w:w="109"/>
        <w:gridCol w:w="109"/>
        <w:gridCol w:w="211"/>
        <w:gridCol w:w="766"/>
        <w:gridCol w:w="109"/>
        <w:gridCol w:w="109"/>
        <w:gridCol w:w="109"/>
        <w:gridCol w:w="109"/>
        <w:gridCol w:w="211"/>
        <w:gridCol w:w="837"/>
        <w:gridCol w:w="157"/>
      </w:tblGrid>
      <w:tr>
        <w:trPr/>
        <w:tc>
          <w:tcPr>
            <w:tcW w:w="2328"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earnings (loss) attributable to Viatris Inc. common shareholders (numerator):</w:t>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Viatris Inc. common shareholders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(denominator):</w:t>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attributable to Viatris Inc. shareholders</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earnings (loss) attributable to Viatris Inc. common shareholders (numerator):</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Viatris Inc. common shareholders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(denominator):</w:t>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dilutive shares outstanding</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 attributable to Viatris Inc. shareholders</w:t>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stock awards and Restricted Stock Awards were outstanding during the years ended December 31, 2023, 2022 and 2021 but were not included in the computation of diluted earnings per share for each respective period because the effect would be anti-dilutive. Excluded shares also include certain share-based compensation awards and restricted shares whose performance conditions had not been fully met. Such excluded shares and anti-dilutive awards represented 16.4 million, 11.8 million and 12.7 million shares for the years ended December 31, 2023, 2022 and 2021, respectively.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quarterly cash dividends of $0.12 per share on the Company’s issued and outstanding common stock on March 17, 2023, June 16, 2023, September 15, 2023 and December 15, 2023. On February 26, 2024, the Company’s Board of Directors declared a quarterly cash dividend of $0.12 per share on the Company’s issued and outstanding common stock, which will be payable on March 18, 2024 to shareholders of record as of the close of business on March 11, 2024.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paid quarterly cash dividends of $0.12 per share on the Company’s issued and outstanding common stock on March 16, 2022, June 16, 2022, September 16, 2022 and December 16, 2022. The Company paid quarterly cash dividends of $0.11 per share on the Company’s issued and outstanding common stock on June 16, 2021, September 16, 2021, and December 16,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6, 2022, the Company announced that its Board of Directors had authorized a DRIP. The DRIP allows shareholders to automatically reinvest all or a portion of the cash dividends paid on their shares of the Company’s common stock and to make certain additional optional cash investments in the Company’s common stock.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year ended December 31, 2023, the Company repurchased approximately 21.2 million shares of common stock at a cost of approximately $250 million. In February 2024, the Company repurchased approximately 19.2 million shares of common stock at a cost of approximately $250 million. The Company did not repurchase any shares of common stock under the share repurchase program in 2022. The share repurchase program does not obligate the Company to acquire any particular amount of common stock.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The Company had repurchased a total of $500 million in shares through February 28, 2024 under the program.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i/>
          <w:color w:val="000000"/>
          <w:sz w:val="20"/>
        </w:rPr>
        <w:t>Share-Based Compensation.</w:t>
      </w:r>
      <w:r>
        <w:rPr>
          <w:color w:val="000000"/>
        </w:rPr>
        <w:t> </w:t>
      </w:r>
      <w:r>
        <w:rPr>
          <w:rFonts w:ascii="Times New Roman;sans-serif" w:hAnsi="Times New Roman;sans-serif"/>
          <w:b w:val="false"/>
          <w:color w:val="000000"/>
          <w:sz w:val="20"/>
        </w:rPr>
        <w:t>The fair value of share-based compensation is recognized as expense in the consolidated statements of operations over the vesting period.</w:t>
      </w:r>
    </w:p>
    <w:p>
      <w:pPr>
        <w:pStyle w:val="TextBody"/>
        <w:bidi w:val="0"/>
        <w:spacing w:lineRule="auto" w:line="288" w:before="0" w:after="240"/>
        <w:ind w:left="0" w:right="0" w:firstLine="720"/>
        <w:jc w:val="left"/>
        <w:rPr/>
      </w:pPr>
      <w:r>
        <w:rPr>
          <w:rFonts w:ascii="Times New Roman;sans-serif" w:hAnsi="Times New Roman;sans-serif"/>
          <w:b/>
          <w:i/>
          <w:color w:val="000000"/>
          <w:sz w:val="20"/>
        </w:rPr>
        <w:t>Derivatives.</w:t>
      </w:r>
      <w:r>
        <w:rPr>
          <w:color w:val="000000"/>
        </w:rPr>
        <w:t> </w:t>
      </w:r>
      <w:r>
        <w:rPr>
          <w:rFonts w:ascii="Times New Roman;sans-serif" w:hAnsi="Times New Roman;sans-serif"/>
          <w:b w:val="false"/>
          <w:color w:val="000000"/>
          <w:sz w:val="20"/>
        </w:rPr>
        <w:t xml:space="preserve">From time to time the Company may enter into derivative financial instruments (mainly foreign currency exchange forward contracts, interest rate swaps and purchased equity call options) designed to: 1) hedge the cash flows resulting from existing assets and liabilities and transactions expected to be entered into over the next 24 months in currencies other than the functional currency, 2) hedge the variability in interest expense on floating rate debt, 3) hedge the fair value of fixed-rate notes, 4) hedge against changes in interest rates that could impact future debt issuances, 5) hedge cash or share payments required on conversion of issued convertible notes, 6) hedge a net investment in a foreign operation, or 7) economically hedge the foreign currency exposure associated with the purchase price of non-U.S. acquisitions or divestitures. Derivatives are recognized as assets or liabilities in the consolidated balance sheets at their fair value. When the derivative instrument qualifies as a cash flow hedge, changes in the fair value are deferred through other comprehensive earnings. If a derivative instrument qualifies as a fair value hedge, the changes in the fair value, as well as the offsetting changes in the fair value of the hedged items, are generally included in within the same line item in the consolidated statements of operations as the hedged item. When such instruments do not qualify for hedge accounting the changes in fair value are recorded in the consolidated statements of operations within </w:t>
      </w:r>
      <w:r>
        <w:rPr>
          <w:rFonts w:ascii="Times New Roman;sans-serif" w:hAnsi="Times New Roman;sans-serif"/>
          <w:b w:val="false"/>
          <w:i/>
          <w:color w:val="000000"/>
          <w:sz w:val="20"/>
        </w:rPr>
        <w:t>Other income, net</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left"/>
        <w:rPr/>
      </w:pPr>
      <w:r>
        <w:rPr>
          <w:rFonts w:ascii="Times New Roman;sans-serif" w:hAnsi="Times New Roman;sans-serif"/>
          <w:b/>
          <w:i/>
          <w:color w:val="000000"/>
          <w:sz w:val="20"/>
        </w:rPr>
        <w:t>Financial Instruments.</w:t>
      </w:r>
      <w:r>
        <w:rPr>
          <w:color w:val="000000"/>
        </w:rPr>
        <w:t> </w:t>
      </w:r>
      <w:r>
        <w:rPr>
          <w:rFonts w:ascii="Times New Roman;sans-serif" w:hAnsi="Times New Roman;sans-serif"/>
          <w:b w:val="false"/>
          <w:color w:val="000000"/>
          <w:sz w:val="20"/>
        </w:rPr>
        <w:t>The Company’s financial instruments consist primarily of short-term and long-term debt, interest rate swaps, forward contracts and option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carries derivative instruments in the consolidated balance sheets at fair value, determined by reference to market data such as forward rates for currencies, implied volatility, and interest rate swap yield curves. The accounting for changes in the fair value of a derivative instrument depends on whether it has been designated and qualifies as part of a hedging relationship and, if so, the reason for holding it. In addition, the Company has designated certain long-term debt instruments as net investment hedges.</w:t>
      </w:r>
    </w:p>
    <w:p>
      <w:pPr>
        <w:pStyle w:val="TextBody"/>
        <w:bidi w:val="0"/>
        <w:spacing w:lineRule="auto" w:line="288" w:before="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Recent Accounting Pronouncements. </w:t>
      </w:r>
    </w:p>
    <w:p>
      <w:pPr>
        <w:pStyle w:val="TextBody"/>
        <w:bidi w:val="0"/>
        <w:spacing w:lineRule="auto" w:line="288" w:before="0" w:after="24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Adoption of New Accounting Standards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September 2022, the FASB issued ASU 2022-04, </w:t>
      </w:r>
      <w:r>
        <w:rPr>
          <w:rFonts w:ascii="Times New Roman;sans-serif" w:hAnsi="Times New Roman;sans-serif"/>
          <w:b w:val="false"/>
          <w:i/>
          <w:color w:val="000000"/>
          <w:sz w:val="20"/>
        </w:rPr>
        <w:t xml:space="preserve">Liabilities—Supplier Finance Programs (Subtopic 405-50), </w:t>
      </w:r>
      <w:r>
        <w:rPr>
          <w:rFonts w:ascii="Times New Roman;sans-serif" w:hAnsi="Times New Roman;sans-serif"/>
          <w:b w:val="false"/>
          <w:color w:val="000000"/>
          <w:sz w:val="20"/>
        </w:rPr>
        <w:t xml:space="preserve">which requires entities to provide qualitative and quantitative disclosures about their supplier finance programs, including a rollforward of related obligations. We adopted this ASU effective January 1, 2023, with the exception of the amendment on rollforward information, which will be adopted in our fiscal year beginning on January 1, 2024 as set forth in ASU 2022-04. Refer to Note 6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 xml:space="preserve">for additional information. The adoption of ASU 2022-04 did not affect the Company’s financial condition, results of operations or cash flows as the guidance only requires additional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October 2021, the FASB issued Accounting Standards Update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which requires entities (acquirers) to recognize and measure contract assets and contract liabilities acquired in a business combination in accordance with ASC Topic 606. We adopted this ASU effective January 1, 2023. The adoption of this guidance did not have a material impact on the Company’s consolidated financial statements and disclosures.</w:t>
      </w:r>
    </w:p>
    <w:p>
      <w:pPr>
        <w:pStyle w:val="TextBody"/>
        <w:bidi w:val="0"/>
        <w:spacing w:lineRule="auto" w:line="288" w:before="0" w:after="24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Issued Not Yet Adopted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 xml:space="preserve">Reference Rate Reform (Topic 848) Facilitation of the Effects of Reference Rate Reform on Financial Reporting </w:t>
      </w:r>
      <w:r>
        <w:rPr>
          <w:rFonts w:ascii="Times New Roman;sans-serif" w:hAnsi="Times New Roman;sans-serif"/>
          <w:b w:val="false"/>
          <w:color w:val="000000"/>
          <w:sz w:val="20"/>
        </w:rPr>
        <w:t>(“ASU 2020-04”), which for a limited period of time adds ASC 848 to provide optional expedients and exceptions for applying U.S. GAAP to contracts, hedging relationships, and other transactions affected by reference rate reform if certain criteria are met. ASU 2020-04 applies only to contracts, hedging relationships, and other transactions that reference LIBOR or another reference rate expected to be discontinued because of reference rate reform. On December 21, 2022, the FASB issued ASU 2022-06 to defer the sunset date of ASC 848 until December 31, 2024. ASU 2022-06 became effective upon issuance. Entities can apply the provisions of ASU 2020-04 immediately, as applicable, and generally the provisions of the guidance are available through December 31, 2024 as entities transition away from reference rates that are expected to be discontinued. The Company is currently assessing the impact of the adoption of this guidance on its consolidated financial statements and disclosures.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(“ASU 2023-07”), which includes amendments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amendments in ASU 2023-07 are effective for all public entities for fiscal years beginning after December 15, 2023, and interim periods within fiscal years beginning after December 15, 2024, with early adoption is permitted. The Company is currently assessing the impact of the adoption of this guidance on its consolidated financial statements and disclosures.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(“ASU 2023-09”), which requires expanded income tax disclosures, including greater disaggregation of information in the effective tax rate reconciliation and of income taxes paid. The amendments in ASU 2023-09 are effective for all public entities for fiscal years beginning after December 15, 2024, with early adoption is permitted. The Company is currently assessing the impact of the adoption of this guidance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3.Revenue Recognition and Accounts Receivable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sales by product category for each of our reportable segments for the years ended December 31, 2023, 2022, and 2021, respectively:</w:t>
      </w:r>
    </w:p>
    <w:tbl>
      <w:tblPr>
        <w:tblW w:w="910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 Net Sales</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10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 Net Sales</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9101" w:type="dxa"/>
        <w:jc w:val="center"/>
        <w:tblInd w:w="0" w:type="dxa"/>
        <w:tblLayout w:type="fixed"/>
        <w:tblCellMar>
          <w:top w:w="28" w:type="dxa"/>
          <w:left w:w="28" w:type="dxa"/>
          <w:bottom w:w="28" w:type="dxa"/>
          <w:right w:w="28" w:type="dxa"/>
        </w:tblCellMar>
      </w:tblPr>
      <w:tblGrid>
        <w:gridCol w:w="489"/>
        <w:gridCol w:w="429"/>
        <w:gridCol w:w="431"/>
        <w:gridCol w:w="265"/>
        <w:gridCol w:w="1097"/>
        <w:gridCol w:w="137"/>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Net Sales</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Viatris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60" w:after="12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Amounts include the impact of foreign currency translations compared to the prior year period.</w:t>
      </w:r>
    </w:p>
    <w:p>
      <w:pPr>
        <w:pStyle w:val="TextBody"/>
        <w:bidi w:val="0"/>
        <w:spacing w:lineRule="auto" w:line="276" w:before="60" w:after="283"/>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Amounts for the years ended December 31, 2022 and 2021 include approximately $601.1 million and $607.3 million, respectively, related to the biosimilars business which was contributed to Biocon Biologics in November 2022. The Company has not recognized the results of the biosimilars business in its consolidated financial statements subsequent to November 29, 2022.</w:t>
      </w:r>
    </w:p>
    <w:p>
      <w:pPr>
        <w:pStyle w:val="TextBody"/>
        <w:bidi w:val="0"/>
        <w:spacing w:lineRule="auto" w:line="276" w:before="60" w:after="283"/>
        <w:ind w:left="0" w:right="0" w:hanging="360"/>
        <w:jc w:val="both"/>
        <w:rPr/>
      </w:pPr>
      <w:r>
        <w:rPr>
          <w:rFonts w:ascii="Times New Roman;sans-serif" w:hAnsi="Times New Roman;sans-serif"/>
          <w:b w:val="false"/>
          <w:color w:val="000000"/>
          <w:sz w:val="13"/>
        </w:rPr>
        <w:t>(c)</w:t>
      </w:r>
      <w:r>
        <w:rPr>
          <w:rFonts w:ascii="Times New Roman;sans-serif" w:hAnsi="Times New Roman;sans-serif"/>
          <w:b w:val="false"/>
          <w:color w:val="000000"/>
          <w:sz w:val="20"/>
        </w:rPr>
        <w:t xml:space="preserve">As a result of the contribution of the biosimilars business to Biocon Biologics in November 2022, </w:t>
      </w:r>
      <w:r>
        <w:rPr>
          <w:rFonts w:ascii="Times New Roman;sans-serif" w:hAnsi="Times New Roman;sans-serif"/>
          <w:b w:val="false"/>
          <w:i/>
          <w:color w:val="000000"/>
          <w:sz w:val="20"/>
        </w:rPr>
        <w:t>Complex Gx and Biosimilars</w:t>
      </w:r>
      <w:r>
        <w:rPr>
          <w:rFonts w:ascii="Times New Roman;sans-serif" w:hAnsi="Times New Roman;sans-serif"/>
          <w:b w:val="false"/>
          <w:color w:val="000000"/>
          <w:sz w:val="20"/>
        </w:rPr>
        <w:t xml:space="preserve">, which were previously presented as a separate line item, are now included within </w:t>
      </w:r>
      <w:r>
        <w:rPr>
          <w:rFonts w:ascii="Times New Roman;sans-serif" w:hAnsi="Times New Roman;sans-serif"/>
          <w:b w:val="false"/>
          <w:i/>
          <w:color w:val="000000"/>
          <w:sz w:val="20"/>
        </w:rPr>
        <w:t xml:space="preserve">Generics. </w:t>
      </w:r>
      <w:r>
        <w:rPr>
          <w:rFonts w:ascii="Times New Roman;sans-serif" w:hAnsi="Times New Roman;sans-serif"/>
          <w:b w:val="false"/>
          <w:color w:val="000000"/>
          <w:sz w:val="20"/>
        </w:rPr>
        <w:t>Reclassifications were made to prior periods to conform to the current period presentation.</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on a consolidated basis for select key products for the years ended December 31, 2023, 2022, and 2021, respectively:</w:t>
      </w:r>
    </w:p>
    <w:tbl>
      <w:tblPr>
        <w:tblW w:w="6848" w:type="dxa"/>
        <w:jc w:val="left"/>
        <w:tblInd w:w="0" w:type="dxa"/>
        <w:tblLayout w:type="fixed"/>
        <w:tblCellMar>
          <w:top w:w="28" w:type="dxa"/>
          <w:left w:w="28" w:type="dxa"/>
          <w:bottom w:w="28" w:type="dxa"/>
          <w:right w:w="28" w:type="dxa"/>
        </w:tblCellMar>
      </w:tblPr>
      <w:tblGrid>
        <w:gridCol w:w="930"/>
        <w:gridCol w:w="816"/>
        <w:gridCol w:w="818"/>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Select Key Global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Lipitor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Norvasc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EpiPen® Auto-Injectors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Viagra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Celebrex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Effexor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Zoloft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Xalabrands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 Key Segment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Yupelri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Dymista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Influvac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Amitiza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Xanax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60" w:after="6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The Company does not disclose net sales for any products considered competitively sensitive.</w:t>
      </w:r>
    </w:p>
    <w:p>
      <w:pPr>
        <w:pStyle w:val="TextBody"/>
        <w:bidi w:val="0"/>
        <w:spacing w:lineRule="auto" w:line="276" w:before="0" w:after="60"/>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Products disclosed may change in future periods, including as a result of seasonality, competition or new product launches.</w:t>
      </w:r>
    </w:p>
    <w:p>
      <w:pPr>
        <w:pStyle w:val="TextBody"/>
        <w:bidi w:val="0"/>
        <w:spacing w:lineRule="auto" w:line="276" w:before="0" w:after="60"/>
        <w:ind w:left="0" w:right="0" w:hanging="360"/>
        <w:jc w:val="both"/>
        <w:rPr/>
      </w:pPr>
      <w:r>
        <w:rPr>
          <w:rFonts w:ascii="Times New Roman;sans-serif" w:hAnsi="Times New Roman;sans-serif"/>
          <w:b w:val="false"/>
          <w:color w:val="000000"/>
          <w:sz w:val="13"/>
        </w:rPr>
        <w:t>(c)</w:t>
      </w:r>
      <w:r>
        <w:rPr>
          <w:rFonts w:ascii="Times New Roman;sans-serif" w:hAnsi="Times New Roman;sans-serif"/>
          <w:b w:val="false"/>
          <w:color w:val="000000"/>
          <w:sz w:val="20"/>
        </w:rPr>
        <w:t>Amounts include the impact of foreign currency translations compared to the prior year period.</w:t>
      </w:r>
    </w:p>
    <w:p>
      <w:pPr>
        <w:pStyle w:val="TextBody"/>
        <w:bidi w:val="0"/>
        <w:spacing w:lineRule="auto" w:line="276" w:before="0" w:after="0"/>
        <w:ind w:left="0" w:right="0" w:hanging="360"/>
        <w:jc w:val="both"/>
        <w:rPr/>
      </w:pPr>
      <w:r>
        <w:rPr>
          <w:rFonts w:ascii="Times New Roman;sans-serif" w:hAnsi="Times New Roman;sans-serif"/>
          <w:b w:val="false"/>
          <w:color w:val="000000"/>
          <w:sz w:val="13"/>
        </w:rPr>
        <w:t>(d)</w:t>
      </w:r>
      <w:r>
        <w:rPr>
          <w:rFonts w:ascii="Times New Roman;sans-serif" w:hAnsi="Times New Roman;sans-serif"/>
          <w:b w:val="false"/>
          <w:color w:val="000000"/>
          <w:sz w:val="20"/>
        </w:rPr>
        <w:t xml:space="preserve">Refer to intellectual property matters included in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for additional information regarding Yupelri® and Amitiza®.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ans-serif" w:hAnsi="Times New Roman;sans-serif"/>
          <w:b/>
          <w:color w:val="000000"/>
          <w:sz w:val="20"/>
        </w:rPr>
        <w:t>Variable Consideration and Accounts Receivable</w:t>
      </w:r>
      <w:r>
        <w:rPr>
          <w:color w:val="000000"/>
        </w:rPr>
        <w:t>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gross sales to net sales by each significant category of variable consideration during the years ended December 31, 2023, 2022 and 2021, respectively:</w:t>
      </w:r>
    </w:p>
    <w:tbl>
      <w:tblPr>
        <w:tblW w:w="9342" w:type="dxa"/>
        <w:jc w:val="center"/>
        <w:tblInd w:w="0" w:type="dxa"/>
        <w:tblLayout w:type="fixed"/>
        <w:tblCellMar>
          <w:top w:w="28" w:type="dxa"/>
          <w:left w:w="28" w:type="dxa"/>
          <w:bottom w:w="28" w:type="dxa"/>
          <w:right w:w="28" w:type="dxa"/>
        </w:tblCellMar>
      </w:tblPr>
      <w:tblGrid>
        <w:gridCol w:w="1754"/>
        <w:gridCol w:w="1539"/>
        <w:gridCol w:w="1552"/>
        <w:gridCol w:w="211"/>
        <w:gridCol w:w="946"/>
        <w:gridCol w:w="109"/>
        <w:gridCol w:w="109"/>
        <w:gridCol w:w="109"/>
        <w:gridCol w:w="109"/>
        <w:gridCol w:w="211"/>
        <w:gridCol w:w="946"/>
        <w:gridCol w:w="109"/>
        <w:gridCol w:w="109"/>
        <w:gridCol w:w="109"/>
        <w:gridCol w:w="109"/>
        <w:gridCol w:w="211"/>
        <w:gridCol w:w="946"/>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to net adjustments: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to net adjustments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60" w:after="6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Amounts for the years ended December 31, 2022 and 2021 include the biosimilars business which was contributed to Biocon Biologics in November 2022. The Company has not recognized the results of the biosimilars business in its consolidated financial statements subsequent to November 29, 2022.</w:t>
      </w:r>
    </w:p>
    <w:p>
      <w:pPr>
        <w:pStyle w:val="TextBody"/>
        <w:bidi w:val="0"/>
        <w:spacing w:before="60" w:after="283"/>
        <w:jc w:val="both"/>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rollforward of the categories of variable consideration during 2023:</w:t>
      </w:r>
    </w:p>
    <w:tbl>
      <w:tblPr>
        <w:tblW w:w="10205" w:type="dxa"/>
        <w:jc w:val="left"/>
        <w:tblInd w:w="0" w:type="dxa"/>
        <w:tblLayout w:type="fixed"/>
        <w:tblCellMar>
          <w:top w:w="28" w:type="dxa"/>
          <w:left w:w="28" w:type="dxa"/>
          <w:bottom w:w="28" w:type="dxa"/>
          <w:right w:w="28" w:type="dxa"/>
        </w:tblCellMar>
      </w:tblPr>
      <w:tblGrid>
        <w:gridCol w:w="599"/>
        <w:gridCol w:w="439"/>
        <w:gridCol w:w="442"/>
        <w:gridCol w:w="224"/>
        <w:gridCol w:w="815"/>
        <w:gridCol w:w="116"/>
        <w:gridCol w:w="109"/>
        <w:gridCol w:w="109"/>
        <w:gridCol w:w="109"/>
        <w:gridCol w:w="247"/>
        <w:gridCol w:w="1020"/>
        <w:gridCol w:w="127"/>
        <w:gridCol w:w="109"/>
        <w:gridCol w:w="109"/>
        <w:gridCol w:w="109"/>
        <w:gridCol w:w="318"/>
        <w:gridCol w:w="636"/>
        <w:gridCol w:w="165"/>
        <w:gridCol w:w="109"/>
        <w:gridCol w:w="109"/>
        <w:gridCol w:w="109"/>
        <w:gridCol w:w="227"/>
        <w:gridCol w:w="962"/>
        <w:gridCol w:w="117"/>
        <w:gridCol w:w="109"/>
        <w:gridCol w:w="109"/>
        <w:gridCol w:w="109"/>
        <w:gridCol w:w="230"/>
        <w:gridCol w:w="558"/>
        <w:gridCol w:w="119"/>
        <w:gridCol w:w="109"/>
        <w:gridCol w:w="109"/>
        <w:gridCol w:w="109"/>
        <w:gridCol w:w="224"/>
        <w:gridCol w:w="813"/>
        <w:gridCol w:w="172"/>
      </w:tblGrid>
      <w:tr>
        <w:trPr/>
        <w:tc>
          <w:tcPr>
            <w:tcW w:w="5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Current Provision Related to Sales Made in the Current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Acquisitions, Divestitures,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Checks/ Credits Issued to Third Parties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Effects of 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2023</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(10,528.0)</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these provisions are presented in the consolidated financial statements as reductions in determining net revenues and as a contra asset in accounts receivable, net (if settled via credit) and other current liabilities (if paid in cash). Accounts receivable are presented net of allowances relating to these provisions, which were comprised of the following at December 31, 2023 and 2022, respectively:</w:t>
      </w:r>
    </w:p>
    <w:tbl>
      <w:tblPr>
        <w:tblW w:w="4675" w:type="dxa"/>
        <w:jc w:val="center"/>
        <w:tblInd w:w="0" w:type="dxa"/>
        <w:tblLayout w:type="fixed"/>
        <w:tblCellMar>
          <w:top w:w="28" w:type="dxa"/>
          <w:left w:w="28" w:type="dxa"/>
          <w:bottom w:w="28" w:type="dxa"/>
          <w:right w:w="28" w:type="dxa"/>
        </w:tblCellMar>
      </w:tblPr>
      <w:tblGrid>
        <w:gridCol w:w="765"/>
        <w:gridCol w:w="670"/>
        <w:gridCol w:w="679"/>
        <w:gridCol w:w="212"/>
        <w:gridCol w:w="773"/>
        <w:gridCol w:w="110"/>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was comprised of the following at December 31, 2023 and 2022, respectively:</w:t>
      </w:r>
    </w:p>
    <w:tbl>
      <w:tblPr>
        <w:tblW w:w="5531" w:type="dxa"/>
        <w:jc w:val="left"/>
        <w:tblInd w:w="0" w:type="dxa"/>
        <w:tblLayout w:type="fixed"/>
        <w:tblCellMar>
          <w:top w:w="28" w:type="dxa"/>
          <w:left w:w="28" w:type="dxa"/>
          <w:bottom w:w="28" w:type="dxa"/>
          <w:right w:w="28" w:type="dxa"/>
        </w:tblCellMar>
      </w:tblPr>
      <w:tblGrid>
        <w:gridCol w:w="780"/>
        <w:gridCol w:w="686"/>
        <w:gridCol w:w="694"/>
        <w:gridCol w:w="291"/>
        <w:gridCol w:w="1058"/>
        <w:gridCol w:w="150"/>
        <w:gridCol w:w="109"/>
        <w:gridCol w:w="109"/>
        <w:gridCol w:w="109"/>
        <w:gridCol w:w="288"/>
        <w:gridCol w:w="1047"/>
        <w:gridCol w:w="210"/>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allowances for doubtful accounts were $118.8 million and $114.7 million at December 31, 2023 and 2022, respectively. Viatris performs ongoing credit evaluations of its customers and generally does not require collateral. Approximately 28% and 23% of the accounts receivable balances represent amounts due from three customers at December 31, 2023 and 2022, respectively.</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Factoring Arrangements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$30.8 million and $34.7 million of accounts receivable as of December 31, 2023 and 2022, respectively, under these factoring arrangements. Additionally, in 2023, we entered into a similar arrangement for certain European countries. As of December 31, 2023, we have assigned and derecognized approximately $415.7 million of </w:t>
      </w:r>
      <w:r>
        <w:rPr>
          <w:rFonts w:ascii="Times New Roman;sans-serif" w:hAnsi="Times New Roman;sans-serif"/>
          <w:b w:val="false"/>
          <w:i/>
          <w:color w:val="000000"/>
          <w:sz w:val="20"/>
        </w:rPr>
        <w:t>Trade Receivables, Net</w:t>
      </w:r>
      <w:r>
        <w:rPr>
          <w:color w:val="000000"/>
        </w:rPr>
        <w:t xml:space="preserve"> </w:t>
      </w:r>
      <w:r>
        <w:rPr>
          <w:rFonts w:ascii="Times New Roman;sans-serif" w:hAnsi="Times New Roman;sans-serif"/>
          <w:b w:val="false"/>
          <w:color w:val="000000"/>
          <w:sz w:val="20"/>
        </w:rPr>
        <w:t xml:space="preserve">which are now included in </w:t>
      </w:r>
      <w:r>
        <w:rPr>
          <w:rFonts w:ascii="Times New Roman;sans-serif" w:hAnsi="Times New Roman;sans-serif"/>
          <w:b w:val="false"/>
          <w:i/>
          <w:color w:val="000000"/>
          <w:sz w:val="20"/>
        </w:rPr>
        <w:t>Other Receivables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4.Acquisitions and Other Transactions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Oyster Point Acquisition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2023, the Company completed the acquisition of Oyster Point for approximately $427.4 million in cash, which included $11 per share paid to Oyster Point stockholders through a tender offer, payment for vested share-based awards, and the repayment of the Oyster Point debt.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share-based awards to acquire Oyster Point common stock that were outstanding immediately prior to the closing of the acquisition were cancelled in exchange for the right to receive an amount in cash based upon a formula contained within the merger agreement. The unvested share-based awards were converted into Viatris share-based awards based upon a formula contained within the merger agreement.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During the year ended December 31, 2023, the Company incurred acquisition related costs of approximately $22.8 million, which were recorded primarily in SG&amp;A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adjustments were made to the preliminary purchase price recorded at January 3, 2023, and are reflected as “Measurement Period Adjustments” in the table below. The U.S. GAAP purchase price was $392.7 million, net of cash acquired. The allocation of the purchase price to the assets acquired and liabilities assumed for Oyster Point is as follows:</w:t>
      </w:r>
    </w:p>
    <w:tbl>
      <w:tblPr>
        <w:tblW w:w="10205" w:type="dxa"/>
        <w:jc w:val="left"/>
        <w:tblInd w:w="0" w:type="dxa"/>
        <w:tblLayout w:type="fixed"/>
        <w:tblCellMar>
          <w:top w:w="28" w:type="dxa"/>
          <w:left w:w="28" w:type="dxa"/>
          <w:bottom w:w="28" w:type="dxa"/>
          <w:right w:w="28" w:type="dxa"/>
        </w:tblCellMar>
      </w:tblPr>
      <w:tblGrid>
        <w:gridCol w:w="993"/>
        <w:gridCol w:w="871"/>
        <w:gridCol w:w="879"/>
        <w:gridCol w:w="563"/>
        <w:gridCol w:w="1644"/>
        <w:gridCol w:w="291"/>
        <w:gridCol w:w="109"/>
        <w:gridCol w:w="109"/>
        <w:gridCol w:w="109"/>
        <w:gridCol w:w="508"/>
        <w:gridCol w:w="978"/>
        <w:gridCol w:w="263"/>
        <w:gridCol w:w="109"/>
        <w:gridCol w:w="109"/>
        <w:gridCol w:w="109"/>
        <w:gridCol w:w="550"/>
        <w:gridCol w:w="1606"/>
        <w:gridCol w:w="405"/>
      </w:tblGrid>
      <w:tr>
        <w:trPr/>
        <w:tc>
          <w:tcPr>
            <w:tcW w:w="99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4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Preliminary Purchase Price Allocation as of January 3, 2023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Measurement Period Adjustments </w:t>
            </w:r>
            <w:r>
              <w:rPr>
                <w:rFonts w:ascii="Times New Roman;sans-serif" w:hAnsi="Times New Roman;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 Price Allocation as of December 31, 2023 (as adjusted)</w:t>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inventories and net of cash acquired)</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Identified intangible assets</w:t>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vAlign w:val="center"/>
          </w:tcPr>
          <w:p>
            <w:pPr>
              <w:pStyle w:val="TableContents"/>
              <w:bidi w:val="0"/>
              <w:spacing w:before="0" w:after="283"/>
              <w:jc w:val="left"/>
              <w:rPr>
                <w:sz w:val="4"/>
                <w:szCs w:val="4"/>
              </w:rPr>
            </w:pPr>
            <w:r>
              <w:rPr>
                <w:sz w:val="4"/>
                <w:szCs w:val="4"/>
              </w:rPr>
            </w:r>
          </w:p>
        </w:tc>
        <w:tc>
          <w:tcPr>
            <w:tcW w:w="2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$34.7 of cash acquired)</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0" w:after="60"/>
        <w:ind w:left="0" w:right="0" w:firstLine="36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As previously reported in the Company’s Quarterly Report on Form 10-Q for the three months ended March 31, 2023.</w:t>
      </w:r>
    </w:p>
    <w:p>
      <w:pPr>
        <w:pStyle w:val="TextBody"/>
        <w:bidi w:val="0"/>
        <w:spacing w:lineRule="auto" w:line="288" w:before="0" w:after="0"/>
        <w:ind w:left="0" w:right="0" w:firstLine="36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20"/>
        </w:rPr>
        <w:t>The measurement period adjustments were recorded in the fourth quarter of 2023 and are related to income taxes.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recorded a step-up in the fair value of inventory of approximately $29.3 million, which was fully amortized during the year ended December 31, 2023 and is included in </w:t>
      </w: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in the consolidated statement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identified intangible assets of $334.0 million are comprised of product rights and licenses related to a commercial asset, Tyrvaya®, for the treatment of dry eye disease, that have an estimated useful life of 10 years. Significant assumptions utilized in the valuation of identified intangible assets were based on company specific information and projections which are not observable in the market and are thus considered Level 3 measurements as defined by U.S. GAAP.</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goodwill of $6.7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operating results of Oyster Point have been included in the Company’s consolidated statements of operations since the acquisition date. The total revenues of Oyster Point for the period from the acquisition date to December 31, 2023 were $41.7 million and net loss, net of tax, was approximately $163.1 million. The net loss for the period includes the effect of the purchase accounting adjustments and acquisition related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unaudited pro forma information for the acquisition, as if it had occurred on January 1, 2022. The unaudited pro forma results reflect certain adjustments related to past operating performance and acquisition accounting adjustments, such as increased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acquisition.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7481" w:type="dxa"/>
        <w:jc w:val="left"/>
        <w:tblInd w:w="0" w:type="dxa"/>
        <w:tblLayout w:type="fixed"/>
        <w:tblCellMar>
          <w:top w:w="28" w:type="dxa"/>
          <w:left w:w="28" w:type="dxa"/>
          <w:bottom w:w="28" w:type="dxa"/>
          <w:right w:w="28" w:type="dxa"/>
        </w:tblCellMar>
      </w:tblPr>
      <w:tblGrid>
        <w:gridCol w:w="1331"/>
        <w:gridCol w:w="1170"/>
        <w:gridCol w:w="1174"/>
        <w:gridCol w:w="109"/>
        <w:gridCol w:w="109"/>
        <w:gridCol w:w="109"/>
        <w:gridCol w:w="109"/>
        <w:gridCol w:w="265"/>
        <w:gridCol w:w="1097"/>
        <w:gridCol w:w="137"/>
        <w:gridCol w:w="109"/>
        <w:gridCol w:w="109"/>
        <w:gridCol w:w="109"/>
        <w:gridCol w:w="263"/>
        <w:gridCol w:w="1089"/>
        <w:gridCol w:w="192"/>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871" w:type="dxa"/>
            <w:gridSpan w:val="6"/>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(Unaudited,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15,426.9 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1,905.7 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Famy Life Sciences Acquisition</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November 7, 2022, the Company entered into a definitive agreement to acquire the remaining equity shares of Famy Life Sciences, a privately-owned research company with a complementary portfolio of ophthalmology therapies under development, for consideration of $281 million. The Company had previously entered into a Master Development Agreement with Famy Life Sciences on December 20, 2019 under which the Company obtained rights with respect to acquiring certain pharmaceutical products and a 13.5% equity interest in Famy Life Sciences for $25.0 million. The investment was accounted for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transaction to acquire the remaining equity shares of Famy Life Sciences closed during the first quarter of 2023. The Company recognized a gain of $18.9 million during the first quarter of 2023 as a result of remeasuring its pre-existing 13.5% equity interest in Famy Life Sciences to fair value, which was recognized as a component of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The U.S. GAAP purchase price allocated to the transaction was $325.0 million, which consisted of $281 million of cash consideration paid for the remaining equity shares and $43.9 million for the fair value of the pre-existing 13.5% equity interest.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an adjustment was made to the preliminary purchase price recorded at January 3, 2023, and is reflected as “Measurement Period Adjustments” in the table below. The allocation of the purchase price to the assets acquired and liabilities assumed for Famy Life Sciences is as follows:</w:t>
      </w:r>
    </w:p>
    <w:tbl>
      <w:tblPr>
        <w:tblW w:w="10205" w:type="dxa"/>
        <w:jc w:val="left"/>
        <w:tblInd w:w="0" w:type="dxa"/>
        <w:tblLayout w:type="fixed"/>
        <w:tblCellMar>
          <w:top w:w="28" w:type="dxa"/>
          <w:left w:w="28" w:type="dxa"/>
          <w:bottom w:w="28" w:type="dxa"/>
          <w:right w:w="28" w:type="dxa"/>
        </w:tblCellMar>
      </w:tblPr>
      <w:tblGrid>
        <w:gridCol w:w="873"/>
        <w:gridCol w:w="756"/>
        <w:gridCol w:w="706"/>
        <w:gridCol w:w="600"/>
        <w:gridCol w:w="1752"/>
        <w:gridCol w:w="311"/>
        <w:gridCol w:w="109"/>
        <w:gridCol w:w="109"/>
        <w:gridCol w:w="109"/>
        <w:gridCol w:w="517"/>
        <w:gridCol w:w="1035"/>
        <w:gridCol w:w="269"/>
        <w:gridCol w:w="109"/>
        <w:gridCol w:w="109"/>
        <w:gridCol w:w="109"/>
        <w:gridCol w:w="586"/>
        <w:gridCol w:w="1713"/>
        <w:gridCol w:w="433"/>
      </w:tblGrid>
      <w:tr>
        <w:trPr/>
        <w:tc>
          <w:tcPr>
            <w:tcW w:w="87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6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Preliminary Purchase Price Allocation as of January 3, 2023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Measurement Period Adjustments </w:t>
            </w:r>
            <w:r>
              <w:rPr>
                <w:rFonts w:ascii="Times New Roman;sans-serif" w:hAnsi="Times New Roman;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 Price Allocation as of December 31, 2023 (as adjusted)</w:t>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2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$0.2 of cash acquired)</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bidi w:val="0"/>
        <w:spacing w:lineRule="auto" w:line="288" w:before="0" w:after="60"/>
        <w:ind w:left="0" w:right="0" w:firstLine="36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As previously reported in the Company’s Quarterly Report on Form 10-Q for the three months ended March 31, 2023.</w:t>
      </w:r>
    </w:p>
    <w:p>
      <w:pPr>
        <w:pStyle w:val="TextBody"/>
        <w:bidi w:val="0"/>
        <w:spacing w:lineRule="auto" w:line="288" w:before="0" w:after="0"/>
        <w:ind w:left="0" w:right="0" w:firstLine="36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20"/>
        </w:rPr>
        <w:t>The measurement period adjustment was recorded in the fourth quarter of 2023 and is related to income taxes.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$290.0 million was based on the excess earnings method, which utilizes forecasts of expected cash inflows (including estimates for ongoing costs) and other contributory charges. A discount rate of 23.9%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The acquired IPR&amp;D projects are in various stages of completion and the estimated costs to complete these projects total approximately $120 million, which are expected to be incurred through 2024. There are risks and uncertainties associated with the timely and successful completion of the projects included in IPR&amp;D, and no assurances can be given that the underlying assumptions used to estimate the fair value of IPR&amp;D will not change or the timely completion of each project to commercial success will occur.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of $89.2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acquisition did not have a material impact on the Company’s results of operations since the acquisition date or on a pro forma basis for the years ended December 31, 2023 and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Ophthalmology is one of the key therapeutic areas of focus that the Company announced in February 2022 when it announced plans for certain strategic actions. With the combination of Viatris' global commercial footprint, R&amp;D and regulatory capabilities and supply chain, along with Oyster Point's deep knowledge of the ophthalmology space from a clinical, medical, regulatory and commercial perspective—including Tyrvaya®—and Famy Life Sciences' Phase III-ready pipeline, the Company believes it has the foundation to create a leading global ophthalmology franchise, accelerating efforts to address the unmet needs of patients with ophthalmic disease and the eye care professionals who treat them.</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Idorsia</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2024, the Company announced that it will acquire the development programs and certain personnel related to selatogrel and cenerimod from Idorsia in exchange for an upfront payment to Idorsia of $350 million, potential development and regulatory milestone payments, and certain contingent payments of additional sales milestone payments and tiered sales royalties. Viatris and Idorsia will both contribute to the development costs for both programs. Viatris will have worldwide commercialization rights for both selatogrel and cenerimod (excluding, for cenerimod only, Japan, South Korea and certain countries in the Asia-Pacific region). The agreements also provide Viatris a right of first refusal and a right of first negotiation for certain other assets in Idorsia’s pipeline. The closing of the transaction is subject to certain closing conditions.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5.Divestitures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2023, the Company announced it received an offer for the divestiture of its OTC Business, and entered into definitive agreements to divest its women’s healthcare business and, separately, in another transaction, its rights to two women’s healthcare products in certain countries, its API business in India and commercialization rights in the Upjohn Distributor Markets. The divestiture of the women’s healthcare business is primarily related to our oral and injectable contraceptives and does not include all of our women’s healthcare related products; as an example, our Xulane® product in the U.S. is excluded. The transaction to divest the Company’s rights to two women’s healthcare products in certain countries (other than in the U.K., which remains subject to regulatory approval) closed in December 2023. The divestitures of the commercialization rights in certain of the Upjohn Distributor Markets closed during 2023. Additionally, we expect to consummate the divestiture of our women’s healthcare business and our API business in India by the end of the first quarter of 2024, and in January 2024, we exercised our option to accept the offer in the OTC Transaction and entered into a definitive transaction agreement with respect to such OTC Transaction. We currently expect the OTC Transaction to close by mid-year 2024. The transactions that have not yet closed remain subject to regulatory approvals, receipt of required consents and other closing conditions, including, in the case of the API business divestiture, a financing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agreements, Viatris expects to receive gross proceeds of up to approximately $2.17 billion for the OTC Business and up to approximately $1.4 billion for the remaining divestitures. Upon closing of the divestitures of the women’s healthcare and API businesses, the Company expects to record gains for the differences between the expected consideration to be received and the carrying values of the businesses to be divested. The OTC, API and women’s healthcare businesses are deemed businesses for U.S. GAAP accounting purposes. As such, the assets and liabilities include an allocation of goodwill. The sale of the rights to two women’s healthcare products in certain countries was accounted for as an asset sale. In conjunction with these transactions, Viatris and the respective buyers have entered or will enter into various agreements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provide a framework for our relationship with the respective buyers after the closing of the divestitures, including TSAs, manufacturing and supply agreements, and distribution agreements, as necessary.</w:t>
      </w:r>
    </w:p>
    <w:p>
      <w:pPr>
        <w:pStyle w:val="TextBody"/>
        <w:bidi w:val="0"/>
        <w:spacing w:before="0" w:after="0"/>
        <w:ind w:left="0" w:right="0" w:firstLine="720"/>
        <w:jc w:val="left"/>
        <w:rPr/>
      </w:pPr>
      <w:r>
        <w:rPr/>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Women’s Healthcare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Viatris executed an agreement to divest its women’s healthcare business, primarily related to oral and injectable contraceptives, to Insud Pharma, S. L., a leading Spanish multinational pharmaceutical company. The transaction includes two manufacturing facilities in India. Viatris expects to consummate the divestiture of its women’s healthcare business by the end of the first quarter of 2024, subject to the satisfaction of certain closing conditions. Assets and liabilities associated with the women’s healthcare business to be divested were classified as held for sale in the consolidated balance sheet as of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the third quarter of 2023, Viatris also entered into a separate agreement to divest its rights to women’s healthcare products Duphaston® and Femoston® in certain countries to Theramex HQ UK Limited, a leading global specialty pharmaceutical company dedicated to women’s health. The transaction (other than in the U.K., which remains subject to regulatory approval) closed in December 2023, and upon closing, the Company recognized a pre-tax gain on sale of approximately $156.2 million for the difference between the consideration received and the carrying value of the assets transferred. The gain was recorded as a component of </w:t>
      </w:r>
      <w:r>
        <w:rPr>
          <w:rFonts w:ascii="Times New Roman;sans-serif" w:hAnsi="Times New Roman;sans-serif"/>
          <w:b w:val="false"/>
          <w:i/>
          <w:color w:val="000000"/>
          <w:sz w:val="20"/>
        </w:rPr>
        <w:t xml:space="preserve">SG&amp;A </w:t>
      </w:r>
      <w:r>
        <w:rPr>
          <w:rFonts w:ascii="Times New Roman;sans-serif" w:hAnsi="Times New Roman;sans-serif"/>
          <w:b w:val="false"/>
          <w:color w:val="000000"/>
          <w:sz w:val="20"/>
        </w:rPr>
        <w:t>expense in the consolidated statement of operations during the year ended December 31, 2023.</w:t>
      </w:r>
    </w:p>
    <w:p>
      <w:pPr>
        <w:pStyle w:val="TextBody"/>
        <w:bidi w:val="0"/>
        <w:spacing w:before="0" w:after="0"/>
        <w:ind w:left="0" w:right="0" w:firstLine="720"/>
        <w:jc w:val="left"/>
        <w:rPr/>
      </w:pPr>
      <w:r>
        <w:rPr/>
      </w:r>
    </w:p>
    <w:p>
      <w:pPr>
        <w:pStyle w:val="TextBody"/>
        <w:bidi w:val="0"/>
        <w:spacing w:lineRule="auto" w:line="256"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2023, Viatris received an offer from Cooper Consumer Health SAS, a leading European OTC drug manufacturer and distributor, for Viatris to divest its OTC Business, including two manufacturing sites located in Merignac, France, and Confienza, Italy, and an R&amp;D site in Monza, Italy. In January 2024, Viatris exercised its option to accept the offer in the OTC Transaction and entered into a definitive transaction agreement with respect to such OTC Transaction. The Company will retain rights for Viagra®, Dymista® (which, in certain limited markets, are sold as OTC products) and select OTC products in certain markets.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OTC Business to be divested met the criteria to be classified as held for sale on October 1, 2023. As such, the related assets and liabilities were classified as held for sale in the consolidated balance sheet as of December 31, 2023. Upon classification as held for sale, we recognized a total charge of approximately $734.7 million, which was comprised of a goodwill impairment charge of approximately $580.1 million (recorded as a component of </w:t>
      </w:r>
      <w:r>
        <w:rPr>
          <w:rFonts w:ascii="Times New Roman;sans-serif" w:hAnsi="Times New Roman;sans-serif"/>
          <w:b w:val="false"/>
          <w:i/>
          <w:color w:val="000000"/>
          <w:sz w:val="20"/>
        </w:rPr>
        <w:t xml:space="preserve">SG&amp;A </w:t>
      </w:r>
      <w:r>
        <w:rPr>
          <w:rFonts w:ascii="Times New Roman;sans-serif" w:hAnsi="Times New Roman;sans-serif"/>
          <w:b w:val="false"/>
          <w:color w:val="000000"/>
          <w:sz w:val="20"/>
        </w:rPr>
        <w:t xml:space="preserve">expense), and a charge of approximately $154.7 million to write down the disposal group to fair value, less cost to sell (recorded as a component of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 of operations, during the year ended December 31, 2023.</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API</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2023, Viatris executed an agreement to divest its API business in India to an affiliate of IQuest Enterprises Private Limited, a privately held pharmaceutical company based in India. The transaction includes three manufacturing sites and a R&amp;D lab in Hyderabad, three manufacturing sites in Vizag and third-party API sales. Viatris expects to consummate the divestiture of its API business in India by the end of the first quarter of 2024, subject to the satisfaction of certain closing conditions. Viatris will retain some selective R&amp;D capabilities in API. The API business in India met the criteria to be classified as held for sale on October 1, 2023 and the related assets and liabilities were reclassified as held for sale in the consolidated balance sheet as of December 31, 2023.</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Upjohn Distributor Markets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the fourth quarter of 2022, the commercialization rights in the Upjohn Distributor Markets met the criteria to be classified as held for sale. Upon classification as held for sale, the Company recognized a total charge of $374.2 million in 2022, which was comprised of a goodwill impairment charge of $117.0 million, other charges, principally inventory write-offs, of $84.3 million and a charge of approximately $172.9 million to write down the disposal group to fair value, less cost to sell. During the year ended December 31, 2023, the Company recorded additional charges totaling $136.4 million, primarily consisting of losses on the disposals of $85.2 million, which were recorded as a component of </w:t>
      </w:r>
      <w:r>
        <w:rPr>
          <w:rFonts w:ascii="Times New Roman;sans-serif" w:hAnsi="Times New Roman;sans-serif"/>
          <w:b w:val="false"/>
          <w:i/>
          <w:color w:val="000000"/>
          <w:sz w:val="20"/>
        </w:rPr>
        <w:t>Other Income, Net</w:t>
      </w:r>
      <w:r>
        <w:rPr>
          <w:rFonts w:ascii="Times New Roman;sans-serif" w:hAnsi="Times New Roman;sans-serif"/>
          <w:b w:val="false"/>
          <w:color w:val="000000"/>
          <w:sz w:val="20"/>
        </w:rPr>
        <w:t xml:space="preserve">. The majority of the divestitures of the commercialization rights in the Upjohn Distributor Markets closed during 2023 and the remaining transactions are expected to be completed during 2024. If the remaining transactions are not completed, the distribution arrangements will expire in accordance with our agreement with Pfizer and the Company will wind down operations in these markets, which may result in additional asset write-offs and other costs being incurred.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Biocon Biologics Transaction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November 29, 2022, Viatris completed a transaction to contribute its biosimilars portfolio to Biocon Biologics.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During the year ended December 31, 2023, the Company recorded a loss of $21.1 million as a component of </w:t>
      </w:r>
      <w:r>
        <w:rPr>
          <w:rFonts w:ascii="Times New Roman;sans-serif" w:hAnsi="Times New Roman;sans-serif"/>
          <w:b w:val="false"/>
          <w:i/>
          <w:color w:val="000000"/>
          <w:sz w:val="20"/>
        </w:rPr>
        <w:t>Other Income, Net</w:t>
      </w:r>
      <w:r>
        <w:rPr>
          <w:rFonts w:ascii="Times New Roman;sans-serif" w:hAnsi="Times New Roman;sans-serif"/>
          <w:b w:val="false"/>
          <w:color w:val="000000"/>
          <w:sz w:val="20"/>
        </w:rPr>
        <w:t xml:space="preserve">, as a result of remeasuring the CCPS in Biocon Biologics to fair value. The Company’s CCPS in Biocon Biologics are classified as equity securities and are included in </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 xml:space="preserve">in the consolidated balance sheets. The fair value is reassessed quarterly. Refer to Note 9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for further discussion. Viatris also is entitled to $335 million of additional cash payments in 2024. In addition, Viatris and Biocon Biologics have agreed to a closing working capital target of $250 million, of which $220 million was paid during 2023. The remaining amount may become payable to Biocon Biologics in connection with certain events in the future, depending on the valuations attributable to such events.</w:t>
      </w:r>
      <w:r>
        <w:rPr>
          <w:color w:val="000000"/>
        </w:rPr>
        <w:t xml:space="preserve"> </w:t>
      </w:r>
      <w:r>
        <w:rPr>
          <w:rFonts w:ascii="Times New Roman;sans-serif" w:hAnsi="Times New Roman;sans-serif"/>
          <w:b w:val="false"/>
          <w:color w:val="000000"/>
          <w:sz w:val="20"/>
        </w:rPr>
        <w:t xml:space="preserve">Refer to Note 6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for additional information on assets and liabilities related to Biocon Biologics.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 During the years ended December 31, 2023 and 2022, the Company recognized TSA income of approximately $168.0 million and $17.7 million, respectively, as a component of </w:t>
      </w:r>
      <w:r>
        <w:rPr>
          <w:rFonts w:ascii="Times New Roman;sans-serif" w:hAnsi="Times New Roman;sans-serif"/>
          <w:b w:val="false"/>
          <w:i/>
          <w:color w:val="000000"/>
          <w:sz w:val="20"/>
        </w:rPr>
        <w:t>Other Income, Net</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Upon closing of the Biocon Biologics Transaction, the Company recognized a gain on sale of approximately $1.75 billion for the difference between the consideration received, including the fair value of the CCPS, and the carrying value of the biosimilars portfolio (including an allocation of goodwill). The gain was recognized as a component of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 xml:space="preserve">in the consolidated statement of operations during the year ended December 31, 2022. The Company has not recognized the results of the business in its consolidated financial statements subsequent to November 29, 2022.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previously entered into an exclusive collaboration with Biocon on the development, manufacturing, supply and commercialization of multiple, high value biosimilar compounds and three insulin analog products for the global marketplace. The collaboration was terminated upon closing of the Biocon Biologics Transaction.</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Held for Sale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held for sale consisted of the following:</w:t>
      </w:r>
    </w:p>
    <w:tbl>
      <w:tblPr>
        <w:tblW w:w="7297" w:type="dxa"/>
        <w:jc w:val="left"/>
        <w:tblInd w:w="0" w:type="dxa"/>
        <w:tblLayout w:type="fixed"/>
        <w:tblCellMar>
          <w:top w:w="28" w:type="dxa"/>
          <w:left w:w="28" w:type="dxa"/>
          <w:bottom w:w="28" w:type="dxa"/>
          <w:right w:w="28" w:type="dxa"/>
        </w:tblCellMar>
      </w:tblPr>
      <w:tblGrid>
        <w:gridCol w:w="1305"/>
        <w:gridCol w:w="1146"/>
        <w:gridCol w:w="1149"/>
        <w:gridCol w:w="109"/>
        <w:gridCol w:w="109"/>
        <w:gridCol w:w="109"/>
        <w:gridCol w:w="291"/>
        <w:gridCol w:w="1058"/>
        <w:gridCol w:w="150"/>
        <w:gridCol w:w="109"/>
        <w:gridCol w:w="109"/>
        <w:gridCol w:w="109"/>
        <w:gridCol w:w="332"/>
        <w:gridCol w:w="970"/>
        <w:gridCol w:w="242"/>
      </w:tblGrid>
      <w:tr>
        <w:trPr/>
        <w:tc>
          <w:tcPr>
            <w:tcW w:w="1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on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completed an agreement to divest a group of OTC products in the U.S. As a result of this transaction, the Company recognized an intangible asset impairment charge of approximately $83.4 million during the year ended December 31, 2021.</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pPr>
      <w:r>
        <w:rPr>
          <w:rFonts w:ascii="Times New Roman;sans-serif" w:hAnsi="Times New Roman;sans-serif"/>
          <w:b/>
          <w:color w:val="000000"/>
          <w:sz w:val="20"/>
        </w:rPr>
        <w:t>6.Balance Sheet Components</w:t>
      </w:r>
      <w:r>
        <w:rPr>
          <w:color w:val="00000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Selected balance sheet components consist of the following:</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restricted cash</w:t>
      </w:r>
    </w:p>
    <w:tbl>
      <w:tblPr>
        <w:tblW w:w="8949" w:type="dxa"/>
        <w:jc w:val="left"/>
        <w:tblInd w:w="0" w:type="dxa"/>
        <w:tblLayout w:type="fixed"/>
        <w:tblCellMar>
          <w:top w:w="28" w:type="dxa"/>
          <w:left w:w="28" w:type="dxa"/>
          <w:bottom w:w="28" w:type="dxa"/>
          <w:right w:w="28" w:type="dxa"/>
        </w:tblCellMar>
      </w:tblPr>
      <w:tblGrid>
        <w:gridCol w:w="1798"/>
        <w:gridCol w:w="1579"/>
        <w:gridCol w:w="1588"/>
        <w:gridCol w:w="247"/>
        <w:gridCol w:w="721"/>
        <w:gridCol w:w="127"/>
        <w:gridCol w:w="109"/>
        <w:gridCol w:w="109"/>
        <w:gridCol w:w="109"/>
        <w:gridCol w:w="212"/>
        <w:gridCol w:w="773"/>
        <w:gridCol w:w="110"/>
        <w:gridCol w:w="109"/>
        <w:gridCol w:w="109"/>
        <w:gridCol w:w="109"/>
        <w:gridCol w:w="245"/>
        <w:gridCol w:w="716"/>
        <w:gridCol w:w="179"/>
      </w:tblGrid>
      <w:tr>
        <w:trPr/>
        <w:tc>
          <w:tcPr>
            <w:tcW w:w="179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prepaid and other current assets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Inventories</w:t>
      </w:r>
    </w:p>
    <w:tbl>
      <w:tblPr>
        <w:tblW w:w="4795" w:type="dxa"/>
        <w:jc w:val="left"/>
        <w:tblInd w:w="0" w:type="dxa"/>
        <w:tblLayout w:type="fixed"/>
        <w:tblCellMar>
          <w:top w:w="28" w:type="dxa"/>
          <w:left w:w="28" w:type="dxa"/>
          <w:bottom w:w="28" w:type="dxa"/>
          <w:right w:w="28" w:type="dxa"/>
        </w:tblCellMar>
      </w:tblPr>
      <w:tblGrid>
        <w:gridCol w:w="517"/>
        <w:gridCol w:w="453"/>
        <w:gridCol w:w="454"/>
        <w:gridCol w:w="291"/>
        <w:gridCol w:w="1058"/>
        <w:gridCol w:w="150"/>
        <w:gridCol w:w="109"/>
        <w:gridCol w:w="109"/>
        <w:gridCol w:w="109"/>
        <w:gridCol w:w="288"/>
        <w:gridCol w:w="1047"/>
        <w:gridCol w:w="210"/>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reserves totaled $479.3 million and $484.8 million at December 31, 2023 and 2022, respectively. Included as a component of cost of sales is expense related to the net realizable value of inventories of $226.9 million, $326.1 million and $474.9 million for the years ended December 31, 2023, 2022 and 2021, respectively.</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tbl>
      <w:tblPr>
        <w:tblW w:w="7585" w:type="dxa"/>
        <w:jc w:val="center"/>
        <w:tblInd w:w="0" w:type="dxa"/>
        <w:tblLayout w:type="fixed"/>
        <w:tblCellMar>
          <w:top w:w="28" w:type="dxa"/>
          <w:left w:w="28" w:type="dxa"/>
          <w:bottom w:w="28" w:type="dxa"/>
          <w:right w:w="28" w:type="dxa"/>
        </w:tblCellMar>
      </w:tblPr>
      <w:tblGrid>
        <w:gridCol w:w="1528"/>
        <w:gridCol w:w="1342"/>
        <w:gridCol w:w="1344"/>
        <w:gridCol w:w="291"/>
        <w:gridCol w:w="1058"/>
        <w:gridCol w:w="150"/>
        <w:gridCol w:w="109"/>
        <w:gridCol w:w="109"/>
        <w:gridCol w:w="109"/>
        <w:gridCol w:w="288"/>
        <w:gridCol w:w="1047"/>
        <w:gridCol w:w="210"/>
      </w:tblGrid>
      <w:tr>
        <w:trPr/>
        <w:tc>
          <w:tcPr>
            <w:tcW w:w="152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consideration due from Biocon Biologics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securities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financial instruments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 for taxes on intercompany profit</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consist primarily of prepaid rent, insurance and other individually insignificant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tbl>
      <w:tblPr>
        <w:tblW w:w="6446" w:type="dxa"/>
        <w:jc w:val="center"/>
        <w:tblInd w:w="0" w:type="dxa"/>
        <w:tblLayout w:type="fixed"/>
        <w:tblCellMar>
          <w:top w:w="28" w:type="dxa"/>
          <w:left w:w="28" w:type="dxa"/>
          <w:bottom w:w="28" w:type="dxa"/>
          <w:right w:w="28" w:type="dxa"/>
        </w:tblCellMar>
      </w:tblPr>
      <w:tblGrid>
        <w:gridCol w:w="1112"/>
        <w:gridCol w:w="975"/>
        <w:gridCol w:w="988"/>
        <w:gridCol w:w="291"/>
        <w:gridCol w:w="1058"/>
        <w:gridCol w:w="150"/>
        <w:gridCol w:w="109"/>
        <w:gridCol w:w="109"/>
        <w:gridCol w:w="109"/>
        <w:gridCol w:w="288"/>
        <w:gridCol w:w="1047"/>
        <w:gridCol w:w="210"/>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included in our consolidated balance sheets were $167.2 million and $121.5 million, net of accumulated depreciation, at December 31, 2023 and 2022, respectively. The Company periodically reviews the estimated useful lives of assets and makes adjustments when appropriate. Depreciation expense was approximately $362.1 million, $349.5 million and $509.5 million for the years ended December 31, 2023, 2022 and 2021, respectively.</w:t>
      </w:r>
    </w:p>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Other assets</w:t>
      </w:r>
    </w:p>
    <w:tbl>
      <w:tblPr>
        <w:tblW w:w="7585" w:type="dxa"/>
        <w:jc w:val="left"/>
        <w:tblInd w:w="0" w:type="dxa"/>
        <w:tblLayout w:type="fixed"/>
        <w:tblCellMar>
          <w:top w:w="28" w:type="dxa"/>
          <w:left w:w="28" w:type="dxa"/>
          <w:bottom w:w="28" w:type="dxa"/>
          <w:right w:w="28" w:type="dxa"/>
        </w:tblCellMar>
      </w:tblPr>
      <w:tblGrid>
        <w:gridCol w:w="1528"/>
        <w:gridCol w:w="1341"/>
        <w:gridCol w:w="1345"/>
        <w:gridCol w:w="291"/>
        <w:gridCol w:w="1058"/>
        <w:gridCol w:w="150"/>
        <w:gridCol w:w="109"/>
        <w:gridCol w:w="109"/>
        <w:gridCol w:w="109"/>
        <w:gridCol w:w="288"/>
        <w:gridCol w:w="1047"/>
        <w:gridCol w:w="210"/>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 in Biocon Biologics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investments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consideration due from Biocon Biologics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Accounts payable</w:t>
      </w:r>
    </w:p>
    <w:tbl>
      <w:tblPr>
        <w:tblW w:w="5411" w:type="dxa"/>
        <w:jc w:val="left"/>
        <w:tblInd w:w="0" w:type="dxa"/>
        <w:tblLayout w:type="fixed"/>
        <w:tblCellMar>
          <w:top w:w="28" w:type="dxa"/>
          <w:left w:w="28" w:type="dxa"/>
          <w:bottom w:w="28" w:type="dxa"/>
          <w:right w:w="28" w:type="dxa"/>
        </w:tblCellMar>
      </w:tblPr>
      <w:tblGrid>
        <w:gridCol w:w="740"/>
        <w:gridCol w:w="649"/>
        <w:gridCol w:w="651"/>
        <w:gridCol w:w="291"/>
        <w:gridCol w:w="1058"/>
        <w:gridCol w:w="150"/>
        <w:gridCol w:w="109"/>
        <w:gridCol w:w="109"/>
        <w:gridCol w:w="109"/>
        <w:gridCol w:w="288"/>
        <w:gridCol w:w="1047"/>
        <w:gridCol w:w="210"/>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December 31, 2023 and 2022 were $65.1 million and $33.4 million, respectively. These amounts are included within </w:t>
      </w:r>
      <w:r>
        <w:rPr>
          <w:rFonts w:ascii="Times New Roman;sans-serif" w:hAnsi="Times New Roman;sans-serif"/>
          <w:b w:val="false"/>
          <w:i/>
          <w:color w:val="000000"/>
          <w:sz w:val="20"/>
        </w:rPr>
        <w:t>Accounts payable</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current liabilities</w:t>
      </w:r>
    </w:p>
    <w:tbl>
      <w:tblPr>
        <w:tblW w:w="8441" w:type="dxa"/>
        <w:jc w:val="center"/>
        <w:tblInd w:w="0" w:type="dxa"/>
        <w:tblLayout w:type="fixed"/>
        <w:tblCellMar>
          <w:top w:w="28" w:type="dxa"/>
          <w:left w:w="28" w:type="dxa"/>
          <w:bottom w:w="28" w:type="dxa"/>
          <w:right w:w="28" w:type="dxa"/>
        </w:tblCellMar>
      </w:tblPr>
      <w:tblGrid>
        <w:gridCol w:w="1838"/>
        <w:gridCol w:w="1609"/>
        <w:gridCol w:w="1623"/>
        <w:gridCol w:w="291"/>
        <w:gridCol w:w="1058"/>
        <w:gridCol w:w="150"/>
        <w:gridCol w:w="109"/>
        <w:gridCol w:w="109"/>
        <w:gridCol w:w="109"/>
        <w:gridCol w:w="288"/>
        <w:gridCol w:w="1047"/>
        <w:gridCol w:w="210"/>
      </w:tblGrid>
      <w:tr>
        <w:trPr/>
        <w:tc>
          <w:tcPr>
            <w:tcW w:w="18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allowances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Payroll and employee benefit liabilities </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professional accruals, including litigation accruals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financial instruments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Biocon Biologics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i/>
          <w:color w:val="000000"/>
          <w:sz w:val="20"/>
        </w:rPr>
      </w:pPr>
      <w:r>
        <w:rPr>
          <w:rFonts w:ascii="Times New Roman;sans-serif" w:hAnsi="Times New Roman;sans-serif"/>
          <w:b/>
          <w:i/>
          <w:color w:val="000000"/>
          <w:sz w:val="20"/>
        </w:rPr>
        <w:t>Other long-term obligations</w:t>
      </w:r>
    </w:p>
    <w:tbl>
      <w:tblPr>
        <w:tblW w:w="6955" w:type="dxa"/>
        <w:jc w:val="left"/>
        <w:tblInd w:w="0" w:type="dxa"/>
        <w:tblLayout w:type="fixed"/>
        <w:tblCellMar>
          <w:top w:w="28" w:type="dxa"/>
          <w:left w:w="28" w:type="dxa"/>
          <w:bottom w:w="28" w:type="dxa"/>
          <w:right w:w="28" w:type="dxa"/>
        </w:tblCellMar>
      </w:tblPr>
      <w:tblGrid>
        <w:gridCol w:w="1301"/>
        <w:gridCol w:w="1140"/>
        <w:gridCol w:w="1143"/>
        <w:gridCol w:w="291"/>
        <w:gridCol w:w="1058"/>
        <w:gridCol w:w="150"/>
        <w:gridCol w:w="109"/>
        <w:gridCol w:w="109"/>
        <w:gridCol w:w="109"/>
        <w:gridCol w:w="288"/>
        <w:gridCol w:w="1047"/>
        <w:gridCol w:w="210"/>
      </w:tblGrid>
      <w:tr>
        <w:trPr/>
        <w:tc>
          <w:tcPr>
            <w:tcW w:w="13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liabilities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Contingent consideration </w:t>
            </w:r>
            <w:r>
              <w:rPr>
                <w:rFonts w:ascii="Times New Roman;sans-serif" w:hAnsi="Times New Roman;sans-serif"/>
                <w:b w:val="false"/>
                <w:color w:val="000000"/>
                <w:sz w:val="13"/>
              </w:rPr>
              <w:t>(1)</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related items, including contingencies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long-term obligations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Balances as of December 31, 2023 and 2022 include a total of $15.8 million and $221.2 million, respectively, due to Biocon Biologics. Refer to Note 9 </w:t>
      </w:r>
      <w:r>
        <w:rPr>
          <w:rFonts w:ascii="Times New Roman;sans-serif" w:hAnsi="Times New Roman;sans-serif"/>
          <w:b w:val="false"/>
          <w:i/>
          <w:color w:val="000000"/>
          <w:sz w:val="20"/>
        </w:rPr>
        <w:t xml:space="preserve">Financial Instruments and Risk Management </w:t>
      </w:r>
      <w:r>
        <w:rPr>
          <w:rFonts w:ascii="Times New Roman;sans-serif" w:hAnsi="Times New Roman;sans-serif"/>
          <w:b w:val="false"/>
          <w:color w:val="000000"/>
          <w:sz w:val="20"/>
        </w:rPr>
        <w:t>for additional information.</w:t>
      </w:r>
    </w:p>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7.Leases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of real estate, consisting primarily of administrative offices, manufacturing and distribution facilities, and R&amp;D facilities. We also have operating leases of certain equipment, primarily automobiles, and certain limited supply arrangements.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elected to apply the practical expedient to not separate lease and non-lease components for our leases except for those related to certain limited supply arrangements. We have also elected to apply the short-term lease recognition exemption which means we will not recognize ROU assets or lease liabilities for leases with an initial term of 12 months of less.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As of December 31, 2023, the Company recognized ROU assets of $245.6 million and total lease liabilities of $248.4 million. The Company’s ROU assets are recorded in other assets. The related lease liability balances are recorded in other current liabilities and other long-term obligations in the consolidated balance sheets. Refer to Note 6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ROU assets and liabilities are recognized at the present value of the future minimum lease payments over the lease term at commencement date. As most of our leases do not provide an implicit rate, we use an applicable incremental borrowing rate based on the information available at commencement date in determining the present value of future payments. Options to extend or terminate the ROU assets are reviewed at lease inception and these options are accounted for when they are reasonably certain of being exercised.</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5293" w:type="dxa"/>
        <w:jc w:val="left"/>
        <w:tblInd w:w="0" w:type="dxa"/>
        <w:tblLayout w:type="fixed"/>
        <w:tblCellMar>
          <w:top w:w="28" w:type="dxa"/>
          <w:left w:w="28" w:type="dxa"/>
          <w:bottom w:w="28" w:type="dxa"/>
          <w:right w:w="28" w:type="dxa"/>
        </w:tblCellMar>
      </w:tblPr>
      <w:tblGrid>
        <w:gridCol w:w="1207"/>
        <w:gridCol w:w="1060"/>
        <w:gridCol w:w="1062"/>
        <w:gridCol w:w="399"/>
        <w:gridCol w:w="399"/>
        <w:gridCol w:w="1166"/>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terms</w:t>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 year to 21 years</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maturities of lease liabilities were as follows for each of the years ending December 31:</w:t>
      </w:r>
    </w:p>
    <w:tbl>
      <w:tblPr>
        <w:tblW w:w="2826" w:type="dxa"/>
        <w:jc w:val="left"/>
        <w:tblInd w:w="0" w:type="dxa"/>
        <w:tblLayout w:type="fixed"/>
        <w:tblCellMar>
          <w:top w:w="28" w:type="dxa"/>
          <w:left w:w="28" w:type="dxa"/>
          <w:bottom w:w="28" w:type="dxa"/>
          <w:right w:w="28" w:type="dxa"/>
        </w:tblCellMar>
      </w:tblPr>
      <w:tblGrid>
        <w:gridCol w:w="669"/>
        <w:gridCol w:w="587"/>
        <w:gridCol w:w="589"/>
        <w:gridCol w:w="211"/>
        <w:gridCol w:w="616"/>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additional leases, primarily for administrative offices, that have not yet commenced totaling approximately $6.1 million. For the years ended December 31, 2023, 2022 and 2021, the Company had operating lease expense of approximately $87.6 million, $90.9 million and $97.6 million, respectively. Operating lease costs are classified primarily as SG&amp;A and cost of sales in the consolidated statements of operations.</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8.Goodwill and Intangible Assets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years ended December 31, 2023 and 2022 are as follows:</w:t>
      </w:r>
    </w:p>
    <w:tbl>
      <w:tblPr>
        <w:tblW w:w="10205" w:type="dxa"/>
        <w:jc w:val="left"/>
        <w:tblInd w:w="0" w:type="dxa"/>
        <w:tblLayout w:type="fixed"/>
        <w:tblCellMar>
          <w:top w:w="28" w:type="dxa"/>
          <w:left w:w="28" w:type="dxa"/>
          <w:bottom w:w="28" w:type="dxa"/>
          <w:right w:w="28" w:type="dxa"/>
        </w:tblCellMar>
      </w:tblPr>
      <w:tblGrid>
        <w:gridCol w:w="1064"/>
        <w:gridCol w:w="805"/>
        <w:gridCol w:w="789"/>
        <w:gridCol w:w="291"/>
        <w:gridCol w:w="1060"/>
        <w:gridCol w:w="150"/>
        <w:gridCol w:w="109"/>
        <w:gridCol w:w="109"/>
        <w:gridCol w:w="109"/>
        <w:gridCol w:w="247"/>
        <w:gridCol w:w="724"/>
        <w:gridCol w:w="128"/>
        <w:gridCol w:w="109"/>
        <w:gridCol w:w="109"/>
        <w:gridCol w:w="109"/>
        <w:gridCol w:w="211"/>
        <w:gridCol w:w="616"/>
        <w:gridCol w:w="109"/>
        <w:gridCol w:w="109"/>
        <w:gridCol w:w="109"/>
        <w:gridCol w:w="109"/>
        <w:gridCol w:w="283"/>
        <w:gridCol w:w="1031"/>
        <w:gridCol w:w="146"/>
        <w:gridCol w:w="109"/>
        <w:gridCol w:w="109"/>
        <w:gridCol w:w="109"/>
        <w:gridCol w:w="211"/>
        <w:gridCol w:w="871"/>
        <w:gridCol w:w="161"/>
      </w:tblGrid>
      <w:tr>
        <w:trPr/>
        <w:tc>
          <w:tcPr>
            <w:tcW w:w="106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Developed Markets</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JANZ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Emerging Markets </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Disposition</w:t>
            </w:r>
            <w:r>
              <w:rPr>
                <w:color w:val="000000"/>
              </w:rPr>
              <w:t xml:space="preserve"> </w:t>
            </w:r>
            <w:r>
              <w:rPr>
                <w:rFonts w:ascii="Times New Roman;sans-serif" w:hAnsi="Times New Roman;sans-serif"/>
                <w:b w:val="false"/>
                <w:color w:val="000000"/>
                <w:sz w:val="13"/>
              </w:rPr>
              <w:t>(4)</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Impairment</w:t>
            </w:r>
            <w:r>
              <w:rPr>
                <w:color w:val="000000"/>
              </w:rPr>
              <w:t xml:space="preserve"> </w:t>
            </w:r>
            <w:r>
              <w:rPr>
                <w:rFonts w:ascii="Times New Roman;sans-serif" w:hAnsi="Times New Roman;sans-serif"/>
                <w:b w:val="false"/>
                <w:color w:val="000000"/>
                <w:sz w:val="13"/>
              </w:rPr>
              <w:t>(4)</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assets held for sale</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Balance as of December 31, 2023 includes an accumulated impairment loss of $929.0 million. Balances as of December 31, 2022 and 2021 include an accumulated impairment loss of $385.0 million.</w:t>
      </w:r>
    </w:p>
    <w:p>
      <w:pPr>
        <w:pStyle w:val="TextBody"/>
        <w:bidi w:val="0"/>
        <w:spacing w:lineRule="auto" w:line="288" w:before="0" w:after="60"/>
        <w:ind w:left="0" w:right="0" w:hanging="360"/>
        <w:jc w:val="left"/>
        <w:rPr/>
      </w:pPr>
      <w:r>
        <w:rPr>
          <w:rFonts w:ascii="Times New Roman;sans-serif" w:hAnsi="Times New Roman;sans-serif"/>
          <w:b w:val="false"/>
          <w:color w:val="000000"/>
          <w:sz w:val="14"/>
        </w:rPr>
        <w:t>(2)</w:t>
      </w:r>
      <w:r>
        <w:rPr>
          <w:rFonts w:ascii="Times New Roman;sans-serif" w:hAnsi="Times New Roman;sans-serif"/>
          <w:b w:val="false"/>
          <w:color w:val="000000"/>
          <w:sz w:val="20"/>
        </w:rPr>
        <w:t xml:space="preserve">Balance as of December 31, 2023 includes an accumulated impairment loss of $30.0 million.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Balance as of December 31, 2023 includes an accumulated impairment loss of $124.0 million. Balance as of December 31, 2022 includes an accumulated impairment loss of $117.0 million.</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Reflects goodwill relating to the divestitures. Refer to Note 5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for additional information.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annually on April 1st or more frequently if events or changes in circumstances indicate that the carrying value of goodwill may not be recoverable. The Company performed the annual goodwill impairment test as of April 1, 2023.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compared to the prior year’s annual goodwill impairment test completed on April 1, 2022, the Company has experienced significant fluctuations in foreign exchange rates in certain international markets, combined with a significant increase in market interest rates. These market factors have caused the discount rate utilized in all our reporting units to increase between 1.0% to 4.5%, resulting in a significant reduction in the calculated fair values at April 1, 2023 for all our reporting units. Also, in conjunction with the Company’s annual strategic planning process which included determining long-term growth rate targets for our business, operational results during the forecast period were reduced and long-term growth rates were increased. As a result of these changes, the calculated fair values of the North America, Greater China and Europe reporting units declined in excess of 10% and the JANZ and Emerging Markets reporting units declined in excess of 15% when compared to the prior year fair values.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allocation of the Company’s total goodwill was as follows: North America $3.15 billion, Europe $4.47 billion, Emerging Markets $1.34 billion, JANZ $0.68 billion and Greater China $0.94 billion.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determined that the fair value of the North America and Greater China reporting units was substantially in excess of the respective unit’s carrying value.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Europe reporting unit, the estimated fair value exceeded its carrying value by approximately $535 million or 3.9% for the annual goodwill impairment test. As it relates to the discounted cash flow approach for the Europe reporting unit at April 1, 2023, the Company forecasted cash flows for the next 10 years. During the forecast period, the revenue compound annual growth rate was approximately 2.4%. A terminal year value was calculated with a 2.0% revenue growth rate applied. The discount rate utilized was 11.0% and the estimated tax rate was 14.9%. If all other assumptions are held constant, a reduction in the terminal value growth rate by 1.0% or an increase in discount rate by 0.5% would result in an impairment charge for the Europe reporting unit.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JANZ reporting unit, the estimated fair value exceeded its carrying value by approximately $145 million or 5.5% for the annual goodwill impairment test. As it relates to the discounted cash flow approach for the JANZ reporting unit at April 1, 2023, the Company forecasted cash flows for the next 10 years. During the forecast period, the revenue compound annual growth rate was approximately negative 2.0%. A terminal year value was calculated with a 1.5% revenue growth rate applied. The discount rate utilized was 7.0% and the estimated tax rate was 30.6%. If all other assumptions are held constant, a reduction in the terminal value growth rate by 0.5% or an increase in discount rate by 0.5% would result in an impairment charge for the JANZ reporting unit.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Emerging Markets reporting unit, the estimated fair value exceeded its carrying value by approximately $513 million or 7.7% for the annual goodwill impairment test. As it relates to the discounted cash flow approach for the Emerging Markets reporting unit at April 1, 2023, the Company forecasted cash flows for the next 10 years. During the forecast period, the revenue compound annual growth rate was approximately 1.8%. A terminal year value was calculated with a 2.0% revenue growth rate applied. The discount rate utilized was 11.5% and the estimated tax rate was 17.4%. If all other assumptions are held constant, a reduction in the terminal value growth rate by 2.5% or an increase in discount rate by 1.0% would result in an impairment charge for the Emerging Markets reporting unit.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In the third quarter of 2023, the Company allocated goodwill of $69 million to its women’s healthcare business using a relative fair value approach and reclassified the amount to</w:t>
      </w:r>
      <w:r>
        <w:rPr>
          <w:color w:val="000000"/>
        </w:rPr>
        <w:t xml:space="preserve"> </w:t>
      </w:r>
      <w:r>
        <w:rPr>
          <w:rFonts w:ascii="Times New Roman;sans-serif" w:hAnsi="Times New Roman;sans-serif"/>
          <w:b w:val="false"/>
          <w:i/>
          <w:color w:val="000000"/>
          <w:sz w:val="20"/>
        </w:rPr>
        <w:t>Assets Held for Sale</w:t>
      </w:r>
      <w:r>
        <w:rPr>
          <w:rFonts w:ascii="Times New Roman;sans-serif" w:hAnsi="Times New Roman;sans-serif"/>
          <w:b w:val="false"/>
          <w:color w:val="000000"/>
          <w:sz w:val="20"/>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In the fourth quarter of 2023, the Company allocated goodwill of $120 million to its API business in India using a relative fair value approach and reclassified the amount to</w:t>
      </w:r>
      <w:r>
        <w:rPr>
          <w:color w:val="000000"/>
        </w:rPr>
        <w:t xml:space="preserve"> </w:t>
      </w:r>
      <w:r>
        <w:rPr>
          <w:rFonts w:ascii="Times New Roman;sans-serif" w:hAnsi="Times New Roman;sans-serif"/>
          <w:b w:val="false"/>
          <w:i/>
          <w:color w:val="000000"/>
          <w:sz w:val="20"/>
        </w:rPr>
        <w:t>Assets Held for Sale</w:t>
      </w:r>
      <w:r>
        <w:rPr>
          <w:rFonts w:ascii="Times New Roman;sans-serif" w:hAnsi="Times New Roman;sans-serif"/>
          <w:b w:val="false"/>
          <w:color w:val="000000"/>
          <w:sz w:val="20"/>
        </w:rPr>
        <w: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the fourth quarter of 2023, the OTC Business met the criteria to be classified as held for sale. The Company allocated goodwill to its OTC Business using a relative fair value approach and recorded a goodwill impairment charge of $580.1 million in that quarter within the Europe (majority of the charge), JANZ and Emerging Markets reporting units, which was recorded within </w:t>
      </w:r>
      <w:r>
        <w:rPr>
          <w:rFonts w:ascii="Times New Roman;sans-serif" w:hAnsi="Times New Roman;sans-serif"/>
          <w:b w:val="false"/>
          <w:i/>
          <w:color w:val="000000"/>
          <w:sz w:val="20"/>
        </w:rPr>
        <w:t>SG&amp;A</w:t>
      </w:r>
      <w:r>
        <w:rPr>
          <w:color w:val="000000"/>
        </w:rPr>
        <w:t xml:space="preserve"> </w:t>
      </w:r>
      <w:r>
        <w:rPr>
          <w:rFonts w:ascii="Times New Roman;sans-serif" w:hAnsi="Times New Roman;sans-serif"/>
          <w:b w:val="false"/>
          <w:color w:val="000000"/>
          <w:sz w:val="20"/>
        </w:rPr>
        <w:t>in the consolidated statement of operations. The goodwill impairment charge was the result of the estimated proceeds less selling costs from the planned divestiture of the OTC Business being below the carrying value of the net assets of the disposal group.</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Biocon Biologics Transaction, the Company allocated goodwill to its biosimilars portfolio using a relative fair value approach and reclassified the amount to assets held for sale. Upon closing of the Biocon Biologics Transaction on November 29, 2022, we derecognized goodwill of $919.7 million allocated to the biosimilars portfolio.</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the fourth quarter of 2022, the commercialization rights in the Upjohn Distributor Markets met the criteria to be classified as held for sale. The Company allocated goodwill to its commercialization rights in the Upjohn Distributor Markets using a relative fair value approach and recorded a goodwill impairment charge of $117.0 million in that quarter within the Emerging Markets reporting unit, which was recorded within </w:t>
      </w:r>
      <w:r>
        <w:rPr>
          <w:rFonts w:ascii="Times New Roman;sans-serif" w:hAnsi="Times New Roman;sans-serif"/>
          <w:b w:val="false"/>
          <w:i/>
          <w:color w:val="000000"/>
          <w:sz w:val="20"/>
        </w:rPr>
        <w:t>SG&amp;A</w:t>
      </w:r>
      <w:r>
        <w:rPr>
          <w:color w:val="000000"/>
        </w:rPr>
        <w:t xml:space="preserve"> </w:t>
      </w:r>
      <w:r>
        <w:rPr>
          <w:rFonts w:ascii="Times New Roman;sans-serif" w:hAnsi="Times New Roman;sans-serif"/>
          <w:b w:val="false"/>
          <w:color w:val="000000"/>
          <w:sz w:val="20"/>
        </w:rPr>
        <w:t>in the consolidated statement of operations. The goodwill impairment charge was the result of the estimated proceeds less selling costs from the disposal of the commercialization rights in the Upjohn Distributor Markets being below the carrying value of the net assets of the disposal group.</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Refer to Note 5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for additional information on these divestitures.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76"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components at December 31, 2023 and 2022:</w:t>
      </w:r>
    </w:p>
    <w:tbl>
      <w:tblPr>
        <w:tblW w:w="10205" w:type="dxa"/>
        <w:jc w:val="left"/>
        <w:tblInd w:w="0" w:type="dxa"/>
        <w:tblLayout w:type="fixed"/>
        <w:tblCellMar>
          <w:top w:w="28" w:type="dxa"/>
          <w:left w:w="28" w:type="dxa"/>
          <w:bottom w:w="28" w:type="dxa"/>
          <w:right w:w="28" w:type="dxa"/>
        </w:tblCellMar>
      </w:tblPr>
      <w:tblGrid>
        <w:gridCol w:w="1026"/>
        <w:gridCol w:w="865"/>
        <w:gridCol w:w="866"/>
        <w:gridCol w:w="694"/>
        <w:gridCol w:w="694"/>
        <w:gridCol w:w="696"/>
        <w:gridCol w:w="109"/>
        <w:gridCol w:w="109"/>
        <w:gridCol w:w="109"/>
        <w:gridCol w:w="211"/>
        <w:gridCol w:w="871"/>
        <w:gridCol w:w="109"/>
        <w:gridCol w:w="109"/>
        <w:gridCol w:w="109"/>
        <w:gridCol w:w="109"/>
        <w:gridCol w:w="337"/>
        <w:gridCol w:w="1397"/>
        <w:gridCol w:w="174"/>
        <w:gridCol w:w="109"/>
        <w:gridCol w:w="109"/>
        <w:gridCol w:w="109"/>
        <w:gridCol w:w="218"/>
        <w:gridCol w:w="902"/>
        <w:gridCol w:w="164"/>
      </w:tblGrid>
      <w:tr>
        <w:trPr/>
        <w:tc>
          <w:tcPr>
            <w:tcW w:w="102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 rights, licenses and other </w:t>
            </w:r>
            <w:r>
              <w:rPr>
                <w:rFonts w:ascii="Times New Roman;sans-serif" w:hAnsi="Times New Roman;sans-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15,316.4 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19,181.1 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 rights, licenses and other </w:t>
            </w:r>
            <w:r>
              <w:rPr>
                <w:rFonts w:ascii="Times New Roman;sans-serif" w:hAnsi="Times New Roman;sans-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14,923.6 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amortizable intangible assets. Other intangible assets consist principally of customer lists and contractual rights.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During the year ended December 31, 2023, the Company reclassified intangible assets of approximately $1.93 billion relating to the remaining announced divestitures that have not been consummated as of December 31, 2023 to </w:t>
      </w:r>
      <w:r>
        <w:rPr>
          <w:rFonts w:ascii="Times New Roman;sans-serif" w:hAnsi="Times New Roman;sans-serif"/>
          <w:b w:val="false"/>
          <w:i/>
          <w:color w:val="000000"/>
          <w:sz w:val="20"/>
        </w:rPr>
        <w:t xml:space="preserve">Assets Held for Sale. </w:t>
      </w:r>
      <w:r>
        <w:rPr>
          <w:rFonts w:ascii="Times New Roman;sans-serif" w:hAnsi="Times New Roman;sans-serif"/>
          <w:b w:val="false"/>
          <w:color w:val="000000"/>
          <w:sz w:val="20"/>
        </w:rPr>
        <w:t xml:space="preserve">Refer to Note 5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During the year ended December 31, 2023, the Company recorded intangible assets of approximately $334.0 million as part of the Oyster Point acquisition, and IPR&amp;D of approximately $290.0 million as part of the Famy Life Sciences acquisition. Refer to Note 4 </w:t>
      </w:r>
      <w:r>
        <w:rPr>
          <w:rFonts w:ascii="Times New Roman;sans-serif" w:hAnsi="Times New Roman;sans-serif"/>
          <w:b w:val="false"/>
          <w:i/>
          <w:color w:val="000000"/>
          <w:sz w:val="20"/>
        </w:rPr>
        <w:t>Acquisitions and Other Transactions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rights and licenses are primarily comprised of the products marketed at the time of acquisition. These product rights and licenses relate to numerous individual products, the net book value of which, by product category, is as follows:</w:t>
      </w:r>
    </w:p>
    <w:tbl>
      <w:tblPr>
        <w:tblW w:w="10205" w:type="dxa"/>
        <w:jc w:val="left"/>
        <w:tblInd w:w="0" w:type="dxa"/>
        <w:tblLayout w:type="fixed"/>
        <w:tblCellMar>
          <w:top w:w="28" w:type="dxa"/>
          <w:left w:w="28" w:type="dxa"/>
          <w:bottom w:w="28" w:type="dxa"/>
          <w:right w:w="28" w:type="dxa"/>
        </w:tblCellMar>
      </w:tblPr>
      <w:tblGrid>
        <w:gridCol w:w="891"/>
        <w:gridCol w:w="767"/>
        <w:gridCol w:w="761"/>
        <w:gridCol w:w="272"/>
        <w:gridCol w:w="989"/>
        <w:gridCol w:w="140"/>
        <w:gridCol w:w="109"/>
        <w:gridCol w:w="109"/>
        <w:gridCol w:w="109"/>
        <w:gridCol w:w="223"/>
        <w:gridCol w:w="811"/>
        <w:gridCol w:w="115"/>
        <w:gridCol w:w="109"/>
        <w:gridCol w:w="109"/>
        <w:gridCol w:w="109"/>
        <w:gridCol w:w="211"/>
        <w:gridCol w:w="766"/>
        <w:gridCol w:w="109"/>
        <w:gridCol w:w="109"/>
        <w:gridCol w:w="109"/>
        <w:gridCol w:w="109"/>
        <w:gridCol w:w="265"/>
        <w:gridCol w:w="964"/>
        <w:gridCol w:w="137"/>
        <w:gridCol w:w="109"/>
        <w:gridCol w:w="109"/>
        <w:gridCol w:w="109"/>
        <w:gridCol w:w="250"/>
        <w:gridCol w:w="1037"/>
        <w:gridCol w:w="189"/>
      </w:tblGrid>
      <w:tr>
        <w:trPr/>
        <w:tc>
          <w:tcPr>
            <w:tcW w:w="89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16,747.1 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Rights and Licenses</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18,861.0 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6"/>
        <w:gridCol w:w="762"/>
        <w:gridCol w:w="755"/>
        <w:gridCol w:w="251"/>
        <w:gridCol w:w="1042"/>
        <w:gridCol w:w="130"/>
        <w:gridCol w:w="109"/>
        <w:gridCol w:w="109"/>
        <w:gridCol w:w="109"/>
        <w:gridCol w:w="223"/>
        <w:gridCol w:w="810"/>
        <w:gridCol w:w="115"/>
        <w:gridCol w:w="109"/>
        <w:gridCol w:w="109"/>
        <w:gridCol w:w="109"/>
        <w:gridCol w:w="211"/>
        <w:gridCol w:w="766"/>
        <w:gridCol w:w="109"/>
        <w:gridCol w:w="109"/>
        <w:gridCol w:w="109"/>
        <w:gridCol w:w="109"/>
        <w:gridCol w:w="264"/>
        <w:gridCol w:w="962"/>
        <w:gridCol w:w="137"/>
        <w:gridCol w:w="109"/>
        <w:gridCol w:w="109"/>
        <w:gridCol w:w="109"/>
        <w:gridCol w:w="250"/>
        <w:gridCol w:w="1036"/>
        <w:gridCol w:w="188"/>
      </w:tblGrid>
      <w:tr>
        <w:trPr/>
        <w:tc>
          <w:tcPr>
            <w:tcW w:w="88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18,578.3 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Rights and Licenses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12,211.1 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22,565.9 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60" w:after="12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 xml:space="preserve">As a result of the contribution of the biosimilars business to Biocon Biologics in November 2022, </w:t>
      </w:r>
      <w:r>
        <w:rPr>
          <w:rFonts w:ascii="Times New Roman;sans-serif" w:hAnsi="Times New Roman;sans-serif"/>
          <w:b w:val="false"/>
          <w:i/>
          <w:color w:val="000000"/>
          <w:sz w:val="20"/>
        </w:rPr>
        <w:t>Complex Gx and Biosimilars</w:t>
      </w:r>
      <w:r>
        <w:rPr>
          <w:rFonts w:ascii="Times New Roman;sans-serif" w:hAnsi="Times New Roman;sans-serif"/>
          <w:b w:val="false"/>
          <w:color w:val="000000"/>
          <w:sz w:val="20"/>
        </w:rPr>
        <w:t xml:space="preserve">, which were previously presented as a separate line item, are now included within </w:t>
      </w:r>
      <w:r>
        <w:rPr>
          <w:rFonts w:ascii="Times New Roman;sans-serif" w:hAnsi="Times New Roman;sans-serif"/>
          <w:b w:val="false"/>
          <w:i/>
          <w:color w:val="000000"/>
          <w:sz w:val="20"/>
        </w:rPr>
        <w:t>Generics</w:t>
      </w:r>
      <w:r>
        <w:rPr>
          <w:rFonts w:ascii="Times New Roman;sans-serif" w:hAnsi="Times New Roman;sans-serif"/>
          <w:b w:val="false"/>
          <w:color w:val="000000"/>
          <w:sz w:val="20"/>
        </w:rPr>
        <w:t xml:space="preserve">. Reclassifications were made to prior periods to conform to the current period presentation.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pPr>
      <w:r>
        <w:rPr>
          <w:rFonts w:ascii="Times New Roman;sans-serif" w:hAnsi="Times New Roman;sans-serif"/>
          <w:b w:val="false"/>
          <w:color w:val="000000"/>
          <w:sz w:val="20"/>
        </w:rPr>
        <w:t xml:space="preserve">Amortization expense and intangible asset disposal &amp; impairment charges (which are included as a component of amortization expense) are classified primarily within </w:t>
      </w: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in the consolidated statements of operations, and were as follows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2270"/>
        <w:gridCol w:w="1977"/>
        <w:gridCol w:w="2000"/>
        <w:gridCol w:w="211"/>
        <w:gridCol w:w="766"/>
        <w:gridCol w:w="109"/>
        <w:gridCol w:w="109"/>
        <w:gridCol w:w="109"/>
        <w:gridCol w:w="109"/>
        <w:gridCol w:w="211"/>
        <w:gridCol w:w="766"/>
        <w:gridCol w:w="109"/>
        <w:gridCol w:w="109"/>
        <w:gridCol w:w="109"/>
        <w:gridCol w:w="109"/>
        <w:gridCol w:w="211"/>
        <w:gridCol w:w="766"/>
        <w:gridCol w:w="155"/>
      </w:tblGrid>
      <w:tr>
        <w:trPr/>
        <w:tc>
          <w:tcPr>
            <w:tcW w:w="2270"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 intangible asset impairment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 disposal &amp; impairment charges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 amortization expense (including disposal &amp; impairment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assessment for impairment of finite-lived intangibles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The assumptions inherent in the estimated future cash flows include, among other things, the impact of the current competitive environment and future market expectations. Any future long-lived assets impairment charges could have a material impact on the Company’s consolidated financial condition and results of operations.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During the years ended December 31, 2023, and 2022, the Company recognized intangible asset charges of approximately $32.0 million and $172.9 million, respectively, recorded within </w:t>
      </w:r>
      <w:r>
        <w:rPr>
          <w:rFonts w:ascii="Times New Roman;sans-serif" w:hAnsi="Times New Roman;sans-serif"/>
          <w:b w:val="false"/>
          <w:i/>
          <w:color w:val="000000"/>
          <w:sz w:val="20"/>
        </w:rPr>
        <w:t xml:space="preserve">Cost of Sales </w:t>
      </w:r>
      <w:r>
        <w:rPr>
          <w:rFonts w:ascii="Times New Roman;sans-serif" w:hAnsi="Times New Roman;sans-serif"/>
          <w:b w:val="false"/>
          <w:color w:val="000000"/>
          <w:sz w:val="20"/>
        </w:rPr>
        <w:t>in the consolidated statements of operations, to write down the disposal group to fair value, less cost to sell, related to our commercialization rights in the Upjohn Distributor Markets, which was classified as held for sal</w:t>
      </w:r>
      <w:r>
        <w:rPr>
          <w:rFonts w:ascii="Times New Roman;sans-serif" w:hAnsi="Times New Roman;sans-serif"/>
          <w:b w:val="false"/>
          <w:color w:val="000000"/>
          <w:sz w:val="20"/>
          <w:shd w:fill="FFFFFF" w:val="clear"/>
        </w:rPr>
        <w:t xml:space="preserve">e. Refer to Note 5 </w:t>
      </w:r>
      <w:r>
        <w:rPr>
          <w:rFonts w:ascii="Times New Roman;sans-serif" w:hAnsi="Times New Roman;sans-serif"/>
          <w:b w:val="false"/>
          <w:i/>
          <w:color w:val="000000"/>
          <w:sz w:val="20"/>
          <w:shd w:fill="FFFFFF" w:val="clear"/>
        </w:rPr>
        <w:t xml:space="preserve">Divestitures </w:t>
      </w:r>
      <w:r>
        <w:rPr>
          <w:rFonts w:ascii="Times New Roman;sans-serif" w:hAnsi="Times New Roman;sans-serif"/>
          <w:b w:val="false"/>
          <w:color w:val="000000"/>
          <w:sz w:val="20"/>
          <w:shd w:fill="FFFFFF" w:val="clear"/>
        </w:rPr>
        <w:t xml:space="preserve">for additional information. </w:t>
      </w:r>
      <w:r>
        <w:rPr>
          <w:rFonts w:ascii="Times New Roman;sans-serif" w:hAnsi="Times New Roman;sans-serif"/>
          <w:b w:val="false"/>
          <w:color w:val="000000"/>
          <w:sz w:val="20"/>
        </w:rPr>
        <w:t>On April 30, 2021, the Company completed an agreement to divest a group of OTC products in the U.S. As a result of this transaction, the Company recognized an intangible asset impairment charge of approximately $83.4 million during the year ended December 31, 2021.</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IPR&amp;D assets are tested at least annually for impairment or upon the occurrence of a triggering event. Impairment is determined to exist when the fair value of IPR&amp;D assets, which is based upon updated forecasts and commercial development plans, is less than the carrying value of the assets being tested. The fair value of IPR&amp;D was calculated as the present value of the estimated future net cash flows using a market rate of return. The assumptions inherent in the estimated future cash flows include, among other things, the impact of changes to the development programs, the projected development and regulatory time frames and the current competitive environment. Discount rates ranging between 10.0% and 24.0% were utilized in the valuations performed during the year ended December 31, 2023. A discount rate of 10.5% was utilized in the valuations performed during the year ended December 31, 2022. Discount rates ranging between 7.0% and 9.0% were utilized in the valuations performed during the year ended December 31, 2021.</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fair value of both IPR&amp;D and finite-lived intangible assets was determined based upon detailed valuations employing the income approach which utilized Level 3 inputs, as defined in Note 9, </w:t>
      </w:r>
      <w:r>
        <w:rPr>
          <w:rFonts w:ascii="Times New Roman;sans-serif" w:hAnsi="Times New Roman;sans-serif"/>
          <w:b w:val="false"/>
          <w:i/>
          <w:color w:val="000000"/>
          <w:sz w:val="20"/>
        </w:rPr>
        <w:t>Financial Instruments and Risk Management</w:t>
      </w:r>
      <w:r>
        <w:rPr>
          <w:rFonts w:ascii="Times New Roman;sans-serif" w:hAnsi="Times New Roman;sans-serif"/>
          <w:b w:val="false"/>
          <w:color w:val="000000"/>
          <w:sz w:val="20"/>
        </w:rPr>
        <w:t>. Changes to any of the Company’s assumptions including changes to or abandonment of development programs, regulatory timelines, discount rates or the competitive environment related to the assets could lead to future material impairment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 for the years ending December 31, 2024 through 2028 is estimated to be as follows:</w:t>
      </w:r>
    </w:p>
    <w:tbl>
      <w:tblPr>
        <w:tblW w:w="1971" w:type="dxa"/>
        <w:jc w:val="left"/>
        <w:tblInd w:w="0" w:type="dxa"/>
        <w:tblLayout w:type="fixed"/>
        <w:tblCellMar>
          <w:top w:w="28" w:type="dxa"/>
          <w:left w:w="28" w:type="dxa"/>
          <w:bottom w:w="28" w:type="dxa"/>
          <w:right w:w="28" w:type="dxa"/>
        </w:tblCellMar>
      </w:tblPr>
      <w:tblGrid>
        <w:gridCol w:w="359"/>
        <w:gridCol w:w="315"/>
        <w:gridCol w:w="316"/>
        <w:gridCol w:w="211"/>
        <w:gridCol w:w="61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ans-serif" w:hAnsi="Times New Roman;sans-serif"/>
          <w:b/>
          <w:color w:val="000000"/>
          <w:sz w:val="20"/>
        </w:rPr>
        <w:t>9.</w:t>
      </w:r>
      <w:r>
        <w:rPr>
          <w:rFonts w:ascii="Times New Roman;sans-serif" w:hAnsi="Times New Roman;sans-serif"/>
          <w:b/>
          <w:color w:val="000000"/>
          <w:sz w:val="20"/>
        </w:rPr>
        <w:t>Financial Instruments and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financial risks relating to its ongoing business operations. The primary financial risks that are managed by using derivative instruments are foreign currency risk and interest rate risk.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Foreign Currency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consolidated balance sheets. Any gains or losses on the foreign exchange forward contracts are recognized in earnings in the period incurred in the consolidated statements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twenty-four months. These contracts are designated as cash flow hedges to manage foreign currency transaction risk and are measured at fair value and reported as current assets or current liabilities in the consolidated balance sheets. Any changes in the fair value of designated cash flow hedges are deferred in AOCE and are reclassified into earnings when the hedged item impacts earnings.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principal amounts of the Company’s outstanding Euro and Yen borrowings and the notional amounts of the Euro and Yen borrowings designated as net investment hedges:</w:t>
      </w:r>
    </w:p>
    <w:tbl>
      <w:tblPr>
        <w:tblW w:w="9349" w:type="dxa"/>
        <w:jc w:val="center"/>
        <w:tblInd w:w="0" w:type="dxa"/>
        <w:tblLayout w:type="fixed"/>
        <w:tblCellMar>
          <w:top w:w="28" w:type="dxa"/>
          <w:left w:w="28" w:type="dxa"/>
          <w:bottom w:w="28" w:type="dxa"/>
          <w:right w:w="28" w:type="dxa"/>
        </w:tblCellMar>
      </w:tblPr>
      <w:tblGrid>
        <w:gridCol w:w="1115"/>
        <w:gridCol w:w="978"/>
        <w:gridCol w:w="981"/>
        <w:gridCol w:w="109"/>
        <w:gridCol w:w="109"/>
        <w:gridCol w:w="109"/>
        <w:gridCol w:w="261"/>
        <w:gridCol w:w="1008"/>
        <w:gridCol w:w="126"/>
        <w:gridCol w:w="109"/>
        <w:gridCol w:w="109"/>
        <w:gridCol w:w="109"/>
        <w:gridCol w:w="343"/>
        <w:gridCol w:w="1323"/>
        <w:gridCol w:w="165"/>
        <w:gridCol w:w="165"/>
        <w:gridCol w:w="165"/>
        <w:gridCol w:w="165"/>
        <w:gridCol w:w="343"/>
        <w:gridCol w:w="1323"/>
        <w:gridCol w:w="23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 Designated as a Net Investment Hedge</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Euro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2.250% Euro Senior Notes due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 Euro Senior Notes due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2.125% Euro Senior Notes due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1.362% Euro Senior Notes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Euro Senior Notes due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1.908% Euro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principal amount of the Company’s outstanding Yen borrowings and the notional amount of the Yen borrowings designated as net investment hedges was $283.6 million.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executed fixed-rate cross-currency interest rate swaps with notional amounts totaling Japanese Yen 14.6 billion with settlement dates through 2026. The transactions hedge a portion of the Company’s net investment in certain Yen-functional currency subsidiaries. All changes in the fair value of this derivative instrument, which is designated as a net investment hedge, are marked-to-market using the current spot exchange rate as of the end of the period. The portion of this change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w:t>
      </w:r>
    </w:p>
    <w:p>
      <w:pPr>
        <w:pStyle w:val="TextBody"/>
        <w:bidi w:val="0"/>
        <w:spacing w:lineRule="auto" w:line="288" w:before="10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executed foreign currency forward contracts with notional amounts totaling Euro 500 million with settlement dates in 2024. The transactions hedge a portion of the Company’s net investment in certain Euro functional currency subsidiaries. The contracts have been designated as a net investment hedge.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Rate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 Hedging Relationships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consolidated statements of operations.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Credit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consolidated balance sheets. Accordingly, there are no offsetting amounts that net assets against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classification and fair values of derivative instruments in our consolidated balance sheets:</w:t>
      </w:r>
    </w:p>
    <w:tbl>
      <w:tblPr>
        <w:tblW w:w="10205" w:type="dxa"/>
        <w:jc w:val="left"/>
        <w:tblInd w:w="0" w:type="dxa"/>
        <w:tblLayout w:type="fixed"/>
        <w:tblCellMar>
          <w:top w:w="28" w:type="dxa"/>
          <w:left w:w="28" w:type="dxa"/>
          <w:bottom w:w="28" w:type="dxa"/>
          <w:right w:w="28" w:type="dxa"/>
        </w:tblCellMar>
      </w:tblPr>
      <w:tblGrid>
        <w:gridCol w:w="658"/>
        <w:gridCol w:w="576"/>
        <w:gridCol w:w="581"/>
        <w:gridCol w:w="550"/>
        <w:gridCol w:w="485"/>
        <w:gridCol w:w="487"/>
        <w:gridCol w:w="298"/>
        <w:gridCol w:w="871"/>
        <w:gridCol w:w="154"/>
        <w:gridCol w:w="298"/>
        <w:gridCol w:w="871"/>
        <w:gridCol w:w="154"/>
        <w:gridCol w:w="109"/>
        <w:gridCol w:w="109"/>
        <w:gridCol w:w="109"/>
        <w:gridCol w:w="463"/>
        <w:gridCol w:w="365"/>
        <w:gridCol w:w="367"/>
        <w:gridCol w:w="298"/>
        <w:gridCol w:w="871"/>
        <w:gridCol w:w="154"/>
        <w:gridCol w:w="294"/>
        <w:gridCol w:w="859"/>
        <w:gridCol w:w="224"/>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Asset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Derivatives</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 Fair Value</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 Fair Value</w:t>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 Fair Value</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hedges:</w:t>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designated as hedges</w:t>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hedges:</w:t>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hedges</w:t>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derivatives </w:t>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information about the gains/(losses) incurred to hedge or offset operational foreign exchange or interest rate risk:</w:t>
      </w:r>
    </w:p>
    <w:tbl>
      <w:tblPr>
        <w:tblW w:w="10205" w:type="dxa"/>
        <w:jc w:val="left"/>
        <w:tblInd w:w="0" w:type="dxa"/>
        <w:tblLayout w:type="fixed"/>
        <w:tblCellMar>
          <w:top w:w="28" w:type="dxa"/>
          <w:left w:w="28" w:type="dxa"/>
          <w:bottom w:w="28" w:type="dxa"/>
          <w:right w:w="28" w:type="dxa"/>
        </w:tblCellMar>
      </w:tblPr>
      <w:tblGrid>
        <w:gridCol w:w="1677"/>
        <w:gridCol w:w="1428"/>
        <w:gridCol w:w="1439"/>
        <w:gridCol w:w="505"/>
        <w:gridCol w:w="501"/>
        <w:gridCol w:w="502"/>
        <w:gridCol w:w="109"/>
        <w:gridCol w:w="109"/>
        <w:gridCol w:w="109"/>
        <w:gridCol w:w="276"/>
        <w:gridCol w:w="669"/>
        <w:gridCol w:w="142"/>
        <w:gridCol w:w="276"/>
        <w:gridCol w:w="749"/>
        <w:gridCol w:w="142"/>
        <w:gridCol w:w="276"/>
        <w:gridCol w:w="669"/>
        <w:gridCol w:w="142"/>
        <w:gridCol w:w="109"/>
        <w:gridCol w:w="109"/>
        <w:gridCol w:w="109"/>
        <w:gridCol w:w="158"/>
      </w:tblGrid>
      <w:tr>
        <w:trPr/>
        <w:tc>
          <w:tcPr>
            <w:tcW w:w="167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in Net Investment Hedging Relationships:</w:t>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swaps</w:t>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Not Designated as Hedging Instruments:</w:t>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option and forward contracts</w:t>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net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0"/>
        <w:gridCol w:w="691"/>
        <w:gridCol w:w="696"/>
        <w:gridCol w:w="332"/>
        <w:gridCol w:w="320"/>
        <w:gridCol w:w="321"/>
        <w:gridCol w:w="109"/>
        <w:gridCol w:w="109"/>
        <w:gridCol w:w="109"/>
        <w:gridCol w:w="252"/>
        <w:gridCol w:w="653"/>
        <w:gridCol w:w="130"/>
        <w:gridCol w:w="252"/>
        <w:gridCol w:w="737"/>
        <w:gridCol w:w="130"/>
        <w:gridCol w:w="252"/>
        <w:gridCol w:w="737"/>
        <w:gridCol w:w="130"/>
        <w:gridCol w:w="109"/>
        <w:gridCol w:w="109"/>
        <w:gridCol w:w="109"/>
        <w:gridCol w:w="248"/>
        <w:gridCol w:w="602"/>
        <w:gridCol w:w="128"/>
        <w:gridCol w:w="248"/>
        <w:gridCol w:w="602"/>
        <w:gridCol w:w="128"/>
        <w:gridCol w:w="248"/>
        <w:gridCol w:w="602"/>
        <w:gridCol w:w="192"/>
      </w:tblGrid>
      <w:tr>
        <w:trPr/>
        <w:tc>
          <w:tcPr>
            <w:tcW w:w="92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Reclassified from AOCE into Earnings</w:t>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Derivative Financial Instruments in Cash Flow Hedging Relationships </w:t>
            </w:r>
            <w:r>
              <w:rPr>
                <w:rFonts w:ascii="Times New Roman;sans-serif" w:hAnsi="Times New Roman;sans-serif"/>
                <w:b/>
                <w:color w:val="000000"/>
                <w:sz w:val="12"/>
              </w:rPr>
              <w:t xml:space="preserve">(1) </w:t>
            </w:r>
            <w:r>
              <w:rPr>
                <w:rFonts w:ascii="Times New Roman;sans-serif" w:hAnsi="Times New Roman;sans-serif"/>
                <w:b/>
                <w:color w:val="000000"/>
                <w:sz w:val="18"/>
              </w:rPr>
              <w:t>:</w:t>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sales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in Net Investment Hedging Relationships:</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swaps</w:t>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forward contracts </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Non-derivative Financial Instruments in Net Investment Hedging Relationships:</w:t>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borrowings</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10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At December 31, 2023, the Company expects that approximately $21.0 million of pre-tax net losses on cash flow hedges will be reclassified from AOCE into earnings during the next twelve months.</w:t>
      </w:r>
    </w:p>
    <w:p>
      <w:pPr>
        <w:pStyle w:val="TextBody"/>
        <w:bidi w:val="0"/>
        <w:spacing w:lineRule="auto" w:line="288" w:before="0" w:after="10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the location of the gain/(loss) recognized in earnings on derivatives.</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the location of the gain/(loss) reclassified from AOCE into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pStyle w:val="TextBody"/>
        <w:bidi w:val="0"/>
        <w:spacing w:lineRule="auto" w:line="288" w:before="0" w:after="120"/>
        <w:ind w:left="0" w:right="0" w:hanging="900"/>
        <w:jc w:val="left"/>
        <w:rPr/>
      </w:pPr>
      <w:r>
        <w:rPr>
          <w:rFonts w:ascii="Times New Roman;sans-serif" w:hAnsi="Times New Roman;sans-serif"/>
          <w:b w:val="false"/>
          <w:i/>
          <w:color w:val="000000"/>
          <w:sz w:val="20"/>
        </w:rPr>
        <w:t>Level 1:</w:t>
      </w:r>
      <w:r>
        <w:rPr>
          <w:color w:val="000000"/>
        </w:rPr>
        <w:t>        </w:t>
      </w:r>
      <w:r>
        <w:rPr>
          <w:rFonts w:ascii="Times New Roman;sans-serif" w:hAnsi="Times New Roman;sans-serif"/>
          <w:b w:val="false"/>
          <w:color w:val="000000"/>
          <w:sz w:val="20"/>
        </w:rPr>
        <w:t>Quoted prices (unadjusted) in active markets that are accessible at the measurement date for identical assets or liabilities. The fair value hierarchy gives the highest priority to Level 1 inputs.</w:t>
      </w:r>
    </w:p>
    <w:p>
      <w:pPr>
        <w:pStyle w:val="TextBody"/>
        <w:bidi w:val="0"/>
        <w:spacing w:lineRule="auto" w:line="288" w:before="0" w:after="120"/>
        <w:ind w:left="0" w:right="0" w:hanging="900"/>
        <w:jc w:val="left"/>
        <w:rPr/>
      </w:pPr>
      <w:r>
        <w:rPr>
          <w:rFonts w:ascii="Times New Roman;sans-serif" w:hAnsi="Times New Roman;sans-serif"/>
          <w:b w:val="false"/>
          <w:i/>
          <w:color w:val="000000"/>
          <w:sz w:val="20"/>
        </w:rPr>
        <w:t>Level 2:</w:t>
      </w:r>
      <w:r>
        <w:rPr>
          <w:color w:val="000000"/>
        </w:rPr>
        <w:t>        </w:t>
      </w:r>
      <w:r>
        <w:rPr>
          <w:rFonts w:ascii="Times New Roman;sans-serif" w:hAnsi="Times New Roman;sans-serif"/>
          <w:b w:val="false"/>
          <w:color w:val="000000"/>
          <w:sz w:val="20"/>
        </w:rPr>
        <w:t>Observable market-based inputs other than quoted prices in active markets for identical assets or liabilities.</w:t>
      </w:r>
    </w:p>
    <w:p>
      <w:pPr>
        <w:pStyle w:val="TextBody"/>
        <w:bidi w:val="0"/>
        <w:spacing w:lineRule="auto" w:line="288" w:before="0" w:after="240"/>
        <w:ind w:left="0" w:right="0" w:hanging="900"/>
        <w:jc w:val="left"/>
        <w:rPr/>
      </w:pPr>
      <w:r>
        <w:rPr>
          <w:rFonts w:ascii="Times New Roman;sans-serif" w:hAnsi="Times New Roman;sans-serif"/>
          <w:b w:val="false"/>
          <w:i/>
          <w:color w:val="000000"/>
          <w:sz w:val="20"/>
        </w:rPr>
        <w:t>Level 3:</w:t>
      </w:r>
      <w:r>
        <w:rPr>
          <w:color w:val="000000"/>
        </w:rPr>
        <w:t>        </w:t>
      </w:r>
      <w:r>
        <w:rPr>
          <w:rFonts w:ascii="Times New Roman;sans-serif" w:hAnsi="Times New Roman;sans-serif"/>
          <w:b w:val="false"/>
          <w:color w:val="000000"/>
          <w:sz w:val="20"/>
        </w:rPr>
        <w:t>Unobservable inputs are used when little or no market data is available. The fair value hierarchy gives the lowest priority to Level 3 inputs.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carried at fair value are classified in the tables below in one of the three categories described above:</w:t>
      </w:r>
    </w:p>
    <w:tbl>
      <w:tblPr>
        <w:tblW w:w="10205" w:type="dxa"/>
        <w:jc w:val="left"/>
        <w:tblInd w:w="0" w:type="dxa"/>
        <w:tblLayout w:type="fixed"/>
        <w:tblCellMar>
          <w:top w:w="28" w:type="dxa"/>
          <w:left w:w="28" w:type="dxa"/>
          <w:bottom w:w="28" w:type="dxa"/>
          <w:right w:w="28" w:type="dxa"/>
        </w:tblCellMar>
      </w:tblPr>
      <w:tblGrid>
        <w:gridCol w:w="1131"/>
        <w:gridCol w:w="884"/>
        <w:gridCol w:w="89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13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traded funds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 in Biocon Biologics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fixed income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recurring fair value measurement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recurring fair value measurement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financial assets and liabilities that utilize Level 2 inputs, the Company utilizes both direct and indirect observable price quotes, including interest rate yield curves, foreign exchange forward prices and bank price quotes. For the years ended December 31, 2023 and 2022, there were no transfers between Level 1 and 2 of the fair value hierarchy. Below is a summary of valuation techniques for the Company’s financial assets and liabilities: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Cash equivalents</w:t>
      </w:r>
      <w:r>
        <w:rPr>
          <w:color w:val="000000"/>
        </w:rPr>
        <w:t xml:space="preserve"> — </w:t>
      </w:r>
      <w:r>
        <w:rPr>
          <w:rFonts w:ascii="Times New Roman;sans-serif" w:hAnsi="Times New Roman;sans-serif"/>
          <w:b w:val="false"/>
          <w:color w:val="000000"/>
          <w:sz w:val="20"/>
        </w:rPr>
        <w:t>valued at observable net asset value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Equity securities, exchange traded funds</w:t>
      </w:r>
      <w:r>
        <w:rPr>
          <w:color w:val="000000"/>
        </w:rPr>
        <w:t xml:space="preserve"> — </w:t>
      </w:r>
      <w:r>
        <w:rPr>
          <w:rFonts w:ascii="Times New Roman;sans-serif" w:hAnsi="Times New Roman;sans-serif"/>
          <w:b w:val="false"/>
          <w:color w:val="000000"/>
          <w:sz w:val="20"/>
        </w:rPr>
        <w:t xml:space="preserve">valued at the active quoted market prices from broker or dealer quotations or transparent pricing sources at the reporting date. Unrealized gains and losses attributable to changes in fair value are included in </w:t>
      </w:r>
      <w:r>
        <w:rPr>
          <w:rFonts w:ascii="Times New Roman;sans-serif" w:hAnsi="Times New Roman;sans-serif"/>
          <w:b w:val="false"/>
          <w:i/>
          <w:color w:val="000000"/>
          <w:sz w:val="20"/>
        </w:rPr>
        <w:t>Other income, net</w:t>
      </w:r>
      <w:r>
        <w:rPr>
          <w:rFonts w:ascii="Times New Roman;sans-serif" w:hAnsi="Times New Roman;sans-serif"/>
          <w:b w:val="false"/>
          <w:color w:val="000000"/>
          <w:sz w:val="20"/>
        </w:rPr>
        <w:t>, in the consolidated statements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Equity securities, marketable securities </w:t>
      </w:r>
      <w:r>
        <w:rPr>
          <w:color w:val="000000"/>
        </w:rPr>
        <w:t xml:space="preserve">— </w:t>
      </w:r>
      <w:r>
        <w:rPr>
          <w:rFonts w:ascii="Times New Roman;sans-serif" w:hAnsi="Times New Roman;sans-serif"/>
          <w:b w:val="false"/>
          <w:color w:val="000000"/>
          <w:sz w:val="20"/>
        </w:rPr>
        <w:t xml:space="preserve">valued using quoted stock prices from public exchanges at the reporting date. Unrealized gains and losses attributable to changes in fair value are included in </w:t>
      </w:r>
      <w:r>
        <w:rPr>
          <w:rFonts w:ascii="Times New Roman;sans-serif" w:hAnsi="Times New Roman;sans-serif"/>
          <w:b w:val="false"/>
          <w:i/>
          <w:color w:val="000000"/>
          <w:sz w:val="20"/>
        </w:rPr>
        <w:t>Other income, net</w:t>
      </w:r>
      <w:r>
        <w:rPr>
          <w:rFonts w:ascii="Times New Roman;sans-serif" w:hAnsi="Times New Roman;sans-serif"/>
          <w:b w:val="false"/>
          <w:color w:val="000000"/>
          <w:sz w:val="20"/>
        </w:rPr>
        <w:t>, in the consolidated statements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CCPS in Biocon Biologics</w:t>
      </w:r>
      <w:r>
        <w:rPr>
          <w:color w:val="000000"/>
        </w:rPr>
        <w:t xml:space="preserve"> — </w:t>
      </w:r>
      <w:r>
        <w:rPr>
          <w:rFonts w:ascii="Times New Roman;sans-serif" w:hAnsi="Times New Roman;sans-serif"/>
          <w:b w:val="false"/>
          <w:color w:val="000000"/>
          <w:sz w:val="20"/>
        </w:rPr>
        <w:t xml:space="preserve">valued using a Monte Carlo simulation model using Level 3 inputs. The fair value of the CCPS is sensitive to changes in the forecasts of operating metrics, changes in volatility and discount rates, and share dilution. The Company elected the fair value option for the CCPS under </w:t>
      </w:r>
      <w:r>
        <w:rPr>
          <w:rFonts w:ascii="Times New Roman;sans-serif" w:hAnsi="Times New Roman;sans-serif"/>
          <w:b w:val="false"/>
          <w:i/>
          <w:color w:val="000000"/>
          <w:sz w:val="20"/>
        </w:rPr>
        <w:t xml:space="preserve">ASC 825. </w:t>
      </w:r>
      <w:r>
        <w:rPr>
          <w:rFonts w:ascii="Times New Roman;sans-serif" w:hAnsi="Times New Roman;sans-serif"/>
          <w:b w:val="false"/>
          <w:color w:val="000000"/>
          <w:sz w:val="20"/>
        </w:rPr>
        <w:t xml:space="preserve">The fair value is reassessed quarterly and any change in the fair value estimate is recorded 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statements of operations for that period.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Available-for-sale fixed income investments</w:t>
      </w:r>
      <w:r>
        <w:rPr>
          <w:color w:val="000000"/>
        </w:rPr>
        <w:t xml:space="preserve"> — </w:t>
      </w:r>
      <w:r>
        <w:rPr>
          <w:rFonts w:ascii="Times New Roman;sans-serif" w:hAnsi="Times New Roman;sans-serif"/>
          <w:b w:val="false"/>
          <w:color w:val="000000"/>
          <w:sz w:val="20"/>
        </w:rPr>
        <w:t>valued at the quoted market prices from broker or dealer quotations or transparent pricing sources at the reporting date. Unrealized gains and losses attributable to changes in fair value, net of income taxes, are included in accumulated other comprehensive loss as a component of shareholders’ equity.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Foreign exchange derivative assets and liabilities</w:t>
      </w:r>
      <w:r>
        <w:rPr>
          <w:color w:val="000000"/>
        </w:rPr>
        <w:t xml:space="preserve"> — </w:t>
      </w:r>
      <w:r>
        <w:rPr>
          <w:rFonts w:ascii="Times New Roman;sans-serif" w:hAnsi="Times New Roman;sans-serif"/>
          <w:b w:val="false"/>
          <w:color w:val="000000"/>
          <w:sz w:val="20"/>
        </w:rPr>
        <w:t>valued using quoted forward foreign exchange prices and spot rates at the reporting date. Counterparties to these contracts are highly rated financial institutions.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2011, the Company completed the acquisition of the exclusive worldwide rights to develop, manufacture and commercialize a generic equivalent to GlaxoSmithKline’s Advair Diskus® incorporating Pfizer’s Respiratory Delivery Platform. The Company accounted for this transaction as a purchase of a business and utilized the acquisition method of accounting. On January 30, 2019, the Company received FDA approval of Wixela Inhub® (fluticasone propionate and salmeterol inhalation powder, USP), the first generic of GlaxoSmithKline’s Advair Diskus®. The commercial launch of the Wixela Inhub® occurred in February 2019.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 had a contingent consideration liability of $177.6 million and $132.0 million, respectively, related to the Respiratory Delivery Platform, and $15.8 million and $221.2 million, respectively, related to the Biocon Biologics Transaction.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December 31, 2023 and 2022, discount rates ranging from 6.4% to 8.0%, and 6.4% to 9.0%, respectively, were utilized in the valuations. Significant changes in unobservable inputs could result in material changes to the contingent consideration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rollforward of the activity in the Company’s fair value of contingent consideration from December 31, 2021 to December 31, 2023 is as follows:</w:t>
      </w:r>
    </w:p>
    <w:tbl>
      <w:tblPr>
        <w:tblW w:w="8872" w:type="dxa"/>
        <w:jc w:val="left"/>
        <w:tblInd w:w="0" w:type="dxa"/>
        <w:tblLayout w:type="fixed"/>
        <w:tblCellMar>
          <w:top w:w="28" w:type="dxa"/>
          <w:left w:w="28" w:type="dxa"/>
          <w:bottom w:w="28" w:type="dxa"/>
          <w:right w:w="28" w:type="dxa"/>
        </w:tblCellMar>
      </w:tblPr>
      <w:tblGrid>
        <w:gridCol w:w="941"/>
        <w:gridCol w:w="826"/>
        <w:gridCol w:w="828"/>
        <w:gridCol w:w="369"/>
        <w:gridCol w:w="895"/>
        <w:gridCol w:w="190"/>
        <w:gridCol w:w="109"/>
        <w:gridCol w:w="109"/>
        <w:gridCol w:w="109"/>
        <w:gridCol w:w="385"/>
        <w:gridCol w:w="1126"/>
        <w:gridCol w:w="199"/>
        <w:gridCol w:w="109"/>
        <w:gridCol w:w="109"/>
        <w:gridCol w:w="109"/>
        <w:gridCol w:w="527"/>
        <w:gridCol w:w="1544"/>
        <w:gridCol w:w="388"/>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Current Portion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Long-Term Portion</w:t>
            </w:r>
            <w:r>
              <w:rPr>
                <w:color w:val="000000"/>
              </w:rPr>
              <w:t xml:space="preserv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Contingent Consideration</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Transaction</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Fair value loss </w:t>
            </w:r>
            <w:r>
              <w:rPr>
                <w:rFonts w:ascii="Times New Roman;sans-serif" w:hAnsi="Times New Roman;sans-serif"/>
                <w:b w:val="false"/>
                <w:color w:val="000000"/>
                <w:sz w:val="13"/>
              </w:rPr>
              <w:t>(3)</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Fair value loss </w:t>
            </w:r>
            <w:r>
              <w:rPr>
                <w:rFonts w:ascii="Times New Roman;sans-serif" w:hAnsi="Times New Roman;sans-serif"/>
                <w:b w:val="false"/>
                <w:color w:val="000000"/>
                <w:sz w:val="13"/>
              </w:rPr>
              <w:t>(3)</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Included in other current liabilities in the consolidated balance sheets.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Included in other long-term obligations in the consolidated balance sheets.</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Included in litigation settlements and other contingencies, net in the consolidated statements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not elected the fair value option for financial assets and liabilities other than the CCPS, any future transacted financial asset or liability will be evaluated for the fair value election.</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Available-for-Sale Securities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estimated fair value of available-for-sale securities were as follows:</w:t>
      </w:r>
    </w:p>
    <w:tbl>
      <w:tblPr>
        <w:tblW w:w="10205" w:type="dxa"/>
        <w:jc w:val="left"/>
        <w:tblInd w:w="0" w:type="dxa"/>
        <w:tblLayout w:type="fixed"/>
        <w:tblCellMar>
          <w:top w:w="28" w:type="dxa"/>
          <w:left w:w="28" w:type="dxa"/>
          <w:bottom w:w="28" w:type="dxa"/>
          <w:right w:w="28" w:type="dxa"/>
        </w:tblCellMar>
      </w:tblPr>
      <w:tblGrid>
        <w:gridCol w:w="1084"/>
        <w:gridCol w:w="950"/>
        <w:gridCol w:w="894"/>
        <w:gridCol w:w="850"/>
        <w:gridCol w:w="818"/>
        <w:gridCol w:w="820"/>
        <w:gridCol w:w="109"/>
        <w:gridCol w:w="109"/>
        <w:gridCol w:w="109"/>
        <w:gridCol w:w="211"/>
        <w:gridCol w:w="511"/>
        <w:gridCol w:w="109"/>
        <w:gridCol w:w="109"/>
        <w:gridCol w:w="109"/>
        <w:gridCol w:w="109"/>
        <w:gridCol w:w="257"/>
        <w:gridCol w:w="495"/>
        <w:gridCol w:w="134"/>
        <w:gridCol w:w="109"/>
        <w:gridCol w:w="109"/>
        <w:gridCol w:w="109"/>
        <w:gridCol w:w="252"/>
        <w:gridCol w:w="503"/>
        <w:gridCol w:w="131"/>
        <w:gridCol w:w="109"/>
        <w:gridCol w:w="109"/>
        <w:gridCol w:w="109"/>
        <w:gridCol w:w="211"/>
        <w:gridCol w:w="511"/>
        <w:gridCol w:w="156"/>
      </w:tblGrid>
      <w:tr>
        <w:trPr/>
        <w:tc>
          <w:tcPr>
            <w:tcW w:w="108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2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investments</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2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investments</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available-for-sale fixed income investments at fair value as of December 31, 2023, were as follows:</w:t>
      </w:r>
    </w:p>
    <w:tbl>
      <w:tblPr>
        <w:tblW w:w="3366" w:type="dxa"/>
        <w:jc w:val="left"/>
        <w:tblInd w:w="0" w:type="dxa"/>
        <w:tblLayout w:type="fixed"/>
        <w:tblCellMar>
          <w:top w:w="28" w:type="dxa"/>
          <w:left w:w="28" w:type="dxa"/>
          <w:bottom w:w="28" w:type="dxa"/>
          <w:right w:w="28" w:type="dxa"/>
        </w:tblCellMar>
      </w:tblPr>
      <w:tblGrid>
        <w:gridCol w:w="904"/>
        <w:gridCol w:w="792"/>
        <w:gridCol w:w="794"/>
        <w:gridCol w:w="211"/>
        <w:gridCol w:w="511"/>
        <w:gridCol w:w="154"/>
      </w:tblGrid>
      <w:tr>
        <w:trPr/>
        <w:tc>
          <w:tcPr>
            <w:tcW w:w="90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one to five years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five years and later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10.Debt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provides an overview of the Company’s short-term credit facilities.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Receivables Facility and Note Securitization Facility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$400 million Receivables Facility which expires in April 2025 and a $200 million Note Securitization Facility which expires in August 2024.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outstanding under the Receivables Facility bear interest at the applicable base rate plus 0.775% and under the Note Securitization Facility at the relevant base rate plus 1.00% and are included as a component of short-term borrowings, while the accounts receivable securing these obligations remain as a component of accounts receivable, net, in our consolidated balance sheets. In addition, the agreements governing the Receivables Facility and Note Securitization Facility contain various customary affirmative and negative covenants, and customary default and termination provisions with which the Company was compliant as of December 31, 2023. As of December 31, 2023 and 2022, the Company had $564.5 million and $474.9 million, respectively, of accounts receivable balances sold to its subsidiary Mylan Securitization LLC under the Receivables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bidi w:val="0"/>
        <w:spacing w:lineRule="auto" w:line="26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long-term debt is as follows:</w:t>
      </w:r>
    </w:p>
    <w:tbl>
      <w:tblPr>
        <w:tblW w:w="9350" w:type="dxa"/>
        <w:jc w:val="left"/>
        <w:tblInd w:w="0" w:type="dxa"/>
        <w:tblLayout w:type="fixed"/>
        <w:tblCellMar>
          <w:top w:w="28" w:type="dxa"/>
          <w:left w:w="28" w:type="dxa"/>
          <w:bottom w:w="28" w:type="dxa"/>
          <w:right w:w="28" w:type="dxa"/>
        </w:tblCellMar>
      </w:tblPr>
      <w:tblGrid>
        <w:gridCol w:w="1229"/>
        <w:gridCol w:w="1079"/>
        <w:gridCol w:w="1082"/>
        <w:gridCol w:w="641"/>
        <w:gridCol w:w="641"/>
        <w:gridCol w:w="1597"/>
        <w:gridCol w:w="109"/>
        <w:gridCol w:w="109"/>
        <w:gridCol w:w="109"/>
        <w:gridCol w:w="211"/>
        <w:gridCol w:w="871"/>
        <w:gridCol w:w="109"/>
        <w:gridCol w:w="109"/>
        <w:gridCol w:w="109"/>
        <w:gridCol w:w="109"/>
        <w:gridCol w:w="211"/>
        <w:gridCol w:w="871"/>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 of long-term debt:</w:t>
            </w:r>
          </w:p>
        </w:tc>
        <w:tc>
          <w:tcPr>
            <w:tcW w:w="2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2023 Senior Notes </w:t>
            </w: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2023 Senior Notes </w:t>
            </w:r>
            <w:r>
              <w:rPr>
                <w:rFonts w:ascii="Times New Roman;sans-serif" w:hAnsi="Times New Roman;sans-serif"/>
                <w:b w:val="false"/>
                <w:color w:val="000000"/>
                <w:sz w:val="13"/>
              </w:rPr>
              <w:t xml:space="preserve">(b) </w:t>
            </w:r>
            <w:r>
              <w:rPr>
                <w:rFonts w:ascii="Times New Roman;sans-serif" w:hAnsi="Times New Roman;sans-serif"/>
                <w:b w:val="false"/>
                <w:color w:val="000000"/>
                <w:sz w:val="20"/>
              </w:rPr>
              <w:t>*</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Euro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Euro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portion of long-term debt:</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Euro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Euro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Euro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Euro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Euro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Euro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2040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2043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2046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2048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2050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 Facility</w:t>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     </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(a)    </w:t>
      </w:r>
      <w:r>
        <w:rPr>
          <w:rFonts w:ascii="Times New Roman;sans-serif" w:hAnsi="Times New Roman;sans-serif"/>
          <w:b w:val="false"/>
          <w:color w:val="000000"/>
          <w:sz w:val="20"/>
        </w:rPr>
        <w:t>In the first quarter of 2020, the Company terminated interest rate swaps designated as a fair value hedge resulting in net proceeds of approximately $45 million. The fair value adjustment was amortized to interest expense over the remaining term of the notes, which were repaid at maturity in the first quarter of 2023.</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(b)    </w:t>
      </w:r>
      <w:r>
        <w:rPr>
          <w:rFonts w:ascii="Times New Roman;sans-serif" w:hAnsi="Times New Roman;sans-serif"/>
          <w:b w:val="false"/>
          <w:color w:val="000000"/>
          <w:sz w:val="20"/>
        </w:rPr>
        <w:t>The 2023 Senior Notes were repaid at maturity in the fourth quarter of 2023.</w:t>
      </w:r>
    </w:p>
    <w:p>
      <w:pPr>
        <w:pStyle w:val="TextBody"/>
        <w:bidi w:val="0"/>
        <w:spacing w:lineRule="auto" w:line="276" w:before="0" w:after="60"/>
        <w:ind w:left="0" w:right="0" w:hanging="360"/>
        <w:jc w:val="left"/>
        <w:rPr/>
      </w:pP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Instrument was issued by Mylan Inc.</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originally issued by Mylan N.V.; now held by Utah Acquisition Sub Inc.</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Viatris Inc.</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Upjohn Finance B.V.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Assumptions and Guarantees of Senior Unsecured Notes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is the issuer of the Upjohn U.S. Dollar Notes, which are fully and unconditionally guaranteed on a senior unsecured basis by Mylan Inc., Mylan II B.V. and Utah Acquisition Sub Inc.</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Upjohn Finance B.V. is the issuer of the Upjohn Euro Notes, which are fully and unconditionally guaranteed on a senior unsecured basis by Viatris Inc., Mylan Inc., Mylan II B.V. and Utah Acquisition Sub Inc.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Combination, Utah Acquisition Sub Inc. is the issuer of the Utah U.S. Dollar Notes and the Utah Euro Notes, which are each fully and unconditionally guaranteed on a senior unsecured basis by Mylan Inc., Viatris Inc. and Mylan II B.V.</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Mylan Inc. is the issuer of the Mylan Inc. U.S. Dollar Notes and the Mylan Inc. Euro Notes, which are each fully and unconditionally guaranteed on a senior unsecured basis by Mylan II B.V., Viatris Inc. and Utah Acquisition Sub Inc.</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YEN Term Loan Facility and Revolving Facility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2021, Viatris entered into (i) the ¥40 billion YEN Term Loan Facility and (ii) the $4.0 billion Revolving Facility with various syndicates of banks. The YEN Term Loan Facility and the Revolving Facility will mature in July 2026 and contain customary affirmative covenants for facilities of this type, including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for the quarter ended March 31, 2023 and each quarter ending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 Up to $1.65 billion of the Revolving Facility may be used to support borrowings under our Commercial Paper Program.</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April 28, 2023, we executed an amendment to the Revolving Facility to convert the benchmark interest rate from LIBOR to an adjusted SOFR, with no change in the applicable interest rate margins.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the aggregate fair value of the Company’s outstanding notes was approximately $15.25 billion and $15.36 billion, respectively. The fair values of the outstanding notes were valued at quoted market prices from broker or dealer quotations and were classified as Level 2 in the fair value hierarchy.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minimum repayments remaining on the notional amount of outstanding long-term debt at December 31, 2023 were as follows for each of the years ending December 31:</w:t>
      </w:r>
    </w:p>
    <w:tbl>
      <w:tblPr>
        <w:tblW w:w="2076" w:type="dxa"/>
        <w:jc w:val="left"/>
        <w:tblInd w:w="0" w:type="dxa"/>
        <w:tblLayout w:type="fixed"/>
        <w:tblCellMar>
          <w:top w:w="28" w:type="dxa"/>
          <w:left w:w="28" w:type="dxa"/>
          <w:bottom w:w="28" w:type="dxa"/>
          <w:right w:w="28" w:type="dxa"/>
        </w:tblCellMar>
      </w:tblPr>
      <w:tblGrid>
        <w:gridCol w:w="359"/>
        <w:gridCol w:w="315"/>
        <w:gridCol w:w="316"/>
        <w:gridCol w:w="211"/>
        <w:gridCol w:w="72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11.Comprehensive (Loss) Earnings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as reflected in the consolidated balance sheets, is comprised of the following:</w:t>
      </w:r>
    </w:p>
    <w:tbl>
      <w:tblPr>
        <w:tblW w:w="10205" w:type="dxa"/>
        <w:jc w:val="left"/>
        <w:tblInd w:w="0" w:type="dxa"/>
        <w:tblLayout w:type="fixed"/>
        <w:tblCellMar>
          <w:top w:w="28" w:type="dxa"/>
          <w:left w:w="28" w:type="dxa"/>
          <w:bottom w:w="28" w:type="dxa"/>
          <w:right w:w="28" w:type="dxa"/>
        </w:tblCellMar>
      </w:tblPr>
      <w:tblGrid>
        <w:gridCol w:w="2501"/>
        <w:gridCol w:w="2183"/>
        <w:gridCol w:w="2203"/>
        <w:gridCol w:w="267"/>
        <w:gridCol w:w="1065"/>
        <w:gridCol w:w="137"/>
        <w:gridCol w:w="109"/>
        <w:gridCol w:w="109"/>
        <w:gridCol w:w="109"/>
        <w:gridCol w:w="265"/>
        <w:gridCol w:w="1057"/>
        <w:gridCol w:w="200"/>
      </w:tblGrid>
      <w:tr>
        <w:trPr/>
        <w:tc>
          <w:tcPr>
            <w:tcW w:w="250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available-for-sale fixed income securities, net of tax</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and prior service cost related to defined benefit plans, net of tax</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loss on derivatives in cash flow hedging relationships, net of tax</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on derivatives in net investment hedging relationships, net of tax</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accumulated other comprehensive (loss) earnings, before tax, consist of the following:</w:t>
      </w:r>
    </w:p>
    <w:tbl>
      <w:tblPr>
        <w:tblW w:w="1169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 of defined pension plan, included in SG&amp;A</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169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1623"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31"/>
        <w:gridCol w:w="109"/>
        <w:gridCol w:w="109"/>
        <w:gridCol w:w="109"/>
        <w:gridCol w:w="109"/>
        <w:gridCol w:w="431"/>
        <w:gridCol w:w="831"/>
        <w:gridCol w:w="224"/>
        <w:gridCol w:w="109"/>
        <w:gridCol w:w="109"/>
        <w:gridCol w:w="109"/>
        <w:gridCol w:w="211"/>
        <w:gridCol w:w="52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12.Income Taxes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(benefit) consisted of the following components:</w:t>
      </w:r>
    </w:p>
    <w:tbl>
      <w:tblPr>
        <w:tblW w:w="7167" w:type="dxa"/>
        <w:jc w:val="left"/>
        <w:tblInd w:w="0" w:type="dxa"/>
        <w:tblLayout w:type="fixed"/>
        <w:tblCellMar>
          <w:top w:w="28" w:type="dxa"/>
          <w:left w:w="28" w:type="dxa"/>
          <w:bottom w:w="28" w:type="dxa"/>
          <w:right w:w="28" w:type="dxa"/>
        </w:tblCellMar>
      </w:tblPr>
      <w:tblGrid>
        <w:gridCol w:w="1248"/>
        <w:gridCol w:w="1093"/>
        <w:gridCol w:w="1094"/>
        <w:gridCol w:w="211"/>
        <w:gridCol w:w="616"/>
        <w:gridCol w:w="109"/>
        <w:gridCol w:w="109"/>
        <w:gridCol w:w="109"/>
        <w:gridCol w:w="109"/>
        <w:gridCol w:w="211"/>
        <w:gridCol w:w="766"/>
        <w:gridCol w:w="109"/>
        <w:gridCol w:w="109"/>
        <w:gridCol w:w="109"/>
        <w:gridCol w:w="109"/>
        <w:gridCol w:w="211"/>
        <w:gridCol w:w="69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earnings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all periods presented, the allocation of earnings before income taxes between U.S. and non-U.S. operations includes intercompany interest allocations between certain domestic and foreign subsidiaries. These amounts are eliminated on a consolidated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Temporary differences and carry-forwards that result in deferred tax assets and liabilities were as follows:</w:t>
      </w:r>
    </w:p>
    <w:tbl>
      <w:tblPr>
        <w:tblW w:w="6220" w:type="dxa"/>
        <w:jc w:val="left"/>
        <w:tblInd w:w="0" w:type="dxa"/>
        <w:tblLayout w:type="fixed"/>
        <w:tblCellMar>
          <w:top w:w="28" w:type="dxa"/>
          <w:left w:w="28" w:type="dxa"/>
          <w:bottom w:w="28" w:type="dxa"/>
          <w:right w:w="28" w:type="dxa"/>
        </w:tblCellMar>
      </w:tblPr>
      <w:tblGrid>
        <w:gridCol w:w="1034"/>
        <w:gridCol w:w="906"/>
        <w:gridCol w:w="909"/>
        <w:gridCol w:w="272"/>
        <w:gridCol w:w="1087"/>
        <w:gridCol w:w="140"/>
        <w:gridCol w:w="109"/>
        <w:gridCol w:w="109"/>
        <w:gridCol w:w="109"/>
        <w:gridCol w:w="270"/>
        <w:gridCol w:w="1078"/>
        <w:gridCol w:w="197"/>
      </w:tblGrid>
      <w:tr>
        <w:trPr/>
        <w:tc>
          <w:tcPr>
            <w:tcW w:w="10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reserves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allowances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and loss carry-forwards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and goodwill</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 net</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(1,506.1)</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those foreign subsidiaries whose investments are permanent in duration, income and foreign withholding taxes have not been provided on the unremitted earnings of those subsidiaries. This amount may become taxable upon a repatriation of assets from the subsidiary or a sale or liquidation of the subsidiary. The amount of such unremitted earnings is approximately $1.18 billion at December 31, 2023. Determination of the amount of any unrecognized deferred income tax liability on these unremitted earnings is not practicable as such determination involves material uncertainties about the potential extent and timing of any distributions, the availability and complexity of calculating foreign tax credits, and the potential indirect tax consequences of such distributions, including withholding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from continuing operations differs from the applicable United States statutory federal income tax rate of 21.0%, due to the following:</w:t>
      </w:r>
    </w:p>
    <w:tbl>
      <w:tblPr>
        <w:tblW w:w="7887" w:type="dxa"/>
        <w:jc w:val="left"/>
        <w:tblInd w:w="0" w:type="dxa"/>
        <w:tblLayout w:type="fixed"/>
        <w:tblCellMar>
          <w:top w:w="28" w:type="dxa"/>
          <w:left w:w="28" w:type="dxa"/>
          <w:bottom w:w="28" w:type="dxa"/>
          <w:right w:w="28" w:type="dxa"/>
        </w:tblCellMar>
      </w:tblPr>
      <w:tblGrid>
        <w:gridCol w:w="1633"/>
        <w:gridCol w:w="1437"/>
        <w:gridCol w:w="1445"/>
        <w:gridCol w:w="291"/>
        <w:gridCol w:w="294"/>
        <w:gridCol w:w="271"/>
        <w:gridCol w:w="109"/>
        <w:gridCol w:w="109"/>
        <w:gridCol w:w="109"/>
        <w:gridCol w:w="291"/>
        <w:gridCol w:w="294"/>
        <w:gridCol w:w="271"/>
        <w:gridCol w:w="109"/>
        <w:gridCol w:w="109"/>
        <w:gridCol w:w="109"/>
        <w:gridCol w:w="343"/>
        <w:gridCol w:w="347"/>
        <w:gridCol w:w="316"/>
      </w:tblGrid>
      <w:tr>
        <w:trPr/>
        <w:tc>
          <w:tcPr>
            <w:tcW w:w="16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tax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and research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of attributes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and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settlements and resolution of certain tax positions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Combination and divestitures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U.S. tax on foreign earnings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impact of tax law changes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impact of internal restructuring</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all years, our effective tax rate is impacted by the jurisdictional location of earnings and the corresponding tax rates in those jurisdictions. The Company realizes benefits from lower tax rates in Singapore and Puerto Rico due to manufacturing and other incentives.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a     Puerto Rico net operating loss, which was recorded in conjunction with the Combination, expired unutilized resulting in a $274.4 million write-off of deferred tax asset and corresponding valuation allowance. The expiration and valuation allowance impacts are reflected in the above table.</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when it is more likely than not that some portion or all of the deferred tax assets will not be realized. At December 31, 2023, a valuation allowance has been applied to certain deferred tax assets in the amount of $421.4 million.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Net Operating Losses</w:t>
      </w:r>
    </w:p>
    <w:p>
      <w:pPr>
        <w:pStyle w:val="TextBody"/>
        <w:bidi w:val="0"/>
        <w:spacing w:lineRule="auto" w:line="27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the following carryforwards and attributes: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U.S. federal net operating loss carryforwards of $281.9 million, which were recorded in connection with the Oyster Point acquisition. While the utilization of these carryforwards is subject to Section 382 of the Code, the Company does not anticipate that this limitation will impair our ability to utilize the carryovers.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U.S. state income tax loss carryforwards of approximately $3.40 billion, which are largely offset by a valuation allowance.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Non-U.S. net operating loss carryforwards of approximately $879.4 million, of which $718.1 million can be carried forward indefinitely, with the remaining $161.3 million expiring in years 2024 through 2043.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U.S. and foreign credit carryovers of $208.5 million, expiring in various amounts through 2043.</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Anticipatory foreign tax credits of $150.8 million which will generate from the reversal of future taxable income in certain non-U.S. jurisdictions which are taxed both in their local jurisdictions and in the U.S.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2020, the Company had a change in ownership pursuant to Section 382 of the Code. Under this provision of the Code, the utilization of any NOL or tax credit carryforwards incurred prior to the date of ownership change may be limited. Analyses of the limits for each ownership change indicates the annual limitation would not impair the Company's ability to utilize our U.S. federal credit carryovers. While state loss carryforwards may be limited by Section 382 of the Code, the carryforwards are largely offset by a valuation allowance.</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Legislative Updates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August 16, 2022, the U.S. government enacted the Inflation Reduction Act of 2022 (the “Inflation Reduction Act”)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consolidated balance sheet as of December 31, 2023. The share repurchase and authorization amounts disclosed in this Form 10-K exclude the excise tax. The Company does not anticipate being subject to the 15% CAMT tax in 2023 based on enacted law and regulatory guidance; however, our CAMT status for 2023 could change in the future, depending on new regulations or regulatory guidance issued by the U.S. Department of the Treasury.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many countries are actively considering or have proposed or enacted changes to their tax laws based on the Pillar Two Global Anti-Base Erosion Rules (“Pillar Two Rules”) proposed by the OECD. The Pillar Two Rules impose a global minimum tax of 15%, and under these rules, we may be required to pay a “top-up” tax to the extent our effective tax rate in any given country is below 15%. We will continue to monitor the implementation of the Pillar Two Rules in the countries in which we operate. The earliest effective date of the Pillar Two Rules in any adopting country is January 1, 2024, with many countries postponing implementation to January 1, 2025 or later, if at all. We are currently evaluating the potential impact on our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Tax Examinations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 </w:t>
      </w:r>
    </w:p>
    <w:p>
      <w:pPr>
        <w:pStyle w:val="TextBody"/>
        <w:bidi w:val="0"/>
        <w:spacing w:lineRule="auto" w:line="27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ongoing IRS examinations. The years 2015 through 2021 are open years under examination. The years 2012, 2013 and 2014 had one matter open, and a Tax Court petition was filed regarding the matter and a trial was held in December 2018 and is discussed further below.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Several international audits are currently in progress. In some cases, the tax auditors have proposed adjustments </w:t>
      </w:r>
      <w:r>
        <w:rPr>
          <w:rFonts w:ascii="Times New Roman;sans-serif" w:hAnsi="Times New Roman;sans-serif"/>
          <w:b w:val="false"/>
          <w:color w:val="000000"/>
          <w:sz w:val="20"/>
          <w:shd w:fill="FFFFFF" w:val="clear"/>
        </w:rPr>
        <w:t xml:space="preserve">or issued assessments </w:t>
      </w:r>
      <w:r>
        <w:rPr>
          <w:rFonts w:ascii="Times New Roman;sans-serif" w:hAnsi="Times New Roman;sans-serif"/>
          <w:b w:val="false"/>
          <w:color w:val="000000"/>
          <w:sz w:val="20"/>
        </w:rPr>
        <w:t xml:space="preserve">to our tax positions, including with respect to intercompany transactions, and we are in ongoing discussions with some of the auditors regarding the validity of their tax positions. </w:t>
      </w:r>
    </w:p>
    <w:p>
      <w:pPr>
        <w:pStyle w:val="TextBody"/>
        <w:bidi w:val="0"/>
        <w:spacing w:lineRule="auto" w:line="288" w:before="0" w:after="24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Australia, the tax authorities have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2020 and we have commenced litigation in the Australian Federal Court challenging those decisions. A trial took place in October 2023 and a decision is awaited. The Company made a partial payment of $56.0 million in 2021 and $5.2 million in 2022 in order to stay potential interest and penalties resulting from this litigation.</w:t>
      </w:r>
    </w:p>
    <w:p>
      <w:pPr>
        <w:pStyle w:val="TextBody"/>
        <w:bidi w:val="0"/>
        <w:spacing w:before="0" w:after="0"/>
        <w:ind w:left="0" w:right="0" w:firstLine="72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 The Company recorded tax expense of approximately     $22.3 million during the year ended December 31, 2023, due to the terms of this agreement. The remaining issues are in the audit phase or are being challenged in the Indian tax courts.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recorded a net reserve for uncertain tax positions of $287.1 million and $298.1 million, including interest and penalties, in connection with its international audits at December 31, 2023 and 2022, respectively. In connection with our international tax audits, it is possible that we will incur material losses above the amounts reserved.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major U.S. state taxing jurisdictions remain open from fiscal year 2013 through 2022, with several state audits currently in progress. The Company’s major international taxing jurisdictions remain open from 2012 through 2022.</w:t>
      </w:r>
    </w:p>
    <w:p>
      <w:pPr>
        <w:pStyle w:val="TextBody"/>
        <w:bidi w:val="0"/>
        <w:spacing w:lineRule="auto" w:line="288" w:before="0" w:after="240"/>
        <w:jc w:val="left"/>
        <w:rPr/>
      </w:pPr>
      <w:r>
        <w:rPr>
          <w:rFonts w:ascii="Times New Roman;sans-serif" w:hAnsi="Times New Roman;sans-serif"/>
          <w:b w:val="false"/>
          <w:i/>
          <w:color w:val="000000"/>
          <w:sz w:val="20"/>
        </w:rPr>
        <w:t xml:space="preserve">Tax Court Proceedings </w:t>
      </w: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 The IRS’ appeal was denied by the U.S. Court of Appeals for the Third Circuit and this matter is now closed.</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for Uncertainty in Income Taxes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Company’s consolidated balance sheets reflect net liabilities for unrecognized tax benefits of $272.8 million and $296.7 million, respectively, of which $191.4 million as of December 31, 2023 would affect the Company’s effective tax rate if recognized, with the remainder being offset by potential correlative adjustments. Related accrued interest and penalties included in the consolidated balance sheets were $115.7 million and $106.4 million as of December 31, 2023 and 2022, respectively. For the years ended December 31, 2023, 2022 and 2021, the Company recognized $15.4 million, $21.1 million, and $18.5 million of tax expense, respectively, related to interest and penalties on uncertain tax positions. Interest and penalties related to income taxes are included in the tax provision.</w:t>
      </w:r>
    </w:p>
    <w:p>
      <w:pPr>
        <w:pStyle w:val="TextBody"/>
        <w:bidi w:val="0"/>
        <w:spacing w:before="0" w:after="6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unrecognized tax benefits is as follows:</w:t>
      </w:r>
    </w:p>
    <w:tbl>
      <w:tblPr>
        <w:tblW w:w="8006" w:type="dxa"/>
        <w:jc w:val="left"/>
        <w:tblInd w:w="0" w:type="dxa"/>
        <w:tblLayout w:type="fixed"/>
        <w:tblCellMar>
          <w:top w:w="28" w:type="dxa"/>
          <w:left w:w="28" w:type="dxa"/>
          <w:bottom w:w="28" w:type="dxa"/>
          <w:right w:w="28" w:type="dxa"/>
        </w:tblCellMar>
      </w:tblPr>
      <w:tblGrid>
        <w:gridCol w:w="1630"/>
        <w:gridCol w:w="1429"/>
        <w:gridCol w:w="1440"/>
        <w:gridCol w:w="211"/>
        <w:gridCol w:w="616"/>
        <w:gridCol w:w="109"/>
        <w:gridCol w:w="109"/>
        <w:gridCol w:w="109"/>
        <w:gridCol w:w="109"/>
        <w:gridCol w:w="211"/>
        <w:gridCol w:w="616"/>
        <w:gridCol w:w="109"/>
        <w:gridCol w:w="109"/>
        <w:gridCol w:w="109"/>
        <w:gridCol w:w="109"/>
        <w:gridCol w:w="211"/>
        <w:gridCol w:w="61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current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prior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prior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expirations of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due to acquisition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is reasonably possible that the amount of unrecognized tax benefits will decrease in the next twelve months by approximately $40.0 million, involving international and state audits and settlements and expiring statutes of limitations. The Company does not anticipate significant increases to the reserve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13.Share-Based Incentive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Prior to the Distribution, Viatris adopted and Pfizer, in the capacity as Viatris’ sole stockholder at such time, approved the 2020 Incentive Plan (the </w:t>
      </w:r>
      <w:r>
        <w:rPr>
          <w:rFonts w:ascii="Times New Roman;sans-serif" w:hAnsi="Times New Roman;sans-serif"/>
          <w:b w:val="false"/>
          <w:i/>
          <w:color w:val="000000"/>
          <w:sz w:val="20"/>
        </w:rPr>
        <w:t>Viatris Inc. 2020 Stock Incentive Plan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which became effective as of the Distribution. In connection with the Combination, as of November 16, 2020, the Company assumed the 2003 LTIP (</w:t>
      </w:r>
      <w:r>
        <w:rPr>
          <w:rFonts w:ascii="Times New Roman;sans-serif" w:hAnsi="Times New Roman;sans-serif"/>
          <w:b w:val="false"/>
          <w:i/>
          <w:color w:val="000000"/>
          <w:sz w:val="20"/>
        </w:rPr>
        <w:t>Mylan N.V. Amended and Restated 2003 Long-Term Incentive Plan)</w:t>
      </w:r>
      <w:r>
        <w:rPr>
          <w:rFonts w:ascii="Times New Roman;sans-serif" w:hAnsi="Times New Roman;sans-serif"/>
          <w:b w:val="false"/>
          <w:color w:val="000000"/>
          <w:sz w:val="20"/>
        </w:rPr>
        <w:t>, which had previously been approved by Mylan shareholders. The 2020 Incentive Plan and 2003 LTIP include (i) 72,500,000 shares of Viatris’ common stock authorized for grant pursuant to the 2020 Incentive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Incentive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awards (stock options and SARs) activity under the 2020 Incentive Plan and 2003 LTIP:</w:t>
      </w:r>
    </w:p>
    <w:tbl>
      <w:tblPr>
        <w:tblW w:w="7631" w:type="dxa"/>
        <w:jc w:val="left"/>
        <w:tblInd w:w="0" w:type="dxa"/>
        <w:tblLayout w:type="fixed"/>
        <w:tblCellMar>
          <w:top w:w="28" w:type="dxa"/>
          <w:left w:w="28" w:type="dxa"/>
          <w:bottom w:w="28" w:type="dxa"/>
          <w:right w:w="28" w:type="dxa"/>
        </w:tblCellMar>
      </w:tblPr>
      <w:tblGrid>
        <w:gridCol w:w="1521"/>
        <w:gridCol w:w="1336"/>
        <w:gridCol w:w="1343"/>
        <w:gridCol w:w="534"/>
        <w:gridCol w:w="534"/>
        <w:gridCol w:w="536"/>
        <w:gridCol w:w="109"/>
        <w:gridCol w:w="109"/>
        <w:gridCol w:w="109"/>
        <w:gridCol w:w="321"/>
        <w:gridCol w:w="942"/>
        <w:gridCol w:w="237"/>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Under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 Price</w:t>
              <w:br/>
              <w:t>per Share</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6,711,731 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(1,135,241)</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5,576,490 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(1,126,848)</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4,449,642 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283,361 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(26,457)</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(547,213)</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4,159,333 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December 31, 2023</w:t>
            </w:r>
          </w:p>
        </w:tc>
        <w:tc>
          <w:tcPr>
            <w:tcW w:w="10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4,141,672 </w:t>
            </w:r>
          </w:p>
        </w:tc>
        <w:tc>
          <w:tcPr>
            <w:tcW w:w="5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4,014,981 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stock awards outstanding, stock awards vested and expected to vest and stock awards exercisable had average remaining contractual terms of 3.7 years, 3.7 years and 3.5 years, respectively. Also, at December 31, 2023, stock awards outstanding, stock awards vested and expected to vest and stock awards exercisable had aggregate intrinsic values of $0.6 million, $0.6 million, and $0.3 million, respectively.</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rollforward of the changes in the Company’s nonvested Restricted Stock Awards (restricted stock and restricted stock unit awards, including PSUs) from December 31, 2022 to December 31, 2023 is presented below:</w:t>
      </w:r>
    </w:p>
    <w:tbl>
      <w:tblPr>
        <w:tblW w:w="6539" w:type="dxa"/>
        <w:jc w:val="left"/>
        <w:tblInd w:w="0" w:type="dxa"/>
        <w:tblLayout w:type="fixed"/>
        <w:tblCellMar>
          <w:top w:w="28" w:type="dxa"/>
          <w:left w:w="28" w:type="dxa"/>
          <w:bottom w:w="28" w:type="dxa"/>
          <w:right w:w="28" w:type="dxa"/>
        </w:tblCellMar>
      </w:tblPr>
      <w:tblGrid>
        <w:gridCol w:w="1016"/>
        <w:gridCol w:w="891"/>
        <w:gridCol w:w="897"/>
        <w:gridCol w:w="578"/>
        <w:gridCol w:w="578"/>
        <w:gridCol w:w="556"/>
        <w:gridCol w:w="109"/>
        <w:gridCol w:w="109"/>
        <w:gridCol w:w="109"/>
        <w:gridCol w:w="364"/>
        <w:gridCol w:w="1064"/>
        <w:gridCol w:w="268"/>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w:t>
              <w:b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Grant-Date</w:t>
              <w:br/>
              <w:t>Fair Value Per Share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27,271,926 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20,402,621 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(13,758,000)</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(2,819,764)</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11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31,096,783 </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Of the 20,402,621 Restricted Stock Awards granted during the year ended December 31, 2023, 14,104,207 vest ratably in three years or less and are not subject to market or performance conditions. Of the remaining Restricted Stock Awards granted, 299,207 are not subject to market conditions and will cliff vest within a three-year period, and 5,999,207 are subject to market or performance conditions and will cliff vest in three years or less.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$181.0 million of total unrecognized compensation expense, net of estimated forfeitures, related to all of its stock-based awards, which we expect to recognize over the remaining weighted average vesting period of 1.5 years. The total intrinsic value of Restricted Stock Awards released and stock options exercised during the years ended December 31, 2023 and 2022 was $169.2 million and $51.8 million, respectively.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14.Employee Benefit Plans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Benefit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for Defined Benefit Pension and Other Postretirement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on its balance sheet an asset or liability equal to the over- or under-funded benefit obligation of each defined benefit pension and other postretirement plan. Actuarial gains or losses and prior service costs or credits that arise during the period are not recognized as components of net periodic benefit cost, but are recognized, net of tax, as a component of other comprehensive (loss) earnings.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accumulated other comprehensive loss as of December 31, 2023 and 2022 are:</w:t>
      </w:r>
    </w:p>
    <w:tbl>
      <w:tblPr>
        <w:tblW w:w="8315" w:type="dxa"/>
        <w:jc w:val="left"/>
        <w:tblInd w:w="0" w:type="dxa"/>
        <w:tblLayout w:type="fixed"/>
        <w:tblCellMar>
          <w:top w:w="28" w:type="dxa"/>
          <w:left w:w="28" w:type="dxa"/>
          <w:bottom w:w="28" w:type="dxa"/>
          <w:right w:w="28" w:type="dxa"/>
        </w:tblCellMar>
      </w:tblPr>
      <w:tblGrid>
        <w:gridCol w:w="1201"/>
        <w:gridCol w:w="1054"/>
        <w:gridCol w:w="1060"/>
        <w:gridCol w:w="211"/>
        <w:gridCol w:w="691"/>
        <w:gridCol w:w="109"/>
        <w:gridCol w:w="109"/>
        <w:gridCol w:w="109"/>
        <w:gridCol w:w="109"/>
        <w:gridCol w:w="211"/>
        <w:gridCol w:w="691"/>
        <w:gridCol w:w="109"/>
        <w:gridCol w:w="109"/>
        <w:gridCol w:w="109"/>
        <w:gridCol w:w="109"/>
        <w:gridCol w:w="224"/>
        <w:gridCol w:w="624"/>
        <w:gridCol w:w="116"/>
        <w:gridCol w:w="116"/>
        <w:gridCol w:w="116"/>
        <w:gridCol w:w="116"/>
        <w:gridCol w:w="224"/>
        <w:gridCol w:w="624"/>
        <w:gridCol w:w="16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actuarial net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 (credit)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unrecognized net actuarial gains exceeded 10% of the higher of the market value of plan assets or the projected benefit obligation at the beginning of the year for certain of the plans, therefore, amortization of such excess has been included in net periodic benefit costs for pension and other postretirement benefits in each of the last three years. The amortization period is the average remaining service period that active employees are expected to receive benefits, unless a plan is mostly inactive in which case the amortization period is the average remaining life expectancy of the plan participants. Unrecognized prior service cost (credit) is amortized over the future service periods of those employees who are active at the dates of the plan amendments and who are expected to receive benefits. If all or almost all of a plan's participants are inactive, unrecognized prior service cost is amortized over the remaining life expectancy of those participants.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accumulated other comprehensive loss in 2023 relating to pension benefits and other postretirement benefits consists of:</w:t>
      </w:r>
    </w:p>
    <w:tbl>
      <w:tblPr>
        <w:tblW w:w="7389" w:type="dxa"/>
        <w:jc w:val="left"/>
        <w:tblInd w:w="0" w:type="dxa"/>
        <w:tblLayout w:type="fixed"/>
        <w:tblCellMar>
          <w:top w:w="28" w:type="dxa"/>
          <w:left w:w="28" w:type="dxa"/>
          <w:bottom w:w="28" w:type="dxa"/>
          <w:right w:w="28" w:type="dxa"/>
        </w:tblCellMar>
      </w:tblPr>
      <w:tblGrid>
        <w:gridCol w:w="1256"/>
        <w:gridCol w:w="1101"/>
        <w:gridCol w:w="1107"/>
        <w:gridCol w:w="323"/>
        <w:gridCol w:w="784"/>
        <w:gridCol w:w="167"/>
        <w:gridCol w:w="109"/>
        <w:gridCol w:w="109"/>
        <w:gridCol w:w="109"/>
        <w:gridCol w:w="549"/>
        <w:gridCol w:w="1371"/>
        <w:gridCol w:w="404"/>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actuarial loss (gain)</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 cost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change in projected benefit obligation, change in plan assets, funded status, fair value of plan assets, assumptions used to determine net periodic benefit cost, funding policy and estimated future benefit payments are summarized below for the Company’s pension plans and other postretirement plans.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Net Periodic Benefit Cost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for the years ended December 31, 2023, 2022 and 2021 were as follows:</w:t>
      </w:r>
    </w:p>
    <w:tbl>
      <w:tblPr>
        <w:tblW w:w="10145" w:type="dxa"/>
        <w:jc w:val="left"/>
        <w:tblInd w:w="0" w:type="dxa"/>
        <w:tblLayout w:type="fixed"/>
        <w:tblCellMar>
          <w:top w:w="28" w:type="dxa"/>
          <w:left w:w="28" w:type="dxa"/>
          <w:bottom w:w="28" w:type="dxa"/>
          <w:right w:w="28" w:type="dxa"/>
        </w:tblCellMar>
      </w:tblPr>
      <w:tblGrid>
        <w:gridCol w:w="1349"/>
        <w:gridCol w:w="1184"/>
        <w:gridCol w:w="1186"/>
        <w:gridCol w:w="211"/>
        <w:gridCol w:w="511"/>
        <w:gridCol w:w="109"/>
        <w:gridCol w:w="109"/>
        <w:gridCol w:w="109"/>
        <w:gridCol w:w="109"/>
        <w:gridCol w:w="211"/>
        <w:gridCol w:w="511"/>
        <w:gridCol w:w="109"/>
        <w:gridCol w:w="109"/>
        <w:gridCol w:w="109"/>
        <w:gridCol w:w="109"/>
        <w:gridCol w:w="211"/>
        <w:gridCol w:w="58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curtailment, settlement and termination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 (credit)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Recognized net actuarial (gains) losses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recognized a settlement gain as a result of cash payments from lump sum elections related to the U.S. and Puerto Rico pension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Projected Benefit Obligation, Change in Plan Assets and Funded Status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change in projected benefit obligation, change in plan assets and funded status at December 31, 2023 and 2022.</w:t>
      </w:r>
    </w:p>
    <w:tbl>
      <w:tblPr>
        <w:tblW w:w="9149" w:type="dxa"/>
        <w:jc w:val="left"/>
        <w:tblInd w:w="0" w:type="dxa"/>
        <w:tblLayout w:type="fixed"/>
        <w:tblCellMar>
          <w:top w:w="28" w:type="dxa"/>
          <w:left w:w="28" w:type="dxa"/>
          <w:bottom w:w="28" w:type="dxa"/>
          <w:right w:w="28" w:type="dxa"/>
        </w:tblCellMar>
      </w:tblPr>
      <w:tblGrid>
        <w:gridCol w:w="1422"/>
        <w:gridCol w:w="1248"/>
        <w:gridCol w:w="1259"/>
        <w:gridCol w:w="211"/>
        <w:gridCol w:w="766"/>
        <w:gridCol w:w="109"/>
        <w:gridCol w:w="109"/>
        <w:gridCol w:w="109"/>
        <w:gridCol w:w="109"/>
        <w:gridCol w:w="211"/>
        <w:gridCol w:w="766"/>
        <w:gridCol w:w="109"/>
        <w:gridCol w:w="109"/>
        <w:gridCol w:w="109"/>
        <w:gridCol w:w="109"/>
        <w:gridCol w:w="211"/>
        <w:gridCol w:w="691"/>
        <w:gridCol w:w="109"/>
        <w:gridCol w:w="109"/>
        <w:gridCol w:w="109"/>
        <w:gridCol w:w="109"/>
        <w:gridCol w:w="211"/>
        <w:gridCol w:w="691"/>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Projected Benefit Obligation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acquisitions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 and terminations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Actuarial losses (gains)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end of year</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of plans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accrued benefit costs for pension plans and other postretirement benefits are reported in the following components of the Company’s consolidated balance sheets at December 31, 2023 and 2022:</w:t>
      </w:r>
    </w:p>
    <w:tbl>
      <w:tblPr>
        <w:tblW w:w="7214" w:type="dxa"/>
        <w:jc w:val="left"/>
        <w:tblInd w:w="0" w:type="dxa"/>
        <w:tblLayout w:type="fixed"/>
        <w:tblCellMar>
          <w:top w:w="28" w:type="dxa"/>
          <w:left w:w="28" w:type="dxa"/>
          <w:bottom w:w="28" w:type="dxa"/>
          <w:right w:w="28" w:type="dxa"/>
        </w:tblCellMar>
      </w:tblPr>
      <w:tblGrid>
        <w:gridCol w:w="777"/>
        <w:gridCol w:w="680"/>
        <w:gridCol w:w="687"/>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accrued benefit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projected benefit obligation is the actuarial present value of benefits attributable to employee service rendered to date, including the effects of estimated future pay increases. The accumulated benefit obligation is the actuarial present value of benefits attributable to employee service rendered to date, but does not include the effects of estimated future pay increases. The accumulated benefit obligation for the Company’s pension plans was $1.36 billion and $1.31 billion at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projected benefit obligation, accumulated benefit obligation and fair value of plan assets for pension plans with an accumulated benefit obligation in excess of the fair value of plan assets at December 31, 2023 and 2022 were as follows:</w:t>
      </w:r>
    </w:p>
    <w:tbl>
      <w:tblPr>
        <w:tblW w:w="8184" w:type="dxa"/>
        <w:jc w:val="left"/>
        <w:tblInd w:w="0" w:type="dxa"/>
        <w:tblLayout w:type="fixed"/>
        <w:tblCellMar>
          <w:top w:w="28" w:type="dxa"/>
          <w:left w:w="28" w:type="dxa"/>
          <w:bottom w:w="28" w:type="dxa"/>
          <w:right w:w="28" w:type="dxa"/>
        </w:tblCellMar>
      </w:tblPr>
      <w:tblGrid>
        <w:gridCol w:w="2043"/>
        <w:gridCol w:w="1789"/>
        <w:gridCol w:w="1808"/>
        <w:gridCol w:w="211"/>
        <w:gridCol w:w="766"/>
        <w:gridCol w:w="109"/>
        <w:gridCol w:w="109"/>
        <w:gridCol w:w="109"/>
        <w:gridCol w:w="109"/>
        <w:gridCol w:w="211"/>
        <w:gridCol w:w="76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Plans with accumulated benefit obligation in excess of plan 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Plan Assets</w:t>
      </w:r>
    </w:p>
    <w:p>
      <w:pPr>
        <w:pStyle w:val="TextBody"/>
        <w:bidi w:val="0"/>
        <w:spacing w:lineRule="auto" w:line="288" w:before="0" w:after="60"/>
        <w:ind w:left="0" w:right="0" w:firstLine="720"/>
        <w:jc w:val="left"/>
        <w:rPr/>
      </w:pPr>
      <w:r>
        <w:rPr>
          <w:rFonts w:ascii="Times New Roman;sans-serif" w:hAnsi="Times New Roman;sans-serif"/>
          <w:b w:val="false"/>
          <w:color w:val="000000"/>
          <w:sz w:val="20"/>
        </w:rPr>
        <w:t xml:space="preserve">The Company measures the fair value of plan assets based on the prices that would be received to sell an asset or paid to transfer a liability in an orderly transaction between market participants at the measurement date. Fair value measurements are based on a three-tier hierarchy described in Note 9 </w:t>
      </w:r>
      <w:r>
        <w:rPr>
          <w:rFonts w:ascii="Times New Roman;sans-serif" w:hAnsi="Times New Roman;sans-serif"/>
          <w:b w:val="false"/>
          <w:i/>
          <w:color w:val="000000"/>
          <w:sz w:val="20"/>
        </w:rPr>
        <w:t>Financial Instruments and Risk Management</w:t>
      </w:r>
      <w:r>
        <w:rPr>
          <w:rFonts w:ascii="Times New Roman;sans-serif" w:hAnsi="Times New Roman;sans-serif"/>
          <w:b w:val="false"/>
          <w:color w:val="000000"/>
          <w:sz w:val="20"/>
        </w:rPr>
        <w:t>. The table below presents total plan assets by investment category as of December 31, 2023 and 2022 and the classification of each investment category within the fair value hierarchy with respect to the inputs used to measure fair value:</w:t>
      </w:r>
    </w:p>
    <w:tbl>
      <w:tblPr>
        <w:tblW w:w="8550" w:type="dxa"/>
        <w:jc w:val="left"/>
        <w:tblInd w:w="0" w:type="dxa"/>
        <w:tblLayout w:type="fixed"/>
        <w:tblCellMar>
          <w:top w:w="28" w:type="dxa"/>
          <w:left w:w="28" w:type="dxa"/>
          <w:bottom w:w="28" w:type="dxa"/>
          <w:right w:w="28" w:type="dxa"/>
        </w:tblCellMar>
      </w:tblPr>
      <w:tblGrid>
        <w:gridCol w:w="1391"/>
        <w:gridCol w:w="1221"/>
        <w:gridCol w:w="1228"/>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76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by insurance companies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50" w:type="dxa"/>
        <w:jc w:val="left"/>
        <w:tblInd w:w="0" w:type="dxa"/>
        <w:tblLayout w:type="fixed"/>
        <w:tblCellMar>
          <w:top w:w="28" w:type="dxa"/>
          <w:left w:w="28" w:type="dxa"/>
          <w:bottom w:w="28" w:type="dxa"/>
          <w:right w:w="28" w:type="dxa"/>
        </w:tblCellMar>
      </w:tblPr>
      <w:tblGrid>
        <w:gridCol w:w="1391"/>
        <w:gridCol w:w="1221"/>
        <w:gridCol w:w="1228"/>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76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by insurance companies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Risk tolerance on invested pension plan assets is established through careful consideration of plan liabilities, plan funded status and corporate financial condition. Investment risk is measured and monitored on an ongoing basis through annual liability measures, periodic asset/liability studies and investment portfolio reviews. The Company’s investment strategy is to maintain, where possible, a diversified investment portfolio across several asset classes that, when combined with the Company’s contributions to the plans, will ensure that required benefit obligations are met.</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Assumptions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determine the benefit obligations for the Company’s defined benefit pension and other postretirement plans as of December 31, 2023 and 2022:</w:t>
      </w:r>
    </w:p>
    <w:tbl>
      <w:tblPr>
        <w:tblW w:w="6986" w:type="dxa"/>
        <w:jc w:val="left"/>
        <w:tblInd w:w="0" w:type="dxa"/>
        <w:tblLayout w:type="fixed"/>
        <w:tblCellMar>
          <w:top w:w="28" w:type="dxa"/>
          <w:left w:w="28" w:type="dxa"/>
          <w:bottom w:w="28" w:type="dxa"/>
          <w:right w:w="28" w:type="dxa"/>
        </w:tblCellMar>
      </w:tblPr>
      <w:tblGrid>
        <w:gridCol w:w="939"/>
        <w:gridCol w:w="825"/>
        <w:gridCol w:w="831"/>
        <w:gridCol w:w="203"/>
        <w:gridCol w:w="203"/>
        <w:gridCol w:w="271"/>
        <w:gridCol w:w="109"/>
        <w:gridCol w:w="109"/>
        <w:gridCol w:w="109"/>
        <w:gridCol w:w="203"/>
        <w:gridCol w:w="203"/>
        <w:gridCol w:w="271"/>
        <w:gridCol w:w="109"/>
        <w:gridCol w:w="109"/>
        <w:gridCol w:w="109"/>
        <w:gridCol w:w="203"/>
        <w:gridCol w:w="203"/>
        <w:gridCol w:w="466"/>
        <w:gridCol w:w="187"/>
        <w:gridCol w:w="187"/>
        <w:gridCol w:w="187"/>
        <w:gridCol w:w="203"/>
        <w:gridCol w:w="203"/>
        <w:gridCol w:w="54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determine the net periodic benefit cost for the Company’s defined benefit pension and other postretirement benefit plans for the three years in the period ended December 31, 2023:</w:t>
      </w:r>
    </w:p>
    <w:tbl>
      <w:tblPr>
        <w:tblW w:w="8448" w:type="dxa"/>
        <w:jc w:val="left"/>
        <w:tblInd w:w="0" w:type="dxa"/>
        <w:tblLayout w:type="fixed"/>
        <w:tblCellMar>
          <w:top w:w="28" w:type="dxa"/>
          <w:left w:w="28" w:type="dxa"/>
          <w:bottom w:w="28" w:type="dxa"/>
          <w:right w:w="28" w:type="dxa"/>
        </w:tblCellMar>
      </w:tblPr>
      <w:tblGrid>
        <w:gridCol w:w="939"/>
        <w:gridCol w:w="825"/>
        <w:gridCol w:w="831"/>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91"/>
        <w:gridCol w:w="117"/>
        <w:gridCol w:w="117"/>
        <w:gridCol w:w="117"/>
        <w:gridCol w:w="203"/>
        <w:gridCol w:w="203"/>
        <w:gridCol w:w="291"/>
        <w:gridCol w:w="117"/>
        <w:gridCol w:w="117"/>
        <w:gridCol w:w="117"/>
        <w:gridCol w:w="203"/>
        <w:gridCol w:w="203"/>
        <w:gridCol w:w="339"/>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assumptions for each plan are reviewed on an annual basis. The discount rate reflects the current rate at which the pension and other benefit liabilities could be effectively settled at the measurement date. In setting the discount rates, we utilize comparable corporate bond indices as an indication of interest rate movements and levels. Corporate bond indices were selected based on individual plan census data and duration. The expected return on plan assets was determined using historical market returns and long-term historical relationships between equities and fixed income securities. The Company compares the expected return on plan assets assumption to actual historic returns to ensure reasonableness. Current market factors such as inflation and interest rates are also evaluated.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healthcare cost trend rate used for 2023 was 6.9% declining to a projected 4.0% in the year 2046. For 2024, the assumed weighted-average healthcare cost trend rate used will be 8.6% declining to a projected 4.0% in the year 2048. In selecting rates for current and long-term healthcare cost assumptions, the Company takes into consideration a number of factors including the Company’s actual healthcare cost increases, the design of the Company’s benefit programs, the demographics of the Company’s active and retiree populations and external expectations of future medical cost inflation rates.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Estimated Future Benefit Payments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funding policy for its funded pension plans is based upon local statutory requirements. The Company’s funding policy is subject to certain statutory regulations with respect to annual minimum and maximum company contributions. Plan benefits for the non-qualified plans are paid as they come due.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Estimated benefit payments over the next ten years for the Company’s pension plans and retiree health plan are as follows:</w:t>
      </w:r>
    </w:p>
    <w:tbl>
      <w:tblPr>
        <w:tblW w:w="4916" w:type="dxa"/>
        <w:jc w:val="left"/>
        <w:tblInd w:w="0" w:type="dxa"/>
        <w:tblLayout w:type="fixed"/>
        <w:tblCellMar>
          <w:top w:w="28" w:type="dxa"/>
          <w:left w:w="28" w:type="dxa"/>
          <w:bottom w:w="28" w:type="dxa"/>
          <w:right w:w="28" w:type="dxa"/>
        </w:tblCellMar>
      </w:tblPr>
      <w:tblGrid>
        <w:gridCol w:w="359"/>
        <w:gridCol w:w="315"/>
        <w:gridCol w:w="316"/>
        <w:gridCol w:w="247"/>
        <w:gridCol w:w="900"/>
        <w:gridCol w:w="128"/>
        <w:gridCol w:w="109"/>
        <w:gridCol w:w="109"/>
        <w:gridCol w:w="109"/>
        <w:gridCol w:w="498"/>
        <w:gridCol w:w="1458"/>
        <w:gridCol w:w="368"/>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Contribution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defined contribution plans covering its employees in the U.S. and Puerto Rico, as well as certain employees in a number of countries outside the U.S. The Company’s domestic defined contribution plans consist primarily of a Profit Sharing 401(k) Plan and other 401(k) retirement plans. Profit sharing contributions are made at the discretion of the Company. The Company’s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401(k) Restoration Plan, which permits employees who earn compensation in excess of the limits imposed by Section 401(a)(17) of the Code to (i) defer a portion of base salary and bonus compensation, (ii) be credited with a Company matching contribution in respect of deferrals under the 401(k) Restoration Plan, and (iii) be credited with Company non-elective contributions (to the extent so made by the Company), in each case, to the extent that participants otherwise would be able to defer or be credited with such amounts, as applicable, under the Profit Sharing 401(k) Plan if not for the limits on contributions and deferrals imposed by the Code.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401(k)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employer contributions to defined contribution plans were approximately $129.3 million, $111.5 million and $107.4 million for the years ended December 31, 2023, 2022 and 2021, respectively.</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15.Segment Information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broad and diversified portfolio of branded and generic products, including complex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is the Chief Executive Officer, who evaluates the performance of its segments based on total revenues and segment profitability.</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costs are not included in the measurement of segment profitability, such as costs, if any, associated with the following:</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Intangible asset amortization expense and impairments of goodwill and long-lived assets;</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R&amp;D and Acquired IPR&amp;D expense;</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Net charges or net gains for litigation settlements and other contingencies;</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 xml:space="preserve">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costs related to the Announced Divestitures and the Biocon Biologics Transaction, and, as applicable, any associated transition activities. </w:t>
      </w:r>
    </w:p>
    <w:p>
      <w:pPr>
        <w:pStyle w:val="TextBody"/>
        <w:bidi w:val="0"/>
        <w:spacing w:lineRule="auto" w:line="288" w:before="0" w:after="240"/>
        <w:ind w:left="0" w:right="0" w:firstLine="360"/>
        <w:jc w:val="left"/>
        <w:rPr/>
      </w:pPr>
      <w:r>
        <w:rPr>
          <w:color w:val="000000"/>
        </w:rPr>
        <w:t>◦</w:t>
      </w:r>
      <w:r>
        <w:rPr>
          <w:rFonts w:ascii="Times New Roman;sans-serif" w:hAnsi="Times New Roman;sans-serif"/>
          <w:b w:val="false"/>
          <w:color w:val="000000"/>
          <w:sz w:val="20"/>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report depreciation expense, total assets and capital expenditures by segment, as such information is not used by the chief operating decision maker.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accounting policies of the segments are the same as those described in Note 2 </w:t>
      </w:r>
      <w:r>
        <w:rPr>
          <w:rFonts w:ascii="Times New Roman;sans-serif" w:hAnsi="Times New Roman;sans-serif"/>
          <w:b w:val="false"/>
          <w:i/>
          <w:color w:val="000000"/>
          <w:sz w:val="20"/>
        </w:rPr>
        <w:t>Summary of Significant Accounting Policies.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Presented in the table below is segment information for the periods identified and a reconciliation of segment information to total consolidated information.</w:t>
      </w:r>
    </w:p>
    <w:tbl>
      <w:tblPr>
        <w:tblW w:w="10205" w:type="dxa"/>
        <w:jc w:val="left"/>
        <w:tblInd w:w="0" w:type="dxa"/>
        <w:tblLayout w:type="fixed"/>
        <w:tblCellMar>
          <w:top w:w="28" w:type="dxa"/>
          <w:left w:w="28" w:type="dxa"/>
          <w:bottom w:w="28" w:type="dxa"/>
          <w:right w:w="28" w:type="dxa"/>
        </w:tblCellMar>
      </w:tblPr>
      <w:tblGrid>
        <w:gridCol w:w="614"/>
        <w:gridCol w:w="374"/>
        <w:gridCol w:w="377"/>
        <w:gridCol w:w="109"/>
        <w:gridCol w:w="109"/>
        <w:gridCol w:w="109"/>
        <w:gridCol w:w="211"/>
        <w:gridCol w:w="871"/>
        <w:gridCol w:w="109"/>
        <w:gridCol w:w="109"/>
        <w:gridCol w:w="109"/>
        <w:gridCol w:w="109"/>
        <w:gridCol w:w="211"/>
        <w:gridCol w:w="871"/>
        <w:gridCol w:w="109"/>
        <w:gridCol w:w="109"/>
        <w:gridCol w:w="109"/>
        <w:gridCol w:w="109"/>
        <w:gridCol w:w="211"/>
        <w:gridCol w:w="871"/>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6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Segment Profitability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Years Ended December 31,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disposal &amp;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Globally managed 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&amp; other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unallocated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percentage of consolidated net sales to Viatris’ major customers during the years ended December 31, 2023, 2022, and 2021:</w:t>
      </w:r>
    </w:p>
    <w:tbl>
      <w:tblPr>
        <w:tblW w:w="5753" w:type="dxa"/>
        <w:jc w:val="left"/>
        <w:tblInd w:w="0" w:type="dxa"/>
        <w:tblLayout w:type="fixed"/>
        <w:tblCellMar>
          <w:top w:w="28" w:type="dxa"/>
          <w:left w:w="28" w:type="dxa"/>
          <w:bottom w:w="28" w:type="dxa"/>
          <w:right w:w="28" w:type="dxa"/>
        </w:tblCellMar>
      </w:tblPr>
      <w:tblGrid>
        <w:gridCol w:w="999"/>
        <w:gridCol w:w="879"/>
        <w:gridCol w:w="882"/>
        <w:gridCol w:w="180"/>
        <w:gridCol w:w="181"/>
        <w:gridCol w:w="356"/>
        <w:gridCol w:w="143"/>
        <w:gridCol w:w="143"/>
        <w:gridCol w:w="143"/>
        <w:gridCol w:w="180"/>
        <w:gridCol w:w="181"/>
        <w:gridCol w:w="356"/>
        <w:gridCol w:w="143"/>
        <w:gridCol w:w="143"/>
        <w:gridCol w:w="143"/>
        <w:gridCol w:w="143"/>
        <w:gridCol w:w="143"/>
        <w:gridCol w:w="415"/>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Consolidated Net Sales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AmerisourceBergen Corporation</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by Country Information</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by country are presented on the basis of geographic location of our subsidiaries: </w:t>
      </w:r>
    </w:p>
    <w:tbl>
      <w:tblPr>
        <w:tblW w:w="5157" w:type="dxa"/>
        <w:jc w:val="left"/>
        <w:tblInd w:w="0" w:type="dxa"/>
        <w:tblLayout w:type="fixed"/>
        <w:tblCellMar>
          <w:top w:w="28" w:type="dxa"/>
          <w:left w:w="28" w:type="dxa"/>
          <w:bottom w:w="28" w:type="dxa"/>
          <w:right w:w="28" w:type="dxa"/>
        </w:tblCellMar>
      </w:tblPr>
      <w:tblGrid>
        <w:gridCol w:w="435"/>
        <w:gridCol w:w="382"/>
        <w:gridCol w:w="383"/>
        <w:gridCol w:w="211"/>
        <w:gridCol w:w="766"/>
        <w:gridCol w:w="109"/>
        <w:gridCol w:w="109"/>
        <w:gridCol w:w="109"/>
        <w:gridCol w:w="109"/>
        <w:gridCol w:w="211"/>
        <w:gridCol w:w="766"/>
        <w:gridCol w:w="109"/>
        <w:gridCol w:w="109"/>
        <w:gridCol w:w="109"/>
        <w:gridCol w:w="109"/>
        <w:gridCol w:w="211"/>
        <w:gridCol w:w="76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other country’s net sales represents more than 10% of consolidated net sales. </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16.Commitments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Combination, Viatris entered into a TSA with Pfizer pursuant to which each party provided certain limited transition services to the other party. In addition to 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During the years ended December 31, 2023, 2022 and 2021, the Company incurred $5.5 million, $54.5 million, and $30.4 million, respectively, related to this provision of the TSA, and approximately $143.5 million during the period beginning on the closing date of the Combination and ended December 31, 2023. As of December 31, 2022, the Company had exited substantially all transition services with Pfizer.</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entered into retention agreements with certain key employees, whereby they agreed to continue to provide service to the Company for a period of time after the Combination. The Company is recording the expense for these agreements over the applicable service periods.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Announced Divestitures, Viatris has agreed, at the closing of the respective transactions, to enter into transition services and manufacturing and supply agreements pursuant to which the Company will provide services to the respective purchasers, substantially the same as we currently provide to the related businesses, generally for a period of up to 12 months, subject to potential extensions in certain circumstances. In addition, in connection with the OTC Transaction and the divestiture of our women’s healthcare business, we have agreed, at the closing of the respective transactions, to enter into distribution agreements for certain markets for a limited period of time. In connection with our API business divestiture, we have agreed to enter into a manufacturing and supply agreement pursuant to which we will purchase a significant amount of API from the purchaser in that transaction.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Viatris periodically enters into employment, legal settlement and other agreements which incorporate indemnification provisions. While the maximum amount to which Viatris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17.Restructuring </w:t>
      </w:r>
    </w:p>
    <w:p>
      <w:pPr>
        <w:pStyle w:val="TextBody"/>
        <w:bidi w:val="0"/>
        <w:spacing w:lineRule="auto" w:line="276" w:before="0" w:after="240"/>
        <w:ind w:left="0" w:right="0" w:firstLine="360"/>
        <w:jc w:val="left"/>
        <w:rPr/>
      </w:pPr>
      <w:r>
        <w:rPr>
          <w:rFonts w:ascii="Times New Roman;sans-serif" w:hAnsi="Times New Roman;sans-serif"/>
          <w:b w:val="false"/>
          <w:i/>
          <w:color w:val="000000"/>
          <w:sz w:val="20"/>
        </w:rPr>
        <w:t>2020 Restructuring Program</w:t>
      </w:r>
      <w:r>
        <w:rPr>
          <w:color w:val="000000"/>
        </w:rPr>
        <w:t xml:space="preserve"> </w:t>
      </w:r>
    </w:p>
    <w:p>
      <w:pPr>
        <w:pStyle w:val="TextBody"/>
        <w:bidi w:val="0"/>
        <w:spacing w:lineRule="auto" w:line="276"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2020, Viatris announced a significant global restructuring program in order to achieve synergies and ensure that the organization was optimally structured and efficiently resourced to deliver sustainable value to patients, shareholders, customers, and other stakeholders. As part of the restructuring, the Company optimized its commercial capabilities and enabling functions, and closed, downsized or divested certain manufacturing facilities globally that were deemed to be no longer viable either due to surplus capacity, challenging market dynamics or a shift in its product portfolio toward more complex products. The actions under the 2020 restructuring program were substantially completed during 2023.</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initiation of the 2020 restructuring program, the Company has incurred total pre-tax charges of approximately $1.4 billion through December 31, 2023. Such charges included approximately $450 million of non-cash charges mainly related to accelerated depreciation and asset impairment charges, including inventory write-offs, and cash costs of approximately $950 million, primarily related to severance and employee benefits expense, as well as other costs, including those related to contract terminations and other plant disposal costs.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charges and the reserve activity for the restructuring program:</w:t>
      </w:r>
    </w:p>
    <w:tbl>
      <w:tblPr>
        <w:tblW w:w="7782" w:type="dxa"/>
        <w:jc w:val="left"/>
        <w:tblInd w:w="0" w:type="dxa"/>
        <w:tblLayout w:type="fixed"/>
        <w:tblCellMar>
          <w:top w:w="28" w:type="dxa"/>
          <w:left w:w="28" w:type="dxa"/>
          <w:bottom w:w="28" w:type="dxa"/>
          <w:right w:w="28" w:type="dxa"/>
        </w:tblCellMar>
      </w:tblPr>
      <w:tblGrid>
        <w:gridCol w:w="1082"/>
        <w:gridCol w:w="950"/>
        <w:gridCol w:w="952"/>
        <w:gridCol w:w="416"/>
        <w:gridCol w:w="1214"/>
        <w:gridCol w:w="214"/>
        <w:gridCol w:w="109"/>
        <w:gridCol w:w="109"/>
        <w:gridCol w:w="109"/>
        <w:gridCol w:w="383"/>
        <w:gridCol w:w="738"/>
        <w:gridCol w:w="198"/>
        <w:gridCol w:w="109"/>
        <w:gridCol w:w="109"/>
        <w:gridCol w:w="109"/>
        <w:gridCol w:w="211"/>
        <w:gridCol w:w="61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(3)</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Reimbursable restructuring charges</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(2)</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(1)</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Utilization </w:t>
            </w:r>
            <w:r>
              <w:rPr>
                <w:rFonts w:ascii="Times New Roman;sans-serif" w:hAnsi="Times New Roman;sans-serif"/>
                <w:b w:val="false"/>
                <w:color w:val="000000"/>
                <w:sz w:val="13"/>
              </w:rPr>
              <w:t>(4)</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100" w:after="120"/>
        <w:ind w:left="0" w:right="0" w:hanging="3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For the year ended December 31, 2023, total restructuring charges in Developed Markets, Greater China, JANZ, Emerging Markets, and Corporate/Other were approximately $80.3 million, $0.4 million, $29.5 million, $13.9 million, and $1.1 million, respectively. </w:t>
      </w:r>
    </w:p>
    <w:p>
      <w:pPr>
        <w:pStyle w:val="TextBody"/>
        <w:bidi w:val="0"/>
        <w:spacing w:lineRule="auto" w:line="288" w:before="0" w:after="120"/>
        <w:ind w:left="0" w:right="0" w:hanging="36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For the year ended December 31, 2022, total restructuring charges in Developed Markets, Greater China, JANZ, Emerging Markets, and Corporate/Other were approximately $74.6 million, $2.5 million, $0.9 million, $8.2 million, and $0.3 million, respectively. </w:t>
      </w:r>
    </w:p>
    <w:p>
      <w:pPr>
        <w:pStyle w:val="TextBody"/>
        <w:bidi w:val="0"/>
        <w:spacing w:lineRule="auto" w:line="288" w:before="0" w:after="120"/>
        <w:ind w:left="0" w:right="0" w:hanging="36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For the year ended December 31, 2021, total restructuring charges in Developed Markets, Greater China, JANZ, Emerging Markets, and Corporate/Other were approximately $623.8 million, $5.8 million, $138.1 million, and $94.1 million and $30.4 million, respectively.</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For the year ended December 31, 2023, other exit costs included expense of $71.6 million relating to plant divestitures.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accrued liabilities for restructuring and other cost reduction programs were primarily included in other current liabilities and other long-term obligations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18.Licensing and Other Partner Agreements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for obligations reflected as acquisition related contingent consideration. Refer to Note 9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 xml:space="preserve">for further discussion of contingent consideration.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potential maximum development milestones not accrued for at December 31, 2023 totaled approximately $415 million. We estimate that the amounts that may be paid during the next twelve months to be approximately $89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Mapi</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the Company entered into an exclusive license and commercialization agreement with Mapi for the development and commercialization on a world-wide basis of GA Depot. Under the terms of the license and commercialization agreement, as of December 31, 2023, Mapi is eligible to receive regulatory approval and commercial launch milestone payments of up to $90.0 million. Additionally, upon commercial launch of GA Depot, Mapi is eligible to receive royalties and sales-based milestones.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December 2023, the Company entered into a letter agreement, as amended, with Mapi for the development and commercialization of certain additional products, which is subject to finalization pending the execution of a definitive agreement, which is expected in the first half of 2024. The Company made an initial upfront payment of $75.0 million which was accounted for as </w:t>
      </w:r>
      <w:r>
        <w:rPr>
          <w:rFonts w:ascii="Times New Roman;sans-serif" w:hAnsi="Times New Roman;sans-serif"/>
          <w:b w:val="false"/>
          <w:i/>
          <w:color w:val="000000"/>
          <w:sz w:val="20"/>
        </w:rPr>
        <w:t>Acquired IPR&amp;D</w:t>
      </w:r>
      <w:r>
        <w:rPr>
          <w:color w:val="000000"/>
        </w:rPr>
        <w:t xml:space="preserve"> </w:t>
      </w:r>
      <w:r>
        <w:rPr>
          <w:rFonts w:ascii="Times New Roman;sans-serif" w:hAnsi="Times New Roman;sans-serif"/>
          <w:b w:val="false"/>
          <w:color w:val="000000"/>
          <w:sz w:val="20"/>
        </w:rPr>
        <w:t>expense in the consolidated statements of operations during the year ended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holds investments in preferred shares of Mapi that are accounted for at cost, less impairment, if any, adjusted for observable price changes,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xml:space="preserve">. During the year ended December 31, 2023, the Company made an additional investment of $30.0 million in preferred shares of Mapi. The preferred shares are convertible on a one-to-one basis into Mapi ordinary shares at Viatris’ option. The Company recognized a gain of $45.6 million during the year ended December 31, 2023 as a result of remeasuring our pre-existing equity interest in Mapi, which was recorded as a component of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 xml:space="preserve">in the consolidated statements of operations. The Company has determined that Mapi represents a variable interest entity (“VIE”), but has concluded that Viatris is not the primary beneficiary of Mapi as we do not have the power to direct the activities of the VIE that most significantly impact the VIE’s economic performance. Accordingly, we have not consolidated Mapi’s results of operations and financial position into our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of December 31, 2023 and 2022, our consolidated balance sheets included, within </w:t>
      </w:r>
      <w:r>
        <w:rPr>
          <w:rFonts w:ascii="Times New Roman;sans-serif" w:hAnsi="Times New Roman;sans-serif"/>
          <w:b w:val="false"/>
          <w:i/>
          <w:color w:val="000000"/>
          <w:sz w:val="20"/>
        </w:rPr>
        <w:t>Other Assets</w:t>
      </w:r>
      <w:r>
        <w:rPr>
          <w:rFonts w:ascii="Times New Roman;sans-serif" w:hAnsi="Times New Roman;sans-serif"/>
          <w:b w:val="false"/>
          <w:color w:val="000000"/>
          <w:sz w:val="20"/>
        </w:rPr>
        <w:t xml:space="preserve">, $132.1 million and $56.4 million, respectively, related to our equity investments in Mapi, which included cumulative unrealized gains of $62.1 million and $16.5 million, respectively, and within </w:t>
      </w:r>
      <w:r>
        <w:rPr>
          <w:rFonts w:ascii="Times New Roman;sans-serif" w:hAnsi="Times New Roman;sans-serif"/>
          <w:b w:val="false"/>
          <w:i/>
          <w:color w:val="000000"/>
          <w:sz w:val="20"/>
        </w:rPr>
        <w:t>Prepaid Expenses and Other Current Assets</w:t>
      </w:r>
      <w:r>
        <w:rPr>
          <w:rFonts w:ascii="Times New Roman;sans-serif" w:hAnsi="Times New Roman;sans-serif"/>
          <w:b w:val="false"/>
          <w:color w:val="000000"/>
          <w:sz w:val="20"/>
        </w:rPr>
        <w:t>, $52.5 million and $42.5 million, respectively, related to advances, including for initial orders of commercial launch supply of GA Depot under our supply agreement with Mapi. Our maximum exposure to loss as a result of our involvement with Mapi is limited to the carrying value of the investments and advances.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Revance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Revance have entered into an agreement pursuant to which the Company and Revance are collaborating exclusively, on a world-wide basis (excluding Japan), to develop, manufacture and commercialize a biosimilar to the branded biologic product (onabotulinumtoxinA) marketed as BOTOX®. Under the agreement, the Company is primarily responsible for (a) clinical development activities outside of North America (excluding Japan) (b) regulatory activities, and (c) commercialization for any approved product. Revance is primarily responsible for (a) non-clinical development activities, (b) clinical development activities in North America, and (c) manufacturing and supply of clinical drug substance and drug product; Revance is solely responsible for an initial portion of non-clinical development costs. The remaining portion of any non-clinical development costs and clinical development costs for obtaining approval in the U.S. and Europe is being shared equally between the parties, and the Company is responsible for all other clinical development costs and commercialization expenses. </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Theravance Biopharma</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development and commercialization collaboration with Theravance Biopharma, for revefenacin. On November 9, 2018, the Company announced that the FDA approved the NDA for YUPELRI® (revefenacin) inhalation solution for the maintenance treatment of patients with COPD. YUPELRI®, a LAMA, is the first and only once-daily, nebulized bronchodilator approved for the treatment of COPD in the U.S. Viatris is responsible for commercial manufacturing and commercialization. Theravance Biopharma is co-promoting the product in the hospital channel under a profit-sharing arrangement.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acquired exclusive development and commercialization rights to nebulized revefenacin in China and adjacent territories, which include Hong Kong SAR, the Macau SAR and Taiwan, for an upfront payment of $18.5 million and additional potential development and sales milestones together with tiered royalties on net sales of nebulized revefenacin, if approved. Viatris is responsible for all aspects of development and commercialization in the partnered regions, including pre- and post-launch activities and product registration and all associated costs.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agreements, Theravance Biopharma is eligible to receive potential development and sales milestone payments totaling approximately $293 million in the aggregate. As of December 31, 2023, the Company has paid a total of $50.0 million in milestone payments to Theravance Biopharma. </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Development Agreements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 and Acquired IPR&amp;D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Legal costs are recorded as incurred and are classified in SG&amp;A in the Company’s consolidated statements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EpiPen® Auto-Injector Litigation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after Plaintiffs’ then operative complaint was dismissed with an option to file a limited amended complaint,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 A trial is currently scheduled to begin in March 2026.</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 A class certification motion is pending.</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2017, Sanofi Aventis U.S., LLC (“Sanofi”) filed a lawsuit against the Company in the U.S. District Court for the District of New Jersey. This lawsuit was transferred into a MDL in the U.S. District Court for the District of Kansas and alleged exclusive dealing and anti-competitive marketing practices in violation of the antitrust laws in connection with the sale and marketing of the EpiPen® Auto-Injector. Sanofi sought monetary damages, declaratory relief, attorneys’ fees and costs. The Court granted the Company’s motion for summary judgment and dismissed Sanofi’s claims. Sanofi’s appeal was denied. Sanofi’s petition seeking review by the U.S. Supreme Court was also denied and concludes this matter.</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total accrual of approximately $5.5 million related to these matters at December 31, 2023, which is included in other current liabilities in the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Drug Pricing Matters </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Department of Justice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2018, the Company received a civil investigative demand from the Civil Division of the DOJ seeking information relating to the pricing and sale of its generic drug products.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fully cooperated with these investigations, which we believe are related to a broader industry-wide investigation of the generic pharmaceutical industry. We have not had contact from DOJ concerning the above-described subpoenas or civil investigative demand in several years.</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Civil Litigation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 and class certification motions are pending in that matter. </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Attorneys General Litigation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forty-four states, the District of Columbia and the Commonwealth of Puerto Rico. The Company is alleged to have engaged in anticompetitive conduct with respect to four generic drug products. The amended complaint also includes claims asserted by attorneys general of thirty-four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adding additional states as plaintiffs. The operative complaint is brought by attorneys general of forty-five states, certain territories and the District of Columbia. The amended complaint also includes claims asserted by attorneys general of forty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forty-four states, certain territories and the District of Columbia.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 This lawsuit has been transferred to the aforementioned MDL proceeding in the EDPA and has been ordered to proceed as a bellwether.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2024, the United States Judicial Panel on Multidistrict Litigation (“JPML”) granted the Attorneys Generals’ motion to remand the aforementioned complaints to the U.S. District Court for the District of Connecticut. The order is currently stayed while Defendants challenge remand.</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Securities Related Litigation</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Purported class action complaints were filed in October 2016 against Mylan N.V. and Mylan Inc. (collectively, for the purposes of this paragraph,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(“SDNY Class Action Litigation”).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w:t>
      </w:r>
      <w:r>
        <w:rPr>
          <w:color w:val="000000"/>
        </w:rPr>
        <w:t xml:space="preserve"> </w:t>
      </w:r>
      <w:r>
        <w:rPr>
          <w:rFonts w:ascii="Times New Roman;sans-serif" w:hAnsi="Times New Roman;sans-serif"/>
          <w:b w:val="false"/>
          <w:color w:val="000000"/>
          <w:sz w:val="20"/>
        </w:rPr>
        <w:t>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w:t>
      </w:r>
      <w:r>
        <w:rPr>
          <w:color w:val="000000"/>
        </w:rPr>
        <w:t xml:space="preserve"> </w:t>
      </w:r>
      <w:r>
        <w:rPr>
          <w:rFonts w:ascii="Times New Roman;sans-serif" w:hAnsi="Times New Roman;sans-serif"/>
          <w:b w:val="false"/>
          <w:color w:val="000000"/>
          <w:sz w:val="20"/>
        </w:rPr>
        <w:t xml:space="preserve">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On March 30, 2023, the Court dismissed all of Plaintiffs’ claims by granting Defendants’ motion for summary judgment and denying Plaintiffs’ cross-motion for partial summary judgment. Plaintiffs’ appeal to the U.S. Court of Appeals for the Second Circuit is pending.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2017, a similar lawsuit was filed in the Tel Aviv District Court (Economic Division) in Israel (“Israel Litigation”), which had been stayed pending a decision in the SDNY Class Action Litigation. The Israel Litigation was dismissed by the Court due to lack of activity and may be refiled.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2020, the Abu Dhabi Investment Authority filed a complaint against Mylan in the SDNY asserting allegations pertaining to EpiPen® Auto-Injector and certain generic drugs under the federal securities laws (“ADIA Litigation”) that overlap with those asserted in the SDNY Class Action Litigation. The complaint filed in the ADIA Litigation seeks monetary damages as well as the plaintiff’s fees and costs.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(“WDPA”) on behalf of certain purchasers of securities of Mylan N.V. (“WDPA Mylan N.V. Class Action Litigation”). The amended complaint alleges that defendants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On May 18, 2023, the Court dismissed 45 of the 46 challenged statements. The complaint seeks monetary damages, as well as the plaintiff’s fees and costs.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2021, a complaint was filed in the SDNY by Skandia Mutual Life Ins. Co., Lansforsakringar AB, KBC Asset Management N.V., and GIC Private Limited, against the Company, certain of Mylan N.V.’s former directors and officers, a current director and officer of the Company, and certain current employees of the Company (“Skandia Litigation”). The Complaint filed in the Skandia Litigation asserts claims which are based on allegations that are similar to those in the SDNY Class Action Litigation and WDPA Mylan N.V. Class Action Litigation. Plaintiffs seek compensatory damages, costs and expenses and attorneys’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28, 2021, the Company and certain of its then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12(a)(2), and 15 of the Securities Act of 1933 for purportedly failing to disclose or misrepresenting material information in the registration statement and related prospectus issued in connection with the Combination. On January 3, 2023, an amended complaint was filed naming the same defendants and alleging the same violations as the original complaint. Plaintiffs seek monetary damages, reasonable costs and expenses, and certain other equitable and injunctive relief. A settlement has been reached to fully resolve this matter, subject to court approval.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May 2023, putative class action complaints were filed against the Company and certain of the Company’s current and former officers, directors, and employees in the WDPA on behalf of certain purchasers of securities of the Company. These actions have been consolidated and, on October 23, 2023, a consolidated amended putative class action complaint was filed in the WDPA against the Company, a current officer and director, and a former officer and director (“WDPA Viatris Class Action Litigation”). The operative complaint alleges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relief.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is named as a nominal defendant in these derivative actions. Certain of the complaints also assert claims for corporate waste and unjust enrichment. Plaintiffs seek various forms of relief, including damages, disgorgement, restitution, costs and fees.</w:t>
      </w:r>
    </w:p>
    <w:p>
      <w:pPr>
        <w:pStyle w:val="TextBody"/>
        <w:bidi w:val="0"/>
        <w:spacing w:before="0" w:after="1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Opioids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13, 2023, the Company received a civil subpoena from the Attorney General of the State of New York seeking information relating to opioids manufactured, marketed, or sold by the Company and related subject matter. A similar subpoena was received in January 2024 from the Attorney General of the State of Alaska. The Company is fully cooperating with these subpoena requests.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$77.5 million in connection with the possible resolution of certain of these matters at December 31, 2023, which is included in other current liabilities in the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Meda Sweden Commercial Dispute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30, 2021, Ocular AS and other related entities (“Claimants”) initiated an arbitration in Sweden against Meda OTC AB and Meda AB (collectively, “Meda”) alleging breach of a 2013 sale and purchase agreement between Claimants and Meda concerning commercialization of a dental hygiene product. Claimants sought approximately $155 million in purported damages, plus interest and costs. In May 2023, the arbitration panel ruled in Claimants’ favor and Meda resolved the matter for approximately $21.8 million, which was expensed and paid in 2023.</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Citalopram</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served a claim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€11.5 million as of December 31, 2023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Product Liability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$64.9 million as of December 31, 2023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Nitrosamines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Third party payor, consumer and medical monitoring classes were certified in the valsartan MDL and a Rule 23(f) petition to appeal the certification decision was denied. The Company has also received claims and inquiries related to these products, as well as requests to indemnify purchasers of the Company’s API and/or finished dose forms of these products. The original master complaints concerning ranitidine were dismissed on December 31, 2020. The end-payor plaintiff immediately appealed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to the U.S. Court of Appeals for the Eleventh Circuit, which affirmed the dismissal. The personal injury and</w:t>
      </w:r>
      <w:r>
        <w:rPr>
          <w:color w:val="000000"/>
        </w:rPr>
        <w:t xml:space="preserve"> </w:t>
      </w:r>
      <w:r>
        <w:rPr>
          <w:rFonts w:ascii="Times New Roman;sans-serif" w:hAnsi="Times New Roman;sans-serif"/>
          <w:b w:val="false"/>
          <w:color w:val="000000"/>
          <w:sz w:val="20"/>
        </w:rPr>
        <w:t>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Lipitor</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Missouri and New York. Prior state court proceedings in California have now been terminated after the California Court previously granted motions (i) to exclude the opinions of plaintiffs’ only general causation expert in connection with his opinions involving the three lowest doses of Lipitor (10, 20 and 40 mg); (ii)</w:t>
      </w:r>
      <w:r>
        <w:rPr>
          <w:color w:val="000000"/>
        </w:rPr>
        <w:t xml:space="preserve"> </w:t>
      </w:r>
      <w:r>
        <w:rPr>
          <w:rFonts w:ascii="Times New Roman;sans-serif" w:hAnsi="Times New Roman;sans-serif"/>
          <w:b w:val="false"/>
          <w:color w:val="000000"/>
          <w:sz w:val="20"/>
        </w:rPr>
        <w:t>for summary judgment in connection with the 10, 20, and 40 mg plaintiffs; and (iii) seeking the dismissal of the remaining cases involving the highest dose of Lipitor (80 mg).</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is involved in a number of patent litigation lawsuits involving the validity and/or infringement of patents held by branded pharmaceutical manufacturers including but not limited to the matters described below.</w:t>
      </w:r>
      <w:r>
        <w:rPr>
          <w:color w:val="000000"/>
        </w:rPr>
        <w:t xml:space="preserve"> </w:t>
      </w:r>
      <w:r>
        <w:rPr>
          <w:rFonts w:ascii="Times New Roman;sans-serif" w:hAnsi="Times New Roman;sans-serif"/>
          <w:b w:val="false"/>
          <w:color w:val="000000"/>
          <w:sz w:val="20"/>
        </w:rPr>
        <w:t>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approximately $5.1 million accrued related to its intellectual property matters at December 31, 2023. It is reasonably possible that we may incur additional losses and fees but we cannot estimate a range of such reasonably possible losses or legal fees related to these claims at this time. </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Lyrica - United Kingdom</w:t>
      </w:r>
    </w:p>
    <w:p>
      <w:pPr>
        <w:pStyle w:val="TextBody"/>
        <w:bidi w:val="0"/>
        <w:spacing w:lineRule="auto" w:line="288" w:before="0" w:after="240"/>
        <w:ind w:left="0" w:right="0" w:firstLine="720"/>
        <w:jc w:val="left"/>
        <w:rPr/>
      </w:pPr>
      <w:r>
        <w:rPr>
          <w:rFonts w:ascii="Times New Roman;sans-serif" w:hAnsi="Times New Roman;sans-serif"/>
          <w:b w:val="false"/>
          <w:color w:val="000000"/>
          <w:sz w:val="20"/>
          <w:shd w:fill="FFFFFF" w:val="clear"/>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w:t>
      </w:r>
      <w:r>
        <w:rPr>
          <w:color w:val="000000"/>
        </w:rPr>
        <w:t xml:space="preserve"> </w:t>
      </w:r>
      <w:r>
        <w:rPr>
          <w:rFonts w:ascii="Times New Roman;sans-serif" w:hAnsi="Times New Roman;sans-serif"/>
          <w:b w:val="false"/>
          <w:color w:val="000000"/>
          <w:sz w:val="20"/>
          <w:shd w:fill="FFFFFF" w:val="clear"/>
        </w:rPr>
        <w:t xml:space="preserve">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 </w:t>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and Northern Ireland) filed their claims. All of the claims have been resolved.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Yupelri</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a method of use patent expiring in 2039. The companies have not filed Paragraph IV certifications to our compound patents, which currently expire in December 2025, with one compound patent subject to a patent term extension to October 2028. In February 2023, we brought patent infringement actions against the generic filers in federal district courts, including the U.S. District Court for the District of New Jersey, the U.S. District Court for the District of Delaware, and the U.S. District Court for the Middle District of North Carolina, asserting infringement of the patents by the generic companies.</w:t>
      </w:r>
      <w:r>
        <w:rPr>
          <w:color w:val="000000"/>
        </w:rPr>
        <w:t xml:space="preserve"> </w:t>
      </w:r>
      <w:r>
        <w:rPr>
          <w:rFonts w:ascii="Times New Roman;sans-serif" w:hAnsi="Times New Roman;sans-serif"/>
          <w:b w:val="false"/>
          <w:color w:val="000000"/>
          <w:sz w:val="20"/>
        </w:rPr>
        <w:t>The actions filed in Delaware and North Carolina have been dismissed and the actions will proceed in New Jersey. The Company has entered into settlement agreements with Teva, Accord, Orbicular, and Lupin granting licenses to commercialize their generic versions of Yupelri® in April 2039 or earlier depending on certain circumstances. Three ANDA filers remain in the litigation.</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Tyrvaya</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a generic company notified Oyster Point that it had filed an ANDA with the FDA seeking approval to market a generic version of Tyrvaya® with associated Paragraph IV certifications. The generic company asserts the invalidity and/or non-infringement of six Orange Book listed patents that all have expiration dates in October 2035. In July 2023, Oyster Point brought a patent infringement action against the generic filer in the U.S. District Court of the District of New Jersey asserting infringement by the generic company. </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Amitiza</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Sawai Pharmaceutical Co. (“Sawai”) filed challenges with the Japanese Patent Office (“JPO”) asserting invalidity of patent term extensions for the JPP ‘4332353 patent (the ‘353 patent) relevant to Amitiza®, which the Company commercializes in Japan as a licensee of the relevant patents, including the ‘353 patent. Towa Pharmaceutical Co. Ltd. also filed a challenge to the ‘353 patent term extension in January 2024. Separately, in December 2023, Sawai filed an invalidity action with the JPO against the ‘353 patent itself. With the granted extensions, the ‘353 patent has expiration dates for the Company’s 24µg and 12µg strengths of April 2025 and April 2027, respectively. For the 12µg strength, other licensed patents with patent term extension dates – including one with an expiration of December 2028 – have not been challenged.</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other legal proceedings including commercial, contractual, employment, or other similar matters that are considered normal to its business. The Company has approximately $6.6 million accrued related to these various other legal proceedings at December 31, 2023.</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Accountants on Accounting and Financial Disclosures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December 31, 2023. Based upon that evaluation, the Principal Executive Officer and the Principal Financial Officer concluded that the Company’s disclosure controls and procedures were effective.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not identified any changes in the Company’s internal control over financial reporting (“ICFR”) that occurred during the fourth quarter of 2023 that have materially affected, or are reasonably likely to materially affect, the Company’s ICFR.</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Report on ICFR is on page 80, which is incorporated herein by reference. The effectiveness of the Company’s ICFR as of December 31, 2023 has been audited by Deloitte &amp; Touche LLP (PCAOB ID No. 34), an independent registered public accounting firm, as stated in their report on page 84,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9B.Other Information</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28, 2023, JoEllen Lyons Dillon, a director of the Company, adopted a written plan intended to satisfy the affirmative defense conditions of Rule 10b5-1(c) of the Exchange Act. The plan provides for the sale of up to 20,000 shares of the Company’s common stock until all such shares are sold or March 4, 2025, whichever comes first.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9C.Disclosure Regarding Foreign Jurisdictions that Prevent Inspections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10.Directors, Executive Officers and Corporate Governance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by this Item will be provided in an amendment to this Annual Report on Form 10-K in accordance with General Instruction G(3) to Form 10-K.</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Code of Ethics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Viatris board of directors has adopted a Code of Ethics for the Company’s Chief Executive Officer, Chief Financial Officer and Controller. The Viatris board of directors also has adopted a Code of Business Conduct and Ethics applicable to all directors, officers, and employees. The Code of Ethics for our Chief Executive Officer, Chief Financial Officer and Controller and the Code of Business Conduct and Ethics are posted on Viatris’ website at http://www.viatris.com/en/About-Us/Corporate-Governance, and Viatris intends to post any amendments to and waivers from each of the Code of Ethics for the Company’s Chief Executive Officer, Chief Financial Officer and Controller and the Code of Business Conduct and Ethics that are required to be disclosed on that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11.Executive Compensation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provided in an amendment to this Annual Report on Form 10-K in accordance with General Instruction G(3) to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12.Security Ownership of Certain Beneficial Owners and Management and Related Stockholder Matters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additional information required by this Item will be provided in an amendment to this Form 10-K in accordance with General Instruction G(3) to Form 10-K.</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information about the securities authorized for issuance under Viatris’ equity compensation plans as of December 31, 2023:</w:t>
      </w:r>
    </w:p>
    <w:tbl>
      <w:tblPr>
        <w:tblW w:w="10205" w:type="dxa"/>
        <w:jc w:val="left"/>
        <w:tblInd w:w="0" w:type="dxa"/>
        <w:tblLayout w:type="fixed"/>
        <w:tblCellMar>
          <w:top w:w="28" w:type="dxa"/>
          <w:left w:w="28" w:type="dxa"/>
          <w:bottom w:w="28" w:type="dxa"/>
          <w:right w:w="28" w:type="dxa"/>
        </w:tblCellMar>
      </w:tblPr>
      <w:tblGrid>
        <w:gridCol w:w="1235"/>
        <w:gridCol w:w="1083"/>
        <w:gridCol w:w="1089"/>
        <w:gridCol w:w="675"/>
        <w:gridCol w:w="675"/>
        <w:gridCol w:w="676"/>
        <w:gridCol w:w="109"/>
        <w:gridCol w:w="109"/>
        <w:gridCol w:w="109"/>
        <w:gridCol w:w="413"/>
        <w:gridCol w:w="1207"/>
        <w:gridCol w:w="214"/>
        <w:gridCol w:w="109"/>
        <w:gridCol w:w="109"/>
        <w:gridCol w:w="109"/>
        <w:gridCol w:w="668"/>
        <w:gridCol w:w="668"/>
        <w:gridCol w:w="948"/>
      </w:tblGrid>
      <w:tr>
        <w:trPr/>
        <w:tc>
          <w:tcPr>
            <w:tcW w:w="123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w:t>
              <w:br/>
              <w:t>Issued upon Exercise of</w:t>
              <w:br/>
              <w:t>Outstanding Options,</w:t>
              <w:br/>
              <w:t>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w:t>
              <w:br/>
              <w:t>Price of Outstanding</w:t>
              <w:br/>
              <w:t>Options, Warrants and</w:t>
              <w:br/>
              <w:t>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Remaining Available for</w:t>
              <w:br/>
              <w:t>Future Issuance Under</w:t>
              <w:br/>
              <w:t>Equity Compensation Plans</w:t>
              <w:br/>
              <w:t>(excluding securities reflected</w:t>
              <w:br/>
              <w:t>in column (a))</w:t>
              <w:br/>
              <w:t>(c)</w:t>
            </w:r>
          </w:p>
        </w:tc>
      </w:tr>
      <w:tr>
        <w:trPr/>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Plan Category</w:t>
            </w:r>
          </w:p>
        </w:tc>
        <w:tc>
          <w:tcPr>
            <w:tcW w:w="2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35,256,116 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29,265,309 </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35,256,116 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29,265,309 </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13.Certain Relationships and Related Transactions, and Director Independence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provided in an amendment to this Annual Report on Form 10-K in accordance with General Instruction G(3) to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14.Principal Accounting Fees and Services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provided in an amendment to this Annual Report on Form 10-K in accordance with General Instruction G(3) to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15.</w:t>
      </w:r>
      <w:r>
        <w:rPr>
          <w:rFonts w:ascii="Times New Roman;sans-serif" w:hAnsi="Times New Roman;sans-serif"/>
          <w:b/>
          <w:color w:val="000000"/>
          <w:sz w:val="20"/>
        </w:rPr>
        <w:t xml:space="preserve">Exhibits, Consolidated Financial Statement Schedules </w:t>
      </w:r>
    </w:p>
    <w:p>
      <w:pPr>
        <w:pStyle w:val="TextBody"/>
        <w:bidi w:val="0"/>
        <w:spacing w:lineRule="auto" w:line="288" w:before="0" w:after="24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i/>
          <w:color w:val="000000"/>
          <w:sz w:val="20"/>
        </w:rPr>
        <w:t>Consolidated Financial Statements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listed in the Index to Consolidated Financial Statements are filed as part of this Form.</w:t>
      </w:r>
    </w:p>
    <w:p>
      <w:pPr>
        <w:pStyle w:val="TextBody"/>
        <w:bidi w:val="0"/>
        <w:spacing w:lineRule="auto" w:line="288" w:before="0" w:after="24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i/>
          <w:color w:val="000000"/>
          <w:sz w:val="20"/>
        </w:rPr>
        <w:t>Consolidated Financial Statement Schedules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SCHEDULE II — VALUATION AND QUALIFYING ACCOUNTS</w:t>
      </w:r>
    </w:p>
    <w:p>
      <w:pPr>
        <w:pStyle w:val="TextBody"/>
        <w:bidi w:val="0"/>
        <w:spacing w:lineRule="auto" w:line="288" w:before="0" w:after="240"/>
        <w:jc w:val="center"/>
        <w:rPr>
          <w:rFonts w:ascii="Times New Roman;sans-serif" w:hAnsi="Times New Roman;sans-serif"/>
          <w:b/>
          <w:i/>
          <w:color w:val="000000"/>
          <w:sz w:val="16"/>
        </w:rPr>
      </w:pPr>
      <w:r>
        <w:rPr>
          <w:rFonts w:ascii="Times New Roman;sans-serif" w:hAnsi="Times New Roman;sans-serif"/>
          <w:b/>
          <w:i/>
          <w:color w:val="000000"/>
          <w:sz w:val="16"/>
        </w:rPr>
        <w:t>(In millions)</w:t>
      </w:r>
    </w:p>
    <w:tbl>
      <w:tblPr>
        <w:tblW w:w="10205" w:type="dxa"/>
        <w:jc w:val="left"/>
        <w:tblInd w:w="0" w:type="dxa"/>
        <w:tblLayout w:type="fixed"/>
        <w:tblCellMar>
          <w:top w:w="28" w:type="dxa"/>
          <w:left w:w="28" w:type="dxa"/>
          <w:bottom w:w="28" w:type="dxa"/>
          <w:right w:w="28" w:type="dxa"/>
        </w:tblCellMar>
      </w:tblPr>
      <w:tblGrid>
        <w:gridCol w:w="866"/>
        <w:gridCol w:w="762"/>
        <w:gridCol w:w="769"/>
        <w:gridCol w:w="211"/>
        <w:gridCol w:w="616"/>
        <w:gridCol w:w="109"/>
        <w:gridCol w:w="109"/>
        <w:gridCol w:w="109"/>
        <w:gridCol w:w="109"/>
        <w:gridCol w:w="672"/>
        <w:gridCol w:w="672"/>
        <w:gridCol w:w="674"/>
        <w:gridCol w:w="109"/>
        <w:gridCol w:w="109"/>
        <w:gridCol w:w="109"/>
        <w:gridCol w:w="543"/>
        <w:gridCol w:w="503"/>
        <w:gridCol w:w="505"/>
        <w:gridCol w:w="109"/>
        <w:gridCol w:w="109"/>
        <w:gridCol w:w="109"/>
        <w:gridCol w:w="345"/>
        <w:gridCol w:w="331"/>
        <w:gridCol w:w="332"/>
        <w:gridCol w:w="109"/>
        <w:gridCol w:w="109"/>
        <w:gridCol w:w="109"/>
        <w:gridCol w:w="211"/>
        <w:gridCol w:w="616"/>
        <w:gridCol w:w="160"/>
      </w:tblGrid>
      <w:tr>
        <w:trPr/>
        <w:tc>
          <w:tcPr>
            <w:tcW w:w="86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Additions Charged to Other</w:t>
              <w:br/>
              <w:t>Accounts</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Deductions</w:t>
            </w:r>
            <w:r>
              <w:rPr>
                <w:color w:val="000000"/>
              </w:rPr>
              <w:t xml:space="preserv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Ending</w:t>
              <w:br/>
              <w:t>Balance</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These amounts include balances from acquisitions.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These amounts include balances reclassified to </w:t>
      </w:r>
      <w:r>
        <w:rPr>
          <w:rFonts w:ascii="Times New Roman;sans-serif" w:hAnsi="Times New Roman;sans-serif"/>
          <w:b w:val="false"/>
          <w:i/>
          <w:color w:val="000000"/>
          <w:sz w:val="20"/>
        </w:rPr>
        <w:t>Assets Held for Sale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Liabilities Held for Sale</w:t>
      </w:r>
      <w:r>
        <w:rPr>
          <w:rFonts w:ascii="Times New Roman;sans-serif" w:hAnsi="Times New Roman;sans-serif"/>
          <w:b w:val="false"/>
          <w:color w:val="000000"/>
          <w:sz w:val="20"/>
        </w:rPr>
        <w:t>.</w:t>
      </w:r>
    </w:p>
    <w:p>
      <w:pPr>
        <w:pStyle w:val="TextBody"/>
        <w:bidi w:val="0"/>
        <w:spacing w:before="0" w:after="60"/>
        <w:jc w:val="left"/>
        <w:rPr/>
      </w:pPr>
      <w:r>
        <w:rPr/>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i/>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172"/>
        <w:gridCol w:w="150"/>
        <w:gridCol w:w="153"/>
        <w:gridCol w:w="109"/>
        <w:gridCol w:w="109"/>
        <w:gridCol w:w="109"/>
        <w:gridCol w:w="2749"/>
        <w:gridCol w:w="2749"/>
        <w:gridCol w:w="3905"/>
      </w:tblGrid>
      <w:tr>
        <w:trPr/>
        <w:tc>
          <w:tcPr>
            <w:tcW w:w="1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"http://www.sec.gov/Archives/edgar/data/1792044/000119312520212083/d159300dex991.htm" \l "toc781435_29"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2.1(a)</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212529"/>
                <w:sz w:val="20"/>
              </w:rPr>
              <w:t>Business Combination Agreement, dated as of July 29, 2019, by and among Pfizer Inc., Upjohn Inc., Utah Acquisition Sub Inc.,</w:t>
            </w:r>
            <w:r>
              <w:rPr>
                <w:color w:val="000000"/>
              </w:rPr>
              <w:t xml:space="preserve"> </w:t>
            </w:r>
            <w:r>
              <w:rPr>
                <w:rFonts w:ascii="Times New Roman;sans-serif" w:hAnsi="Times New Roman;sans-serif"/>
                <w:b w:val="false"/>
                <w:color w:val="000000"/>
                <w:sz w:val="20"/>
              </w:rPr>
              <w:t xml:space="preserve">Mylan N.V., </w:t>
            </w:r>
            <w:r>
              <w:rPr>
                <w:rFonts w:ascii="Times New Roman;sans-serif" w:hAnsi="Times New Roman;sans-serif"/>
                <w:b w:val="false"/>
                <w:color w:val="212529"/>
                <w:sz w:val="20"/>
              </w:rPr>
              <w:t xml:space="preserve">Mylan I B.V. and Mylan II B.V., </w:t>
            </w:r>
            <w:r>
              <w:rPr>
                <w:rFonts w:ascii="Times New Roman;sans-serif" w:hAnsi="Times New Roman;sans-serif"/>
                <w:b w:val="false"/>
                <w:color w:val="000000"/>
                <w:sz w:val="20"/>
              </w:rPr>
              <w:t>included as Annex A to the Information Statement included as Exhibit 99.1 to the Report on Form 8-K filed by Upjohn Inc. with the SEC on August 6, 2020, and incorporated herein by reference.</w:t>
            </w:r>
            <w:r>
              <w:rPr>
                <w:rFonts w:ascii="Times New Roman;sans-serif" w:hAnsi="Times New Roman;sans-serif"/>
                <w:b w:val="false"/>
                <w:color w:val="212529"/>
                <w:sz w:val="20"/>
              </w:rPr>
              <w:t>^</w:t>
            </w:r>
          </w:p>
          <w:p>
            <w:pPr>
              <w:pStyle w:val="TableContents"/>
              <w:bidi w:val="0"/>
              <w:spacing w:before="0" w:after="0"/>
              <w:jc w:val="left"/>
              <w:rPr/>
            </w:pPr>
            <w:r>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2.1(b)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212529"/>
                <w:sz w:val="20"/>
              </w:rPr>
              <w:t xml:space="preserve">Amendment No. 1, dated as of May 29, 2020, to the Business Combination Agreement, dated as of July 29, 2019, by and among Pfizer Inc., Upjohn Inc., Utah Acquisition Sub Inc., Mylan N.V., Mylan I B.V. and Mylan II B.V., included as Annex B to the Information Statement </w:t>
            </w:r>
            <w:r>
              <w:rPr>
                <w:rFonts w:ascii="Times New Roman;sans-serif" w:hAnsi="Times New Roman;sans-serif"/>
                <w:b w:val="false"/>
                <w:color w:val="000000"/>
                <w:sz w:val="20"/>
              </w:rPr>
              <w:t xml:space="preserve">included as Exhibit </w:t>
            </w:r>
            <w:r>
              <w:rPr>
                <w:rFonts w:ascii="Times New Roman;sans-serif" w:hAnsi="Times New Roman;sans-serif"/>
                <w:b w:val="false"/>
                <w:color w:val="212529"/>
                <w:sz w:val="20"/>
              </w:rPr>
              <w:t xml:space="preserve">99.1 </w:t>
            </w:r>
            <w:r>
              <w:rPr>
                <w:rFonts w:ascii="Times New Roman;sans-serif" w:hAnsi="Times New Roman;sans-serif"/>
                <w:b w:val="false"/>
                <w:color w:val="000000"/>
                <w:sz w:val="20"/>
              </w:rPr>
              <w:t xml:space="preserve">to the Report on Form 8-K filed by Upjohn Inc. with the SEC on </w:t>
            </w:r>
            <w:r>
              <w:rPr>
                <w:rFonts w:ascii="Times New Roman;sans-serif" w:hAnsi="Times New Roman;sans-serif"/>
                <w:b w:val="false"/>
                <w:color w:val="212529"/>
                <w:sz w:val="20"/>
              </w:rPr>
              <w:t>August 6, 2020,</w:t>
            </w:r>
            <w:r>
              <w:rPr>
                <w:color w:val="000000"/>
              </w:rPr>
              <w:t xml:space="preserve"> </w:t>
            </w:r>
            <w:r>
              <w:rPr>
                <w:rFonts w:ascii="Times New Roman;sans-serif" w:hAnsi="Times New Roman;sans-serif"/>
                <w:b w:val="false"/>
                <w:color w:val="000000"/>
                <w:sz w:val="20"/>
              </w:rPr>
              <w:t>and incorporated herein by reference</w:t>
            </w:r>
            <w:r>
              <w:rPr>
                <w:rFonts w:ascii="Times New Roman;sans-serif" w:hAnsi="Times New Roman;sans-serif"/>
                <w:b w:val="false"/>
                <w:color w:val="212529"/>
                <w:sz w:val="20"/>
              </w:rPr>
              <w:t>.</w:t>
            </w:r>
            <w:r>
              <w:rPr>
                <w:rFonts w:ascii="Times New Roman;sans-serif" w:hAnsi="Times New Roman;sans-serif"/>
                <w:b w:val="false"/>
                <w:color w:val="000000"/>
                <w:sz w:val="20"/>
              </w:rPr>
              <w:t>^</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2.2(a)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 dated as of July 29, 2019, by and between Pfizer Inc. and Upjohn Inc., filed as Exhibit 2.2 to the Report on Form 8-K filed by Mylan N.V. with the SEC on July 29, 2019, and incorporated herein by reference.^</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2.2(b)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Amendment No. 1, dated as of February 18, 2020, to the Separation and Distribution Agreement, dated as of July 29, 2019, by and between Pfizer Inc. and Upjohn Inc., </w:t>
            </w:r>
            <w:r>
              <w:rPr>
                <w:rFonts w:ascii="Times New Roman;sans-serif" w:hAnsi="Times New Roman;sans-serif"/>
                <w:b w:val="false"/>
                <w:color w:val="212529"/>
                <w:sz w:val="20"/>
              </w:rPr>
              <w:t xml:space="preserve">filed by Mylan N.V. as Exhibit 2.1 to Form 10-Q </w:t>
            </w:r>
            <w:r>
              <w:rPr>
                <w:rFonts w:ascii="Times New Roman;sans-serif" w:hAnsi="Times New Roman;sans-serif"/>
                <w:b w:val="false"/>
                <w:color w:val="000000"/>
                <w:sz w:val="20"/>
              </w:rPr>
              <w:t>for the quarter ended March 31, 2020</w:t>
            </w:r>
            <w:r>
              <w:rPr>
                <w:rFonts w:ascii="Times New Roman;sans-serif" w:hAnsi="Times New Roman;sans-serif"/>
                <w:b w:val="false"/>
                <w:color w:val="212529"/>
                <w:sz w:val="20"/>
              </w:rPr>
              <w:t>,</w:t>
            </w:r>
            <w:r>
              <w:rPr>
                <w:color w:val="000000"/>
              </w:rPr>
              <w:t xml:space="preserve"> </w:t>
            </w:r>
            <w:r>
              <w:rPr>
                <w:rFonts w:ascii="Times New Roman;sans-serif" w:hAnsi="Times New Roman;sans-serif"/>
                <w:b w:val="false"/>
                <w:color w:val="000000"/>
                <w:sz w:val="20"/>
              </w:rPr>
              <w:t>and incorporated herein by reference.</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2.2(c)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dated as of May 29, 2020, to the Separation and Distribution Agreement, dated as of July 29, 2019, by and between Pfizer Inc. and Upjohn Inc., filed as Exhibit 2.2 to the Report on Form 8-K filed by Mylan N.V. with the SEC on June 1, 2020, and incorporated herein by reference. ^</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2.2(d)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3, dated as of September 18, 2020, to the Separation and Distribution Agreement, dated as of July 29, 2019, by and between Pfizer Inc. and Upjohn Inc., filed as Exhibit 2.6 to the Report on Form 8-K filed by Viatris Inc. with the SEC on November 19, 2020, and incorporated herein by reference.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1"/>
        <w:gridCol w:w="150"/>
        <w:gridCol w:w="152"/>
        <w:gridCol w:w="109"/>
        <w:gridCol w:w="109"/>
        <w:gridCol w:w="109"/>
        <w:gridCol w:w="2849"/>
        <w:gridCol w:w="2710"/>
        <w:gridCol w:w="3846"/>
      </w:tblGrid>
      <w:tr>
        <w:trPr/>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2.2(e)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4, dated as of November 15, 2020, to the Separation and Distribution Agreement, dated as of July 29, 2019, by and between Pfizer Inc. and Upjohn Inc., filed as Exhibit 2.7 to the Report on Form 8-K filed by Viatris Inc. with the SEC on November 19, 2020, and incorporated herein by reference. ^ </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2.3(a)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Agreement, dated as of February 27, 2022, by and among Biocon Biologics Limited and Viatris Inc., filed as Exhibit 2.1 to the Report on Form 8-K filed by Viatris Inc. with the SEC on February 28, 2022, and incorporated herein by reference.^</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2.3(b)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Transaction Agreement, dated as of November 28, 2022, by and between Biocon Biologics Limited and Viatris Inc., filed as Exhibit 2.1 to the Report on Form 8-K filed by Viatris Inc. with the SEC on November 29, 2022, and incorporated herein by reference.^</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2.3(c)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Omnibus Amendment No. 1, effective as of May 17, 2023, by and among Viatris Inc., Biocon Biologics UK Limited, Biosimilar Collaborations Ireland Limited, Biosimilars Newco Limited, and Biocon Biologics Limited, filed by Viatris Inc. as Exhibit 2.1 to Form 10-Q for the quarter ended June 30, 2023, and incorporated herein by reference.</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3dxvtrsx10-kx12312023.htm">
              <w:r>
                <w:rPr>
                  <w:rStyle w:val="InternetLink"/>
                  <w:rFonts w:ascii="Times New Roman;sans-serif" w:hAnsi="Times New Roman;sans-serif"/>
                  <w:b w:val="false"/>
                  <w:color w:val="0000FF"/>
                  <w:sz w:val="20"/>
                  <w:u w:val="single"/>
                </w:rPr>
                <w:t>2.3(d)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Omnibus Amendment No. 2, effective as of December 19, 2023, by and among Viatris Inc., Biocon Biologics UK Limited, Biosimilars Newco Limited, and Biocon Biologics Limited.^</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2.4(a)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Put Option Agreement, dated October 1, 2023, between Cooper Consumer Health SAS and Viatris Inc., filed by Viatris Inc. as Exhibit 2.1 to Form 10-Q for the quarter ended September 30, 2023, and incorporated herein by reference.^</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2.4(b)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Agreement, dated as of January 29, 2024, by and among Cooper Consumer Health SAS, Cooper Consumer Health IT S.r.l., Viatris Inc., Viatris Italia S.r.l. and Ipex AB, filed by Viatris Inc. as Exhibit 2.1 to the Report on Form 8-K/A filed by Viatris Inc. with the SEC on January 30, 2024, and incorporate herein by reference. ^</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Upjohn Inc., effective as of November 13, 2020, filed as Exhibit 3.1 to the Report on Form 8-K filed by Viatris Inc. with the SEC on November 19, 2020, and incorporated herein by reference.</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Certificate of Amendment of Amended and Restated Certificate of Incorporation of Upjohn Inc., effective as of November 16, 2020, filed as Exhibit 3.3 to the Report on Form 8-K filed by Viatris Inc. with the SEC on November 19, 2020, and incorporated herein by reference. </w:t>
            </w:r>
          </w:p>
          <w:p>
            <w:pPr>
              <w:pStyle w:val="TableContents"/>
              <w:bidi w:val="0"/>
              <w:spacing w:before="0" w:after="0"/>
              <w:jc w:val="left"/>
              <w:rPr/>
            </w:pPr>
            <w:r>
              <w:rPr/>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cxvtrsx20231231x10-k.htm">
              <w:r>
                <w:rPr>
                  <w:rStyle w:val="InternetLink"/>
                  <w:rFonts w:ascii="Times New Roman;sans-serif" w:hAnsi="Times New Roman;sans-serif"/>
                  <w:b w:val="false"/>
                  <w:color w:val="0000FF"/>
                  <w:sz w:val="20"/>
                  <w:u w:val="single"/>
                </w:rPr>
                <w:t>3.1(c)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of Amended and Restated Certificate of Incorporation of Viatris Inc., effective as of December 15, 2023.</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dxvtrsx20231231x10-k.htm">
              <w:r>
                <w:rPr>
                  <w:rStyle w:val="InternetLink"/>
                  <w:rFonts w:ascii="Times New Roman;sans-serif" w:hAnsi="Times New Roman;sans-serif"/>
                  <w:b w:val="false"/>
                  <w:color w:val="0000FF"/>
                  <w:sz w:val="20"/>
                  <w:u w:val="single"/>
                </w:rPr>
                <w:t>3.1(d)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of Amended and Restated Certificate of Incorporation of Viatris Inc., effective as of December 15, 2023.</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Viatris Inc., effective as of December 15, 2023, filed as Exhibit 3.1 to the Report on Form 8-K filed by Viatris Inc. with the SEC on December 15, 2023, and incorporated herein by reference.</w:t>
            </w:r>
          </w:p>
          <w:p>
            <w:pPr>
              <w:pStyle w:val="TableContents"/>
              <w:bidi w:val="0"/>
              <w:spacing w:before="0" w:after="0"/>
              <w:jc w:val="left"/>
              <w:rPr/>
            </w:pPr>
            <w:r>
              <w:rPr/>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4.1(a)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December 21, 2012, between and among Mylan Inc., as issuer, the guarantors named therein, and The Bank of New York Mellon, as trustee, filed as Exhibit 4.1 to the Report on Form 8-K filed by Mylan Inc. with the SEC on December 24, 2012, and incorporated herein by reference.</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4.1(b)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February 27, 2015, between and among Mylan Inc., as issuer, Mylan N.V., as guarantor, and The Bank of New York Mellon, as trustee, to the Indenture, dated December 21, 2012, filed as Exhibit 4.4 to the Report on Form 8-K filed by Mylan N.V. with the SEC on February 27, 2015, and incorporated herein by reference.</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4.1(c)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March 12, 2015, between and among Mylan Inc., as issuer, Mylan N.V., as parent, and The Bank of New York Mellon, as trustee, to the Indenture, dated December 21, 2012, filed by Mylan N.V. as Exhibit 4.3(b) to Form 10-Q for the quarter ended March 31, 2015, and incorporated herein by reference.</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4.1(d)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November 16, 2020, by and among Mylan Inc., Viatris Inc., Utah Acquisition Sub Inc., Mylan II B.V. and the Bank of New York Mellon, as trustee, to the Indenture dated December 21, 2012, by and between Mylan Inc. and the Bank of New York Mellon, as trustee, filed as Exhibit 4.6 to the Report on Form 8-K/A filed by Viatris Inc. with the SEC on November 19, 2020, and incorporated herein by reference.</w:t>
            </w:r>
          </w:p>
        </w:tc>
      </w:tr>
      <w:tr>
        <w:trPr/>
        <w:tc>
          <w:tcPr>
            <w:tcW w:w="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4.2(a)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November 29, 2013, between Mylan Inc. and The Bank of New York Mellon, as trustee, filed as Exhibit 4.1 to the Report on Form 8-K filed by Mylan Inc. with the SEC on November 29, 2013,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68"/>
        <w:gridCol w:w="147"/>
        <w:gridCol w:w="149"/>
        <w:gridCol w:w="109"/>
        <w:gridCol w:w="109"/>
        <w:gridCol w:w="109"/>
        <w:gridCol w:w="2751"/>
        <w:gridCol w:w="2751"/>
        <w:gridCol w:w="3912"/>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4.2(b)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29, 2013, between Mylan Inc. and The Bank of New York Mellon, as trustee, filed as Exhibit 4.2 to the Report on Form 8-K filed by Mylan Inc. with the SEC on November 29, 2013,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4.2(c)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Supplemental Indenture, dated February 27, 2015, among Mylan Inc., as issuer, Mylan N.V., as guarantor, and The Bank of New York Mellon, as trustee, to the Indenture, dated November 29, 2013, filed as Exhibit 4.6 to the Report on Form 8-K filed by Mylan N.V. with the SEC on February 27, 2015, and incorporated herein by reference. </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4.2(d)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March 12, 2015, between and among Mylan Inc., as issuer, Mylan N.V., as parent, and The Bank of New York Mellon, as trustee, to the Indenture, dated November 29, 2013, filed by Mylan N.V. as Exhibit 4.5(b) to Form 10-Q for the quarter ended March 31, 2015,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4.2(e)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Fourth Supplemental Indenture dated November 16, 2020, by and among Mylan Inc., Viatris Inc., Utah Acquisition Sub Inc., Mylan II B.V. and the Bank of New York Mellon, as trustee, to the Indenture dated November 29, 2013, by and between Mylan Inc. and the Bank of New York Mellon, as trustee, filed as Exhibit 4.7 to the Report on Form 8-K/A filed by Viatris Inc. with the SEC on November 19, 2020, and incorporated herein by reference. </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4.3(a)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June 9, 2016, among Mylan N.V., as issuer, Mylan Inc., as guarantor, and The Bank of New York Mellon, as trustee, filed as Exhibit 4.1 to the Report on Form 8-K filed by Mylan N.V. with the SEC on June 15, 2016,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4.3(b)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16, 2020, by and among Viatris Inc., Utah Acquisition Sub Inc., Mylan II B.V., Mylan Inc. and the Bank of New York Mellon, as trustee, to the Indenture dated June 9, 2016, by and among Mylan N.V., Mylan Inc. and the Bank of New York Mellon, as trustee, filed as Exhibit 4.4 to the Report on Form 8-K/A filed by Viatris Inc. with the SEC on November 19, 2020,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4.4(a)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November 22, 2016, among Mylan N.V., as issuer, Mylan, Inc., as guarantor and Citibank, N.A., London Branch, as trustee, paying agent, transfer agent, registrar and calculation agent, filed by Mylan N.V. as Exhibit 4.9 to Form 10-K for the fiscal year ended December 31, 2016,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4.4(b)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16, 2020, by and among Viatris Inc., Utah Acquisition Sub Inc., Mylan II B.V., Mylan Inc. and Citibank, N.A., London Branch, as trustee, paying agent, transfer agent, and registrar, to the Indenture dated November 22, 2016, by and among Mylan N.V., Mylan Inc. and Citibank, N.A., London Branch, as trustee, paying agent, transfer agent, registrar and calculation agent, filed as Exhibit 4.5 to the Report on Form 8-K/A filed by Viatris Inc. with the SEC on November 19, 2020,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4.5(a)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April 9, 2018, among Mylan Inc., as issuer, Mylan N.V., as guarantor, and the Bank of New York Mellon, as trustee, filed as Exhibit 4.1 to the Report on Form 8-K filed by Mylan N.V. with the SEC on April 9, 2018,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4.5(b)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Supplemental Indenture dated November 16, 2020, by and among Mylan Inc., Viatris Inc., Utah Acquisition Sub Inc., Mylan II B.V. and the Bank of New York Mellon, as trustee, to the Indenture dated April 9, 2018, by and among Mylan Inc., Mylan N.V. and the Bank of New York Mellon, as trustee, filed as Exhibit 4.8 to the Report on Form 8-K/A filed by Viatris Inc. with the SEC on November 19, 2020, and incorporated herein by reference. </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4.6(a)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May 23, 2018, among Mylan Inc., as issuer, Mylan N.V., as guarantor, and Citibank, N.A., London Branch, as trustee, paying agent, transfer agent and registrar, filed as Exhibit 4.1 to the Report on Form 8-K filed by Mylan N.V. with the SEC on May 23, 2018,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4.6(b)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16, 2020, by and among Mylan Inc., Viatris Inc., Utah Acquisition Sub Inc., Mylan II B.V. and Citibank, N.A., London Branch, as trustee, paying agent, transfer agent, and registrar, to the Indenture dated May 23, 2018, by and among Mylan Inc., Mylan N.V. and Citibank, N.A., London Branch, as trustee, paying agent, transfer agent, and registrar, filed as Exhibit 4.9 to the Report on Form 8-K/A filed by Viatris Inc. with the SEC on November 19, 2020,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4.7(a)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Indenture, dated as of June 22, 2020, between Upjohn Inc., as issuer, and The Bank of New York Mellon, as trustee, filed as Exhibit 4.1 to the Report on Form 8-K filed by Upjohn Inc. with the SEC on June 26, 2020, and incorporated herein by reference.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23"/>
        <w:gridCol w:w="190"/>
        <w:gridCol w:w="154"/>
        <w:gridCol w:w="109"/>
        <w:gridCol w:w="109"/>
        <w:gridCol w:w="109"/>
        <w:gridCol w:w="2976"/>
        <w:gridCol w:w="2615"/>
        <w:gridCol w:w="3720"/>
      </w:tblGrid>
      <w:tr>
        <w:trPr/>
        <w:tc>
          <w:tcPr>
            <w:tcW w:w="2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4.7(b)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Supplemental Indenture dated November 16, 2020, by and among Viatris Inc., Utah Acquisition Sub Inc., Mylan II B.V., Mylan Inc. and the Bank of New York Mellon, as trustee, to the Indenture dated June 22, 2020, by and among Viatris Inc. and the Bank of New York Mellon, as trustee, filed as Exhibit 4.1 to the Report on Form 8-K/A filed by Viatris Inc. with the SEC on November 19, 2020, and incorporated herein by reference. </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4.8(a)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June 23, 2020, among Upjohn Finance B.V., as issuer, Upjohn Inc., as guarantor, and Citibank, N.A., London Branch, as trustee, transfer agent, paying agent and registrar, filed as Exhibit 4.9 to the Report on Form 8-K filed by Upjohn Inc. with the SEC on June 26,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4.8(b)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Supplemental Indenture dated November 16, 2020, by and among Upjohn Finance B.V., Viatris Inc., Utah Acquisition Sub Inc., Mylan II B.V., Mylan Inc. and Citibank, N.A., London Branch, as trustee, paying agent, transfer agent, and registrar, to the Indenture dated June 23, 2020, by and among Upjohn Finance B.V., Viatris Inc. and Citibank, N.A., London Branch, as trustee, paying agent, transfer agent, and registrar, filed as Exhibit 4.2 to the Report on Form 8-K/A filed by Viatris Inc. with the SEC on November 19, 2020, and incorporated herein by reference. </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49xvtrsx20231231x10-k.htm">
              <w:r>
                <w:rPr>
                  <w:rStyle w:val="InternetLink"/>
                  <w:rFonts w:ascii="Times New Roman;sans-serif" w:hAnsi="Times New Roman;sans-serif"/>
                  <w:b w:val="false"/>
                  <w:color w:val="0000FF"/>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Viatris Inc. Securities Registered Under Section 12 of the Exchange Act.</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2020 Stock Incentive Plan, included as Exhibit 10.1 to Amendment No. 1 to Form 10 filed by Upjohn Inc. with the SEC on February 6,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Make-Whole Restricted Stock Unit Award Agreement under the Viatris 2020 Stock Incentive Plan, filed by Viatris Inc. as Exhibit 10.1(b) to Form 10-K for the fiscal year ended December 31,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Retention Restricted Stock Unit Award Agreement under the Viatris 2020 Stock Incentive Plan, filed by Viatris Inc. as Exhibit 10.1(c) to Form 10-K for the fiscal year ended December 31,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10.1(d)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under the Viatris 2020 Stock Incentive Plan for Michael Goettler and Sanjeev Narula, filed by Viatris Inc. as Exhibit 10.1(d) to Form 10-K for the fiscal year ended December 31,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10.1(e)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Value Creation Incentive Award Performance-Based Restricted Stock Unit Award Agreement for Robert J. Coury under the Viatris Inc. 2020 Stock Incentive Plan, effective as of November 23, 2020, filed by Viatris Inc. as Exhibit 10.1(e) to Form 10-K for the fiscal year ended December 31,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10.1(f)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under the Viatris Inc. 2020 Stock Incentive Plan for awards granted on or after March 2, 2021, filed by Viatris Inc. as Exhibit 10.1 to Form 10-Q for the quarter ended March 31, 2021,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10.1(g)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shd w:fill="FFFFFF" w:val="clear"/>
              </w:rPr>
              <w:t xml:space="preserve">Form of Performance-Based Restricted Stock Unit Award Agreement under the Viatris Inc. 2020 Stock Incentive Plan for awards granted on or after March 2, 2021, filed by Viatris Inc. as Exhibit 10.2 to Form 10-Q for the quarter ended March </w:t>
            </w:r>
            <w:r>
              <w:rPr>
                <w:rFonts w:ascii="Times New Roman;sans-serif" w:hAnsi="Times New Roman;sans-serif"/>
                <w:b w:val="false"/>
                <w:color w:val="008080"/>
                <w:sz w:val="20"/>
              </w:rPr>
              <w:t>3</w:t>
            </w:r>
            <w:r>
              <w:rPr>
                <w:rFonts w:ascii="Times New Roman;sans-serif" w:hAnsi="Times New Roman;sans-serif"/>
                <w:b w:val="false"/>
                <w:color w:val="000000"/>
                <w:sz w:val="20"/>
                <w:shd w:fill="FFFFFF" w:val="clear"/>
              </w:rPr>
              <w:t>1, 2021,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10.1(h)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shd w:fill="FFFFFF" w:val="clear"/>
              </w:rPr>
              <w:t>Form of Director Restricted Stock Unit Award Agreement under the Viatris Inc. 2020 Stock Incentive Plan for non-employee directors for awards granted on or after March 2, 2021, filed by Viatris Inc. as Exhibit 10.</w:t>
            </w:r>
            <w:r>
              <w:rPr>
                <w:rFonts w:ascii="Times New Roman;sans-serif" w:hAnsi="Times New Roman;sans-serif"/>
                <w:b w:val="false"/>
                <w:color w:val="000000"/>
                <w:sz w:val="20"/>
              </w:rPr>
              <w:t>3</w:t>
            </w:r>
            <w:r>
              <w:rPr>
                <w:color w:val="000000"/>
                <w:shd w:fill="FFFFFF" w:val="clear"/>
              </w:rPr>
              <w:t xml:space="preserve"> </w:t>
            </w:r>
            <w:r>
              <w:rPr>
                <w:rFonts w:ascii="Times New Roman;sans-serif" w:hAnsi="Times New Roman;sans-serif"/>
                <w:b w:val="false"/>
                <w:color w:val="000000"/>
                <w:sz w:val="20"/>
                <w:shd w:fill="FFFFFF" w:val="clear"/>
              </w:rPr>
              <w:t xml:space="preserve">to Form 10-Q for the quarter ended March </w:t>
            </w:r>
            <w:r>
              <w:rPr>
                <w:rFonts w:ascii="Times New Roman;sans-serif" w:hAnsi="Times New Roman;sans-serif"/>
                <w:b w:val="false"/>
                <w:color w:val="000000"/>
                <w:sz w:val="20"/>
              </w:rPr>
              <w:t>3</w:t>
            </w:r>
            <w:r>
              <w:rPr>
                <w:rFonts w:ascii="Times New Roman;sans-serif" w:hAnsi="Times New Roman;sans-serif"/>
                <w:b w:val="false"/>
                <w:color w:val="000000"/>
                <w:sz w:val="20"/>
                <w:shd w:fill="FFFFFF" w:val="clear"/>
              </w:rPr>
              <w:t>1, 2021,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10.1(i)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Performance-Based Restricted Stock Unit Award Agreement under the Viatris Inc. 2020 Stock Incentive Plan for awards granted on or after March 3, 2023, filed by Viatris Inc. as Exhibit 10.3 to Form 10-Q for the quarter ended March 31,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10.1(j)</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 Pharma, Inc. 2016 Equity Incentive Plan, filed as Exhibit 99.1 to Form S-8 filed by Viatris Inc. with the SEC on March 3,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10.1(k)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 Pharma, Inc. 2019 Equity Incentive Plan, filed as Exhibit 99.2 to Form S-8 filed by Viatris Inc. with the SEC on March 3,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10.1(l)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 Pharma, Inc. 2021 Inducement Plan, filed as Exhibit 99.3 to Form S-8 filed by Viatris Inc. with the SEC on March 3, 2023,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52"/>
        <w:gridCol w:w="223"/>
        <w:gridCol w:w="227"/>
        <w:gridCol w:w="109"/>
        <w:gridCol w:w="109"/>
        <w:gridCol w:w="109"/>
        <w:gridCol w:w="2690"/>
        <w:gridCol w:w="2681"/>
        <w:gridCol w:w="3805"/>
      </w:tblGrid>
      <w:tr>
        <w:trPr/>
        <w:tc>
          <w:tcPr>
            <w:tcW w:w="2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entered into on February 6, 2020 by and between Pfizer Inc. and Sanjeev Narula, filed by Viatris Inc. as Exhibit 10.2 to Form 10-K for the fiscal year ended December 31, 2020,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entered into on June 25, 2019 by and between Pfizer Inc. and Sanjeev Narula, filed by Viatris Inc. as Exhibit 10.3 to Form 10-K for the fiscal year ended December 31, 2020,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entered into on June 26, 2019 by and between Pfizer Inc. and Michael Goettler, filed by Viatris Inc. as Exhibit 10.4 to Form 10-K for the fiscal year ended December 31, 2020,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entered into on July 29, 2019 by and between Pfizer Inc. and Michael Goettler, filed by Viatris Inc. as Exhibit 10.5 to Form 10-K for the fiscal year ended December 31, 2020,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Severance Agreement entered into on December 3, 2020 by and between Viatris Inc. and Michael Goettler, filed by Viatris Inc. as Exhibit 10.6 to Form 10-K for the fiscal year ended December 31, 2020,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 with Michael Goettler, dated February 24, 2023, filed as Exhibit 10.2 to the Report on Form 8-K filed by Viatris Inc. with the SEC on February 27, 2023,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Retention Agreement entered into on December 3, 2020, by and between Viatris Inc. and Rajiv Malik, filed by Viatris Inc. as Exhibit 10.7 to Form 10-K for the fiscal year ended December 31, 2020,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Retention Agreement entered into on December 3, 2020, by and between Viatris Inc. and Anthony Mauro, filed by Viatris Inc. as Exhibit 10.1 to Amendment No. 1 to Form 10-K for the fiscal year ended December 31, 2020,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entered into on November 20, 2020, by and between Viatris Inc. and Robert J. Coury, filed by Viatris Inc. as Exhibit 10.9 to Form 10-K for the fiscal year ended December 31, 2020,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Advisory Agreement and Release, dated May 19, 2023, by and between Viatris Inc. and Robert J. Coury, filed by Viatris Inc. as Exhibit 10.2 to Form 10-Q for the quarter ended June 30, 2023,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with Scott A. Smith, dated February 24, 2023, filed as Exhibit 10.1 to the Report on Form 8-K filed by Viatris Inc. with the SEC on February 27, 2023,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13xvtrsx20231231x10-k.htm">
              <w:r>
                <w:rPr>
                  <w:rStyle w:val="InternetLink"/>
                  <w:rFonts w:ascii="Times New Roman;sans-serif" w:hAnsi="Times New Roman;sans-serif"/>
                  <w:b w:val="false"/>
                  <w:color w:val="000080"/>
                  <w:sz w:val="20"/>
                  <w:u w:val="single"/>
                </w:rPr>
                <w:t>10.1</w:t>
              </w:r>
            </w:hyperlink>
            <w:hyperlink w:anchor="ex_1013xvtrsx20231231x10-k.htm">
              <w:r>
                <w:rPr>
                  <w:rStyle w:val="InternetLink"/>
                  <w:rFonts w:ascii="Times New Roman;sans-serif" w:hAnsi="Times New Roman;sans-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with Theodora (Doretta) Mistras, dated December 15, 2023.*</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14xvtrsx20231231x10-k.htm">
              <w:r>
                <w:rPr>
                  <w:rStyle w:val="InternetLink"/>
                  <w:rFonts w:ascii="Times New Roman;sans-serif" w:hAnsi="Times New Roman;sans-serif"/>
                  <w:b w:val="false"/>
                  <w:color w:val="000080"/>
                  <w:sz w:val="20"/>
                  <w:u w:val="single"/>
                </w:rPr>
                <w:t>10.1</w:t>
              </w:r>
            </w:hyperlink>
            <w:hyperlink w:anchor="ex_1014xvtrsx20231231x10-k.htm">
              <w:r>
                <w:rPr>
                  <w:rStyle w:val="InternetLink"/>
                  <w:rFonts w:ascii="Times New Roman;sans-serif" w:hAnsi="Times New Roman;sans-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Retirement and Operating Consulting Agreement and Release with Rajiv Malik, dated October 20, 2023.*</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15xvtrsx20231231x10-k.htm">
              <w:r>
                <w:rPr>
                  <w:rStyle w:val="InternetLink"/>
                  <w:rFonts w:ascii="Times New Roman;sans-serif" w:hAnsi="Times New Roman;sans-serif"/>
                  <w:b w:val="false"/>
                  <w:color w:val="000080"/>
                  <w:sz w:val="20"/>
                  <w:u w:val="single"/>
                </w:rPr>
                <w:t>10.1</w:t>
              </w:r>
            </w:hyperlink>
            <w:hyperlink w:anchor="ex_1015xvtrsx20231231x10-k.htm">
              <w:r>
                <w:rPr>
                  <w:rStyle w:val="InternetLink"/>
                  <w:rFonts w:ascii="Times New Roman;sans-serif" w:hAnsi="Times New Roman;sans-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 and Release with Anthony Mauro, dated October 20, 2023.*</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16xvtrsx20231231x10-k.htm">
              <w:r>
                <w:rPr>
                  <w:rStyle w:val="InternetLink"/>
                  <w:rFonts w:ascii="Times New Roman;sans-serif" w:hAnsi="Times New Roman;sans-serif"/>
                  <w:b w:val="false"/>
                  <w:color w:val="000080"/>
                  <w:sz w:val="20"/>
                  <w:u w:val="single"/>
                </w:rPr>
                <w:t>10.1</w:t>
              </w:r>
            </w:hyperlink>
            <w:hyperlink w:anchor="ex_1016xvtrsx20231231x10-k.htm">
              <w:r>
                <w:rPr>
                  <w:rStyle w:val="InternetLink"/>
                  <w:rFonts w:ascii="Times New Roman;sans-serif" w:hAnsi="Times New Roman;sans-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 and Release with Sanjeev Narula, dated December 15, 2023.*</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"http://www.sec.gov/Archives/edgar/data/1623613/000119312516602386/d157810ddef14a.htm" \l "toc157810_69"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10.17(a)</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Amended and Restated 2003 Long-Term Incentive Plan, filed as Appendix B to Mylan N.V.’s Definitive Proxy Statement on Schedule 14A filed by Mylan N.V. with the SEC on May 25, 2016,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"http://www.sec.gov/Archives/edgar/data/1623613/000119312516602386/d157810ddef14a.htm" \l "toc157810_69"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10.17(b)</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Mylan N.V. Amended and Restated 2003 Long-Term Incentive Plan, filed as Appendix B to Mylan N.V.’s Definitive Proxy Statement on Schedule 14A filed by Mylan N.V. on May 25, 2016,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10.17(c)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the Mylan N.V. Amended and Restated 2003 Long-Term Incentive Plan, adopted as of February 23, 2017, filed by Mylan N.V. as Exhibit 10.1 to Form 10-Q for the quarter ended March 31, 2017,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10.17(d)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Form of Stock Option Agreement under the Mylan N.V. 2003 Long-Term Incentive Plan for Robert J. Coury and Rajiv Malik, filed by Mylan Inc. as Exhibit 10.2 to Form 10-Q for the quarter ended September 30, 2013, and incorporated herein by reference.*</w:t>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10.17(e)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Form of Stock Option Agreement under the Mylan N.V. 2003 Long-Term Incentive Plan for awards granted following fiscal year 2012, filed by Mylan Inc. as Exhibit 10.4(i) to Form 10-K for the fiscal year ended December 31, 2013,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1"/>
        <w:gridCol w:w="223"/>
        <w:gridCol w:w="109"/>
        <w:gridCol w:w="109"/>
        <w:gridCol w:w="109"/>
        <w:gridCol w:w="2707"/>
        <w:gridCol w:w="2676"/>
        <w:gridCol w:w="3798"/>
      </w:tblGrid>
      <w:tr>
        <w:trPr/>
        <w:tc>
          <w:tcPr>
            <w:tcW w:w="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10.17(f)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Robert J. Coury and Rajiv Malik for awards granted after February 27, 2015, filed by Mylan N.V. as Exhibit 10.1(i) to Form 10-K for the fiscal year ended December 31, 2015,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FF"/>
                  <w:sz w:val="20"/>
                  <w:u w:val="single"/>
                </w:rPr>
                <w:t>10.17(g)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awards granted after February 27, 2015, filed by Mylan N.V. as Exhibit 10.1(l) to Form 10-K for the fiscal year ended December 31, 2015,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10.17(h)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Rajiv Malik for awards granted on or after February 19, 2019, filed by Mylan N.V. as Exhibit 10.7 to Form 10-Q for the quarter ended March 31, 2019,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20"/>
                  <w:u w:val="single"/>
                </w:rPr>
                <w:t>10.17(i)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independent directors for awards granted on or after March 2, 2020, filed by Mylan N.V. as Exhibit 10.2 to Form 10-Q for the quarter ended March 31, 2020,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212529"/>
                <w:sz w:val="20"/>
              </w:rPr>
              <w:t>Mylan N.V. Severance Plan and Global Guidelines</w:t>
            </w:r>
            <w:r>
              <w:rPr>
                <w:rFonts w:ascii="Times New Roman;sans-serif" w:hAnsi="Times New Roman;sans-serif"/>
                <w:b w:val="false"/>
                <w:color w:val="000000"/>
                <w:sz w:val="20"/>
              </w:rPr>
              <w:t>, filed by Mylan N.V. as Exhibit 10.1 to Form 10-Q for the quarter ended September 30, 2019, and incorporated herein by reference.*</w:t>
            </w:r>
          </w:p>
          <w:p>
            <w:pPr>
              <w:pStyle w:val="TableContents"/>
              <w:bidi w:val="0"/>
              <w:spacing w:before="0" w:after="0"/>
              <w:jc w:val="left"/>
              <w:rPr/>
            </w:pPr>
            <w:r>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Benefit Agreement, dated August 31, 2009, by and between Mylan Inc. and Rajiv Malik, filed by Mylan Inc. as Exhibit 10.4 to Form 10-Q for the quarter ended September 30, 2009,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10.20(a)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Succession Agreement, dated January 31, 2007, between Mylan Inc. and Rajiv Malik, filed by Mylan Inc. as Exhibit 10.5 to Form 10-Q for the quarter ended March 31, 2008,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FF"/>
                  <w:sz w:val="20"/>
                  <w:u w:val="single"/>
                </w:rPr>
                <w:t>10.20(b)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Transition and Succession Agreement, dated December 22, 2008, between Mylan Inc. and Rajiv Malik, filed by Mylan Inc. as Exhibit 10.28(b) to Form 10-K for the fiscal year ended December 31, 2008,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10.21(a)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Succession Agreement, dated February 25, 2008, by and between Mylan Inc. and Anthony Mauro, filed by Mylan Inc. as Exhibit 10.5(a) to Form 10-Q for the quarter ended March 31, 2012,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ans-serif" w:hAnsi="Times New Roman;sans-serif"/>
                  <w:b w:val="false"/>
                  <w:color w:val="0000FF"/>
                  <w:sz w:val="20"/>
                  <w:u w:val="single"/>
                </w:rPr>
                <w:t>10.21(b)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Transition and Succession Agreement, dated December 15, 2008, by and between Mylan Inc. and Anthony Mauro, filed by Mylan Inc. as Exhibit 10.5(b) to Form 10-Q for the quarter ended March 31, 2012,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10.21(c)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to Transition and Succession Agreement, dated October 15, 2009, by and between Mylan Inc. and Anthony Mauro, filed by Mylan Inc. as Exhibit 10.5(c) to Form 10-Q for the quarter ended March 31, 2012,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FF"/>
                  <w:sz w:val="20"/>
                  <w:u w:val="single"/>
                </w:rPr>
                <w:t>10.22(a)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401(k) Restoration Plan, dated January 1, 2010, filed by Mylan Inc. as Exhibit 10.1 to the Report on Form 8-K filed by Mylan Inc. with the SEC on December 14, 2009,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FF"/>
                  <w:sz w:val="20"/>
                  <w:u w:val="single"/>
                </w:rPr>
                <w:t>10.22(b)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Mylan 401(k) Restoration Plan, dated November 4, 2014, filed by Mylan Inc. as Exhibit 10.41(b) to Form 10-K for the fiscal year ended December 31, 2014,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ans-serif" w:hAnsi="Times New Roman;sans-serif"/>
                  <w:b w:val="false"/>
                  <w:color w:val="0000FF"/>
                  <w:sz w:val="20"/>
                  <w:u w:val="single"/>
                </w:rPr>
                <w:t>10.23(a)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Executive Income Deferral Plan, filed by Mylan Inc. as Exhibit 10.2 to the Report on Form 8-K filed by Mylan Inc. with the SEC on December 14, 2009,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000FF"/>
                  <w:sz w:val="20"/>
                  <w:u w:val="single"/>
                </w:rPr>
                <w:t>10.23(b)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Mylan Executive Income Deferral Plan, dated November 4, 2014, filed by Mylan Inc. as Exhibit 10.42(b) to Form 10-K for the fiscal year ended December 31, 2014,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ans-serif" w:hAnsi="Times New Roman;sans-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Executive Nonqualified Excess Plan Adoption Agreement, effective as of December 28, 2007, between Mylan International Holdings, Inc. and Rajiv Malik, filed by Mylan Inc. as Exhibit 10.27(b) to Form 10-K for the fiscal year ended December 31, 2013,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ans-serif" w:hAnsi="Times New Roman;sans-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Executive Nonqualified Excess Plan, effective as of December 28, 2007, between Mylan International Holdings, Inc. and Rajiv Malik, filed by Mylan Inc. as Exhibit 10.57 to Form 10-K for the fiscal year ended December 31, 2013, and incorporated herein by reference.*</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ans-serif" w:hAnsi="Times New Roman;sans-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Executive Employment Agreement, entered into on February 25, 2019, and effective as of April 1, 2019, by and between Mylan Inc. and Rajiv Malik, filed by Mylan N.V. as Exhibit 10.20(c) to Form 10-K for the fiscal year ended December 31, 2018,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46"/>
        <w:gridCol w:w="216"/>
        <w:gridCol w:w="219"/>
        <w:gridCol w:w="109"/>
        <w:gridCol w:w="109"/>
        <w:gridCol w:w="109"/>
        <w:gridCol w:w="2828"/>
        <w:gridCol w:w="2629"/>
        <w:gridCol w:w="3740"/>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ans-serif" w:hAnsi="Times New Roman;sans-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dated as of February 25, 2019, and effective as of April 1, 2019, by and between Mylan Inc. and Anthony Mauro, filed by Mylan N.V. as Exhibit 10.21(b) to Form 10-K for the fiscal year ended December 31, 2018, and incorporated herein by reference.*</w:t>
            </w:r>
          </w:p>
          <w:p>
            <w:pPr>
              <w:pStyle w:val="TableContents"/>
              <w:bidi w:val="0"/>
              <w:spacing w:before="0" w:after="0"/>
              <w:jc w:val="left"/>
              <w:rPr/>
            </w:pPr>
            <w:r>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ans-serif" w:hAnsi="Times New Roman;sans-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2007 Supplemental Health Insurance Plan for Certain Key Employees of Mylan Laboratories Inc., adopted as of January 29, 2007, filed by Mylan N.V. as Exhibit 10.29 to the Form 10-K for the fiscal year ended December 31, 2019 and incorporated herein by reference.*</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between Viatris Inc. and each of its directors and its executive officers, filed by Viatris Inc. as Exhibit 10.25 to Form 10-K for the fiscal year ended December 31, 2020, and incorporated herein by reference.*</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ans-serif" w:hAnsi="Times New Roman;sans-serif"/>
                  <w:b w:val="false"/>
                  <w:color w:val="0000FF"/>
                  <w:sz w:val="20"/>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Form of Indemnification Agreement between Mylan Inc. and each Director, filed by Mylan Inc. as Exhibit 10.38 to Form 10-K for the fiscal year ended December 31, 2013, and incorporated herein by reference.*</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ans-serif" w:hAnsi="Times New Roman;sans-serif"/>
                  <w:b w:val="false"/>
                  <w:color w:val="0000FF"/>
                  <w:sz w:val="20"/>
                  <w:u w:val="single"/>
                </w:rPr>
                <w:t>10.31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between Mylan N.V. and directors, filed as Exhibit 10.1 to the Report on Form 8-K filed by Mylan N.V. with the SEC on February 27, 2015, and incorporated herein by reference.*</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ans-serif" w:hAnsi="Times New Roman;sans-serif"/>
                  <w:b w:val="false"/>
                  <w:color w:val="0000FF"/>
                  <w:sz w:val="20"/>
                  <w:u w:val="single"/>
                </w:rPr>
                <w:t>10.32(a)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Revolving Credit Agreement, dated as of July 1, 2021, among Viatris, the guarantors from time to time party thereto, the lenders and issuing banks from time to time party thereto and Bank of America, N.A., as administrative agent, filed as Exhibit 10.1 to the Report on Form 8-K filed by Viatris Inc. with the SEC on July 1, 2021, and incorporated herein by reference. ^</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ans-serif" w:hAnsi="Times New Roman;sans-serif"/>
                  <w:b w:val="false"/>
                  <w:color w:val="0000FF"/>
                  <w:sz w:val="20"/>
                  <w:u w:val="single"/>
                </w:rPr>
                <w:t>10.32(b)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LIBOR Transition Amendment, dated as of April 28, 2023, to the Amended and Restated Revolving Credit Agreement, dated as of July 1, 2021, among Viatris Inc., the guarantors from time to time party thereto, the lenders and issuing banks from time to time party thereto and Bank of America, N.A., as administrative agent, filed by Viatris Inc. as Exhibit 10.4 to Form 10-Q for the quarter ended March 31, 2023, and incorporated herein by reference.^</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ans-serif" w:hAnsi="Times New Roman;sans-serif"/>
                  <w:b w:val="false"/>
                  <w:color w:val="0000FF"/>
                  <w:sz w:val="20"/>
                  <w:u w:val="single"/>
                </w:rPr>
                <w:t>10.33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shd w:fill="FFFFFF" w:val="clear"/>
              </w:rPr>
              <w:t xml:space="preserve">Term Loan Credit Agreement, dated as of July 1, 2021, among Viatris, the guarantors from time to time party thereto, the lenders from time to time party thereto and Mizuho Bank, Ltd., as administrative agent, filed as Exhibit 10.2 to the Report on Form 8-K filed by Viatris Inc. with the SEC on July 1, 2021, and incorporated herein by reference. </w:t>
            </w:r>
            <w:r>
              <w:rPr>
                <w:rFonts w:ascii="Times New Roman;sans-serif" w:hAnsi="Times New Roman;sans-serif"/>
                <w:b w:val="false"/>
                <w:color w:val="000000"/>
                <w:sz w:val="20"/>
              </w:rPr>
              <w:t>^</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ans-serif" w:hAnsi="Times New Roman;sans-serif"/>
                  <w:b w:val="false"/>
                  <w:color w:val="0000FF"/>
                  <w:sz w:val="20"/>
                  <w:u w:val="single"/>
                </w:rPr>
                <w:t>10.34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Commercial Paper Dealer Agreement among Viatris Inc., Utah Acquisition Sub Inc., Mylan II B.V., Mylan Inc. and the dealer thereto, filed as Exhibit 10.1 to the Report on Form 8-K/A filed by Viatris Inc. with the SEC on November 19, 2020, and incorporated herein by reference. </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ans-serif" w:hAnsi="Times New Roman;sans-serif"/>
                  <w:b w:val="false"/>
                  <w:color w:val="0000FF"/>
                  <w:sz w:val="20"/>
                  <w:u w:val="single"/>
                </w:rPr>
                <w:t>10.35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Agreement with the U.S. Department of Justice and two relators finalizing the Medicaid drug rebate settlement, dated August 16, 2017, filed as Exhibit 10.1 to the Report on Form 8-K filed by Mylan N.V. with the SEC on August 21, 2017, and incorporated herein by reference.</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ans-serif" w:hAnsi="Times New Roman;sans-serif"/>
                  <w:b w:val="false"/>
                  <w:color w:val="0000FF"/>
                  <w:sz w:val="20"/>
                  <w:u w:val="single"/>
                </w:rPr>
                <w:t>10.36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Integrity Agreement between the Office of Inspector General of the Department of Health and Human Services and Mylan Inc. and Mylan Specialty L.P., dated August 16, 2017, filed as Exhibit 10.2 to the Report on Form 8-K filed by Mylan N.V. with the SEC on August 21, 2017, and incorporated herein by reference.</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ans-serif" w:hAnsi="Times New Roman;sans-serif"/>
                  <w:b w:val="false"/>
                  <w:color w:val="0000FF"/>
                  <w:sz w:val="20"/>
                  <w:u w:val="single"/>
                </w:rPr>
                <w:t>10.37(a)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Purchase Agreement, dated as of September 7, 2020, between Aspen Global Incorporated and Mylan Ireland Limited, filed by Mylan N.V. as Exhibit 10.2 to the Form 10-Q for the quarter ended September 30, 2020, and incorporated herein by reference.^</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ans-serif" w:hAnsi="Times New Roman;sans-serif"/>
                  <w:b w:val="false"/>
                  <w:color w:val="0000FF"/>
                  <w:sz w:val="20"/>
                  <w:u w:val="single"/>
                </w:rPr>
                <w:t>10.37(b)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dated as of November 5, 2020, to the Asset Purchase Agreement dated as of September 7, 2020, between Aspen Global Incorporated and Mylan Ireland Limited, filed by Viatris Inc. as Exhibit 10.34(b) to Form 10-K for the fiscal year ended December 31, 2020, and incorporated herein by reference. ^</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ans-serif" w:hAnsi="Times New Roman;sans-serif"/>
                  <w:b w:val="false"/>
                  <w:color w:val="0000FF"/>
                  <w:sz w:val="20"/>
                  <w:u w:val="single"/>
                </w:rPr>
                <w:t>10.38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 dated as of November 16, 2020, by and between Pfizer Inc. (as Service Provider) and Upjohn Inc. (as Service Recipient), filed as Exhibit 10.1 to the Report on Form 8-K filed by Viatris Inc. with the SEC on November 19, 2020, and incorporated herein by reference. ^</w:t>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ans-serif" w:hAnsi="Times New Roman;sans-serif"/>
                  <w:b w:val="false"/>
                  <w:color w:val="0000FF"/>
                  <w:sz w:val="20"/>
                  <w:u w:val="single"/>
                </w:rPr>
                <w:t>10.39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 dated as of November 16, 2020, by and between Upjohn Inc. (as Service Provider) and Pfizer Inc. (as Service Recipient), filed as Exhibit 10.2 to the Report on Form 8-K filed by Viatris Inc. with the SEC on November 19, 2020, and incorporated herein by reference.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47"/>
        <w:gridCol w:w="217"/>
        <w:gridCol w:w="219"/>
        <w:gridCol w:w="109"/>
        <w:gridCol w:w="109"/>
        <w:gridCol w:w="109"/>
        <w:gridCol w:w="2821"/>
        <w:gridCol w:w="2635"/>
        <w:gridCol w:w="3739"/>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ans-serif" w:hAnsi="Times New Roman;sans-serif"/>
                  <w:b w:val="false"/>
                  <w:color w:val="0000FF"/>
                  <w:sz w:val="20"/>
                  <w:u w:val="single"/>
                </w:rPr>
                <w:t>10.40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Matters Agreement, dated as of November 16, 2020, by and between Pfizer Inc. and Upjohn Inc., filed as Exhibit 10.3 to the Report on Form 8-K filed by Viatris Inc. with the SEC on November 19, 2020, and incorporated herein by reference. ^</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ans-serif" w:hAnsi="Times New Roman;sans-serif"/>
                  <w:b w:val="false"/>
                  <w:color w:val="0000FF"/>
                  <w:sz w:val="20"/>
                  <w:u w:val="single"/>
                </w:rPr>
                <w:t>10.41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Matters Agreement, dated as of November 16, 2020, by and between Pfizer Inc. and Viatris Inc., filed as Exhibit 10.4 to the Report on Form 8-K filed by Viatris Inc. with the SEC on November 19, 2020, and incorporated herein by reference.^</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Times New Roman;sans-serif" w:hAnsi="Times New Roman;sans-serif"/>
                  <w:b w:val="false"/>
                  <w:color w:val="0000FF"/>
                  <w:sz w:val="20"/>
                  <w:u w:val="single"/>
                </w:rPr>
                <w:t>10.42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Supply Agreement, dated as of November 16, 2020, by and between Pfizer Inc. (as Manufacturer) and Viatris Inc. (as Customer), filed as Exhibit 10.5 to the Report on Form 8-K filed by Viatris Inc. with the SEC on November 19, 2020, and incorporated herein by reference.^</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ans-serif" w:hAnsi="Times New Roman;sans-serif"/>
                  <w:b w:val="false"/>
                  <w:color w:val="0000FF"/>
                  <w:sz w:val="20"/>
                  <w:u w:val="single"/>
                </w:rPr>
                <w:t>10.43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Supply Agreement, dated as of November 16, 2020, by and between Viatris Inc. (as Manufacturer) and Pfizer Inc. (as Customer), filed as Exhibit 10.6 to the Report on Form 8-K filed by Viatris Inc. with the SEC on November 19, 2020, and incorporated herein by reference. ^</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ans-serif" w:hAnsi="Times New Roman;sans-serif"/>
                  <w:b w:val="false"/>
                  <w:color w:val="0000FF"/>
                  <w:sz w:val="20"/>
                  <w:u w:val="single"/>
                </w:rPr>
                <w:t>10.44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Matters Agreement, dated as of November 16, 2020, by and between Pfizer Inc. and Viatris Inc., filed as Exhibit 10.7 to the Report on Form 8-K filed by Viatris Inc. with the SEC on November 19, 2020, and incorporated herein by reference. ^</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5">
              <w:r>
                <w:rPr>
                  <w:rStyle w:val="InternetLink"/>
                  <w:rFonts w:ascii="Times New Roman;sans-serif" w:hAnsi="Times New Roman;sans-serif"/>
                  <w:b w:val="false"/>
                  <w:color w:val="0000FF"/>
                  <w:sz w:val="20"/>
                  <w:u w:val="single"/>
                </w:rPr>
                <w:t>10.45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 License Agreement, dated as of November 16, 2020, by and between Pfizer Inc. and Viatris Inc., filed as Exhibit 10.8 to the Report on Form 8-K filed by Viatris Inc. with the SEC on November 19, 2020, and incorporated herein by reference. ^</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1xvtrsx20231231x10-k.htm">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registrant.</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2-vtrsx20231231x10xk.htm">
              <w:r>
                <w:rPr>
                  <w:rStyle w:val="InternetLink"/>
                  <w:rFonts w:ascii="Times New Roman;sans-serif" w:hAnsi="Times New Roman;sans-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subsidiary guarantors and issuers of guaranteed securities.</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3-vtrsx20231231x10xk.htm">
              <w:r>
                <w:rPr>
                  <w:rStyle w:val="InternetLink"/>
                  <w:rFonts w:ascii="Times New Roman;sans-serif" w:hAnsi="Times New Roman;sans-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Deloitte &amp; Touche LLP, Independent Registered Public Accounting Firm.</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rs_ex311x20231231-10k.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Section 302 of the Sarbanes-Oxley Act of 2002.</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rs_ex312x20231231-10k.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Section 302 of the Sarbanes-Oxley Act of 2002.</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rs_ex32x20231231-10k.htm">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and Principal Financial Officer pursuant to Section 906 of the Sarbanes-Oxley Act of 2002.</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97xvtrsx20231231x10-k.htm">
              <w:r>
                <w:rPr>
                  <w:rStyle w:val="InternetLink"/>
                  <w:rFonts w:ascii="Times New Roman;sans-serif" w:hAnsi="Times New Roman;sans-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Incentive-Based Compensation Recovery Policy, effective December 1, 2023.</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 (included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30"/>
        <w:gridCol w:w="2870"/>
        <w:gridCol w:w="4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Denotes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Annexes, schedules and/or exhibits have been omitted pursuant to Item 601(a)(5) of Regulation S-K. Viatris agrees to furnish supplementally a copy of any omitted attachment to the SEC on a confidential basis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w10:wrap type="none"/>
              </v:rect>
            </w:pict>
          </mc:Fallback>
        </mc:AlternateContent>
      </w:r>
    </w:p>
    <w:p>
      <w:pPr>
        <w:pStyle w:val="TextBody"/>
        <w:bidi w:val="0"/>
        <w:spacing w:lineRule="auto" w:line="288" w:before="0" w:after="0"/>
        <w:jc w:val="left"/>
        <w:rPr/>
      </w:pPr>
      <w:hyperlink w:anchor="i0b0d5c23417c472eb84c46f5f45cb005_4">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Form to be signed on its behalf by the undersigned, thereunto duly authorized on February 28, 2024.</w:t>
      </w:r>
    </w:p>
    <w:tbl>
      <w:tblPr>
        <w:tblW w:w="3099" w:type="dxa"/>
        <w:jc w:val="left"/>
        <w:tblInd w:w="0" w:type="dxa"/>
        <w:tblLayout w:type="fixed"/>
        <w:tblCellMar>
          <w:top w:w="28" w:type="dxa"/>
          <w:left w:w="28" w:type="dxa"/>
          <w:bottom w:w="28" w:type="dxa"/>
          <w:right w:w="28" w:type="dxa"/>
        </w:tblCellMar>
      </w:tblPr>
      <w:tblGrid>
        <w:gridCol w:w="124"/>
        <w:gridCol w:w="109"/>
        <w:gridCol w:w="109"/>
        <w:gridCol w:w="120"/>
        <w:gridCol w:w="120"/>
        <w:gridCol w:w="121"/>
        <w:gridCol w:w="109"/>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Form has been signed below by the following persons on behalf of the registrant and in the capacities indicated as of February 28, 2024.</w:t>
      </w:r>
    </w:p>
    <w:p>
      <w:pPr>
        <w:pStyle w:val="TextBody"/>
        <w:bidi w:val="0"/>
        <w:spacing w:lineRule="auto" w:line="288" w:before="0" w:after="0"/>
        <w:ind w:left="0" w:right="0" w:firstLine="360"/>
        <w:jc w:val="left"/>
        <w:rPr>
          <w:color w:val="000000"/>
        </w:rPr>
      </w:pPr>
      <w:r>
        <w:rPr>
          <w:color w:val="000000"/>
        </w:rPr>
        <w:t> </w:t>
      </w:r>
    </w:p>
    <w:tbl>
      <w:tblPr>
        <w:tblW w:w="7361" w:type="dxa"/>
        <w:jc w:val="left"/>
        <w:tblInd w:w="0" w:type="dxa"/>
        <w:tblLayout w:type="fixed"/>
        <w:tblCellMar>
          <w:top w:w="28" w:type="dxa"/>
          <w:left w:w="28" w:type="dxa"/>
          <w:bottom w:w="28" w:type="dxa"/>
          <w:right w:w="28" w:type="dxa"/>
        </w:tblCellMar>
      </w:tblPr>
      <w:tblGrid>
        <w:gridCol w:w="993"/>
        <w:gridCol w:w="874"/>
        <w:gridCol w:w="878"/>
        <w:gridCol w:w="109"/>
        <w:gridCol w:w="109"/>
        <w:gridCol w:w="109"/>
        <w:gridCol w:w="1248"/>
        <w:gridCol w:w="1248"/>
        <w:gridCol w:w="1793"/>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B.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Corporate Controller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B. Campbell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MELINA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Melina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 DON CORNWELL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Don Cornwell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JOELLEN LYONS DILLON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JoEllen Lyons Dillon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ELISHA FINNEY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Elisha Finney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LEO GROOTHUIS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Leo Groothuis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M. KILTS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M. Kilts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HARRY A. KORMAN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Harry A. Korman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RAJIV MALIK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Director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Rajiv Malik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A. 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A. 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 PARRISH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Vice Chair and Director</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 Parrish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2.3(d)</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OMNIBUS AMENDMENT NO. 2</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OMNIBUS AMENDMENT NO. 2, effective as of December 19, 2023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by and among Viatris Inc., a Delaware corporation (“</w:t>
      </w:r>
      <w:r>
        <w:rPr>
          <w:rFonts w:ascii="Times New Roman;sans-serif" w:hAnsi="Times New Roman;sans-serif"/>
          <w:b w:val="false"/>
          <w:color w:val="000000"/>
          <w:sz w:val="24"/>
          <w:u w:val="single"/>
        </w:rPr>
        <w:t>Viatris</w:t>
      </w:r>
      <w:r>
        <w:rPr>
          <w:color w:val="000000"/>
        </w:rPr>
        <w:t>”</w:t>
      </w:r>
      <w:r>
        <w:rPr>
          <w:rFonts w:ascii="Times New Roman;sans-serif" w:hAnsi="Times New Roman;sans-serif"/>
          <w:b w:val="false"/>
          <w:color w:val="000000"/>
          <w:sz w:val="24"/>
        </w:rPr>
        <w:t>), Biocon Biologics UK Limited, a U.K. private limited company (“</w:t>
      </w:r>
      <w:r>
        <w:rPr>
          <w:rFonts w:ascii="Times New Roman;sans-serif" w:hAnsi="Times New Roman;sans-serif"/>
          <w:b w:val="false"/>
          <w:color w:val="000000"/>
          <w:sz w:val="24"/>
          <w:u w:val="single"/>
        </w:rPr>
        <w:t>Biocon UK</w:t>
      </w:r>
      <w:r>
        <w:rPr>
          <w:color w:val="000000"/>
        </w:rPr>
        <w:t>”</w:t>
      </w:r>
      <w:r>
        <w:rPr>
          <w:rFonts w:ascii="Times New Roman;sans-serif" w:hAnsi="Times New Roman;sans-serif"/>
          <w:b w:val="false"/>
          <w:color w:val="000000"/>
          <w:sz w:val="24"/>
        </w:rPr>
        <w:t>), Biosimilars Newco Limited, a U.K. private limited company (“</w:t>
      </w:r>
      <w:r>
        <w:rPr>
          <w:rFonts w:ascii="Times New Roman;sans-serif" w:hAnsi="Times New Roman;sans-serif"/>
          <w:b w:val="false"/>
          <w:color w:val="000000"/>
          <w:sz w:val="24"/>
          <w:u w:val="single"/>
        </w:rPr>
        <w:t>Biosimilars Newco</w:t>
      </w:r>
      <w:r>
        <w:rPr>
          <w:color w:val="000000"/>
        </w:rPr>
        <w:t xml:space="preserve">” </w:t>
      </w:r>
      <w:r>
        <w:rPr>
          <w:rFonts w:ascii="Times New Roman;sans-serif" w:hAnsi="Times New Roman;sans-serif"/>
          <w:b w:val="false"/>
          <w:color w:val="000000"/>
          <w:sz w:val="24"/>
        </w:rPr>
        <w:t>and, collectively with Biocon UK, the “</w:t>
      </w:r>
      <w:r>
        <w:rPr>
          <w:rFonts w:ascii="Times New Roman;sans-serif" w:hAnsi="Times New Roman;sans-serif"/>
          <w:b w:val="false"/>
          <w:color w:val="000000"/>
          <w:sz w:val="24"/>
          <w:u w:val="single"/>
        </w:rPr>
        <w:t>Confessing Parties</w:t>
      </w:r>
      <w:r>
        <w:rPr>
          <w:color w:val="000000"/>
        </w:rPr>
        <w:t>”</w:t>
      </w:r>
      <w:r>
        <w:rPr>
          <w:rFonts w:ascii="Times New Roman;sans-serif" w:hAnsi="Times New Roman;sans-serif"/>
          <w:b w:val="false"/>
          <w:color w:val="000000"/>
          <w:sz w:val="24"/>
        </w:rPr>
        <w:t>), and Biocon Biologics Limited, a public limited company incorporated under the Indian Companies Act, 2013 (“</w:t>
      </w:r>
      <w:r>
        <w:rPr>
          <w:rFonts w:ascii="Times New Roman;sans-serif" w:hAnsi="Times New Roman;sans-serif"/>
          <w:b w:val="false"/>
          <w:color w:val="000000"/>
          <w:sz w:val="24"/>
          <w:u w:val="single"/>
        </w:rPr>
        <w:t>Biocon</w:t>
      </w:r>
      <w:r>
        <w:rPr>
          <w:color w:val="000000"/>
        </w:rPr>
        <w:t>”</w:t>
      </w:r>
      <w:r>
        <w:rPr>
          <w:rFonts w:ascii="Times New Roman;sans-serif" w:hAnsi="Times New Roman;sans-serif"/>
          <w:b w:val="false"/>
          <w:color w:val="000000"/>
          <w:sz w:val="24"/>
        </w:rPr>
        <w:t>). Each of the parties hereto is referred to individually as a “</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and collectively as the “</w:t>
      </w:r>
      <w:r>
        <w:rPr>
          <w:rFonts w:ascii="Times New Roman;sans-serif" w:hAnsi="Times New Roman;sans-serif"/>
          <w:b w:val="false"/>
          <w:color w:val="000000"/>
          <w:sz w:val="24"/>
          <w:u w:val="single"/>
        </w:rPr>
        <w:t>Parties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u w:val="single"/>
        </w:rPr>
        <w:t>IMPORTANT NOTICE</w:t>
      </w:r>
      <w:r>
        <w:rPr>
          <w:rFonts w:ascii="Times New Roman;sans-serif" w:hAnsi="Times New Roman;sans-serif"/>
          <w:b/>
          <w:color w:val="000000"/>
          <w:sz w:val="24"/>
        </w:rPr>
        <w:t>: THIS AGREEMENT CONTAINS A CONFESSION OF JUDGMENT PROVISION WHICH CONSTITUTES A WAIVER OF IMPORTANT RIGHTS THE CONFESSING PARTIES MAY HAVE AND ALLOWS SELLER PARENT TO OBTAIN AND ENFORCE AN ORDER AGAINST THE CONFESSING PARTIES WITHOUT ANY NOTICE OR OPPORTUNITY TO BE HEARD.</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WHEREAS, Viatris and Biocon are parties to that certain Transaction Agreement, dated as of February 27, 2022, as amended by that certain Amendment No. 1 to Transaction Agreement, dated as of November 28, 2022, and as amended by that certain Omnibus Amendment No. 1, dated as of May 17, 2023, by and between Viatris and Biocon (the “</w:t>
      </w:r>
      <w:r>
        <w:rPr>
          <w:rFonts w:ascii="Times New Roman;sans-serif" w:hAnsi="Times New Roman;sans-serif"/>
          <w:b w:val="false"/>
          <w:color w:val="000000"/>
          <w:sz w:val="24"/>
          <w:u w:val="single"/>
        </w:rPr>
        <w:t>Transaction Agreement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WHEREAS, Viatris and Biocon UK are parties to that certain letter agreement, dated as of February 27, 2022, relating to payments of Closing Working Capital, as amended by that certain Amendment No. 1 to Letter Agreement, dated as of November 29, 2022, and as amended by that certain Omnibus Amendment No. 1, dated as of May 17, 2023, by and between Viatris and Biocon UK (the “</w:t>
      </w:r>
      <w:r>
        <w:rPr>
          <w:rFonts w:ascii="Times New Roman;sans-serif" w:hAnsi="Times New Roman;sans-serif"/>
          <w:b w:val="false"/>
          <w:color w:val="000000"/>
          <w:sz w:val="24"/>
          <w:u w:val="single"/>
        </w:rPr>
        <w:t>Working Capital Letter</w:t>
      </w:r>
      <w:r>
        <w:rPr>
          <w:color w:val="000000"/>
        </w:rPr>
        <w:t xml:space="preserve">” </w:t>
      </w:r>
      <w:r>
        <w:rPr>
          <w:rFonts w:ascii="Times New Roman;sans-serif" w:hAnsi="Times New Roman;sans-serif"/>
          <w:b w:val="false"/>
          <w:color w:val="000000"/>
          <w:sz w:val="24"/>
        </w:rPr>
        <w:t>and, collectively with the Transaction Agreement, the “</w:t>
      </w:r>
      <w:r>
        <w:rPr>
          <w:rFonts w:ascii="Times New Roman;sans-serif" w:hAnsi="Times New Roman;sans-serif"/>
          <w:b w:val="false"/>
          <w:color w:val="000000"/>
          <w:sz w:val="24"/>
          <w:u w:val="single"/>
        </w:rPr>
        <w:t>Specified Documents</w:t>
      </w:r>
      <w:r>
        <w:rPr>
          <w:color w:val="000000"/>
        </w:rPr>
        <w:t>”</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desire to amend each of the Specified Documents in accordance with the terms set forth herein.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representations, warranties, covenants and agreements contained in this Amendment and the Specified Documents, and subject to the conditions set forth herein and therein, the Parties hereby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Capitalized Terms</w:t>
      </w:r>
      <w:r>
        <w:rPr>
          <w:rFonts w:ascii="Times New Roman;sans-serif" w:hAnsi="Times New Roman;sans-serif"/>
          <w:b w:val="false"/>
          <w:color w:val="000000"/>
          <w:sz w:val="24"/>
        </w:rPr>
        <w:t>. Unless otherwise indicated herein, capitalized terms which are used but not otherwise defined herein shall have the respective meanings ascribed to such terms in the Transaction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Amendments to the Working Capital Letter</w:t>
      </w:r>
      <w:r>
        <w:rPr>
          <w:rFonts w:ascii="Times New Roman;sans-serif" w:hAnsi="Times New Roman;sans-serif"/>
          <w:b w:val="false"/>
          <w:color w:val="000000"/>
          <w:sz w:val="24"/>
        </w:rPr>
        <w:t>. Notwithstanding anything to the contrary in the Working Capital Letter or the other Transaction Documents: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(a)on or prior to 22 December, 2023, Seller Parent shall cause $220,000,000 (two hundred twenty million dollars) to be paid to Biosimilar Collaborations Ireland Limited, an Irish private limited company (“</w:t>
      </w:r>
      <w:r>
        <w:rPr>
          <w:rFonts w:ascii="Times New Roman;sans-serif" w:hAnsi="Times New Roman;sans-serif"/>
          <w:b w:val="false"/>
          <w:color w:val="000000"/>
          <w:sz w:val="24"/>
          <w:u w:val="single"/>
        </w:rPr>
        <w:t>Biosimilar Collaborations</w:t>
      </w:r>
      <w:r>
        <w:rPr>
          <w:color w:val="000000"/>
        </w:rPr>
        <w:t>”</w:t>
      </w:r>
      <w:r>
        <w:rPr>
          <w:rFonts w:ascii="Times New Roman;sans-serif" w:hAnsi="Times New Roman;sans-serif"/>
          <w:b w:val="false"/>
          <w:color w:val="000000"/>
          <w:sz w:val="24"/>
        </w:rPr>
        <w:t xml:space="preserve">), by wire transfer of immediately available funds to the account(s) designated in writing by Biosimilar Collaborations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on or prior to 20 December, 2023 (such payment, the “</w:t>
      </w:r>
      <w:r>
        <w:rPr>
          <w:rFonts w:ascii="Times New Roman;sans-serif" w:hAnsi="Times New Roman;sans-serif"/>
          <w:b w:val="false"/>
          <w:color w:val="000000"/>
          <w:sz w:val="24"/>
          <w:u w:val="single"/>
        </w:rPr>
        <w:t>Early Specified WC/Cash Payment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(b)following the Early Specified WC/Cash Payment, for all purposes of the Working Capital Letter (but, for the avoidance of doubt, not for purposes of any other Transaction Documents) the definition of Working Capital Target shall be deemed amended such that the Working Capital Target is $30,000,000 (thirty million dollars), rather than $250,000,000 (two hundred fifty million dollars);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(c)for the avoidance of doubt, as a result of such amendment to the definition of Working Capital Target, (i) the Specified WC/Cash following the Early Specified WC/Cash Payment shall be $30,000,000 (thirty million dollars), rather than $250,000,000 (two hundred fifty million dollars) and (ii) the maximum amount that Seller Parent shall be potentially obligated to assign, transfer and convey to the Acquired Companies (or, with the prior written consent of Seller Parent, another wholly owned Affiliate of Buyer) pursuant to the Working Capital Letter following the Early Specified WC/Cash Payment shall be $30,000,000 (thirty million dollars);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(d)Seller Parent acknowledges and agrees that the payment required to be made by paragraph 2(a) above is not subject to any conditions or other contingencies and Seller Parent has no set off rights, clawback rights or similar rights with respect to such payment, and that Seller Parent may not contend that such payment is not payable to Biosimilar Collaborations in the amount and on the due date set forth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Acknowledgment under Biocon Shareholders’ Agreement</w:t>
      </w:r>
      <w:r>
        <w:rPr>
          <w:rFonts w:ascii="Times New Roman;sans-serif" w:hAnsi="Times New Roman;sans-serif"/>
          <w:b w:val="false"/>
          <w:color w:val="000000"/>
          <w:sz w:val="24"/>
        </w:rPr>
        <w:t>. For the avoidance of doubt, the failure to consummate the Serum Transaction does not constitute a basis for the adjustment of the Maximum Mandatory Conversion Rate or the Optional Conversion Rate, as defined in the Shareholders’ Agreement of Biocon.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Confession of Judgment</w:t>
      </w:r>
      <w:r>
        <w:rPr>
          <w:rFonts w:ascii="Times New Roman;sans-serif" w:hAnsi="Times New Roman;sans-serif"/>
          <w:b w:val="false"/>
          <w:color w:val="000000"/>
          <w:sz w:val="24"/>
        </w:rPr>
        <w:t xml:space="preserve">. Without limiting or modifying the Confessing Parties’ and their respective Affiliates’ (including Biocon’s) obligations under the Transaction Agreement (for the avoidance of doubt, including Biocon’s obligations under Section 1.05 of the Transaction Agreement), Biocon UK and Biosimilars Newco hereby severally acknowledge in respect of themselves only that they are obligated, severally (and not jointly and severally), in the case of Biocon UK to cause the payment of the Irish Future Cash Payment and in the case of Biosimilars Newco to cause the payment of the ROW Future Cash Payment, in each case, in the amounts and by the dates set forth in the Transaction Agreement. Notwithstanding anything to the contrary in the Transaction Agreement or the other Transaction Documents (other than Section 8.09 of the Transaction Agreement or Section 5 of the Working Capital Letter), in the event that Biocon UK or Biosimilars Newco (as applicable) fails, for any reason (other than a proper exercise of the right of offset under Section 8.09 of the Transaction Agreement or Section 5 of the Working Capital Letter), to pay or cause to be paid $175,000,000 (one hundred seventy-five million dollars) to the Irish Seller (unless mutually agreed in writing between Seller Parent and Biocon UK) on or prior to April 10, 2024 or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02920"/>
                <wp:effectExtent l="0" t="0" r="0" b="0"/>
                <wp:wrapNone/>
                <wp:docPr id="168" name="Frame164"/>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$160,000,000 (one hundred sixty million dollars) to the ROW Seller (unless mutually agreed in writing between Seller Parent and Biosimilars Newco) on or prior to December 3, 2024, in satisfaction of the respective obligations of Biocon UK and Biosimilars Newco (as applicable) to cause the relevant payment of the Irish Future Cash Payment pursuant to </w:t>
      </w:r>
      <w:r>
        <w:rPr>
          <w:rFonts w:ascii="Times New Roman;sans-serif" w:hAnsi="Times New Roman;sans-serif"/>
          <w:b w:val="false"/>
          <w:color w:val="000000"/>
          <w:sz w:val="24"/>
          <w:u w:val="single"/>
        </w:rPr>
        <w:t>Section 1.05(a)</w:t>
      </w:r>
      <w:r>
        <w:rPr>
          <w:color w:val="000000"/>
        </w:rPr>
        <w:t xml:space="preserve"> </w:t>
      </w:r>
      <w:r>
        <w:rPr>
          <w:rFonts w:ascii="Times New Roman;sans-serif" w:hAnsi="Times New Roman;sans-serif"/>
          <w:b w:val="false"/>
          <w:color w:val="000000"/>
          <w:sz w:val="24"/>
        </w:rPr>
        <w:t xml:space="preserve">of the Transaction Agreement and the ROW Future Cash Payment pursuant to </w:t>
      </w:r>
      <w:r>
        <w:rPr>
          <w:rFonts w:ascii="Times New Roman;sans-serif" w:hAnsi="Times New Roman;sans-serif"/>
          <w:b w:val="false"/>
          <w:color w:val="000000"/>
          <w:sz w:val="24"/>
          <w:u w:val="single"/>
        </w:rPr>
        <w:t>Section 1.05(b)</w:t>
      </w:r>
      <w:r>
        <w:rPr>
          <w:color w:val="000000"/>
        </w:rPr>
        <w:t xml:space="preserve"> </w:t>
      </w:r>
      <w:r>
        <w:rPr>
          <w:rFonts w:ascii="Times New Roman;sans-serif" w:hAnsi="Times New Roman;sans-serif"/>
          <w:b w:val="false"/>
          <w:color w:val="000000"/>
          <w:sz w:val="24"/>
        </w:rPr>
        <w:t xml:space="preserve">of the Transaction Agreement, respectively, then Biocon UK or Biosimilars Newco (as applicable), on behalf of themselves only, hereby authorize (i) any attorney admitted to practice before any court in the State of Delaware or before any court in which Seller Parent or any of its Affiliates may enforce any Order obtained pursuant to </w:t>
      </w:r>
      <w:r>
        <w:rPr>
          <w:rFonts w:ascii="Times New Roman;sans-serif" w:hAnsi="Times New Roman;sans-serif"/>
          <w:b w:val="false"/>
          <w:color w:val="000000"/>
          <w:sz w:val="24"/>
          <w:u w:val="single"/>
        </w:rPr>
        <w:t>Section 9.12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9.13</w:t>
      </w:r>
      <w:r>
        <w:rPr>
          <w:color w:val="000000"/>
        </w:rPr>
        <w:t xml:space="preserve"> </w:t>
      </w:r>
      <w:r>
        <w:rPr>
          <w:rFonts w:ascii="Times New Roman;sans-serif" w:hAnsi="Times New Roman;sans-serif"/>
          <w:b w:val="false"/>
          <w:color w:val="000000"/>
          <w:sz w:val="24"/>
        </w:rPr>
        <w:t xml:space="preserve">of the Transaction Agreement or this </w:t>
      </w:r>
      <w:r>
        <w:rPr>
          <w:rFonts w:ascii="Times New Roman;sans-serif" w:hAnsi="Times New Roman;sans-serif"/>
          <w:b w:val="false"/>
          <w:color w:val="000000"/>
          <w:sz w:val="24"/>
          <w:u w:val="single"/>
        </w:rPr>
        <w:t>paragraph 3(b)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Enforcement Court</w:t>
      </w:r>
      <w:r>
        <w:rPr>
          <w:color w:val="000000"/>
        </w:rPr>
        <w:t>”</w:t>
      </w:r>
      <w:r>
        <w:rPr>
          <w:rFonts w:ascii="Times New Roman;sans-serif" w:hAnsi="Times New Roman;sans-serif"/>
          <w:b w:val="false"/>
          <w:color w:val="000000"/>
          <w:sz w:val="24"/>
        </w:rPr>
        <w:t xml:space="preserve">) and (ii) the clerk or similar official of any court in the State of Delaware or any Enforcement Court, in each case, to (A) appear on behalf of the Biocon UK or Biosimilars Newco (as applicable) in any court in the State of Delaware or any Enforcement Court or before any clerk or similar official of any court in the State of Delaware or any Enforcement Court, (B) confess judgment, and authorize entry of such judgment, against Biocon UK or Biosimilars Newco (as applicable), in the full amount that the relevant Confessing Party so failed to pay or cause to be paid, plus all fees and costs relating to obtaining or enforcing such judgment, including attorneys’ fees and costs and (C) enforce any judgment obtained pursuant to </w:t>
      </w:r>
      <w:r>
        <w:rPr>
          <w:rFonts w:ascii="Times New Roman;sans-serif" w:hAnsi="Times New Roman;sans-serif"/>
          <w:b w:val="false"/>
          <w:color w:val="000000"/>
          <w:sz w:val="24"/>
          <w:u w:val="single"/>
        </w:rPr>
        <w:t>Section 9.12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9.13</w:t>
      </w:r>
      <w:r>
        <w:rPr>
          <w:color w:val="000000"/>
        </w:rPr>
        <w:t xml:space="preserve"> </w:t>
      </w:r>
      <w:r>
        <w:rPr>
          <w:rFonts w:ascii="Times New Roman;sans-serif" w:hAnsi="Times New Roman;sans-serif"/>
          <w:b w:val="false"/>
          <w:color w:val="000000"/>
          <w:sz w:val="24"/>
        </w:rPr>
        <w:t xml:space="preserve">of the Transaction Agreement or this </w:t>
      </w:r>
      <w:r>
        <w:rPr>
          <w:rFonts w:ascii="Times New Roman;sans-serif" w:hAnsi="Times New Roman;sans-serif"/>
          <w:b w:val="false"/>
          <w:color w:val="000000"/>
          <w:sz w:val="24"/>
          <w:u w:val="single"/>
        </w:rPr>
        <w:t>paragraph 3(b)</w:t>
      </w:r>
      <w:r>
        <w:rPr>
          <w:color w:val="000000"/>
        </w:rPr>
        <w:t xml:space="preserve"> </w:t>
      </w:r>
      <w:r>
        <w:rPr>
          <w:rFonts w:ascii="Times New Roman;sans-serif" w:hAnsi="Times New Roman;sans-serif"/>
          <w:b w:val="false"/>
          <w:color w:val="000000"/>
          <w:sz w:val="24"/>
        </w:rPr>
        <w:t xml:space="preserve">against Biocon UK or Biosimilars Newco (as applicable) in any court in the State of Delaware or any Enforcement Court. The authority and power to appear for and enter or enforce judgment against the applicable Confessing Party shall not be exhausted by one or more exercises thereof, or by any imperfect exercise thereof, and shall not be extinguished by any judgment entered but not fully enforced pursuant thereto; such authority and power may be exercised on one or more occasions from time to time, in the same or different jurisdictions, as often as Seller Parent or any of its Affiliates shall deem necessary, convenient, or proper.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 xml:space="preserve">i.For the avoidance of doubt, and without limiting the foregoing, each of Biocon and the Confessing Parties acknowledge and agree that the Future Cash Payments are not subject to any conditions or other contingencies and Biocon and the Confessing Parties have, except as set forth in Section 8.09 of the Transaction Agreement and Section 5 of the Working Capital Letter, no set off rights, clawback rights or similar rights with respect to the Future Cash Payments, and that each of Biocon and the Confessing Parties may not contend that the Future Cash Payments are not payable to Seller Parent in the respective amounts and on the respective due dates set forth in this </w:t>
      </w:r>
      <w:r>
        <w:rPr>
          <w:rFonts w:ascii="Times New Roman;sans-serif" w:hAnsi="Times New Roman;sans-serif"/>
          <w:b w:val="false"/>
          <w:color w:val="000000"/>
          <w:sz w:val="24"/>
          <w:u w:val="single"/>
        </w:rPr>
        <w:t>paragraph 3(b)</w:t>
      </w:r>
      <w:r>
        <w:rPr>
          <w:color w:val="000000"/>
        </w:rPr>
        <w:t xml:space="preserve"> </w:t>
      </w:r>
      <w:r>
        <w:rPr>
          <w:rFonts w:ascii="Times New Roman;sans-serif" w:hAnsi="Times New Roman;sans-serif"/>
          <w:b w:val="false"/>
          <w:color w:val="000000"/>
          <w:sz w:val="24"/>
        </w:rPr>
        <w:t xml:space="preserve">and may not oppose the granting or enforcement of any Order in accordance with the terms of this </w:t>
      </w:r>
      <w:r>
        <w:rPr>
          <w:rFonts w:ascii="Times New Roman;sans-serif" w:hAnsi="Times New Roman;sans-serif"/>
          <w:b w:val="false"/>
          <w:color w:val="000000"/>
          <w:sz w:val="24"/>
          <w:u w:val="single"/>
        </w:rPr>
        <w:t>paragraph 3(b)</w:t>
      </w:r>
      <w:r>
        <w:rPr>
          <w:rFonts w:ascii="Times New Roman;sans-serif" w:hAnsi="Times New Roman;sans-serif"/>
          <w:b w:val="false"/>
          <w:color w:val="000000"/>
          <w:sz w:val="24"/>
        </w:rPr>
        <w:t>, except, in each case, pursuant to a proper exercise of the right of offset under Section 8.09 of the Transaction Agreement or Section 5 of the Working Capital Letter. For the avoidance of doubt, a proper exercise of the right of offset under Section 8.09 of the Transaction Agreement or Section 5 of the Working Capital Letter shall require exercise of such right, including written notice to Viatris, prior to the due date of the applicable payment.</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02920"/>
                <wp:effectExtent l="0" t="0" r="0" b="0"/>
                <wp:wrapNone/>
                <wp:docPr id="169" name="Frame165"/>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ii.The confessions of judgment described this Amendment may be without process, and the Confessing Parties are fully aware that, by authorizing confession of judgment, the Confessing Parties are severally waiving the right to any notice or opportunity to be heard prior to the entry of these confessed judgments in favor of Seller Parent.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Affidavit of Confession of Judgment</w:t>
      </w:r>
      <w:r>
        <w:rPr>
          <w:rFonts w:ascii="Times New Roman;sans-serif" w:hAnsi="Times New Roman;sans-serif"/>
          <w:b w:val="false"/>
          <w:color w:val="000000"/>
          <w:sz w:val="24"/>
        </w:rPr>
        <w:t xml:space="preserve">. Concurrently with the execution of this Amendment, each of Biocon UK and Biosimilars Newco has executed and delivered to Seller Parent an Affidavit of Confession of Judgment, dated as of the date hereof, pursuant to and in satisfaction of Delaware Code Section 2306(c), in the form attached hereto as Schedule 1, and each of them severally hereby authorizes Seller Parent to deliver such Affidavit of Confession of Judgment to any court in the State of Delaware or any Enforcement Court in enforcing Seller Parent’s rights pursuant to paragraph 3(b) of this Amendment.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Effect of Amendment</w:t>
      </w:r>
      <w:r>
        <w:rPr>
          <w:rFonts w:ascii="Times New Roman;sans-serif" w:hAnsi="Times New Roman;sans-serif"/>
          <w:b w:val="false"/>
          <w:color w:val="000000"/>
          <w:sz w:val="24"/>
        </w:rPr>
        <w:t>. Each Party acknowledges and agrees that this Amendment constitutes an instrument in writing on behalf of each of the Parties in accordance with Section 9.05 of the Transaction Agreement and Section 7 of the Working Capital Letter. For the avoidance of doubt, references to the date of the Transaction Agreement, and references to the “date hereof”, “the date of this Agreement” or words of similar meaning in the Transaction Agreement shall continue to refer to February 27, 2022.</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Limited Amendment</w:t>
      </w:r>
      <w:r>
        <w:rPr>
          <w:rFonts w:ascii="Times New Roman;sans-serif" w:hAnsi="Times New Roman;sans-serif"/>
          <w:b w:val="false"/>
          <w:color w:val="000000"/>
          <w:sz w:val="24"/>
        </w:rPr>
        <w:t>. Except as expressly set forth herein, this Amendment shall not be deemed to amend, waive, affect or otherwise alter any term or provision of the Specified Documents or the other Transaction Documents, and all terms and provisions of the Specified Documents and the other Transaction Documents shall continue in full force and effect.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xml:space="preserve">. The provisions set forth in Sections </w:t>
      </w:r>
      <w:r>
        <w:rPr>
          <w:rFonts w:ascii="Times New Roman;sans-serif" w:hAnsi="Times New Roman;sans-serif"/>
          <w:b w:val="false"/>
          <w:color w:val="000000"/>
          <w:sz w:val="24"/>
          <w:u w:val="single"/>
        </w:rPr>
        <w:t>9.01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9.04</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 xml:space="preserve">9.15 </w:t>
      </w:r>
      <w:r>
        <w:rPr>
          <w:rFonts w:ascii="Times New Roman;sans-serif" w:hAnsi="Times New Roman;sans-serif"/>
          <w:b w:val="false"/>
          <w:color w:val="000000"/>
          <w:sz w:val="24"/>
        </w:rPr>
        <w:t xml:space="preserve">of the Transaction Agreement shall apply to this Amendment,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and are hereby incorporated by reference as if fully set forth herein.</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02920"/>
                <wp:effectExtent l="0" t="0" r="0" b="0"/>
                <wp:wrapNone/>
                <wp:docPr id="170" name="Frame166"/>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Amendment, all as of the date first written above.</w:t>
      </w:r>
    </w:p>
    <w:tbl>
      <w:tblPr>
        <w:tblW w:w="4542" w:type="dxa"/>
        <w:jc w:val="left"/>
        <w:tblInd w:w="0" w:type="dxa"/>
        <w:tblLayout w:type="fixed"/>
        <w:tblCellMar>
          <w:top w:w="28" w:type="dxa"/>
          <w:left w:w="28" w:type="dxa"/>
          <w:bottom w:w="28" w:type="dxa"/>
          <w:right w:w="28" w:type="dxa"/>
        </w:tblCellMar>
      </w:tblPr>
      <w:tblGrid>
        <w:gridCol w:w="124"/>
        <w:gridCol w:w="109"/>
        <w:gridCol w:w="109"/>
        <w:gridCol w:w="1228"/>
        <w:gridCol w:w="1228"/>
        <w:gridCol w:w="17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VIATRIS INC.</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Anil Amin</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Anil Amin</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Business Development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02920"/>
                <wp:effectExtent l="0" t="0" r="0" b="0"/>
                <wp:wrapNone/>
                <wp:docPr id="171" name="Frame167"/>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2</w:t>
                            </w:r>
                            <w:r>
                              <w:rPr>
                                <w:rFonts w:ascii="Times New Roman;sans-serif" w:hAnsi="Times New Roman;sans-serif"/>
                                <w:b w:val="false"/>
                                <w:color w:val="000000"/>
                                <w:sz w:val="24"/>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2</w:t>
                      </w:r>
                      <w:r>
                        <w:rPr>
                          <w:rFonts w:ascii="Times New Roman;sans-serif" w:hAnsi="Times New Roman;sans-serif"/>
                          <w:b w:val="false"/>
                          <w:color w:val="000000"/>
                          <w:sz w:val="24"/>
                        </w:rPr>
                        <w: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Amendment, all as of the date first written above.</w:t>
      </w:r>
    </w:p>
    <w:tbl>
      <w:tblPr>
        <w:tblW w:w="4272" w:type="dxa"/>
        <w:jc w:val="left"/>
        <w:tblInd w:w="0" w:type="dxa"/>
        <w:tblLayout w:type="fixed"/>
        <w:tblCellMar>
          <w:top w:w="28" w:type="dxa"/>
          <w:left w:w="28" w:type="dxa"/>
          <w:bottom w:w="28" w:type="dxa"/>
          <w:right w:w="28" w:type="dxa"/>
        </w:tblCellMar>
      </w:tblPr>
      <w:tblGrid>
        <w:gridCol w:w="124"/>
        <w:gridCol w:w="109"/>
        <w:gridCol w:w="109"/>
        <w:gridCol w:w="1150"/>
        <w:gridCol w:w="1150"/>
        <w:gridCol w:w="16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BIOCON BIOLOGICS UK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Kedar Upadhye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Kedar Upadhye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bl>
    <w:p>
      <w:pPr>
        <w:pStyle w:val="TextBody"/>
        <w:bidi w:val="0"/>
        <w:spacing w:before="0" w:after="0"/>
        <w:jc w:val="left"/>
        <w:rPr/>
      </w:pPr>
      <w:r>
        <w:rPr/>
      </w:r>
    </w:p>
    <w:p>
      <w:pPr>
        <w:pStyle w:val="TextBody"/>
        <w:bidi w:val="0"/>
        <w:spacing w:before="0" w:after="24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02920"/>
                <wp:effectExtent l="0" t="0" r="0" b="0"/>
                <wp:wrapNone/>
                <wp:docPr id="172" name="Frame168"/>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2</w:t>
                            </w:r>
                            <w:r>
                              <w:rPr>
                                <w:rFonts w:ascii="Times New Roman;sans-serif" w:hAnsi="Times New Roman;sans-serif"/>
                                <w:b w:val="false"/>
                                <w:color w:val="000000"/>
                                <w:sz w:val="24"/>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2</w:t>
                      </w:r>
                      <w:r>
                        <w:rPr>
                          <w:rFonts w:ascii="Times New Roman;sans-serif" w:hAnsi="Times New Roman;sans-serif"/>
                          <w:b w:val="false"/>
                          <w:color w:val="000000"/>
                          <w:sz w:val="24"/>
                        </w:rPr>
                        <w: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Amendment, all as of the date first written above.</w:t>
      </w:r>
    </w:p>
    <w:tbl>
      <w:tblPr>
        <w:tblW w:w="4091" w:type="dxa"/>
        <w:jc w:val="left"/>
        <w:tblInd w:w="0" w:type="dxa"/>
        <w:tblLayout w:type="fixed"/>
        <w:tblCellMar>
          <w:top w:w="28" w:type="dxa"/>
          <w:left w:w="28" w:type="dxa"/>
          <w:bottom w:w="28" w:type="dxa"/>
          <w:right w:w="28" w:type="dxa"/>
        </w:tblCellMar>
      </w:tblPr>
      <w:tblGrid>
        <w:gridCol w:w="124"/>
        <w:gridCol w:w="109"/>
        <w:gridCol w:w="109"/>
        <w:gridCol w:w="1096"/>
        <w:gridCol w:w="1096"/>
        <w:gridCol w:w="15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BIOSIMILARS NEWCO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Kedar Upadhye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Kedar Upadhye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02920"/>
                <wp:effectExtent l="0" t="0" r="0" b="0"/>
                <wp:wrapNone/>
                <wp:docPr id="173" name="Frame169"/>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2</w:t>
                            </w:r>
                            <w:r>
                              <w:rPr>
                                <w:rFonts w:ascii="Times New Roman;sans-serif" w:hAnsi="Times New Roman;sans-serif"/>
                                <w:b w:val="false"/>
                                <w:color w:val="000000"/>
                                <w:sz w:val="24"/>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2</w:t>
                      </w:r>
                      <w:r>
                        <w:rPr>
                          <w:rFonts w:ascii="Times New Roman;sans-serif" w:hAnsi="Times New Roman;sans-serif"/>
                          <w:b w:val="false"/>
                          <w:color w:val="000000"/>
                          <w:sz w:val="24"/>
                        </w:rPr>
                        <w: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Amendment, all as of the date first written above.</w:t>
      </w:r>
    </w:p>
    <w:tbl>
      <w:tblPr>
        <w:tblW w:w="4092" w:type="dxa"/>
        <w:jc w:val="left"/>
        <w:tblInd w:w="0" w:type="dxa"/>
        <w:tblLayout w:type="fixed"/>
        <w:tblCellMar>
          <w:top w:w="28" w:type="dxa"/>
          <w:left w:w="28" w:type="dxa"/>
          <w:bottom w:w="28" w:type="dxa"/>
          <w:right w:w="28" w:type="dxa"/>
        </w:tblCellMar>
      </w:tblPr>
      <w:tblGrid>
        <w:gridCol w:w="124"/>
        <w:gridCol w:w="109"/>
        <w:gridCol w:w="109"/>
        <w:gridCol w:w="1097"/>
        <w:gridCol w:w="1097"/>
        <w:gridCol w:w="15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BIOCON BIOLOGICS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Kedar Upadhye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Kedar Upadhye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853440"/>
                <wp:effectExtent l="0" t="0" r="0" b="0"/>
                <wp:wrapNone/>
                <wp:docPr id="174" name="Frame170"/>
                <a:graphic xmlns:a="http://schemas.openxmlformats.org/drawingml/2006/main">
                  <a:graphicData uri="http://schemas.microsoft.com/office/word/2010/wordprocessingShape">
                    <wps:wsp>
                      <wps:cNvSpPr txBox="1"/>
                      <wps:spPr>
                        <a:xfrm>
                          <a:off x="0" y="0"/>
                          <a:ext cx="6480175" cy="85344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center"/>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2</w:t>
                            </w:r>
                            <w:r>
                              <w:rPr>
                                <w:rFonts w:ascii="Times New Roman;sans-serif" w:hAnsi="Times New Roman;sans-serif"/>
                                <w:b w:val="false"/>
                                <w:color w:val="000000"/>
                                <w:sz w:val="24"/>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center"/>
                        <w:rPr/>
                      </w:pPr>
                      <w:r>
                        <w:rPr>
                          <w:color w:val="000000"/>
                        </w:rPr>
                        <w:t>    </w:t>
                      </w: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2</w:t>
                      </w:r>
                      <w:r>
                        <w:rPr>
                          <w:rFonts w:ascii="Times New Roman;sans-serif" w:hAnsi="Times New Roman;sans-serif"/>
                          <w:b w:val="false"/>
                          <w:color w:val="000000"/>
                          <w:sz w:val="24"/>
                        </w:rPr>
                        <w: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83"/>
        <w:jc w:val="right"/>
        <w:rPr>
          <w:rFonts w:ascii="Times New Roman;sans-serif" w:hAnsi="Times New Roman;sans-serif"/>
          <w:b/>
          <w:color w:val="000000"/>
          <w:sz w:val="24"/>
        </w:rPr>
      </w:pPr>
      <w:r>
        <w:rPr>
          <w:rFonts w:ascii="Times New Roman;sans-serif" w:hAnsi="Times New Roman;sans-serif"/>
          <w:b/>
          <w:color w:val="000000"/>
          <w:sz w:val="24"/>
        </w:rPr>
        <w:t>Exhibit 3.1(c)</w:t>
      </w:r>
    </w:p>
    <w:p>
      <w:pPr>
        <w:pStyle w:val="TextBody"/>
        <w:bidi w:val="0"/>
        <w:spacing w:lineRule="auto" w:line="240" w:before="480" w:after="283"/>
        <w:jc w:val="center"/>
        <w:rPr>
          <w:rFonts w:ascii="Times New Roman;sans-serif" w:hAnsi="Times New Roman;sans-serif"/>
          <w:b/>
          <w:color w:val="000000"/>
          <w:sz w:val="24"/>
        </w:rPr>
      </w:pPr>
      <w:r>
        <w:rPr>
          <w:rFonts w:ascii="Times New Roman;sans-serif" w:hAnsi="Times New Roman;sans-serif"/>
          <w:b/>
          <w:color w:val="000000"/>
          <w:sz w:val="24"/>
        </w:rPr>
        <w:t xml:space="preserve">CERTIFICATE OF AMENDMENT OF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AMENDED AND RESTATED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CERTIFICATE OF INCORPORATION OF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VIATRIS INC. </w:t>
      </w:r>
    </w:p>
    <w:p>
      <w:pPr>
        <w:pStyle w:val="TextBody"/>
        <w:bidi w:val="0"/>
        <w:spacing w:lineRule="auto" w:line="240" w:before="280" w:after="283"/>
        <w:ind w:left="0" w:right="0" w:firstLine="97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Inc. (the “Corporation”), a corporation organized and existing under and by virtue of the General Corporation Law of the State of Delaware (the “DGCL”), does hereby certify as follows: </w:t>
      </w:r>
    </w:p>
    <w:p>
      <w:pPr>
        <w:pStyle w:val="TextBody"/>
        <w:bidi w:val="0"/>
        <w:spacing w:lineRule="auto" w:line="240" w:before="280" w:after="283"/>
        <w:ind w:left="0" w:right="0" w:firstLine="979"/>
        <w:jc w:val="both"/>
        <w:rPr/>
      </w:pPr>
      <w:r>
        <w:rPr>
          <w:rFonts w:ascii="Times New Roman;sans-serif" w:hAnsi="Times New Roman;sans-serif"/>
          <w:b/>
          <w:color w:val="000000"/>
          <w:sz w:val="24"/>
        </w:rPr>
        <w:t>FIRST</w:t>
      </w:r>
      <w:r>
        <w:rPr>
          <w:rFonts w:ascii="Times New Roman;sans-serif" w:hAnsi="Times New Roman;sans-serif"/>
          <w:b w:val="false"/>
          <w:color w:val="000000"/>
          <w:sz w:val="24"/>
        </w:rPr>
        <w:t xml:space="preserve">: That Article X of the Amended and Restated Certificate of Incorporation of the Corporation, as amended, is hereby amended in its entirety to read as follows (the “Amendment”): </w:t>
      </w:r>
    </w:p>
    <w:p>
      <w:pPr>
        <w:pStyle w:val="TextBody"/>
        <w:bidi w:val="0"/>
        <w:spacing w:lineRule="auto" w:line="240" w:before="280" w:after="283"/>
        <w:jc w:val="center"/>
        <w:rPr>
          <w:color w:val="000000"/>
        </w:rPr>
      </w:pPr>
      <w:r>
        <w:rPr>
          <w:color w:val="000000"/>
        </w:rPr>
        <w:t>“</w:t>
      </w:r>
      <w:r>
        <w:rPr>
          <w:rFonts w:ascii="Times New Roman;sans-serif" w:hAnsi="Times New Roman;sans-serif"/>
          <w:b/>
          <w:color w:val="000000"/>
          <w:sz w:val="24"/>
        </w:rPr>
        <w:t xml:space="preserve">ARTICLE X </w:t>
      </w:r>
    </w:p>
    <w:p>
      <w:pPr>
        <w:pStyle w:val="TextBody"/>
        <w:bidi w:val="0"/>
        <w:spacing w:lineRule="auto" w:line="240" w:before="28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FORUM AND VENUE </w:t>
      </w:r>
    </w:p>
    <w:p>
      <w:pPr>
        <w:pStyle w:val="TextBody"/>
        <w:bidi w:val="0"/>
        <w:spacing w:lineRule="auto" w:line="24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Unless the Corporation (through approval of the Board of Directors) consents in writing to the selection of an alternative forum, the Court of Chancery of the State of Delaware shall be the sole and exclusive forum for (i) any derivative action or proceeding brought on behalf of the Corporation; (ii) any action or proceeding asserting a claim of breach of a fiduciary duty owed by any director or officer or other employee of the Corporation to the Corporation or the Corporation’s stockholders, creditors or other constituents; (iii) any action or proceeding asserting a claim against the Corporation or any director or officer or other employee of the Corporation arising pursuant to, or seeking to enforce any right, obligation or remedy under, any provision of the DGCL or this Certificate of Incorporation or the Bylaws (as either may be amended from time to time); (iv) any action or proceeding asserting a claim against the Corporation or any director or officer or other employee of the Corporation governed by the internal affairs doctrine or (v) any action or proceeding as to which the DGCL (as it may be amended from time to time) confers jurisdiction on the Court of Chancery of the State of Delaware: provided that,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Any person or entity purchasing or otherwise acquiring or holding any interest in shares of capital stock of the Corporation shall be deemed to have notice of and to have consented to the personal jurisdiction of the state and federal courts located within the State of Delaware. Unless the Corporation (through approval of the Board of Directors) consents in writing to the selection of an alternative forum, the federal district courts of the United States of America, to the fullest extent permitted by law, shall be the sole and exclusive forum for the resolution of any action asserting a cause of action arising under the U.S. Securities Act of 1933, as amended. If any provision or provisions of this Article X shall be held to be invalid, illegal or unenforceable for any reason whatsoever, the validity, legality and enforceability of the remaining provisions of this Article X shall not in any way be affected or impaired thereby.” </w:t>
      </w:r>
    </w:p>
    <w:p>
      <w:pPr>
        <w:pStyle w:val="TextBody"/>
        <w:bidi w:val="0"/>
        <w:spacing w:lineRule="auto" w:line="240"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ind w:left="0" w:right="0" w:firstLine="979"/>
        <w:jc w:val="both"/>
        <w:rPr/>
      </w:pPr>
      <w:r>
        <w:rPr>
          <w:rFonts w:ascii="Times New Roman;sans-serif" w:hAnsi="Times New Roman;sans-serif"/>
          <w:b/>
          <w:color w:val="000000"/>
          <w:sz w:val="24"/>
        </w:rPr>
        <w:t>SECOND</w:t>
      </w:r>
      <w:r>
        <w:rPr>
          <w:rFonts w:ascii="Times New Roman;sans-serif" w:hAnsi="Times New Roman;sans-serif"/>
          <w:b w:val="false"/>
          <w:color w:val="000000"/>
          <w:sz w:val="24"/>
        </w:rPr>
        <w:t xml:space="preserve">: The Amendment was duly adopted in accordance with the applicable provisions of Section 242 of the DGCL. </w:t>
      </w:r>
    </w:p>
    <w:p>
      <w:pPr>
        <w:pStyle w:val="TextBody"/>
        <w:bidi w:val="0"/>
        <w:spacing w:lineRule="auto" w:line="240" w:before="280" w:after="283"/>
        <w:ind w:left="0" w:right="0" w:firstLine="979"/>
        <w:jc w:val="both"/>
        <w:rPr/>
      </w:pPr>
      <w:r>
        <w:rPr>
          <w:rFonts w:ascii="Times New Roman;sans-serif" w:hAnsi="Times New Roman;sans-serif"/>
          <w:b/>
          <w:color w:val="000000"/>
          <w:sz w:val="24"/>
        </w:rPr>
        <w:t>THIRD</w:t>
      </w:r>
      <w:r>
        <w:rPr>
          <w:rFonts w:ascii="Times New Roman;sans-serif" w:hAnsi="Times New Roman;sans-serif"/>
          <w:b w:val="false"/>
          <w:color w:val="000000"/>
          <w:sz w:val="24"/>
        </w:rPr>
        <w:t xml:space="preserve">: The Amendment shall become effective upon filing. </w:t>
      </w:r>
    </w:p>
    <w:p>
      <w:pPr>
        <w:pStyle w:val="TextBody"/>
        <w:bidi w:val="0"/>
        <w:spacing w:lineRule="auto" w:line="240" w:before="280" w:after="283"/>
        <w:ind w:left="0" w:right="0" w:firstLine="979"/>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xml:space="preserve">, the Corporation has caused this certificate to be signed on December 15, 2023. </w:t>
      </w:r>
    </w:p>
    <w:p>
      <w:pPr>
        <w:pStyle w:val="TextBody"/>
        <w:bidi w:val="0"/>
        <w:spacing w:lineRule="auto" w:line="240" w:before="0" w:after="0"/>
        <w:jc w:val="both"/>
        <w:rPr>
          <w:color w:val="000000"/>
        </w:rPr>
      </w:pPr>
      <w:r>
        <w:rPr>
          <w:color w:val="000000"/>
        </w:rPr>
        <w:t> </w:t>
      </w:r>
    </w:p>
    <w:tbl>
      <w:tblPr>
        <w:tblW w:w="6098" w:type="dxa"/>
        <w:jc w:val="left"/>
        <w:tblInd w:w="0" w:type="dxa"/>
        <w:tblLayout w:type="fixed"/>
        <w:tblCellMar>
          <w:top w:w="28" w:type="dxa"/>
          <w:left w:w="28" w:type="dxa"/>
          <w:bottom w:w="28" w:type="dxa"/>
          <w:right w:w="28" w:type="dxa"/>
        </w:tblCellMar>
      </w:tblPr>
      <w:tblGrid>
        <w:gridCol w:w="124"/>
        <w:gridCol w:w="109"/>
        <w:gridCol w:w="109"/>
        <w:gridCol w:w="418"/>
        <w:gridCol w:w="418"/>
        <w:gridCol w:w="418"/>
        <w:gridCol w:w="1024"/>
        <w:gridCol w:w="1024"/>
        <w:gridCol w:w="1024"/>
        <w:gridCol w:w="418"/>
        <w:gridCol w:w="418"/>
        <w:gridCol w:w="5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15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756" w:type="dxa"/>
            <w:gridSpan w:val="9"/>
            <w:tcBorders/>
            <w:tcMar>
              <w:top w:w="0" w:type="dxa"/>
              <w:left w:w="0" w:type="dxa"/>
              <w:bottom w:w="0" w:type="dxa"/>
              <w:right w:w="0" w:type="dxa"/>
            </w:tcMar>
            <w:vAlign w:val="center"/>
          </w:tcPr>
          <w:p>
            <w:pPr>
              <w:pStyle w:val="TableContents"/>
              <w:bidi w:val="0"/>
              <w:spacing w:lineRule="auto" w:line="240" w:before="0" w:after="0"/>
              <w:ind w:left="0" w:right="0" w:hanging="240"/>
              <w:jc w:val="both"/>
              <w:rPr>
                <w:rFonts w:ascii="Times New Roman;sans-serif" w:hAnsi="Times New Roman;sans-serif"/>
                <w:b/>
                <w:color w:val="000000"/>
                <w:sz w:val="24"/>
              </w:rPr>
            </w:pPr>
            <w:r>
              <w:rPr>
                <w:rFonts w:ascii="Times New Roman;sans-serif" w:hAnsi="Times New Roman;sans-serif"/>
                <w:b/>
                <w:color w:val="000000"/>
                <w:sz w:val="24"/>
              </w:rPr>
              <w:t>VIATRIS INC.</w:t>
            </w:r>
          </w:p>
        </w:tc>
      </w:tr>
      <w:tr>
        <w:trPr/>
        <w:tc>
          <w:tcPr>
            <w:tcW w:w="1596" w:type="dxa"/>
            <w:gridSpan w:val="6"/>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0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By:    </w:t>
            </w:r>
          </w:p>
        </w:tc>
        <w:tc>
          <w:tcPr>
            <w:tcW w:w="30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3F3F3F"/>
              </w:rPr>
              <w:t> </w:t>
            </w:r>
            <w:r>
              <w:rPr>
                <w:rFonts w:ascii="Times New Roman;sans-serif" w:hAnsi="Times New Roman;sans-serif"/>
                <w:b w:val="false"/>
                <w:color w:val="000000"/>
                <w:sz w:val="24"/>
              </w:rPr>
              <w:t>/s/ Burt Park</w:t>
            </w:r>
          </w:p>
          <w:p>
            <w:pPr>
              <w:pStyle w:val="TableContents"/>
              <w:bidi w:val="0"/>
              <w:spacing w:lineRule="auto" w:line="240" w:before="20" w:after="283"/>
              <w:jc w:val="center"/>
              <w:rPr>
                <w:color w:val="000000"/>
              </w:rPr>
            </w:pPr>
            <w:r>
              <w:rPr>
                <w:color w:val="000000"/>
              </w:rPr>
              <w:t> </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756" w:type="dxa"/>
            <w:gridSpan w:val="9"/>
            <w:tcBorders/>
            <w:tcMar>
              <w:top w:w="0" w:type="dxa"/>
              <w:left w:w="0" w:type="dxa"/>
              <w:bottom w:w="0" w:type="dxa"/>
              <w:right w:w="0" w:type="dxa"/>
            </w:tcMar>
            <w:vAlign w:val="center"/>
          </w:tcPr>
          <w:p>
            <w:pPr>
              <w:pStyle w:val="TableContents"/>
              <w:bidi w:val="0"/>
              <w:spacing w:lineRule="auto" w:line="240" w:before="0" w:after="0"/>
              <w:ind w:left="0" w:right="0" w:hanging="240"/>
              <w:jc w:val="both"/>
              <w:rPr>
                <w:color w:val="000000"/>
              </w:rPr>
            </w:pPr>
            <w:r>
              <w:rPr>
                <w:color w:val="000000"/>
              </w:rPr>
              <w:t xml:space="preserve">  </w:t>
            </w:r>
            <w:r>
              <w:rPr>
                <w:rFonts w:ascii="Times New Roman;sans-serif" w:hAnsi="Times New Roman;sans-serif"/>
                <w:b w:val="false"/>
                <w:color w:val="000000"/>
                <w:sz w:val="24"/>
              </w:rPr>
              <w:t>Name: Burt Park</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756" w:type="dxa"/>
            <w:gridSpan w:val="9"/>
            <w:tcBorders/>
            <w:tcMar>
              <w:top w:w="0" w:type="dxa"/>
              <w:left w:w="0" w:type="dxa"/>
              <w:bottom w:w="0" w:type="dxa"/>
              <w:right w:w="0" w:type="dxa"/>
            </w:tcMar>
            <w:vAlign w:val="center"/>
          </w:tcPr>
          <w:p>
            <w:pPr>
              <w:pStyle w:val="TableContents"/>
              <w:bidi w:val="0"/>
              <w:spacing w:lineRule="auto" w:line="240" w:before="0" w:after="0"/>
              <w:ind w:left="0" w:right="0" w:hanging="240"/>
              <w:jc w:val="both"/>
              <w:rPr>
                <w:color w:val="000000"/>
              </w:rPr>
            </w:pPr>
            <w:r>
              <w:rPr>
                <w:color w:val="000000"/>
              </w:rPr>
              <w:t xml:space="preserve">  </w:t>
            </w:r>
            <w:r>
              <w:rPr>
                <w:rFonts w:ascii="Times New Roman;sans-serif" w:hAnsi="Times New Roman;sans-serif"/>
                <w:b w:val="false"/>
                <w:color w:val="000000"/>
                <w:sz w:val="24"/>
              </w:rPr>
              <w:t>Title: Chief Governance Counsel and Corporate Secretary</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480" w:after="283"/>
        <w:jc w:val="right"/>
        <w:rPr>
          <w:rFonts w:ascii="Times New Roman;sans-serif" w:hAnsi="Times New Roman;sans-serif"/>
          <w:b/>
          <w:color w:val="000000"/>
          <w:sz w:val="24"/>
        </w:rPr>
      </w:pPr>
      <w:r>
        <w:rPr>
          <w:rFonts w:ascii="Times New Roman;sans-serif" w:hAnsi="Times New Roman;sans-serif"/>
          <w:b/>
          <w:color w:val="000000"/>
          <w:sz w:val="24"/>
        </w:rPr>
        <w:t>Exhibit 3.1(d)</w:t>
      </w:r>
    </w:p>
    <w:p>
      <w:pPr>
        <w:pStyle w:val="TextBody"/>
        <w:bidi w:val="0"/>
        <w:spacing w:lineRule="auto" w:line="240" w:before="480" w:after="283"/>
        <w:jc w:val="center"/>
        <w:rPr>
          <w:rFonts w:ascii="Times New Roman;sans-serif" w:hAnsi="Times New Roman;sans-serif"/>
          <w:b/>
          <w:color w:val="000000"/>
          <w:sz w:val="24"/>
        </w:rPr>
      </w:pPr>
      <w:r>
        <w:rPr>
          <w:rFonts w:ascii="Times New Roman;sans-serif" w:hAnsi="Times New Roman;sans-serif"/>
          <w:b/>
          <w:color w:val="000000"/>
          <w:sz w:val="24"/>
        </w:rPr>
        <w:t>CERTIFICATE OF AMENDMENT OF</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AMENDED AND RESTATED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CERTIFICATE OF INCORPORATION OF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VIATRIS INC. </w:t>
      </w:r>
    </w:p>
    <w:p>
      <w:pPr>
        <w:pStyle w:val="TextBody"/>
        <w:bidi w:val="0"/>
        <w:spacing w:lineRule="auto" w:line="240" w:before="280" w:after="283"/>
        <w:ind w:left="0" w:right="0" w:firstLine="97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Viatris Inc. (the “Corporation”), a corporation organized and existing under and by virtue of the General Corporation Law of the State of Delaware (the “DGCL”), does hereby certify as follows: </w:t>
      </w:r>
    </w:p>
    <w:p>
      <w:pPr>
        <w:pStyle w:val="TextBody"/>
        <w:bidi w:val="0"/>
        <w:spacing w:lineRule="auto" w:line="240" w:before="280" w:after="283"/>
        <w:ind w:left="0" w:right="0" w:firstLine="979"/>
        <w:jc w:val="both"/>
        <w:rPr/>
      </w:pPr>
      <w:r>
        <w:rPr>
          <w:rFonts w:ascii="Times New Roman;sans-serif" w:hAnsi="Times New Roman;sans-serif"/>
          <w:b/>
          <w:color w:val="000000"/>
          <w:sz w:val="24"/>
        </w:rPr>
        <w:t>FIRST</w:t>
      </w:r>
      <w:r>
        <w:rPr>
          <w:rFonts w:ascii="Times New Roman;sans-serif" w:hAnsi="Times New Roman;sans-serif"/>
          <w:b w:val="false"/>
          <w:color w:val="000000"/>
          <w:sz w:val="24"/>
        </w:rPr>
        <w:t xml:space="preserve">: That Article IX, Section 9.01 of the Amended and Restated Certificate of Incorporation of the Corporation, as amended, is hereby amended in its entirety to read as follows (the “Amendment”): </w:t>
      </w:r>
    </w:p>
    <w:p>
      <w:pPr>
        <w:pStyle w:val="TextBody"/>
        <w:bidi w:val="0"/>
        <w:spacing w:lineRule="auto" w:line="240" w:before="280" w:after="283"/>
        <w:jc w:val="both"/>
        <w:rPr/>
      </w:pPr>
      <w:r>
        <w:rPr>
          <w:color w:val="000000"/>
        </w:rPr>
        <w:t>“</w:t>
      </w:r>
      <w:r>
        <w:rPr>
          <w:rFonts w:ascii="Times New Roman;sans-serif" w:hAnsi="Times New Roman;sans-serif"/>
          <w:b w:val="false"/>
          <w:color w:val="000000"/>
          <w:sz w:val="24"/>
        </w:rPr>
        <w:t xml:space="preserve">Section 9.01. </w:t>
      </w:r>
      <w:r>
        <w:rPr>
          <w:rFonts w:ascii="Times New Roman;sans-serif" w:hAnsi="Times New Roman;sans-serif"/>
          <w:b w:val="false"/>
          <w:color w:val="000000"/>
          <w:sz w:val="24"/>
          <w:u w:val="single"/>
        </w:rPr>
        <w:t>Director and Officer Liability</w:t>
      </w:r>
      <w:r>
        <w:rPr>
          <w:rFonts w:ascii="Times New Roman;sans-serif" w:hAnsi="Times New Roman;sans-serif"/>
          <w:b w:val="false"/>
          <w:color w:val="000000"/>
          <w:sz w:val="24"/>
        </w:rPr>
        <w:t xml:space="preserve">. To the fullest extent permitted by the DGCL, as the same exists or may hereafter be amended, a director or officer of the Corporation shall not be personally liable either to the Corporation or to any of its stockholders for monetary damages for breach of fiduciary duty as a director or officer (as applicable). Any amendment or modification or repeal of the foregoing sentence shall not adversely affect any right or protection of a director or officer of the Corporation hereunder in respect of any act or omission occurring prior to the time of such amendment, modification or repeal. If the DGCL hereafter is amended to further eliminate or limit the liability of a director or officer, then a director or officer of the Corporation, in addition to the circumstances in which a director or officer is not personally liable as set forth in the preceding sentence, shall not be liable to the fullest extent permitted by the amended DGCL. Any repeal or modification of this Article IX shall not adversely affect any right or protection of a director or officer of the Corporation existing at the time of such repeal or modification with respect to acts or omissions occurring prior to such repeal or modification.” </w:t>
      </w:r>
    </w:p>
    <w:p>
      <w:pPr>
        <w:pStyle w:val="TextBody"/>
        <w:bidi w:val="0"/>
        <w:spacing w:lineRule="auto" w:line="240" w:before="280" w:after="283"/>
        <w:ind w:left="0" w:right="0" w:firstLine="979"/>
        <w:jc w:val="both"/>
        <w:rPr/>
      </w:pPr>
      <w:r>
        <w:rPr>
          <w:rFonts w:ascii="Times New Roman;sans-serif" w:hAnsi="Times New Roman;sans-serif"/>
          <w:b/>
          <w:color w:val="000000"/>
          <w:sz w:val="24"/>
        </w:rPr>
        <w:t>SECOND</w:t>
      </w:r>
      <w:r>
        <w:rPr>
          <w:rFonts w:ascii="Times New Roman;sans-serif" w:hAnsi="Times New Roman;sans-serif"/>
          <w:b w:val="false"/>
          <w:color w:val="000000"/>
          <w:sz w:val="24"/>
        </w:rPr>
        <w:t xml:space="preserve">: The Amendment was duly adopted in accordance with the applicable provisions of Section 242 of the DGCL. </w:t>
      </w:r>
    </w:p>
    <w:p>
      <w:pPr>
        <w:pStyle w:val="TextBody"/>
        <w:bidi w:val="0"/>
        <w:spacing w:lineRule="auto" w:line="240" w:before="280" w:after="283"/>
        <w:ind w:left="0" w:right="0" w:firstLine="979"/>
        <w:jc w:val="both"/>
        <w:rPr/>
      </w:pPr>
      <w:r>
        <w:rPr>
          <w:rFonts w:ascii="Times New Roman;sans-serif" w:hAnsi="Times New Roman;sans-serif"/>
          <w:b/>
          <w:color w:val="000000"/>
          <w:sz w:val="24"/>
        </w:rPr>
        <w:t>THIRD</w:t>
      </w:r>
      <w:r>
        <w:rPr>
          <w:rFonts w:ascii="Times New Roman;sans-serif" w:hAnsi="Times New Roman;sans-serif"/>
          <w:b w:val="false"/>
          <w:color w:val="000000"/>
          <w:sz w:val="24"/>
        </w:rPr>
        <w:t xml:space="preserve">: The Amendment shall become effective upon filing. </w:t>
      </w:r>
    </w:p>
    <w:p>
      <w:pPr>
        <w:pStyle w:val="TextBody"/>
        <w:bidi w:val="0"/>
        <w:spacing w:lineRule="auto" w:line="240" w:before="280" w:after="283"/>
        <w:ind w:left="0" w:right="0" w:firstLine="979"/>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xml:space="preserve">, the Corporation has caused this certificate to be signed on December 15, 2023. </w:t>
      </w:r>
    </w:p>
    <w:tbl>
      <w:tblPr>
        <w:tblW w:w="6098" w:type="dxa"/>
        <w:jc w:val="left"/>
        <w:tblInd w:w="0" w:type="dxa"/>
        <w:tblLayout w:type="fixed"/>
        <w:tblCellMar>
          <w:top w:w="28" w:type="dxa"/>
          <w:left w:w="28" w:type="dxa"/>
          <w:bottom w:w="28" w:type="dxa"/>
          <w:right w:w="28" w:type="dxa"/>
        </w:tblCellMar>
      </w:tblPr>
      <w:tblGrid>
        <w:gridCol w:w="124"/>
        <w:gridCol w:w="109"/>
        <w:gridCol w:w="109"/>
        <w:gridCol w:w="418"/>
        <w:gridCol w:w="418"/>
        <w:gridCol w:w="418"/>
        <w:gridCol w:w="1024"/>
        <w:gridCol w:w="1024"/>
        <w:gridCol w:w="1024"/>
        <w:gridCol w:w="418"/>
        <w:gridCol w:w="418"/>
        <w:gridCol w:w="5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15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756" w:type="dxa"/>
            <w:gridSpan w:val="9"/>
            <w:tcBorders/>
            <w:tcMar>
              <w:top w:w="0" w:type="dxa"/>
              <w:left w:w="0" w:type="dxa"/>
              <w:bottom w:w="0" w:type="dxa"/>
              <w:right w:w="0" w:type="dxa"/>
            </w:tcMar>
            <w:vAlign w:val="center"/>
          </w:tcPr>
          <w:p>
            <w:pPr>
              <w:pStyle w:val="TableContents"/>
              <w:bidi w:val="0"/>
              <w:spacing w:lineRule="auto" w:line="240" w:before="0" w:after="0"/>
              <w:ind w:left="0" w:right="0" w:hanging="240"/>
              <w:jc w:val="both"/>
              <w:rPr>
                <w:rFonts w:ascii="Times New Roman;sans-serif" w:hAnsi="Times New Roman;sans-serif"/>
                <w:b/>
                <w:color w:val="000000"/>
                <w:sz w:val="24"/>
              </w:rPr>
            </w:pPr>
            <w:r>
              <w:rPr>
                <w:rFonts w:ascii="Times New Roman;sans-serif" w:hAnsi="Times New Roman;sans-serif"/>
                <w:b/>
                <w:color w:val="000000"/>
                <w:sz w:val="24"/>
              </w:rPr>
              <w:t>VIATRIS INC.</w:t>
            </w:r>
          </w:p>
        </w:tc>
      </w:tr>
      <w:tr>
        <w:trPr/>
        <w:tc>
          <w:tcPr>
            <w:tcW w:w="1596" w:type="dxa"/>
            <w:gridSpan w:val="6"/>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0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
              </w:rPr>
              <w:t>/s</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By:    </w:t>
            </w:r>
          </w:p>
        </w:tc>
        <w:tc>
          <w:tcPr>
            <w:tcW w:w="30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3F3F3F"/>
              </w:rPr>
              <w:t> </w:t>
            </w:r>
            <w:r>
              <w:rPr>
                <w:rFonts w:ascii="Times New Roman;sans-serif" w:hAnsi="Times New Roman;sans-serif"/>
                <w:b w:val="false"/>
                <w:color w:val="000000"/>
                <w:sz w:val="24"/>
              </w:rPr>
              <w:t>/s/ Burt Park</w:t>
            </w:r>
          </w:p>
          <w:p>
            <w:pPr>
              <w:pStyle w:val="TableContents"/>
              <w:bidi w:val="0"/>
              <w:spacing w:lineRule="auto" w:line="240" w:before="20" w:after="283"/>
              <w:jc w:val="center"/>
              <w:rPr>
                <w:color w:val="000000"/>
              </w:rPr>
            </w:pPr>
            <w:r>
              <w:rPr>
                <w:color w:val="000000"/>
              </w:rPr>
              <w:t> </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756" w:type="dxa"/>
            <w:gridSpan w:val="9"/>
            <w:tcBorders/>
            <w:tcMar>
              <w:top w:w="0" w:type="dxa"/>
              <w:left w:w="0" w:type="dxa"/>
              <w:bottom w:w="0" w:type="dxa"/>
              <w:right w:w="0" w:type="dxa"/>
            </w:tcMar>
            <w:vAlign w:val="center"/>
          </w:tcPr>
          <w:p>
            <w:pPr>
              <w:pStyle w:val="TableContents"/>
              <w:bidi w:val="0"/>
              <w:spacing w:lineRule="auto" w:line="240" w:before="0" w:after="0"/>
              <w:ind w:left="0" w:right="0" w:hanging="240"/>
              <w:jc w:val="both"/>
              <w:rPr>
                <w:color w:val="000000"/>
              </w:rPr>
            </w:pPr>
            <w:r>
              <w:rPr>
                <w:color w:val="000000"/>
              </w:rPr>
              <w:t xml:space="preserve">  </w:t>
            </w:r>
            <w:r>
              <w:rPr>
                <w:rFonts w:ascii="Times New Roman;sans-serif" w:hAnsi="Times New Roman;sans-serif"/>
                <w:b w:val="false"/>
                <w:color w:val="000000"/>
                <w:sz w:val="24"/>
              </w:rPr>
              <w:t>Name: Burt Park</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5756" w:type="dxa"/>
            <w:gridSpan w:val="9"/>
            <w:tcBorders/>
            <w:tcMar>
              <w:top w:w="0" w:type="dxa"/>
              <w:left w:w="0" w:type="dxa"/>
              <w:bottom w:w="0" w:type="dxa"/>
              <w:right w:w="0" w:type="dxa"/>
            </w:tcMar>
            <w:vAlign w:val="center"/>
          </w:tcPr>
          <w:p>
            <w:pPr>
              <w:pStyle w:val="TableContents"/>
              <w:bidi w:val="0"/>
              <w:spacing w:lineRule="auto" w:line="240" w:before="0" w:after="0"/>
              <w:ind w:left="0" w:right="0" w:hanging="240"/>
              <w:jc w:val="both"/>
              <w:rPr>
                <w:color w:val="000000"/>
              </w:rPr>
            </w:pPr>
            <w:r>
              <w:rPr>
                <w:color w:val="000000"/>
              </w:rPr>
              <w:t xml:space="preserve">  </w:t>
            </w:r>
            <w:r>
              <w:rPr>
                <w:rFonts w:ascii="Times New Roman;sans-serif" w:hAnsi="Times New Roman;sans-serif"/>
                <w:b w:val="false"/>
                <w:color w:val="000000"/>
                <w:sz w:val="24"/>
              </w:rPr>
              <w:t>Title: Chief Governance Counsel and Corporate Secretary</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4.9</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DESCRIPTION OF VIATRIS INC. SECURITIES REGISTERED UNDER SECTION 12 OF THE EXCHANGE ACT</w:t>
      </w:r>
    </w:p>
    <w:p>
      <w:pPr>
        <w:pStyle w:val="TextBody"/>
        <w:bidi w:val="0"/>
        <w:spacing w:before="0" w:after="0"/>
        <w:jc w:val="left"/>
        <w:rPr/>
      </w:pPr>
      <w:r>
        <w:rPr/>
      </w:r>
    </w:p>
    <w:p>
      <w:pPr>
        <w:pStyle w:val="TextBody"/>
        <w:bidi w:val="0"/>
        <w:spacing w:lineRule="auto" w:line="321"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As of December 31, 2023, our shares of common stock, par value $0.01, are the only securities of Viatris Inc. (“Viatris”, “we”, “our” or “us”) registered under Section 12 of the Securities Exchange Act of 1934, as amended (the “Exchange Act”). The following description of our common stock, referred to as Viatris common stock, does not purport to be complete and is subject to and qualified in its entirety by reference to our amended and restated certificate of incorporation (the “Viatris Charter”) and bylaws (the “Viatris Bylaws”) and the Delaware General Corporation Law (“DGCL”). Copies of the Viatris Charter and the Viatris Bylaws have been included as exhibits to the Annual Report on Form 10-K to which this description has been filed.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Description of Viatris Common Stock</w:t>
      </w:r>
    </w:p>
    <w:p>
      <w:pPr>
        <w:pStyle w:val="TextBody"/>
        <w:bidi w:val="0"/>
        <w:spacing w:before="0" w:after="0"/>
        <w:jc w:val="left"/>
        <w:rPr/>
      </w:pPr>
      <w:r>
        <w:rPr/>
      </w:r>
    </w:p>
    <w:p>
      <w:pPr>
        <w:pStyle w:val="TextBody"/>
        <w:bidi w:val="0"/>
        <w:spacing w:lineRule="auto" w:line="240" w:before="0" w:after="0"/>
        <w:ind w:left="0" w:right="0" w:firstLine="441"/>
        <w:jc w:val="left"/>
        <w:rPr>
          <w:rFonts w:ascii="Times New Roman;sans-serif" w:hAnsi="Times New Roman;sans-serif"/>
          <w:b/>
          <w:i/>
          <w:color w:val="000000"/>
          <w:sz w:val="22"/>
        </w:rPr>
      </w:pPr>
      <w:r>
        <w:rPr>
          <w:rFonts w:ascii="Times New Roman;sans-serif" w:hAnsi="Times New Roman;sans-serif"/>
          <w:b/>
          <w:i/>
          <w:color w:val="000000"/>
          <w:sz w:val="22"/>
        </w:rPr>
        <w:t>General</w:t>
      </w:r>
    </w:p>
    <w:p>
      <w:pPr>
        <w:pStyle w:val="TextBody"/>
        <w:bidi w:val="0"/>
        <w:spacing w:before="0" w:after="0"/>
        <w:jc w:val="left"/>
        <w:rPr/>
      </w:pPr>
      <w:r>
        <w:rPr/>
      </w:r>
    </w:p>
    <w:p>
      <w:pPr>
        <w:pStyle w:val="TextBody"/>
        <w:bidi w:val="0"/>
        <w:spacing w:lineRule="auto" w:line="326"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The Viatris Charter authorizes 3,000,000,000 shares of common stock, par value $0.01 per share, and 300,000,000 shares of preferred stock, par value $0.01 per share for a total authorized share capital of $3,300,000,000.</w:t>
      </w:r>
    </w:p>
    <w:p>
      <w:pPr>
        <w:pStyle w:val="TextBody"/>
        <w:bidi w:val="0"/>
        <w:spacing w:before="0" w:after="0"/>
        <w:jc w:val="left"/>
        <w:rPr/>
      </w:pPr>
      <w:r>
        <w:rPr/>
      </w:r>
    </w:p>
    <w:p>
      <w:pPr>
        <w:pStyle w:val="TextBody"/>
        <w:bidi w:val="0"/>
        <w:spacing w:lineRule="auto" w:line="326"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As of February 22, 2024, we have issued and outstanding 1,187,569,149 shares of Viatris common stock, par value $0.01. All issued shares of Viatris common stock are fully paid and non-assessable.</w:t>
      </w:r>
    </w:p>
    <w:p>
      <w:pPr>
        <w:pStyle w:val="TextBody"/>
        <w:bidi w:val="0"/>
        <w:spacing w:before="0" w:after="0"/>
        <w:jc w:val="left"/>
        <w:rPr/>
      </w:pPr>
      <w:r>
        <w:rPr/>
      </w:r>
    </w:p>
    <w:p>
      <w:pPr>
        <w:pStyle w:val="TextBody"/>
        <w:bidi w:val="0"/>
        <w:spacing w:lineRule="auto" w:line="309"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As of February 22, 2024, there were no shares of Viatris preferred stock outstanding. The Viatris board of directors (“Viatris Board”) may establish the rights and preferences of the preferred stock from time to time as set forth in the Viatris Charter. The Viatris Charter does not authorize any other classes of capital stock.</w:t>
      </w:r>
    </w:p>
    <w:p>
      <w:pPr>
        <w:pStyle w:val="TextBody"/>
        <w:bidi w:val="0"/>
        <w:spacing w:before="0" w:after="0"/>
        <w:jc w:val="left"/>
        <w:rPr/>
      </w:pPr>
      <w:r>
        <w:rPr/>
      </w:r>
    </w:p>
    <w:p>
      <w:pPr>
        <w:pStyle w:val="TextBody"/>
        <w:bidi w:val="0"/>
        <w:spacing w:lineRule="auto" w:line="240" w:before="0" w:after="0"/>
        <w:ind w:left="0" w:right="0" w:firstLine="441"/>
        <w:jc w:val="left"/>
        <w:rPr>
          <w:rFonts w:ascii="Times New Roman;sans-serif" w:hAnsi="Times New Roman;sans-serif"/>
          <w:b/>
          <w:i/>
          <w:color w:val="000000"/>
          <w:sz w:val="22"/>
        </w:rPr>
      </w:pPr>
      <w:r>
        <w:rPr>
          <w:rFonts w:ascii="Times New Roman;sans-serif" w:hAnsi="Times New Roman;sans-serif"/>
          <w:b/>
          <w:i/>
          <w:color w:val="000000"/>
          <w:sz w:val="22"/>
        </w:rPr>
        <w:t>Common Stock</w:t>
      </w:r>
    </w:p>
    <w:p>
      <w:pPr>
        <w:pStyle w:val="TextBody"/>
        <w:bidi w:val="0"/>
        <w:spacing w:before="0" w:after="0"/>
        <w:jc w:val="left"/>
        <w:rPr/>
      </w:pPr>
      <w:r>
        <w:rPr/>
      </w:r>
    </w:p>
    <w:p>
      <w:pPr>
        <w:pStyle w:val="TextBody"/>
        <w:bidi w:val="0"/>
        <w:spacing w:lineRule="auto" w:line="295"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Holders of Viatris common stock are entitled to one vote per share on all matters to be voted upon by Viatris stockholders. Unless a different vote is required by law or specifically required by the Viatris Charter or the Viatris Bylaws, if a quorum exists at any meeting of stockholders, stockholders shall have approved any matter (other than the election of directors, which is described below) if a majority of votes cast on such matter by stockholders present in person or represented by proxy at the meeting and entitled to vote on such matter are in favor of such matter. Subject to the rights of the holders of any series of Viatris preferred stock to elect directors under specified circumstances, if a quorum exists at any meeting of stockholders, stockholders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 in which the number of candidates for election as directors exceeds the number of directors to be elected, with the determination thereof being made by the secretary of Viatris.</w:t>
      </w:r>
    </w:p>
    <w:p>
      <w:pPr>
        <w:pStyle w:val="TextBody"/>
        <w:bidi w:val="0"/>
        <w:spacing w:before="0" w:after="0"/>
        <w:jc w:val="left"/>
        <w:rPr/>
      </w:pPr>
      <w:r>
        <w:rPr/>
      </w:r>
    </w:p>
    <w:p>
      <w:pPr>
        <w:pStyle w:val="TextBody"/>
        <w:bidi w:val="0"/>
        <w:spacing w:lineRule="auto" w:line="295"/>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Subject to the rights of any holders of Viatris preferred stock, the holders of Viatris common stock are entitled to receive ratably dividends, if any, as may be declared from time to time by the Viatris Board out of funds legally available for the payment of dividends. If Viatris liquidates,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5"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dissolves or winds up, after all liabilities and, if applicable, the holders of each series of preferred stock have been paid in full, the holders of Viatris common stock will be entitled to share ratably in all remaining assets. Viatris common stock does not have preemptive or conversion rights or other subscription rights. No redemption or sinking fund provisions are applicable to Viatris common stock. The rights, preferences and privileges of the holders of Viatris common stock are subject to, and may be adversely affected by, the rights of the holders of shares of any series of preferred stock that Viatris may designate and issue in the future.</w:t>
      </w:r>
    </w:p>
    <w:p>
      <w:pPr>
        <w:pStyle w:val="TextBody"/>
        <w:bidi w:val="0"/>
        <w:spacing w:before="0" w:after="0"/>
        <w:jc w:val="left"/>
        <w:rPr/>
      </w:pPr>
      <w:r>
        <w:rPr/>
      </w:r>
    </w:p>
    <w:p>
      <w:pPr>
        <w:pStyle w:val="TextBody"/>
        <w:bidi w:val="0"/>
        <w:spacing w:lineRule="auto" w:line="240" w:before="0" w:after="0"/>
        <w:ind w:left="0" w:right="0" w:firstLine="441"/>
        <w:jc w:val="left"/>
        <w:rPr>
          <w:rFonts w:ascii="Times New Roman;sans-serif" w:hAnsi="Times New Roman;sans-serif"/>
          <w:b/>
          <w:i/>
          <w:color w:val="000000"/>
          <w:sz w:val="22"/>
        </w:rPr>
      </w:pPr>
      <w:r>
        <w:rPr>
          <w:rFonts w:ascii="Times New Roman;sans-serif" w:hAnsi="Times New Roman;sans-serif"/>
          <w:b/>
          <w:i/>
          <w:color w:val="000000"/>
          <w:sz w:val="22"/>
        </w:rPr>
        <w:t>Preferred Stock</w:t>
      </w:r>
    </w:p>
    <w:p>
      <w:pPr>
        <w:pStyle w:val="TextBody"/>
        <w:bidi w:val="0"/>
        <w:spacing w:before="0" w:after="0"/>
        <w:jc w:val="left"/>
        <w:rPr/>
      </w:pPr>
      <w:r>
        <w:rPr/>
      </w:r>
    </w:p>
    <w:p>
      <w:pPr>
        <w:pStyle w:val="TextBody"/>
        <w:bidi w:val="0"/>
        <w:spacing w:lineRule="auto" w:line="326"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The Viatris Board may issue shares of preferred stock in one or more series and, subject to the applicable law of the State of Delaware, the Viatris Board may set the powers, rights, preferences, qualifications, limitations and restrictions of such preferred stock.</w:t>
      </w:r>
    </w:p>
    <w:p>
      <w:pPr>
        <w:pStyle w:val="TextBody"/>
        <w:bidi w:val="0"/>
        <w:spacing w:before="0" w:after="0"/>
        <w:jc w:val="left"/>
        <w:rPr/>
      </w:pPr>
      <w:r>
        <w:rPr/>
      </w:r>
    </w:p>
    <w:p>
      <w:pPr>
        <w:pStyle w:val="TextBody"/>
        <w:bidi w:val="0"/>
        <w:spacing w:lineRule="auto" w:line="309" w:before="0" w:after="0"/>
        <w:ind w:left="0" w:right="0" w:firstLine="441"/>
        <w:jc w:val="both"/>
        <w:rPr>
          <w:rFonts w:ascii="Times New Roman;sans-serif" w:hAnsi="Times New Roman;sans-serif"/>
          <w:b w:val="false"/>
          <w:color w:val="000000"/>
          <w:sz w:val="22"/>
        </w:rPr>
      </w:pPr>
      <w:r>
        <w:rPr>
          <w:rFonts w:ascii="Times New Roman;sans-serif" w:hAnsi="Times New Roman;sans-serif"/>
          <w:b w:val="false"/>
          <w:color w:val="000000"/>
          <w:sz w:val="22"/>
        </w:rPr>
        <w:t>The Viatris Board has the power to issue Viatris preferred stock with voting, conversion and exchange rights that could negatively affect the voting power or other rights of Viatris common stockholders, and the Viatris Board could take such action without stockholder approval. The issuance of Viatris preferred stock could delay or prevent a change in control of Viatris.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Anti-Takeover Effects of Various Provisions of Delaware Law, the Viatris Charter and the Viatris Bylaws</w:t>
      </w:r>
    </w:p>
    <w:p>
      <w:pPr>
        <w:pStyle w:val="TextBody"/>
        <w:bidi w:val="0"/>
        <w:spacing w:before="0" w:after="0"/>
        <w:jc w:val="left"/>
        <w:rPr/>
      </w:pPr>
      <w:r>
        <w:rPr/>
      </w:r>
    </w:p>
    <w:p>
      <w:pPr>
        <w:pStyle w:val="TextBody"/>
        <w:bidi w:val="0"/>
        <w:spacing w:lineRule="auto" w:line="302"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Provisions of the DGCL, the Viatris Charter and the Viatris Bylaws could make it more difficult to acquire Viatris by means of a tender offer, a proxy contest or otherwise, or to remove incumbent officers and directors. These provisions, summarized below, would be expected to discourage certain types of coercive takeover practices and takeover bids the Viatris Board may consider inadequate and to encourage persons seeking to acquire control of Viatris to first negotiate with Viatris.</w:t>
      </w:r>
    </w:p>
    <w:p>
      <w:pPr>
        <w:pStyle w:val="TextBody"/>
        <w:bidi w:val="0"/>
        <w:spacing w:before="0" w:after="0"/>
        <w:jc w:val="left"/>
        <w:rPr/>
      </w:pPr>
      <w:r>
        <w:rPr/>
      </w:r>
    </w:p>
    <w:p>
      <w:pPr>
        <w:pStyle w:val="TextBody"/>
        <w:bidi w:val="0"/>
        <w:spacing w:lineRule="auto" w:line="312" w:before="0" w:after="0"/>
        <w:ind w:left="0" w:right="0" w:firstLine="441"/>
        <w:jc w:val="left"/>
        <w:rPr/>
      </w:pPr>
      <w:r>
        <w:rPr>
          <w:rFonts w:ascii="Times New Roman;sans-serif" w:hAnsi="Times New Roman;sans-serif"/>
          <w:b/>
          <w:i/>
          <w:color w:val="000000"/>
          <w:sz w:val="22"/>
        </w:rPr>
        <w:t xml:space="preserve">Preferred Stock. </w:t>
      </w:r>
      <w:r>
        <w:rPr>
          <w:rFonts w:ascii="Times New Roman;sans-serif" w:hAnsi="Times New Roman;sans-serif"/>
          <w:b w:val="false"/>
          <w:color w:val="000000"/>
          <w:sz w:val="22"/>
        </w:rPr>
        <w:t>The Viatris Board has the power to issue Viatris preferred stock with voting, conversion and exchange rights that could negatively</w:t>
      </w:r>
      <w:r>
        <w:rPr>
          <w:color w:val="000000"/>
        </w:rPr>
        <w:t xml:space="preserve"> </w:t>
      </w:r>
      <w:r>
        <w:rPr>
          <w:rFonts w:ascii="Times New Roman;sans-serif" w:hAnsi="Times New Roman;sans-serif"/>
          <w:b w:val="false"/>
          <w:color w:val="000000"/>
          <w:sz w:val="22"/>
        </w:rPr>
        <w:t>affect the voting power or other rights of Viatris common stockholders, and the Viatris Board could take that action without stockholder approval. The issuance of Viatris preferred stock could delay or prevent a change in control of Viatris.</w:t>
      </w:r>
    </w:p>
    <w:p>
      <w:pPr>
        <w:pStyle w:val="TextBody"/>
        <w:bidi w:val="0"/>
        <w:spacing w:before="0" w:after="0"/>
        <w:jc w:val="left"/>
        <w:rPr/>
      </w:pPr>
      <w:r>
        <w:rPr/>
      </w:r>
    </w:p>
    <w:p>
      <w:pPr>
        <w:pStyle w:val="TextBody"/>
        <w:bidi w:val="0"/>
        <w:spacing w:lineRule="auto" w:line="312" w:before="0" w:after="0"/>
        <w:ind w:left="0" w:right="0" w:firstLine="441"/>
        <w:jc w:val="left"/>
        <w:rPr/>
      </w:pPr>
      <w:r>
        <w:rPr>
          <w:rFonts w:ascii="Times New Roman;sans-serif" w:hAnsi="Times New Roman;sans-serif"/>
          <w:b/>
          <w:i/>
          <w:color w:val="000000"/>
          <w:sz w:val="22"/>
        </w:rPr>
        <w:t xml:space="preserve">Board Vacancies to Be Filled by Remaining Directors and Not Stockholders. </w:t>
      </w:r>
      <w:r>
        <w:rPr>
          <w:rFonts w:ascii="Times New Roman;sans-serif" w:hAnsi="Times New Roman;sans-serif"/>
          <w:b w:val="false"/>
          <w:color w:val="000000"/>
          <w:sz w:val="22"/>
        </w:rPr>
        <w:t>The Viatris Charter provides that any vacancies, including any newly</w:t>
      </w:r>
      <w:r>
        <w:rPr>
          <w:color w:val="000000"/>
        </w:rPr>
        <w:t xml:space="preserve"> </w:t>
      </w:r>
      <w:r>
        <w:rPr>
          <w:rFonts w:ascii="Times New Roman;sans-serif" w:hAnsi="Times New Roman;sans-serif"/>
          <w:b w:val="false"/>
          <w:color w:val="000000"/>
          <w:sz w:val="22"/>
        </w:rPr>
        <w:t>created directorships, on the Viatris Board will be filled by the affirmative vote of the majority of the remaining directors then in office, even if such directors constitute less than a quorum, or by a sole remaining director.</w:t>
      </w:r>
    </w:p>
    <w:p>
      <w:pPr>
        <w:pStyle w:val="TextBody"/>
        <w:bidi w:val="0"/>
        <w:spacing w:before="0" w:after="0"/>
        <w:jc w:val="left"/>
        <w:rPr/>
      </w:pPr>
      <w:r>
        <w:rPr/>
      </w:r>
    </w:p>
    <w:p>
      <w:pPr>
        <w:pStyle w:val="TextBody"/>
        <w:bidi w:val="0"/>
        <w:spacing w:lineRule="auto" w:line="304" w:before="0" w:after="0"/>
        <w:ind w:left="0" w:right="0" w:firstLine="441"/>
        <w:jc w:val="left"/>
        <w:rPr/>
      </w:pPr>
      <w:r>
        <w:rPr>
          <w:rFonts w:ascii="Times New Roman;sans-serif" w:hAnsi="Times New Roman;sans-serif"/>
          <w:b/>
          <w:i/>
          <w:color w:val="000000"/>
          <w:sz w:val="22"/>
        </w:rPr>
        <w:t xml:space="preserve">Removal of Directors by Stockholders. </w:t>
      </w:r>
      <w:r>
        <w:rPr>
          <w:rFonts w:ascii="Times New Roman;sans-serif" w:hAnsi="Times New Roman;sans-serif"/>
          <w:b w:val="false"/>
          <w:color w:val="000000"/>
          <w:sz w:val="22"/>
        </w:rPr>
        <w:t>The Viatris Charter and the Viatris Bylaws provide that directors may be removed by stockholders, with or without cause, by the affirmative vote of the holders of a majority of the voting power of the outstanding capital stock entitled to vote.</w:t>
      </w:r>
    </w:p>
    <w:p>
      <w:pPr>
        <w:pStyle w:val="TextBody"/>
        <w:bidi w:val="0"/>
        <w:spacing w:before="0" w:after="0"/>
        <w:jc w:val="left"/>
        <w:rPr/>
      </w:pPr>
      <w:r>
        <w:rPr/>
      </w:r>
    </w:p>
    <w:p>
      <w:pPr>
        <w:pStyle w:val="TextBody"/>
        <w:bidi w:val="0"/>
        <w:spacing w:lineRule="auto" w:line="304" w:before="0" w:after="0"/>
        <w:ind w:left="0" w:right="0" w:firstLine="441"/>
        <w:jc w:val="left"/>
        <w:rPr/>
      </w:pPr>
      <w:r>
        <w:rPr>
          <w:rFonts w:ascii="Times New Roman;sans-serif" w:hAnsi="Times New Roman;sans-serif"/>
          <w:b/>
          <w:i/>
          <w:color w:val="000000"/>
          <w:sz w:val="22"/>
        </w:rPr>
        <w:t xml:space="preserve">Special Meeting. </w:t>
      </w:r>
      <w:r>
        <w:rPr>
          <w:rFonts w:ascii="Times New Roman;sans-serif" w:hAnsi="Times New Roman;sans-serif"/>
          <w:b w:val="false"/>
          <w:color w:val="000000"/>
          <w:sz w:val="22"/>
        </w:rPr>
        <w:t>The Viatris Bylaws provide that special meetings of the stockholders may be called by the chair of the Viatris Board, the Viatris</w:t>
      </w:r>
      <w:r>
        <w:rPr>
          <w:color w:val="000000"/>
        </w:rPr>
        <w:t xml:space="preserve"> </w:t>
      </w:r>
      <w:r>
        <w:rPr>
          <w:rFonts w:ascii="Times New Roman;sans-serif" w:hAnsi="Times New Roman;sans-serif"/>
          <w:b w:val="false"/>
          <w:color w:val="000000"/>
          <w:sz w:val="22"/>
        </w:rPr>
        <w:t>Board pursuant to a resolution adopted by a majority of the total number of directors Viatris would have if all vacancies or unfilled directorships were filled or, subject to certain procedural requirements, the chair of the Viatris Board or the secretary of Viatris at the written request of stockholders of record owning at least 25% of the voting power entitled to vote on the matter or matters entitled to vote at the meeting.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7"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The Viatris Bylaws do not permit a special meeting to be held at the request of stockholders if (a) the business to be brought before the special meeting is not a proper subject for stockholder action under applicable law, the Viatris Charter or the Viatris Bylaws, (b) the Viatris Board has called for or calls for an annual meeting to be held within 90 days after the special meeting request is delivered to Viatris and the Viatris Board determines that the business of the special meeting is identical or substantially similar to an item of business of the annual meeting, (c) the business conducted at the most recent annual meeting or any special meeting held within one year included such similar business or (d) the request is delivered between 61 and 365 days after the earliest date of signature on a different request for a special meeting on the same business.</w:t>
      </w:r>
    </w:p>
    <w:p>
      <w:pPr>
        <w:pStyle w:val="TextBody"/>
        <w:bidi w:val="0"/>
        <w:spacing w:before="0" w:after="0"/>
        <w:jc w:val="left"/>
        <w:rPr/>
      </w:pPr>
      <w:r>
        <w:rPr/>
      </w:r>
    </w:p>
    <w:p>
      <w:pPr>
        <w:pStyle w:val="TextBody"/>
        <w:bidi w:val="0"/>
        <w:spacing w:lineRule="auto" w:line="331" w:before="0" w:after="0"/>
        <w:ind w:left="0" w:right="0" w:firstLine="441"/>
        <w:jc w:val="left"/>
        <w:rPr/>
      </w:pPr>
      <w:r>
        <w:rPr>
          <w:rFonts w:ascii="Times New Roman;sans-serif" w:hAnsi="Times New Roman;sans-serif"/>
          <w:b/>
          <w:i/>
          <w:color w:val="000000"/>
          <w:sz w:val="22"/>
        </w:rPr>
        <w:t xml:space="preserve">Stockholder Action. </w:t>
      </w:r>
      <w:r>
        <w:rPr>
          <w:rFonts w:ascii="Times New Roman;sans-serif" w:hAnsi="Times New Roman;sans-serif"/>
          <w:b w:val="false"/>
          <w:color w:val="000000"/>
          <w:sz w:val="22"/>
        </w:rPr>
        <w:t>The Viatris Bylaws and the Viatris Charter do not permit stockholder action by written consent unless such written consent is</w:t>
      </w:r>
      <w:r>
        <w:rPr>
          <w:color w:val="000000"/>
        </w:rPr>
        <w:t xml:space="preserve"> </w:t>
      </w:r>
      <w:r>
        <w:rPr>
          <w:rFonts w:ascii="Times New Roman;sans-serif" w:hAnsi="Times New Roman;sans-serif"/>
          <w:b w:val="false"/>
          <w:color w:val="000000"/>
          <w:sz w:val="22"/>
        </w:rPr>
        <w:t>granted by holders of 100% of the voting power of the outstanding shares of capital stock entitled to vote.</w:t>
      </w:r>
    </w:p>
    <w:p>
      <w:pPr>
        <w:pStyle w:val="TextBody"/>
        <w:bidi w:val="0"/>
        <w:spacing w:before="0" w:after="0"/>
        <w:jc w:val="left"/>
        <w:rPr/>
      </w:pPr>
      <w:r>
        <w:rPr/>
      </w:r>
    </w:p>
    <w:p>
      <w:pPr>
        <w:pStyle w:val="TextBody"/>
        <w:bidi w:val="0"/>
        <w:spacing w:lineRule="auto" w:line="300" w:before="0" w:after="0"/>
        <w:ind w:left="0" w:right="0" w:firstLine="441"/>
        <w:jc w:val="left"/>
        <w:rPr/>
      </w:pPr>
      <w:r>
        <w:rPr>
          <w:rFonts w:ascii="Times New Roman;sans-serif" w:hAnsi="Times New Roman;sans-serif"/>
          <w:b/>
          <w:i/>
          <w:color w:val="000000"/>
          <w:sz w:val="22"/>
        </w:rPr>
        <w:t xml:space="preserve">Advance Notice of Director Nominations and Stockholder Proposals. </w:t>
      </w:r>
      <w:r>
        <w:rPr>
          <w:rFonts w:ascii="Times New Roman;sans-serif" w:hAnsi="Times New Roman;sans-serif"/>
          <w:b w:val="false"/>
          <w:color w:val="000000"/>
          <w:sz w:val="22"/>
        </w:rPr>
        <w:t>The Viatris Bylaws contain advance notice procedures for stockholders to</w:t>
      </w:r>
      <w:r>
        <w:rPr>
          <w:color w:val="000000"/>
        </w:rPr>
        <w:t xml:space="preserve"> </w:t>
      </w:r>
      <w:r>
        <w:rPr>
          <w:rFonts w:ascii="Times New Roman;sans-serif" w:hAnsi="Times New Roman;sans-serif"/>
          <w:b w:val="false"/>
          <w:color w:val="000000"/>
          <w:sz w:val="22"/>
        </w:rPr>
        <w:t>make nominations of candidates for election as directors or to bring other business before the annual meeting of stockholders. As specified in the Viatris Bylaws, director nominations and the proposal of business to be considered by stockholders may be made only pursuant to a notice of meeting, at the direction of the board of directors or by a stockholder who is entitled to vote at the meeting and who has complied with the advance notice procedures that are provided in the Viatris Bylaws.</w:t>
      </w:r>
    </w:p>
    <w:p>
      <w:pPr>
        <w:pStyle w:val="TextBody"/>
        <w:bidi w:val="0"/>
        <w:spacing w:before="0" w:after="0"/>
        <w:jc w:val="left"/>
        <w:rPr/>
      </w:pPr>
      <w:r>
        <w:rPr/>
      </w:r>
    </w:p>
    <w:p>
      <w:pPr>
        <w:pStyle w:val="TextBody"/>
        <w:bidi w:val="0"/>
        <w:spacing w:lineRule="auto" w:line="295"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To be timely, a nomination of a director by a stockholder or notice for business to be brought before an annual meeting by a stockholder must be delivered to Viatris’ secretary at Viatris’ principal executive offices not less than 90 days nor more than 120 days before the first anniversary of the preceding year’s annual meeting; provided, however, that if the date of an annual meeting is advanced by more than 30 days or delayed by more than 60 days from such anniversary date, for notice by the stockholder to be timely, it must be delivered not earlier than the 120th day before such annual meeting and not later than the close of business on the later of (a) the 90th day before such annual meeting or (b) if the first public announcement of the date of the annual meeting is less than 100 days prior to the date of such annual meeting, the 10th day following the day on which public announcement of the date of such meeting is first made by Viatris.</w:t>
      </w:r>
    </w:p>
    <w:p>
      <w:pPr>
        <w:pStyle w:val="TextBody"/>
        <w:bidi w:val="0"/>
        <w:spacing w:before="0" w:after="0"/>
        <w:jc w:val="left"/>
        <w:rPr/>
      </w:pPr>
      <w:r>
        <w:rPr/>
      </w:r>
    </w:p>
    <w:p>
      <w:pPr>
        <w:pStyle w:val="TextBody"/>
        <w:bidi w:val="0"/>
        <w:spacing w:lineRule="auto" w:line="300"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If a special meeting of stockholders is called for the purpose of electing one or more directors, any stockholder entitled to vote may nominate a person or persons as specified in the Viatris Bylaws, but only if the stockholder notice is delivered to Viatris’ secretary at Viatris’ principal executive offices not earlier than the 120th day before such special meeting and not later than the close of business on the later of (a) the 90th day before such special meeting or (b) the 10th day following the day on which public announcement is first made of the date of the special meeting and of the nominees proposed by the Viatris Board to be elected at such meeting.</w:t>
      </w:r>
    </w:p>
    <w:p>
      <w:pPr>
        <w:pStyle w:val="TextBody"/>
        <w:bidi w:val="0"/>
        <w:spacing w:before="0" w:after="0"/>
        <w:jc w:val="left"/>
        <w:rPr/>
      </w:pPr>
      <w:r>
        <w:rPr/>
      </w:r>
    </w:p>
    <w:p>
      <w:pPr>
        <w:pStyle w:val="TextBody"/>
        <w:bidi w:val="0"/>
        <w:spacing w:lineRule="auto" w:line="300" w:before="0" w:after="0"/>
        <w:ind w:left="0" w:right="0" w:firstLine="441"/>
        <w:jc w:val="left"/>
        <w:rPr/>
      </w:pPr>
      <w:r>
        <w:rPr>
          <w:rFonts w:ascii="Times New Roman;sans-serif" w:hAnsi="Times New Roman;sans-serif"/>
          <w:b/>
          <w:i/>
          <w:color w:val="000000"/>
          <w:sz w:val="22"/>
        </w:rPr>
        <w:t xml:space="preserve">Amendments to the Viatris Charter and Viatris Bylaws. </w:t>
      </w:r>
      <w:r>
        <w:rPr>
          <w:rFonts w:ascii="Times New Roman;sans-serif" w:hAnsi="Times New Roman;sans-serif"/>
          <w:b w:val="false"/>
          <w:color w:val="000000"/>
          <w:sz w:val="22"/>
        </w:rPr>
        <w:t>Under the DGCL, the Viatris Charter may not be amended by stockholder action alone.</w:t>
      </w:r>
      <w:r>
        <w:rPr>
          <w:color w:val="000000"/>
        </w:rPr>
        <w:t xml:space="preserve"> </w:t>
      </w:r>
      <w:r>
        <w:rPr>
          <w:rFonts w:ascii="Times New Roman;sans-serif" w:hAnsi="Times New Roman;sans-serif"/>
          <w:b w:val="false"/>
          <w:color w:val="000000"/>
          <w:sz w:val="22"/>
        </w:rPr>
        <w:t>Amendments to the Viatris Charter require a board resolution approved by the majority of the outstanding capital stock entitled to vote. The Viatris Bylaws may be amended by stockholders upon the affirmative vote of the holders of a majority of the voting power of the outstanding capital stock entitled to vote. Subject to the right of stockholders as described in the immediately preceding sentence, the Viatris Bylaws may also be adopted, amended or repealed by the Viatris Board.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ind w:left="0" w:right="0" w:firstLine="441"/>
        <w:jc w:val="both"/>
        <w:rPr/>
      </w:pPr>
      <w:r>
        <w:rPr>
          <w:rFonts w:ascii="Times New Roman;sans-serif" w:hAnsi="Times New Roman;sans-serif"/>
          <w:b/>
          <w:i/>
          <w:color w:val="000000"/>
          <w:sz w:val="22"/>
        </w:rPr>
        <w:t xml:space="preserve">Delaware Anti-Takeover Statute. </w:t>
      </w:r>
      <w:r>
        <w:rPr>
          <w:rFonts w:ascii="Times New Roman;sans-serif" w:hAnsi="Times New Roman;sans-serif"/>
          <w:b w:val="false"/>
          <w:color w:val="000000"/>
          <w:sz w:val="22"/>
        </w:rPr>
        <w:t>Viatris is subject to the provisions of Section 203 of the DGCL. In general, Section 203 prohibits a public Delaware</w:t>
      </w:r>
      <w:r>
        <w:rPr>
          <w:color w:val="000000"/>
        </w:rPr>
        <w:t xml:space="preserve"> </w:t>
      </w:r>
      <w:r>
        <w:rPr>
          <w:rFonts w:ascii="Times New Roman;sans-serif" w:hAnsi="Times New Roman;sans-serif"/>
          <w:b w:val="false"/>
          <w:color w:val="000000"/>
          <w:sz w:val="22"/>
        </w:rPr>
        <w:t>corporation from engaging in a “business combination” with an “interested stockholder” for a period of three years after the date of the transaction in which the person became an interested stockholder, unless:</w:t>
      </w:r>
    </w:p>
    <w:p>
      <w:pPr>
        <w:pStyle w:val="TextBody"/>
        <w:bidi w:val="0"/>
        <w:spacing w:before="0" w:after="0"/>
        <w:ind w:left="0" w:right="0" w:firstLine="441"/>
        <w:jc w:val="both"/>
        <w:rPr/>
      </w:pPr>
      <w:r>
        <w:rPr/>
      </w:r>
    </w:p>
    <w:p>
      <w:pPr>
        <w:pStyle w:val="TextBody"/>
        <w:bidi w:val="0"/>
        <w:spacing w:lineRule="auto" w:line="312" w:before="0" w:after="0"/>
        <w:ind w:left="0" w:right="0" w:hanging="360"/>
        <w:jc w:val="both"/>
        <w:rPr/>
      </w:pPr>
      <w:r>
        <w:rPr>
          <w:color w:val="000000"/>
        </w:rPr>
        <w:t>•</w:t>
      </w:r>
      <w:r>
        <w:rPr>
          <w:rFonts w:ascii="Times New Roman;sans-serif" w:hAnsi="Times New Roman;sans-serif"/>
          <w:b w:val="false"/>
          <w:color w:val="000000"/>
          <w:sz w:val="22"/>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Times New Roman;sans-serif" w:hAnsi="Times New Roman;sans-serif"/>
          <w:b w:val="false"/>
          <w:color w:val="000000"/>
          <w:sz w:val="22"/>
        </w:rPr>
        <w:t>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Times New Roman;sans-serif" w:hAnsi="Times New Roman;sans-serif"/>
          <w:b w:val="false"/>
          <w:color w:val="000000"/>
          <w:sz w:val="22"/>
        </w:rPr>
        <w:t>the transaction is approved by the board of directors and by the affirmative vote of two-thirds of the outstanding voting stock which is not owned by the interested stockholder.</w:t>
      </w:r>
    </w:p>
    <w:p>
      <w:pPr>
        <w:pStyle w:val="TextBody"/>
        <w:bidi w:val="0"/>
        <w:spacing w:before="0" w:after="0"/>
        <w:jc w:val="left"/>
        <w:rPr/>
      </w:pPr>
      <w:r>
        <w:rPr/>
      </w:r>
    </w:p>
    <w:p>
      <w:pPr>
        <w:pStyle w:val="TextBody"/>
        <w:bidi w:val="0"/>
        <w:spacing w:lineRule="auto" w:line="309"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Viatris.</w:t>
      </w:r>
    </w:p>
    <w:p>
      <w:pPr>
        <w:pStyle w:val="TextBody"/>
        <w:bidi w:val="0"/>
        <w:spacing w:before="0" w:after="0"/>
        <w:jc w:val="left"/>
        <w:rPr/>
      </w:pPr>
      <w:r>
        <w:rPr/>
      </w:r>
    </w:p>
    <w:p>
      <w:pPr>
        <w:pStyle w:val="TextBody"/>
        <w:bidi w:val="0"/>
        <w:spacing w:lineRule="auto" w:line="240" w:before="0" w:after="0"/>
        <w:ind w:left="0" w:right="0" w:firstLine="441"/>
        <w:jc w:val="left"/>
        <w:rPr/>
      </w:pPr>
      <w:r>
        <w:rPr>
          <w:rFonts w:ascii="Times New Roman;sans-serif" w:hAnsi="Times New Roman;sans-serif"/>
          <w:b/>
          <w:i/>
          <w:color w:val="000000"/>
          <w:sz w:val="22"/>
        </w:rPr>
        <w:t xml:space="preserve">No Cumulative Voting. </w:t>
      </w:r>
      <w:r>
        <w:rPr>
          <w:rFonts w:ascii="Times New Roman;sans-serif" w:hAnsi="Times New Roman;sans-serif"/>
          <w:b w:val="false"/>
          <w:color w:val="000000"/>
          <w:sz w:val="22"/>
        </w:rPr>
        <w:t>The Viatris Charter prohibits cumulative voting in the election of directors.</w:t>
      </w:r>
    </w:p>
    <w:p>
      <w:pPr>
        <w:pStyle w:val="TextBody"/>
        <w:bidi w:val="0"/>
        <w:spacing w:before="0" w:after="0"/>
        <w:jc w:val="left"/>
        <w:rPr/>
      </w:pPr>
      <w:r>
        <w:rPr/>
      </w:r>
    </w:p>
    <w:p>
      <w:pPr>
        <w:pStyle w:val="TextBody"/>
        <w:bidi w:val="0"/>
        <w:spacing w:lineRule="auto" w:line="295" w:before="0" w:after="0"/>
        <w:ind w:left="0" w:right="0" w:firstLine="441"/>
        <w:jc w:val="left"/>
        <w:rPr/>
      </w:pPr>
      <w:r>
        <w:rPr>
          <w:rFonts w:ascii="Times New Roman;sans-serif" w:hAnsi="Times New Roman;sans-serif"/>
          <w:b/>
          <w:i/>
          <w:color w:val="000000"/>
          <w:sz w:val="22"/>
        </w:rPr>
        <w:t xml:space="preserve">Exclusive Forum. </w:t>
      </w:r>
      <w:r>
        <w:rPr>
          <w:rFonts w:ascii="Times New Roman;sans-serif" w:hAnsi="Times New Roman;sans-serif"/>
          <w:b w:val="false"/>
          <w:color w:val="000000"/>
          <w:sz w:val="22"/>
        </w:rPr>
        <w:t>The Viatris Charter provides that unless Viatris otherwise consents in writing, the Court of Chancery of the State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any action or proceeding asserting a claim against Viatris or any of its directors, officers or other employees governed by the internal affairs doctrine or any action or proceeding as to which the DGCL confers jurisdiction on the Court of Chancery of the State of Delaware. The Viatris Charter also provides that unless Viatris consents in writing to the selection of an alternative forum, the federal district courts of the United States of America, to the fullest extent permitted by law, shall be the sole and exclusive forum for the resolution of any action asserting a cause of action arising under the Securities Act of 1933, as amended.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provisions contained in the Viatris Charter to be inapplicable or unenforceable.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Limitations on Liability and Indemnification of Officers and Directors</w:t>
      </w:r>
    </w:p>
    <w:p>
      <w:pPr>
        <w:pStyle w:val="TextBody"/>
        <w:bidi w:val="0"/>
        <w:spacing w:before="0" w:after="0"/>
        <w:jc w:val="left"/>
        <w:rPr/>
      </w:pPr>
      <w:r>
        <w:rPr/>
      </w:r>
    </w:p>
    <w:p>
      <w:pPr>
        <w:pStyle w:val="TextBody"/>
        <w:bidi w:val="0"/>
        <w:spacing w:lineRule="auto" w:line="292"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Viatris Charter includes a provision, authorized under the DGCL, that eliminates the personal liability of directors and officers for monetary damages for breach of fiduciary duty as a director or officer, as applicable, to the fullest extent permitted by the DGCL. </w:t>
      </w:r>
    </w:p>
    <w:p>
      <w:pPr>
        <w:pStyle w:val="TextBody"/>
        <w:bidi w:val="0"/>
        <w:spacing w:before="0" w:after="0"/>
        <w:ind w:left="0" w:right="0" w:firstLine="441"/>
        <w:jc w:val="left"/>
        <w:rPr/>
      </w:pPr>
      <w:r>
        <w:rPr/>
      </w:r>
    </w:p>
    <w:p>
      <w:pPr>
        <w:pStyle w:val="TextBody"/>
        <w:bidi w:val="0"/>
        <w:spacing w:lineRule="auto" w:line="292" w:before="0" w:after="0"/>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The Viatris Charter and the Viatris Bylaws also include provisions that require Viatris to indemnify, to the fullest extent allowable under the laws of the State of Delaware, directors or officers against monetary damages for actions taken as a director or officer of Viatris, or for serving at Viatris’ request in any capacity at another corporation or enterprise, as the case may be. The Viatris Charter and the Viatris Bylaws also provide that Viatris must indemnify and advance reasonable expenses to Viatris directors and officers, subject to Viatris’ receipt of an undertaking from the indemnified party to repay all amounts advanced if it is determined ultimately that the indemnified party is not entitled to be indemnified. We also have entered into indemnification agreements with each of our directors and certain of our officers that provide them with substantially similar indemnification rights to those provided under the Viatris Charter and Viatris Bylaws. The Viatris Charter and Viatris Bylaws also expressly authorizes Viatris to carry directors’ and officers’ insurance to protect Viatris and its directors and officers for some liabilities. Viatris currently maintains such an insurance policy. The description of indemnity herein is merely a summary of the provisions in the Viatris Charter, Viatris Bylaws and other indemnification agreements, and such description shall not limit or alter the provisions in the Viatris Charter, Viatris Bylaws or other indemnification agreements.</w:t>
      </w:r>
    </w:p>
    <w:p>
      <w:pPr>
        <w:pStyle w:val="TextBody"/>
        <w:bidi w:val="0"/>
        <w:spacing w:before="0" w:after="0"/>
        <w:jc w:val="left"/>
        <w:rPr/>
      </w:pPr>
      <w:r>
        <w:rPr/>
      </w:r>
    </w:p>
    <w:p>
      <w:pPr>
        <w:pStyle w:val="TextBody"/>
        <w:bidi w:val="0"/>
        <w:spacing w:lineRule="auto" w:line="295"/>
        <w:ind w:left="0" w:right="0" w:firstLine="441"/>
        <w:jc w:val="left"/>
        <w:rPr>
          <w:rFonts w:ascii="Times New Roman;sans-serif" w:hAnsi="Times New Roman;sans-serif"/>
          <w:b w:val="false"/>
          <w:color w:val="000000"/>
          <w:sz w:val="22"/>
        </w:rPr>
      </w:pPr>
      <w:r>
        <w:rPr>
          <w:rFonts w:ascii="Times New Roman;sans-serif" w:hAnsi="Times New Roman;sans-serif"/>
          <w:b w:val="false"/>
          <w:color w:val="000000"/>
          <w:sz w:val="22"/>
        </w:rPr>
        <w:t>The limitation of liability and indemnification provisions in the Viatris Charter and the Viatris Bylaws may discourage stockholders from bringing a lawsuit against directors or officers for breach of their fiduciary duties. These provisions may also have the effect of reducing the likelihood of derivative litigation against directors and officers, even though such an action, if successful, might otherwise benefit Viatris and Viatris’ stockholders. However, these provisions do not limit or eliminate Viatris’ rights, or those of any stockholder, to seek non-monetary relief such as an injunction or rescission if a director or officer breaches their fiduciary duties. Moreover, the provisions do not alter the liability of directors or officers under the federal securities laws. In addition, your investment may be adversely affected to the extent that, in a class action or direct suit, Viatris pays the costs of settlement and damage awards against directors and officers pursuant to these indemnification provisions.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283"/>
        <w:jc w:val="right"/>
        <w:rPr>
          <w:rFonts w:ascii="Times New Roman;sans-serif" w:hAnsi="Times New Roman;sans-serif"/>
          <w:b/>
          <w:color w:val="343434"/>
          <w:sz w:val="22"/>
        </w:rPr>
      </w:pPr>
      <w:r>
        <w:rPr>
          <w:rFonts w:ascii="Times New Roman;sans-serif" w:hAnsi="Times New Roman;sans-serif"/>
          <w:b/>
          <w:color w:val="343434"/>
          <w:sz w:val="22"/>
        </w:rPr>
        <w:t>Exhibit 10.13</w:t>
      </w:r>
    </w:p>
    <w:p>
      <w:pPr>
        <w:pStyle w:val="TextBody"/>
        <w:bidi w:val="0"/>
        <w:spacing w:before="1" w:after="283"/>
        <w:jc w:val="left"/>
        <w:rPr/>
      </w:pPr>
      <w:r>
        <w:rPr/>
      </w:r>
    </w:p>
    <w:p>
      <w:pPr>
        <w:pStyle w:val="TextBody"/>
        <w:bidi w:val="0"/>
        <w:spacing w:lineRule="auto" w:line="240" w:before="1" w:after="283"/>
        <w:jc w:val="left"/>
        <w:rPr>
          <w:rFonts w:ascii="Times New Roman;sans-serif" w:hAnsi="Times New Roman;sans-serif"/>
          <w:b w:val="false"/>
          <w:color w:val="343434"/>
          <w:sz w:val="22"/>
        </w:rPr>
      </w:pPr>
      <w:r>
        <w:rPr>
          <w:rFonts w:ascii="Times New Roman;sans-serif" w:hAnsi="Times New Roman;sans-serif"/>
          <w:b w:val="false"/>
          <w:color w:val="343434"/>
          <w:sz w:val="22"/>
        </w:rPr>
        <w:t>December 15, 2023</w:t>
      </w:r>
    </w:p>
    <w:p>
      <w:pPr>
        <w:pStyle w:val="TextBody"/>
        <w:bidi w:val="0"/>
        <w:spacing w:before="0" w:after="0"/>
        <w:jc w:val="left"/>
        <w:rPr/>
      </w:pPr>
      <w:r>
        <w:rPr/>
      </w:r>
    </w:p>
    <w:p>
      <w:pPr>
        <w:pStyle w:val="TextBody"/>
        <w:bidi w:val="0"/>
        <w:spacing w:lineRule="auto" w:line="261" w:before="192" w:after="283"/>
        <w:ind w:left="0" w:right="0" w:firstLine="9"/>
        <w:jc w:val="left"/>
        <w:rPr>
          <w:rFonts w:ascii="Times New Roman;sans-serif" w:hAnsi="Times New Roman;sans-serif"/>
          <w:b w:val="false"/>
          <w:color w:val="343434"/>
          <w:sz w:val="22"/>
        </w:rPr>
      </w:pPr>
      <w:r>
        <w:rPr>
          <w:rFonts w:ascii="Times New Roman;sans-serif" w:hAnsi="Times New Roman;sans-serif"/>
          <w:b w:val="false"/>
          <w:color w:val="343434"/>
          <w:sz w:val="22"/>
        </w:rPr>
        <w:t>Theodora (Doretta) Mistras 105 West 29th Street, Suite 32D New York, NY10001</w:t>
      </w:r>
    </w:p>
    <w:p>
      <w:pPr>
        <w:pStyle w:val="TextBody"/>
        <w:bidi w:val="0"/>
        <w:spacing w:before="0" w:after="0"/>
        <w:jc w:val="left"/>
        <w:rPr/>
      </w:pPr>
      <w:r>
        <w:rPr/>
      </w:r>
    </w:p>
    <w:p>
      <w:pPr>
        <w:pStyle w:val="TextBody"/>
        <w:bidi w:val="0"/>
        <w:spacing w:lineRule="auto" w:line="240" w:before="182" w:after="283"/>
        <w:jc w:val="left"/>
        <w:rPr>
          <w:rFonts w:ascii="Times New Roman;sans-serif" w:hAnsi="Times New Roman;sans-serif"/>
          <w:b w:val="false"/>
          <w:color w:val="343434"/>
          <w:sz w:val="22"/>
        </w:rPr>
      </w:pPr>
      <w:r>
        <w:rPr>
          <w:rFonts w:ascii="Times New Roman;sans-serif" w:hAnsi="Times New Roman;sans-serif"/>
          <w:b w:val="false"/>
          <w:color w:val="343434"/>
          <w:sz w:val="22"/>
        </w:rPr>
        <w:t>Dear Doretta:</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343434"/>
          <w:sz w:val="22"/>
        </w:rPr>
        <w:t>On behalf of Viatris Inc. (the “</w:t>
      </w:r>
      <w:r>
        <w:rPr>
          <w:rFonts w:ascii="Times New Roman;sans-serif" w:hAnsi="Times New Roman;sans-serif"/>
          <w:b w:val="false"/>
          <w:color w:val="343434"/>
          <w:sz w:val="22"/>
          <w:u w:val="single"/>
        </w:rPr>
        <w:t>Company</w:t>
      </w:r>
      <w:r>
        <w:rPr>
          <w:color w:val="343434"/>
        </w:rPr>
        <w:t>”</w:t>
      </w:r>
      <w:r>
        <w:rPr>
          <w:rFonts w:ascii="Times New Roman;sans-serif" w:hAnsi="Times New Roman;sans-serif"/>
          <w:b w:val="false"/>
          <w:color w:val="343434"/>
          <w:sz w:val="22"/>
        </w:rPr>
        <w:t xml:space="preserve">), I am pleased to confirm the terms of employment offered </w:t>
      </w:r>
      <w:r>
        <w:rPr>
          <w:rFonts w:ascii="Times New Roman;sans-serif" w:hAnsi="Times New Roman;sans-serif"/>
          <w:b w:val="false"/>
          <w:color w:val="494949"/>
          <w:sz w:val="22"/>
        </w:rPr>
        <w:t xml:space="preserve">by </w:t>
      </w:r>
      <w:r>
        <w:rPr>
          <w:rFonts w:ascii="Times New Roman;sans-serif" w:hAnsi="Times New Roman;sans-serif"/>
          <w:b w:val="false"/>
          <w:color w:val="343434"/>
          <w:sz w:val="22"/>
        </w:rPr>
        <w:t>the Company in connection with your future role as Chief Financial Officer of the Company.</w:t>
      </w:r>
    </w:p>
    <w:p>
      <w:pPr>
        <w:pStyle w:val="TextBody"/>
        <w:bidi w:val="0"/>
        <w:spacing w:before="0" w:after="0"/>
        <w:jc w:val="left"/>
        <w:rPr/>
      </w:pPr>
      <w:r>
        <w:rPr/>
      </w:r>
    </w:p>
    <w:p>
      <w:pPr>
        <w:pStyle w:val="TextBody"/>
        <w:bidi w:val="0"/>
        <w:spacing w:lineRule="auto" w:line="261" w:before="0" w:after="0"/>
        <w:ind w:left="0" w:right="0" w:firstLine="698"/>
        <w:jc w:val="left"/>
        <w:rPr/>
      </w:pPr>
      <w:r>
        <w:rPr>
          <w:rFonts w:ascii="Arial;sans-serif" w:hAnsi="Arial;sans-serif"/>
          <w:b w:val="false"/>
          <w:color w:val="343434"/>
          <w:sz w:val="17"/>
        </w:rPr>
        <w:t>1.</w:t>
      </w:r>
      <w:r>
        <w:rPr>
          <w:rFonts w:ascii="Times New Roman;sans-serif" w:hAnsi="Times New Roman;sans-serif"/>
          <w:b/>
          <w:color w:val="343434"/>
          <w:sz w:val="22"/>
          <w:u w:val="single"/>
        </w:rPr>
        <w:t>Position.</w:t>
      </w:r>
      <w:r>
        <w:rPr>
          <w:color w:val="343434"/>
        </w:rPr>
        <w:t xml:space="preserve"> </w:t>
      </w:r>
      <w:r>
        <w:rPr>
          <w:rFonts w:ascii="Times New Roman;sans-serif" w:hAnsi="Times New Roman;sans-serif"/>
          <w:b w:val="false"/>
          <w:color w:val="343434"/>
          <w:sz w:val="22"/>
        </w:rPr>
        <w:t>You shall join the Company on January 1, 2024 (the “</w:t>
      </w:r>
      <w:r>
        <w:rPr>
          <w:rFonts w:ascii="Times New Roman;sans-serif" w:hAnsi="Times New Roman;sans-serif"/>
          <w:b w:val="false"/>
          <w:color w:val="343434"/>
          <w:sz w:val="22"/>
          <w:u w:val="single"/>
        </w:rPr>
        <w:t>Effective Date</w:t>
      </w:r>
      <w:r>
        <w:rPr>
          <w:color w:val="343434"/>
        </w:rPr>
        <w:t>”</w:t>
      </w:r>
      <w:r>
        <w:rPr>
          <w:rFonts w:ascii="Times New Roman;sans-serif" w:hAnsi="Times New Roman;sans-serif"/>
          <w:b w:val="false"/>
          <w:color w:val="343434"/>
          <w:sz w:val="22"/>
        </w:rPr>
        <w:t>) as Chief Financial Officer-elect. Effective as of March 1, 2024 (or earlier, if mutually agreed), you will become Chief Financial Officer of the Company, and you shall devote your full business time and attention to such position. You shall report to the Chief Executive Officer (the “</w:t>
      </w:r>
      <w:r>
        <w:rPr>
          <w:rFonts w:ascii="Times New Roman;sans-serif" w:hAnsi="Times New Roman;sans-serif"/>
          <w:b w:val="false"/>
          <w:color w:val="343434"/>
          <w:sz w:val="22"/>
          <w:u w:val="single"/>
        </w:rPr>
        <w:t>CEO</w:t>
      </w:r>
      <w:r>
        <w:rPr>
          <w:color w:val="343434"/>
        </w:rPr>
        <w:t>”</w:t>
      </w:r>
      <w:r>
        <w:rPr>
          <w:rFonts w:ascii="Times New Roman;sans-serif" w:hAnsi="Times New Roman;sans-serif"/>
          <w:b w:val="false"/>
          <w:color w:val="343434"/>
          <w:sz w:val="22"/>
        </w:rPr>
        <w:t>) and you shall perform such duties as requested by the CEO.</w:t>
      </w:r>
    </w:p>
    <w:p>
      <w:pPr>
        <w:pStyle w:val="TextBody"/>
        <w:bidi w:val="0"/>
        <w:spacing w:before="0" w:after="0"/>
        <w:ind w:left="0" w:right="0" w:firstLine="360"/>
        <w:jc w:val="left"/>
        <w:rPr/>
      </w:pPr>
      <w:r>
        <w:rPr/>
      </w:r>
    </w:p>
    <w:p>
      <w:pPr>
        <w:pStyle w:val="TextBody"/>
        <w:bidi w:val="0"/>
        <w:spacing w:lineRule="auto" w:line="266" w:before="0" w:after="0"/>
        <w:ind w:left="0" w:right="0" w:firstLine="704"/>
        <w:jc w:val="left"/>
        <w:rPr/>
      </w:pPr>
      <w:r>
        <w:rPr>
          <w:rFonts w:ascii="Times New Roman;sans-serif" w:hAnsi="Times New Roman;sans-serif"/>
          <w:b w:val="false"/>
          <w:color w:val="343434"/>
          <w:sz w:val="18"/>
        </w:rPr>
        <w:t>2.</w:t>
      </w:r>
      <w:r>
        <w:rPr>
          <w:rFonts w:ascii="Times New Roman;sans-serif" w:hAnsi="Times New Roman;sans-serif"/>
          <w:b/>
          <w:color w:val="343434"/>
          <w:sz w:val="22"/>
          <w:u w:val="single"/>
        </w:rPr>
        <w:t>Work Location.</w:t>
      </w:r>
      <w:r>
        <w:rPr>
          <w:color w:val="343434"/>
        </w:rPr>
        <w:t xml:space="preserve"> </w:t>
      </w:r>
      <w:r>
        <w:rPr>
          <w:rFonts w:ascii="Times New Roman;sans-serif" w:hAnsi="Times New Roman;sans-serif"/>
          <w:b w:val="false"/>
          <w:color w:val="343434"/>
          <w:sz w:val="22"/>
        </w:rPr>
        <w:t>Company offices in New York with frequent travel to company offices in Pittsburgh, Pennsylvania. You will also be required to travel, both domestically and internationally, as dictated by business needs.</w:t>
      </w:r>
    </w:p>
    <w:p>
      <w:pPr>
        <w:pStyle w:val="TextBody"/>
        <w:bidi w:val="0"/>
        <w:spacing w:before="2" w:after="283"/>
        <w:jc w:val="left"/>
        <w:rPr/>
      </w:pPr>
      <w:r>
        <w:rPr/>
      </w:r>
    </w:p>
    <w:p>
      <w:pPr>
        <w:pStyle w:val="TextBody"/>
        <w:bidi w:val="0"/>
        <w:spacing w:lineRule="auto" w:line="2808" w:before="0" w:after="0"/>
        <w:ind w:left="0" w:right="0" w:firstLine="698"/>
        <w:jc w:val="left"/>
        <w:rPr/>
      </w:pPr>
      <w:r>
        <w:rPr>
          <w:rFonts w:ascii="Times New Roman;sans-serif" w:hAnsi="Times New Roman;sans-serif"/>
          <w:b w:val="false"/>
          <w:color w:val="343434"/>
          <w:sz w:val="22"/>
        </w:rPr>
        <w:t>3.</w:t>
      </w:r>
      <w:r>
        <w:rPr>
          <w:rFonts w:ascii="Times New Roman;sans-serif" w:hAnsi="Times New Roman;sans-serif"/>
          <w:b/>
          <w:color w:val="343434"/>
          <w:sz w:val="22"/>
          <w:u w:val="single"/>
        </w:rPr>
        <w:t>Base Salary.</w:t>
      </w:r>
      <w:r>
        <w:rPr>
          <w:color w:val="343434"/>
        </w:rPr>
        <w:t xml:space="preserve"> </w:t>
      </w:r>
      <w:r>
        <w:rPr>
          <w:rFonts w:ascii="Times New Roman;sans-serif" w:hAnsi="Times New Roman;sans-serif"/>
          <w:b w:val="false"/>
          <w:color w:val="343434"/>
          <w:sz w:val="22"/>
        </w:rPr>
        <w:t>Your annual base salary shall be $825,000 (“</w:t>
      </w:r>
      <w:r>
        <w:rPr>
          <w:rFonts w:ascii="Times New Roman;sans-serif" w:hAnsi="Times New Roman;sans-serif"/>
          <w:b w:val="false"/>
          <w:color w:val="343434"/>
          <w:sz w:val="22"/>
          <w:u w:val="single"/>
        </w:rPr>
        <w:t>Base Salary</w:t>
      </w:r>
      <w:r>
        <w:rPr>
          <w:color w:val="343434"/>
        </w:rPr>
        <w:t>”</w:t>
      </w:r>
      <w:r>
        <w:rPr>
          <w:rFonts w:ascii="Times New Roman;sans-serif" w:hAnsi="Times New Roman;sans-serif"/>
          <w:b w:val="false"/>
          <w:color w:val="343434"/>
          <w:sz w:val="22"/>
        </w:rPr>
        <w:t>), payable on the Company's standard payroll dates and subject to deductions and withholdings as required by applicable law.</w:t>
      </w:r>
    </w:p>
    <w:p>
      <w:pPr>
        <w:pStyle w:val="TextBody"/>
        <w:bidi w:val="0"/>
        <w:spacing w:before="1" w:after="283"/>
        <w:jc w:val="left"/>
        <w:rPr/>
      </w:pPr>
      <w:r>
        <w:rPr/>
      </w:r>
    </w:p>
    <w:p>
      <w:pPr>
        <w:pStyle w:val="TextBody"/>
        <w:bidi w:val="0"/>
        <w:spacing w:lineRule="auto" w:line="2880" w:before="0" w:after="0"/>
        <w:ind w:left="0" w:right="0" w:firstLine="703"/>
        <w:jc w:val="left"/>
        <w:rPr/>
      </w:pPr>
      <w:r>
        <w:rPr>
          <w:rFonts w:ascii="Times New Roman;sans-serif" w:hAnsi="Times New Roman;sans-serif"/>
          <w:b w:val="false"/>
          <w:color w:val="343434"/>
          <w:sz w:val="22"/>
        </w:rPr>
        <w:t>4.</w:t>
      </w:r>
      <w:r>
        <w:rPr>
          <w:rFonts w:ascii="Times New Roman;sans-serif" w:hAnsi="Times New Roman;sans-serif"/>
          <w:b/>
          <w:color w:val="343434"/>
          <w:sz w:val="22"/>
          <w:u w:val="single"/>
        </w:rPr>
        <w:t>Annual Incentive Bonus</w:t>
      </w:r>
      <w:r>
        <w:rPr>
          <w:rFonts w:ascii="Times New Roman;sans-serif" w:hAnsi="Times New Roman;sans-serif"/>
          <w:b/>
          <w:color w:val="1A1A1A"/>
          <w:sz w:val="22"/>
          <w:u w:val="single"/>
        </w:rPr>
        <w:t xml:space="preserve">. </w:t>
      </w:r>
      <w:r>
        <w:rPr>
          <w:rFonts w:ascii="Times New Roman;sans-serif" w:hAnsi="Times New Roman;sans-serif"/>
          <w:b w:val="false"/>
          <w:color w:val="343434"/>
          <w:sz w:val="22"/>
        </w:rPr>
        <w:t>Your target bonus opportunity shall be 100% of Base Salary. The terms and conditions of the annual incentive plan applicable to the Company's officers, including the</w:t>
      </w:r>
    </w:p>
    <w:p>
      <w:pPr>
        <w:pStyle w:val="TextBody"/>
        <w:bidi w:val="0"/>
        <w:spacing w:lineRule="auto" w:line="2880" w:before="0" w:after="0"/>
        <w:ind w:left="0" w:right="0" w:firstLine="7"/>
        <w:jc w:val="left"/>
        <w:rPr/>
      </w:pPr>
      <w:r>
        <w:rPr>
          <w:rFonts w:ascii="Times New Roman;sans-serif" w:hAnsi="Times New Roman;sans-serif"/>
          <w:b w:val="false"/>
          <w:color w:val="343434"/>
          <w:sz w:val="22"/>
        </w:rPr>
        <w:t>applicable performance goals, will be subject to the determination of the Board (or its applicable designe</w:t>
      </w:r>
      <w:r>
        <w:rPr>
          <w:rFonts w:ascii="Times New Roman;sans-serif" w:hAnsi="Times New Roman;sans-serif"/>
          <w:b w:val="false"/>
          <w:color w:val="626262"/>
          <w:sz w:val="22"/>
        </w:rPr>
        <w:t xml:space="preserve">e) </w:t>
      </w:r>
      <w:r>
        <w:rPr>
          <w:rFonts w:ascii="Times New Roman;sans-serif" w:hAnsi="Times New Roman;sans-serif"/>
          <w:b w:val="false"/>
          <w:color w:val="494949"/>
          <w:sz w:val="22"/>
        </w:rPr>
        <w:t xml:space="preserve">each </w:t>
      </w:r>
      <w:r>
        <w:rPr>
          <w:rFonts w:ascii="Times New Roman;sans-serif" w:hAnsi="Times New Roman;sans-serif"/>
          <w:b w:val="false"/>
          <w:color w:val="343434"/>
          <w:sz w:val="22"/>
        </w:rPr>
        <w:t>year.</w:t>
      </w:r>
    </w:p>
    <w:p>
      <w:pPr>
        <w:pStyle w:val="TextBody"/>
        <w:bidi w:val="0"/>
        <w:spacing w:before="7" w:after="283"/>
        <w:jc w:val="left"/>
        <w:rPr/>
      </w:pPr>
      <w:r>
        <w:rPr/>
      </w:r>
    </w:p>
    <w:p>
      <w:pPr>
        <w:pStyle w:val="TextBody"/>
        <w:bidi w:val="0"/>
        <w:spacing w:lineRule="auto" w:line="261" w:before="0" w:after="0"/>
        <w:ind w:left="0" w:right="0" w:firstLine="701"/>
        <w:jc w:val="left"/>
        <w:rPr/>
      </w:pPr>
      <w:r>
        <w:rPr>
          <w:rFonts w:ascii="Times New Roman;sans-serif" w:hAnsi="Times New Roman;sans-serif"/>
          <w:b w:val="false"/>
          <w:color w:val="343434"/>
          <w:sz w:val="22"/>
        </w:rPr>
        <w:t>5.</w:t>
      </w:r>
      <w:r>
        <w:rPr>
          <w:rFonts w:ascii="Times New Roman;sans-serif" w:hAnsi="Times New Roman;sans-serif"/>
          <w:b/>
          <w:color w:val="343434"/>
          <w:sz w:val="22"/>
          <w:u w:val="single"/>
        </w:rPr>
        <w:t xml:space="preserve">Long-Term Incentive </w:t>
      </w:r>
      <w:r>
        <w:rPr>
          <w:rFonts w:ascii="Times New Roman;sans-serif" w:hAnsi="Times New Roman;sans-serif"/>
          <w:b/>
          <w:color w:val="494949"/>
          <w:sz w:val="22"/>
          <w:u w:val="single"/>
        </w:rPr>
        <w:t>Awards</w:t>
      </w:r>
      <w:r>
        <w:rPr>
          <w:rFonts w:ascii="Times New Roman;sans-serif" w:hAnsi="Times New Roman;sans-serif"/>
          <w:b/>
          <w:color w:val="1A1A1A"/>
          <w:sz w:val="22"/>
          <w:u w:val="single"/>
        </w:rPr>
        <w:t>.</w:t>
      </w:r>
      <w:r>
        <w:rPr>
          <w:color w:val="1A1A1A"/>
        </w:rPr>
        <w:t xml:space="preserve"> </w:t>
      </w:r>
      <w:r>
        <w:rPr>
          <w:rFonts w:ascii="Times New Roman;sans-serif" w:hAnsi="Times New Roman;sans-serif"/>
          <w:b w:val="false"/>
          <w:color w:val="343434"/>
          <w:sz w:val="22"/>
        </w:rPr>
        <w:t xml:space="preserve">During your employment with the Company, you shall </w:t>
      </w:r>
      <w:r>
        <w:rPr>
          <w:rFonts w:ascii="Times New Roman;sans-serif" w:hAnsi="Times New Roman;sans-serif"/>
          <w:b w:val="false"/>
          <w:color w:val="494949"/>
          <w:sz w:val="21"/>
        </w:rPr>
        <w:t xml:space="preserve">be </w:t>
      </w:r>
      <w:r>
        <w:rPr>
          <w:rFonts w:ascii="Times New Roman;sans-serif" w:hAnsi="Times New Roman;sans-serif"/>
          <w:b w:val="false"/>
          <w:color w:val="494949"/>
          <w:sz w:val="22"/>
        </w:rPr>
        <w:t xml:space="preserve">eligible </w:t>
      </w:r>
      <w:r>
        <w:rPr>
          <w:rFonts w:ascii="Times New Roman;sans-serif" w:hAnsi="Times New Roman;sans-serif"/>
          <w:b w:val="false"/>
          <w:color w:val="343434"/>
          <w:sz w:val="22"/>
        </w:rPr>
        <w:t xml:space="preserve">to receive annual grants of long-term incentive awards as determined by the Board (or its applicable designee). It is intended that the initial grant date value of such awards shall equal 400% of Base Salary. </w:t>
      </w:r>
      <w:r>
        <w:rPr>
          <w:rFonts w:ascii="Times New Roman;sans-serif" w:hAnsi="Times New Roman;sans-serif"/>
          <w:b w:val="false"/>
          <w:color w:val="494949"/>
          <w:sz w:val="22"/>
        </w:rPr>
        <w:t xml:space="preserve">The </w:t>
      </w:r>
      <w:r>
        <w:rPr>
          <w:rFonts w:ascii="Times New Roman;sans-serif" w:hAnsi="Times New Roman;sans-serif"/>
          <w:b w:val="false"/>
          <w:color w:val="343434"/>
          <w:sz w:val="22"/>
        </w:rPr>
        <w:t>terms and conditions of the long-term incentive plan applicable to the Company's officers, including the applicable performance goals, the mix of long-term incentive vehicles and the timing of applicable grants, will be subject to the determination of the Board (or its applicable designee) each year.</w:t>
      </w:r>
    </w:p>
    <w:p>
      <w:pPr>
        <w:pStyle w:val="TextBody"/>
        <w:bidi w:val="0"/>
        <w:spacing w:before="2" w:after="283"/>
        <w:jc w:val="left"/>
        <w:rPr/>
      </w:pPr>
      <w:r>
        <w:rPr/>
      </w:r>
    </w:p>
    <w:p>
      <w:pPr>
        <w:pStyle w:val="TextBody"/>
        <w:bidi w:val="0"/>
        <w:spacing w:lineRule="auto" w:line="261" w:before="0" w:after="0"/>
        <w:ind w:left="0" w:right="0" w:firstLine="710"/>
        <w:jc w:val="left"/>
        <w:rPr/>
      </w:pPr>
      <w:r>
        <w:rPr>
          <w:rFonts w:ascii="Times New Roman;sans-serif" w:hAnsi="Times New Roman;sans-serif"/>
          <w:b w:val="false"/>
          <w:color w:val="343434"/>
          <w:sz w:val="22"/>
        </w:rPr>
        <w:t>6.</w:t>
      </w:r>
      <w:r>
        <w:rPr>
          <w:rFonts w:ascii="Times New Roman;sans-serif" w:hAnsi="Times New Roman;sans-serif"/>
          <w:b/>
          <w:color w:val="343434"/>
          <w:sz w:val="22"/>
          <w:u w:val="single"/>
        </w:rPr>
        <w:t xml:space="preserve">Sign-On Awards. </w:t>
      </w:r>
      <w:r>
        <w:rPr>
          <w:rFonts w:ascii="Times New Roman;sans-serif" w:hAnsi="Times New Roman;sans-serif"/>
          <w:b w:val="false"/>
          <w:color w:val="343434"/>
          <w:sz w:val="22"/>
        </w:rPr>
        <w:t xml:space="preserve">No later than thirty (30) days following the Effective Date, </w:t>
      </w:r>
      <w:r>
        <w:rPr>
          <w:rFonts w:ascii="Times New Roman;sans-serif" w:hAnsi="Times New Roman;sans-serif"/>
          <w:b w:val="false"/>
          <w:color w:val="494949"/>
          <w:sz w:val="22"/>
        </w:rPr>
        <w:t xml:space="preserve">you </w:t>
      </w:r>
      <w:r>
        <w:rPr>
          <w:rFonts w:ascii="Times New Roman;sans-serif" w:hAnsi="Times New Roman;sans-serif"/>
          <w:b w:val="false"/>
          <w:color w:val="343434"/>
          <w:sz w:val="22"/>
        </w:rPr>
        <w:t>will rec</w:t>
      </w:r>
      <w:r>
        <w:rPr>
          <w:rFonts w:ascii="Times New Roman;sans-serif" w:hAnsi="Times New Roman;sans-serif"/>
          <w:b w:val="false"/>
          <w:color w:val="626262"/>
          <w:sz w:val="22"/>
        </w:rPr>
        <w:t>e</w:t>
      </w:r>
      <w:r>
        <w:rPr>
          <w:rFonts w:ascii="Times New Roman;sans-serif" w:hAnsi="Times New Roman;sans-serif"/>
          <w:b w:val="false"/>
          <w:color w:val="343434"/>
          <w:sz w:val="22"/>
        </w:rPr>
        <w:t xml:space="preserve">ive a one-time special bonus in an aggregate amount equal to $500,000. In the event your employment terminates for any reason prior to the first anniversary of the Effective Date, you shall be obligated to repay the net after-tax amount of the Sign-On Bonus within thirty (30) days following the effective date of your termination. In addition, as soon as practicable following the Effective Date and subject to approval of the Compensation Committee of the Board of Directors, you shall be granted an award of restricted stock units with a value equal to $500,000, which award shall vest ratably on each of the first and second anniversaries </w:t>
      </w:r>
      <w:r>
        <w:rPr>
          <w:rFonts w:ascii="Times New Roman;sans-serif" w:hAnsi="Times New Roman;sans-serif"/>
          <w:b w:val="false"/>
          <w:color w:val="494949"/>
          <w:sz w:val="22"/>
        </w:rPr>
        <w:t xml:space="preserve">of </w:t>
      </w:r>
      <w:r>
        <w:rPr>
          <w:rFonts w:ascii="Times New Roman;sans-serif" w:hAnsi="Times New Roman;sans-serif"/>
          <w:b w:val="false"/>
          <w:color w:val="343434"/>
          <w:sz w:val="22"/>
        </w:rPr>
        <w:t>the Effective Date, subject to your continued employment on each such vesting date.</w:t>
      </w:r>
    </w:p>
    <w:p>
      <w:pPr>
        <w:pStyle w:val="TextBody"/>
        <w:bidi w:val="0"/>
        <w:spacing w:before="11" w:after="283"/>
        <w:jc w:val="left"/>
        <w:rPr/>
      </w:pPr>
      <w:r>
        <w:rPr/>
      </w:r>
    </w:p>
    <w:p>
      <w:pPr>
        <w:pStyle w:val="TextBody"/>
        <w:bidi w:val="0"/>
        <w:spacing w:lineRule="auto" w:line="259" w:before="0" w:after="0"/>
        <w:ind w:left="0" w:right="0" w:firstLine="700"/>
        <w:jc w:val="left"/>
        <w:rPr/>
      </w:pPr>
      <w:r>
        <w:rPr>
          <w:rFonts w:ascii="Times New Roman;sans-serif" w:hAnsi="Times New Roman;sans-serif"/>
          <w:b w:val="false"/>
          <w:color w:val="343434"/>
          <w:sz w:val="22"/>
        </w:rPr>
        <w:t>7.</w:t>
      </w:r>
      <w:r>
        <w:rPr>
          <w:rFonts w:ascii="Times New Roman;sans-serif" w:hAnsi="Times New Roman;sans-serif"/>
          <w:b/>
          <w:color w:val="343434"/>
          <w:sz w:val="22"/>
          <w:u w:val="single"/>
        </w:rPr>
        <w:t xml:space="preserve">Severance. </w:t>
      </w:r>
      <w:r>
        <w:rPr>
          <w:rFonts w:ascii="Times New Roman;sans-serif" w:hAnsi="Times New Roman;sans-serif"/>
          <w:b w:val="false"/>
          <w:color w:val="343434"/>
          <w:sz w:val="22"/>
        </w:rPr>
        <w:t xml:space="preserve">In the event you are terminated by the Company without Cause (as such term is defined in the applicable Viatris severance plan) following the commencement of your employment, you will be entitled to receive a severance payment equal to (i) the Severance Multiple multiplied by (ii) the sum of your Base Salary and target annual bonus in effect at the time of such termination. For purposes of this offer letter, </w:t>
      </w:r>
      <w:r>
        <w:rPr>
          <w:rFonts w:ascii="Times New Roman;sans-serif" w:hAnsi="Times New Roman;sans-serif"/>
          <w:b w:val="false"/>
          <w:color w:val="2A2A2A"/>
          <w:sz w:val="22"/>
        </w:rPr>
        <w:t xml:space="preserve">the Severance Multiple means (x) zero point five (.5) in the event of a termination on or prior to the one </w:t>
      </w:r>
      <w:r>
        <w:rPr>
          <w:rFonts w:ascii="Times New Roman;sans-serif" w:hAnsi="Times New Roman;sans-serif"/>
          <w:b w:val="false"/>
          <w:color w:val="424242"/>
          <w:sz w:val="22"/>
        </w:rPr>
        <w:t xml:space="preserve">year </w:t>
      </w:r>
      <w:r>
        <w:rPr>
          <w:rFonts w:ascii="Times New Roman;sans-serif" w:hAnsi="Times New Roman;sans-serif"/>
          <w:b w:val="false"/>
          <w:color w:val="2A2A2A"/>
          <w:sz w:val="22"/>
        </w:rPr>
        <w:t xml:space="preserve">anniversary of your employment (January </w:t>
      </w:r>
      <w:r>
        <w:rPr>
          <w:rFonts w:ascii="Times New Roman;sans-serif" w:hAnsi="Times New Roman;sans-serif"/>
          <w:b w:val="false"/>
          <w:color w:val="2A2A2A"/>
          <w:sz w:val="20"/>
        </w:rPr>
        <w:t xml:space="preserve">1, 2025) </w:t>
      </w:r>
      <w:r>
        <w:rPr>
          <w:rFonts w:ascii="Times New Roman;sans-serif" w:hAnsi="Times New Roman;sans-serif"/>
          <w:b w:val="false"/>
          <w:color w:val="2A2A2A"/>
          <w:sz w:val="22"/>
        </w:rPr>
        <w:t xml:space="preserve">and one </w:t>
      </w:r>
      <w:r>
        <w:rPr>
          <w:rFonts w:ascii="Times New Roman;sans-serif" w:hAnsi="Times New Roman;sans-serif"/>
          <w:b w:val="false"/>
          <w:color w:val="2A2A2A"/>
          <w:sz w:val="20"/>
        </w:rPr>
        <w:t xml:space="preserve">(1) </w:t>
      </w:r>
      <w:r>
        <w:rPr>
          <w:rFonts w:ascii="Times New Roman;sans-serif" w:hAnsi="Times New Roman;sans-serif"/>
          <w:b w:val="false"/>
          <w:color w:val="2A2A2A"/>
          <w:sz w:val="22"/>
        </w:rPr>
        <w:t>thereafter. For the avoidance of doubt, you acknowledge and agree that upon any termination of your employment with the Company, you will be deemed to have immediately resigned any officer positions with the Company and its affiliates or subsidiaries. The severance hereunder, if applicable, will be paid to you in the form of installments over a period of months corresponding to the severance period, on the Company's normal payroll dates, beginning no later than 60 days after your termination date, subject to your execution and non-revocation of the customary Company release of claims agreement signed by similarly situated senior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before="9" w:after="283"/>
        <w:jc w:val="left"/>
        <w:rPr/>
      </w:pPr>
      <w:r>
        <w:rPr/>
      </w:r>
    </w:p>
    <w:p>
      <w:pPr>
        <w:pStyle w:val="TextBody"/>
        <w:bidi w:val="0"/>
        <w:spacing w:lineRule="auto" w:line="259" w:before="0" w:after="0"/>
        <w:ind w:left="0" w:right="0" w:firstLine="681"/>
        <w:jc w:val="left"/>
        <w:rPr/>
      </w:pPr>
      <w:r>
        <w:rPr>
          <w:rFonts w:ascii="Times New Roman;sans-serif" w:hAnsi="Times New Roman;sans-serif"/>
          <w:b w:val="false"/>
          <w:color w:val="2A2A2A"/>
          <w:sz w:val="24"/>
        </w:rPr>
        <w:t>8.</w:t>
      </w:r>
      <w:r>
        <w:rPr>
          <w:rFonts w:ascii="Times New Roman;sans-serif" w:hAnsi="Times New Roman;sans-serif"/>
          <w:b/>
          <w:color w:val="2A2A2A"/>
          <w:sz w:val="22"/>
          <w:u w:val="single"/>
        </w:rPr>
        <w:t>Benefits.</w:t>
      </w:r>
      <w:r>
        <w:rPr>
          <w:color w:val="2A2A2A"/>
        </w:rPr>
        <w:t xml:space="preserve"> </w:t>
      </w:r>
      <w:r>
        <w:rPr>
          <w:rFonts w:ascii="Times New Roman;sans-serif" w:hAnsi="Times New Roman;sans-serif"/>
          <w:b w:val="false"/>
          <w:color w:val="2A2A2A"/>
          <w:sz w:val="22"/>
        </w:rPr>
        <w:t>During your employment with the Company, you shall be eligible to participate in all of the various employee benefit plans and programs which are made available to similarly situated officers of the Company, in accordance with the eligibility provisions and other terms and conditions of such plans and programs.</w:t>
      </w:r>
    </w:p>
    <w:p>
      <w:pPr>
        <w:pStyle w:val="TextBody"/>
        <w:bidi w:val="0"/>
        <w:spacing w:before="7" w:after="283"/>
        <w:jc w:val="left"/>
        <w:rPr/>
      </w:pPr>
      <w:r>
        <w:rPr/>
      </w:r>
    </w:p>
    <w:p>
      <w:pPr>
        <w:pStyle w:val="TextBody"/>
        <w:bidi w:val="0"/>
        <w:spacing w:lineRule="auto" w:line="261" w:before="0" w:after="0"/>
        <w:ind w:left="0" w:right="0" w:firstLine="690"/>
        <w:jc w:val="left"/>
        <w:rPr/>
      </w:pPr>
      <w:r>
        <w:rPr>
          <w:rFonts w:ascii="Times New Roman;sans-serif" w:hAnsi="Times New Roman;sans-serif"/>
          <w:b w:val="false"/>
          <w:color w:val="2A2A2A"/>
          <w:sz w:val="24"/>
        </w:rPr>
        <w:t>9.</w:t>
      </w:r>
      <w:r>
        <w:rPr>
          <w:rFonts w:ascii="Times New Roman;sans-serif" w:hAnsi="Times New Roman;sans-serif"/>
          <w:b/>
          <w:color w:val="2A2A2A"/>
          <w:sz w:val="22"/>
          <w:u w:val="single"/>
        </w:rPr>
        <w:t xml:space="preserve">Miscellaneous. </w:t>
      </w:r>
      <w:r>
        <w:rPr>
          <w:rFonts w:ascii="Times New Roman;sans-serif" w:hAnsi="Times New Roman;sans-serif"/>
          <w:b w:val="false"/>
          <w:color w:val="2A2A2A"/>
          <w:sz w:val="22"/>
        </w:rPr>
        <w:t>The Company may deduct and withhold from any amount payable under this offer letter such Federal, state, local, foreign or other taxes as are required to be withheld. The validity, interpretation, construction and performance of this offer letter will be governed by the laws of the Commonwealth of Pennsylvania (without giving effect to its conflicts of law).</w:t>
      </w:r>
    </w:p>
    <w:p>
      <w:pPr>
        <w:pStyle w:val="TextBody"/>
        <w:bidi w:val="0"/>
        <w:spacing w:before="5" w:after="283"/>
        <w:jc w:val="left"/>
        <w:rPr/>
      </w:pPr>
      <w:r>
        <w:rPr/>
      </w:r>
    </w:p>
    <w:p>
      <w:pPr>
        <w:pStyle w:val="TextBody"/>
        <w:bidi w:val="0"/>
        <w:spacing w:lineRule="auto" w:line="261" w:before="0" w:after="0"/>
        <w:ind w:left="0" w:right="0" w:firstLine="679"/>
        <w:jc w:val="left"/>
        <w:rPr>
          <w:rFonts w:ascii="Times New Roman;sans-serif" w:hAnsi="Times New Roman;sans-serif"/>
          <w:b w:val="false"/>
          <w:color w:val="2A2A2A"/>
          <w:sz w:val="22"/>
        </w:rPr>
      </w:pPr>
      <w:r>
        <w:rPr>
          <w:rFonts w:ascii="Times New Roman;sans-serif" w:hAnsi="Times New Roman;sans-serif"/>
          <w:b w:val="false"/>
          <w:color w:val="2A2A2A"/>
          <w:sz w:val="22"/>
        </w:rPr>
        <w:t>This offer is also contingent upon execution by you of any applicable agreements relating to your employment with the Company (or an affiliate of the Company) (including any applicable confidentiality and/or restrictive covenant agreement), in each case, in a form consistent with such agreement to be entered into with similarly situated Company officers, which may be provided to you at a later date.</w:t>
      </w:r>
    </w:p>
    <w:p>
      <w:pPr>
        <w:pStyle w:val="TextBody"/>
        <w:bidi w:val="0"/>
        <w:spacing w:before="9" w:after="283"/>
        <w:jc w:val="left"/>
        <w:rPr/>
      </w:pPr>
      <w:r>
        <w:rPr/>
      </w:r>
    </w:p>
    <w:p>
      <w:pPr>
        <w:pStyle w:val="TextBody"/>
        <w:bidi w:val="0"/>
        <w:spacing w:lineRule="auto" w:line="240" w:before="0" w:after="0"/>
        <w:jc w:val="left"/>
        <w:rPr>
          <w:rFonts w:ascii="Times New Roman;sans-serif" w:hAnsi="Times New Roman;sans-serif"/>
          <w:b w:val="false"/>
          <w:color w:val="2A2A2A"/>
          <w:sz w:val="22"/>
        </w:rPr>
      </w:pPr>
      <w:r>
        <w:rPr>
          <w:rFonts w:ascii="Times New Roman;sans-serif" w:hAnsi="Times New Roman;sans-serif"/>
          <w:b w:val="false"/>
          <w:color w:val="2A2A2A"/>
          <w:sz w:val="22"/>
        </w:rPr>
        <w:t>To confirm your acceptance of this offer, please sign and return the original to me.</w:t>
      </w:r>
    </w:p>
    <w:p>
      <w:pPr>
        <w:pStyle w:val="TextBody"/>
        <w:bidi w:val="0"/>
        <w:spacing w:before="3" w:after="283"/>
        <w:jc w:val="left"/>
        <w:rPr/>
      </w:pPr>
      <w:r>
        <w:rPr/>
      </w:r>
    </w:p>
    <w:p>
      <w:pPr>
        <w:pStyle w:val="TextBody"/>
        <w:bidi w:val="0"/>
        <w:spacing w:lineRule="auto" w:line="2880" w:before="0" w:after="0"/>
        <w:ind w:left="0" w:right="0" w:firstLine="672"/>
        <w:jc w:val="left"/>
        <w:rPr/>
      </w:pPr>
      <w:r>
        <w:rPr>
          <w:rFonts w:ascii="Times New Roman;sans-serif" w:hAnsi="Times New Roman;sans-serif"/>
          <w:b w:val="false"/>
          <w:color w:val="2A2A2A"/>
          <w:sz w:val="22"/>
        </w:rPr>
        <w:t xml:space="preserve">Your passion and commitment give us every reason to believe that together we will set new standards in healthcare and provide access to high quality medicine for the world's </w:t>
      </w:r>
      <w:r>
        <w:rPr>
          <w:rFonts w:ascii="Arial;sans-serif" w:hAnsi="Arial;sans-serif"/>
          <w:b w:val="false"/>
          <w:color w:val="2A2A2A"/>
          <w:sz w:val="20"/>
        </w:rPr>
        <w:t xml:space="preserve">7 </w:t>
      </w:r>
      <w:r>
        <w:rPr>
          <w:rFonts w:ascii="Times New Roman;sans-serif" w:hAnsi="Times New Roman;sans-serif"/>
          <w:b w:val="false"/>
          <w:color w:val="2A2A2A"/>
          <w:sz w:val="22"/>
        </w:rPr>
        <w:t>billion people.</w:t>
      </w:r>
    </w:p>
    <w:p>
      <w:pPr>
        <w:pStyle w:val="TextBody"/>
        <w:bidi w:val="0"/>
        <w:spacing w:before="0" w:after="0"/>
        <w:jc w:val="left"/>
        <w:rPr/>
      </w:pPr>
      <w:r>
        <w:rPr/>
      </w:r>
    </w:p>
    <w:p>
      <w:pPr>
        <w:pStyle w:val="TextBody"/>
        <w:bidi w:val="0"/>
        <w:spacing w:lineRule="auto" w:line="240" w:before="10" w:after="283"/>
        <w:ind w:left="0" w:right="0" w:firstLine="720"/>
        <w:jc w:val="left"/>
        <w:rPr>
          <w:rFonts w:ascii="Times New Roman;sans-serif" w:hAnsi="Times New Roman;sans-serif"/>
          <w:b w:val="false"/>
          <w:color w:val="2A2A2A"/>
          <w:sz w:val="22"/>
        </w:rPr>
      </w:pPr>
      <w:r>
        <w:rPr>
          <w:rFonts w:ascii="Times New Roman;sans-serif" w:hAnsi="Times New Roman;sans-serif"/>
          <w:b w:val="false"/>
          <w:color w:val="2A2A2A"/>
          <w:sz w:val="22"/>
        </w:rPr>
        <w:t>Sincerely,</w:t>
      </w:r>
    </w:p>
    <w:p>
      <w:pPr>
        <w:pStyle w:val="TextBody"/>
        <w:bidi w:val="0"/>
        <w:spacing w:lineRule="auto" w:line="2928" w:before="0" w:after="0"/>
        <w:ind w:left="0" w:right="0" w:firstLine="720"/>
        <w:jc w:val="left"/>
        <w:rPr>
          <w:rFonts w:ascii="Times New Roman;sans-serif" w:hAnsi="Times New Roman;sans-serif"/>
          <w:b w:val="false"/>
          <w:color w:val="2A2A2A"/>
          <w:sz w:val="22"/>
          <w:u w:val="single"/>
        </w:rPr>
      </w:pPr>
      <w:r>
        <w:rPr>
          <w:rFonts w:ascii="Times New Roman;sans-serif" w:hAnsi="Times New Roman;sans-serif"/>
          <w:b w:val="false"/>
          <w:color w:val="2A2A2A"/>
          <w:sz w:val="22"/>
          <w:u w:val="single"/>
        </w:rPr>
        <w:t>/s/ Andrew Enrietti</w:t>
      </w:r>
    </w:p>
    <w:p>
      <w:pPr>
        <w:pStyle w:val="TextBody"/>
        <w:bidi w:val="0"/>
        <w:spacing w:lineRule="auto" w:line="2928" w:before="0" w:after="0"/>
        <w:ind w:left="0" w:right="0" w:firstLine="720"/>
        <w:jc w:val="left"/>
        <w:rPr>
          <w:rFonts w:ascii="Times New Roman;sans-serif" w:hAnsi="Times New Roman;sans-serif"/>
          <w:b w:val="false"/>
          <w:color w:val="2A2A2A"/>
          <w:sz w:val="22"/>
        </w:rPr>
      </w:pPr>
      <w:r>
        <w:rPr>
          <w:rFonts w:ascii="Times New Roman;sans-serif" w:hAnsi="Times New Roman;sans-serif"/>
          <w:b w:val="false"/>
          <w:color w:val="2A2A2A"/>
          <w:sz w:val="22"/>
        </w:rPr>
        <w:t>Andrew Enrietti</w:t>
      </w:r>
    </w:p>
    <w:p>
      <w:pPr>
        <w:pStyle w:val="TextBody"/>
        <w:bidi w:val="0"/>
        <w:spacing w:lineRule="auto" w:line="2928" w:before="0" w:after="0"/>
        <w:ind w:left="0" w:right="0" w:firstLine="720"/>
        <w:jc w:val="left"/>
        <w:rPr>
          <w:rFonts w:ascii="Times New Roman;sans-serif" w:hAnsi="Times New Roman;sans-serif"/>
          <w:b w:val="false"/>
          <w:color w:val="2A2A2A"/>
          <w:sz w:val="22"/>
        </w:rPr>
      </w:pPr>
      <w:r>
        <w:rPr>
          <w:rFonts w:ascii="Times New Roman;sans-serif" w:hAnsi="Times New Roman;sans-serif"/>
          <w:b w:val="false"/>
          <w:color w:val="2A2A2A"/>
          <w:sz w:val="22"/>
        </w:rPr>
        <w:t>Chief Human Relations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2A2A2A"/>
          <w:sz w:val="22"/>
        </w:rPr>
      </w:pPr>
      <w:r>
        <w:rPr>
          <w:rFonts w:ascii="Times New Roman;sans-serif" w:hAnsi="Times New Roman;sans-serif"/>
          <w:b w:val="false"/>
          <w:color w:val="2A2A2A"/>
          <w:sz w:val="22"/>
        </w:rPr>
        <w:t>Accepted: Theodora (Doretta) Mistras    </w:t>
      </w:r>
    </w:p>
    <w:p>
      <w:pPr>
        <w:pStyle w:val="TextBody"/>
        <w:bidi w:val="0"/>
        <w:spacing w:lineRule="auto" w:line="520" w:before="0" w:after="0"/>
        <w:jc w:val="left"/>
        <w:rPr/>
      </w:pPr>
      <w:r>
        <w:rPr>
          <w:rFonts w:ascii="Times New Roman;sans-serif" w:hAnsi="Times New Roman;sans-serif"/>
          <w:b w:val="false"/>
          <w:color w:val="2A2A2A"/>
          <w:sz w:val="22"/>
        </w:rPr>
        <w:t xml:space="preserve">Signature: </w:t>
      </w:r>
      <w:r>
        <w:rPr>
          <w:rFonts w:ascii="Times New Roman;sans-serif" w:hAnsi="Times New Roman;sans-serif"/>
          <w:b w:val="false"/>
          <w:color w:val="2A2A2A"/>
          <w:sz w:val="22"/>
          <w:u w:val="single"/>
        </w:rPr>
        <w:t>/s/ Doretta Mistras</w:t>
      </w:r>
    </w:p>
    <w:p>
      <w:pPr>
        <w:pStyle w:val="TextBody"/>
        <w:bidi w:val="0"/>
        <w:spacing w:lineRule="auto" w:line="240" w:before="0" w:after="0"/>
        <w:ind w:left="0" w:right="0" w:firstLine="720"/>
        <w:jc w:val="left"/>
        <w:rPr>
          <w:rFonts w:ascii="Times New Roman;sans-serif" w:hAnsi="Times New Roman;sans-serif"/>
          <w:b w:val="false"/>
          <w:color w:val="2A2A2A"/>
          <w:sz w:val="22"/>
        </w:rPr>
      </w:pPr>
      <w:r>
        <w:rPr>
          <w:rFonts w:ascii="Times New Roman;sans-serif" w:hAnsi="Times New Roman;sans-serif"/>
          <w:b w:val="false"/>
          <w:color w:val="2A2A2A"/>
          <w:sz w:val="22"/>
        </w:rPr>
        <w:t>Date: December 15,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10.14</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RETIREMENT AND OPERATING CONSULTING AGREEMENT AND RELEASE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Retirement and Consulting Agreement and Release (“Agreement”) is made by and between Rajiv Malik (“Executive”) and Viatris Inc. (together with its affiliates, the “Company”) (collectively referred to as the “Parties” or individually referred to as a “Party”).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Executive shall retire from employment with the Company effective as of April 1, 2024 (the “Separation Date”);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in recognition of Executive’s tenure with the Company, leadership of Company operations and critical knowledge of the Company and its industry, it is intended that Executive will remain a member of the Board of Directors of the Company (the “Board”) and an operating consultant to the Company for a transitional period following the Separation Date;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Company and Executive wish to set forth the terms of such retirement from employment with the Company and continuing transitional role with the Company.</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made herein and intending to be legally bound hereby, the Company and Executive hereby agree as follows:</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COVENANTS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Retirement from Employment and Certain Company Positions; Continuing Operating Consultant Role.</w:t>
      </w:r>
      <w:r>
        <w:rPr>
          <w:color w:val="000000"/>
        </w:rPr>
        <w:t xml:space="preserve"> </w:t>
      </w:r>
      <w:r>
        <w:rPr>
          <w:rFonts w:ascii="Times New Roman;sans-serif" w:hAnsi="Times New Roman;sans-serif"/>
          <w:b w:val="false"/>
          <w:color w:val="000000"/>
          <w:sz w:val="24"/>
        </w:rPr>
        <w:t xml:space="preserve">Effective as of the Separation Date, Executive hereby resigns from all positions as an executive, officer or employee of the Company, and Executive shall cease to be the President of the Company. Executive acknowledges and agrees that his retirement from the Company is not due to any disagreement with the Company, including in his capacity as a member of the Board, on any matter relating to the operations, policies or practices of the Company. In recognition of Executive’s tenure with the Company, leadership of Company operations and critical knowledge of the Company and its industry, Executive will remain a member of the Board, subject to nomination and election to the Board and the provisions of the Company’s governing documents, and an operating consultant to the Company through a date no later than December 31, 2025 (the “Operating Consultant Period”). In Executive’s role as an operating consultant, Executive shall remain available to provide advice and guidance on Company operations, including, but not limited to, on matters pertaining to Executive’s portfolio of responsibilities prior to the Separation Date. In the event Executive ceases to be a member of the Board, the Operating Consultant Period shall be terminated as of the date Executive no longer serves on the Board.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Compensation and Benefits.</w:t>
      </w:r>
      <w:r>
        <w:rPr>
          <w:color w:val="000000"/>
        </w:rPr>
        <w:t xml:space="preserve"> </w:t>
      </w:r>
      <w:r>
        <w:rPr>
          <w:rFonts w:ascii="Times New Roman;sans-serif" w:hAnsi="Times New Roman;sans-serif"/>
          <w:b w:val="false"/>
          <w:color w:val="000000"/>
          <w:sz w:val="24"/>
        </w:rPr>
        <w:t>Provided that Executive executes this Agreement, complies with its terms and does not commit a material breach of this Agreement, as described in Section 15 (</w:t>
      </w:r>
      <w:r>
        <w:rPr>
          <w:rFonts w:ascii="Times New Roman;sans-serif" w:hAnsi="Times New Roman;sans-serif"/>
          <w:b w:val="false"/>
          <w:i/>
          <w:color w:val="000000"/>
          <w:sz w:val="24"/>
        </w:rPr>
        <w:t xml:space="preserve">e.g., </w:t>
      </w:r>
      <w:r>
        <w:rPr>
          <w:rFonts w:ascii="Times New Roman;sans-serif" w:hAnsi="Times New Roman;sans-serif"/>
          <w:b w:val="false"/>
          <w:color w:val="000000"/>
          <w:sz w:val="24"/>
        </w:rPr>
        <w:t xml:space="preserve">Confidentiality, Non-Competition, Non-Solicitation) below: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Treatment of Equity-Based Awards.</w:t>
      </w:r>
      <w:r>
        <w:rPr>
          <w:color w:val="000000"/>
        </w:rPr>
        <w:t xml:space="preserve"> </w:t>
      </w:r>
      <w:r>
        <w:rPr>
          <w:rFonts w:ascii="Times New Roman;sans-serif" w:hAnsi="Times New Roman;sans-serif"/>
          <w:b w:val="false"/>
          <w:color w:val="000000"/>
          <w:sz w:val="24"/>
        </w:rPr>
        <w:t xml:space="preserve">All time-based restricted stock units (“RSUs”) and performance-based RSUs (“PRSUs”) will continue to vest during the Operating Consultant Period as if Executive remained an active full-time employee. In the event that, prior to the Separation Date, the employment of Executive is terminated by the Company without Cause (as defined in the Third Amended and Restated Executive Employment Agreement, entered into on February 25, 2019, and effective as of April 1, 2019, by and between Executive and Mylan Inc. (the “Employment Agreement”)) or Executive’s service as a member of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Board is involuntarily terminated without cause, then all outstanding RSUs and PRSUs Executive holds as of the date of such termination will become accelerated and immediately vested (for clarity, with performance under PRSUs for which performance periods remain open determined based on target level performance regardless of actual performance at such time). In addition, in the event that, following the Separation Date, Executive (i) is not nominated or re-elected to the Board (or the Company announces publicly that Executive will not be nominated or re-elected to the Board at the end of his then current term) or is involuntarily terminated as an operating consultant, (ii) voluntarily resigns from the Board on or after the end of the term of office commencing immediately following the 2023 Annual General Meeting or (iii) dies or becomes Disabled (as defined in the Company’s 2020 Stock Incentive Plan (the “Plan”)), then, in each of clauses (i) – (iii), all outstanding RSUs and PRSUs Executive holds as of the date Executive no longer serves on the Board or as an operating consultant will become accelerated and immediately vested (for clarity, with performance under PRSUs for which performance periods remain open determined based on target level performance regardless of actual performance at such time). If Executive ceases to serve on the Board or as an operating consultant following the Separation Date for any other reason, the RSUs and PRSUs that Executive holds that are unvested as of such time will be forfeited, or if more favorable treatment is provided under the Plan under such circumstances (e.g., in the event of a Change in Control as defined in the Plan), then such treatment shall apply.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Pro Rata Annual Incentive Payment for 2024.</w:t>
      </w:r>
      <w:r>
        <w:rPr>
          <w:color w:val="000000"/>
        </w:rPr>
        <w:t xml:space="preserve"> </w:t>
      </w:r>
      <w:r>
        <w:rPr>
          <w:rFonts w:ascii="Times New Roman;sans-serif" w:hAnsi="Times New Roman;sans-serif"/>
          <w:b w:val="false"/>
          <w:color w:val="000000"/>
          <w:sz w:val="24"/>
        </w:rPr>
        <w:t>Executive shall be paid a pro rata annual bonus for 2024, which shall be determined by reference to the bonus Executive would have earned based on actual performance for 2024 and pro rated to reflect the number of days elapsed in the 2024 fiscal year through the Separation Date. The pro rata bonus shall be paid as soon as practicable following the certification of applicable performance metrics for 2024, but in no event later than March 15, 2025. In the event that, prior to the Separation Date, the employment of Executive is terminated by the Company without Cause, Executive shall receive the same pro rata annual bonus described herein as if his employment were permitted to continue until the Separation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Benefits.</w:t>
      </w:r>
      <w:r>
        <w:rPr>
          <w:color w:val="000000"/>
        </w:rPr>
        <w:t xml:space="preserve"> </w:t>
      </w:r>
      <w:r>
        <w:rPr>
          <w:rFonts w:ascii="Times New Roman;sans-serif" w:hAnsi="Times New Roman;sans-serif"/>
          <w:b w:val="false"/>
          <w:color w:val="000000"/>
          <w:sz w:val="24"/>
        </w:rPr>
        <w:t>Executive shall be eligible for continued welfare benefits pursuant to the Consolidated Omnibus Budget Reconciliation Act of 1985, as amended, for a period of up to twenty four (24) months following the Separation Date, which period shall commence as of the first day of the month following the Separation Date. Following the period during which Executive participates in the Company’s health and welfare benefits pursuant to this Section 2(c), Executive and/or Executive’s eligible dependents shall be eligible to participate in the Supplemental Health Insurance Plan for Certain Executives pursuant to the terms thereof.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Retirement Benefit Agreement.</w:t>
      </w:r>
      <w:r>
        <w:rPr>
          <w:color w:val="000000"/>
        </w:rPr>
        <w:t xml:space="preserve"> </w:t>
      </w:r>
      <w:r>
        <w:rPr>
          <w:rFonts w:ascii="Times New Roman;sans-serif" w:hAnsi="Times New Roman;sans-serif"/>
          <w:b w:val="false"/>
          <w:color w:val="000000"/>
          <w:sz w:val="24"/>
        </w:rPr>
        <w:t>Executive shall be paid the accrued and vested benefit (currently equal to $5,342,449) under his Retirement Benefit Agreement with the Company, as amended, in a lump sum on the first regularly scheduled Company payroll date occurring after the six-month anniversary of the Separation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401(k) Restoration Plan.</w:t>
      </w:r>
      <w:r>
        <w:rPr>
          <w:color w:val="000000"/>
        </w:rPr>
        <w:t xml:space="preserve"> </w:t>
      </w:r>
      <w:r>
        <w:rPr>
          <w:rFonts w:ascii="Times New Roman;sans-serif" w:hAnsi="Times New Roman;sans-serif"/>
          <w:b w:val="false"/>
          <w:color w:val="000000"/>
          <w:sz w:val="24"/>
        </w:rPr>
        <w:t>Executive shall be paid the accrued and vested benefit under the Company’s 401(k) Restoration Plan in a lump sum on the first regularly scheduled Company payroll date occurring after the six-month anniversary of the Separation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Vacation Pay.</w:t>
      </w:r>
      <w:r>
        <w:rPr>
          <w:color w:val="000000"/>
        </w:rPr>
        <w:t xml:space="preserve"> </w:t>
      </w:r>
      <w:r>
        <w:rPr>
          <w:rFonts w:ascii="Times New Roman;sans-serif" w:hAnsi="Times New Roman;sans-serif"/>
          <w:b w:val="false"/>
          <w:color w:val="000000"/>
          <w:sz w:val="24"/>
        </w:rPr>
        <w:t>The Company shall pay Executive for all unused and accrued vacation time as of the Separation Date, less applicable deductions and withholdings required by applicable law. This payment shall be made in a lump sum and shall be paid on the Company’s next regularly scheduled payroll date after the Separation Date.</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Other Benefits.</w:t>
      </w:r>
      <w:r>
        <w:rPr>
          <w:color w:val="000000"/>
        </w:rPr>
        <w:t xml:space="preserve"> </w:t>
      </w:r>
      <w:r>
        <w:rPr>
          <w:rFonts w:ascii="Times New Roman;sans-serif" w:hAnsi="Times New Roman;sans-serif"/>
          <w:b w:val="false"/>
          <w:color w:val="000000"/>
          <w:sz w:val="24"/>
        </w:rPr>
        <w:t>Executive’s participation in all other benefits and incidents of employment, including, but not limited to, the accrual of bonuses, vacation and paid time off, and any additional 401(k) plan contributions, shall cease as of the Separation Date. Vested amounts payable to Executive under the Company’s 401(k) and other retirement plans or agreements shall be paid in accordance with the terms of such plans and agreements and applicable law. All payments hereunder shall be subject to applicable deductions and withholdings as required by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Non-Employee Director Board Compensation.</w:t>
      </w:r>
      <w:r>
        <w:rPr>
          <w:color w:val="000000"/>
        </w:rPr>
        <w:t xml:space="preserve"> </w:t>
      </w:r>
      <w:r>
        <w:rPr>
          <w:rFonts w:ascii="Times New Roman;sans-serif" w:hAnsi="Times New Roman;sans-serif"/>
          <w:b w:val="false"/>
          <w:color w:val="000000"/>
          <w:sz w:val="24"/>
        </w:rPr>
        <w:t>In addition to the foregoing, for the avoidance of doubt, during the period in which Executive serves as a non-employee member of the Board, Executive shall be eligible to receive compensation for his service in such capacity consistent with other non-employee members of the Board.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Payment of Salary and Receipt of All Benefits.</w:t>
      </w:r>
      <w:r>
        <w:rPr>
          <w:color w:val="000000"/>
        </w:rPr>
        <w:t xml:space="preserve"> </w:t>
      </w:r>
      <w:r>
        <w:rPr>
          <w:rFonts w:ascii="Times New Roman;sans-serif" w:hAnsi="Times New Roman;sans-serif"/>
          <w:b w:val="false"/>
          <w:color w:val="000000"/>
          <w:sz w:val="24"/>
        </w:rPr>
        <w:t>Executive acknowledges and represents that, other than the consideration to be paid pursuant to this Agreement, Executive’s final regular pay on the Company’s next regularly scheduled payroll date after the Separation Date and payment for all unused and accrued vacation time as of the Separation Date (which shall be included in Executive’s final regular pay on the Company’s next regularly scheduled payroll date after the Separation Date, subject to applicable deductions and withholding), the Company has paid or provided all salary, wages, bonuses, accrued vacation/paid time off, premiums, leaves, reimbursable expenses, stock, vesting, shares pursuant to vested restricted stock units, and any and all other benefits and compensation due to Executive by the Company and its affiliates. To receive reimbursement for any final Company-related travel expenses, Executive must submit a final report of all such outstanding expenses within thirty (30) calendar days after the Separation Date, accompanied by receipts and otherwise subject to the Company’s expense reimbursement policy.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General Release of Claims.</w:t>
      </w:r>
      <w:r>
        <w:rPr>
          <w:color w:val="000000"/>
        </w:rPr>
        <w:t xml:space="preserve"> </w:t>
      </w:r>
      <w:r>
        <w:rPr>
          <w:rFonts w:ascii="Times New Roman;sans-serif" w:hAnsi="Times New Roman;sans-serif"/>
          <w:b w:val="false"/>
          <w:color w:val="000000"/>
          <w:sz w:val="24"/>
        </w:rPr>
        <w:t>In consideration of the payments to be made under this Agreement, which Executive acknowledges Executive would not otherwise be entitled to receive, Executive agrees that the foregoing consideration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Executive may possess against any of the Releasees arising from any omissions, acts, failures to act, facts or damages that have occurred up until and including the date Executive executes this Agreement, including, without limitation: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any and all claims relating to or arising from Executive’s employment relationship with the Company and/or any of the Releasees and the termination of that relationship;</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any and all claims relating to, or arising from, Executive’s right to purchase, or actual purchase of shares of stock of the Company and/or any of the Releasees, including, without limitation, any claims for fraud, misrepresentation, breach of fiduciary duty, breach of duty under applicable state corporate law, and securities fraud under any state or federal law;</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any and all claims under any policy, agreement, understanding or promise, written or oral, formal or informal, between any Releasee and Executive existing as of the date hereof (whether or not known or arising before, on or after the date Executive executes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(“ADEA”);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any and all claims for violation of the federal or any state constitution;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any and all claims arising out of any other laws and regulations relating to employment or employment discrimination;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any claim for any loss, cost, damage, or expense arising out of any dispute over the non-withholding or other tax treatment of any of the proceeds received by Executive as a result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any and all claims for attorneys’ fees and costs; and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rPr>
        <w:t>any other claims whatsoever.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Executive agrees that the Release set forth in this section shall be and remain in effect in all respects as a complete general release as to the matters released. This Release does not extend to any obligations incurred under this Agreement or any indemnification agreement between Executive and the Company, any claims accruing after the execution of this Agreement, or any rights Executive may have under any D&amp;O insurance policy maintained by the Company and/or any of the Releasees. This Release does not release claims to enforce the terms of this Agreement (including but not limited to the payments and benefits set forth in Section 2 of this Agreement), and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and/or any of the Releasees); and Executive’s release of claims herein bars 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Section 4.</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Executive agrees that the consideration set forth in this Agreement is subject to Executive’s execution, not later than 21 days following the Separation Date, of this Release, and the non-revocation of the Release during the period specified therein. If Executive fails to execute and deliver the Release within 21 days following the Separation Date, or if Executive revokes the Release as provided therein, Executive shall forfeit his right to receive the compensation and benefits provided under this Agreement. In the event Executive signs this Agreement prior to the Separation Date, he will be required to execute an affirmation of the Release upon his Separation Date in the form attached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Acknowledgment that Waiver of Claims is Knowing and Voluntary.</w:t>
      </w:r>
      <w:r>
        <w:rPr>
          <w:color w:val="000000"/>
        </w:rPr>
        <w:t xml:space="preserve"> </w:t>
      </w:r>
      <w:r>
        <w:rPr>
          <w:rFonts w:ascii="Times New Roman;sans-serif" w:hAnsi="Times New Roman;sans-serif"/>
          <w:b w:val="false"/>
          <w:color w:val="000000"/>
          <w:sz w:val="24"/>
        </w:rPr>
        <w:t xml:space="preserve">Executive acknowledges that Executive is waiving and releasing any rights Executive may have under the ADEA and that the waiver and release is knowing and voluntary. Executive agrees that this waiver and release does not apply to any rights or claims that may arise under the ADEA after the date Executive executes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sans-serif" w:hAnsi="Times New Roman;sans-serif"/>
          <w:b w:val="false"/>
          <w:color w:val="000000"/>
          <w:sz w:val="24"/>
          <w:u w:val="single"/>
        </w:rPr>
        <w:t>prior</w:t>
      </w:r>
      <w:r>
        <w:rPr>
          <w:color w:val="000000"/>
        </w:rPr>
        <w:t xml:space="preserve"> </w:t>
      </w:r>
      <w:r>
        <w:rPr>
          <w:rFonts w:ascii="Times New Roman;sans-serif" w:hAnsi="Times New Roman;sans-serif"/>
          <w:b w:val="false"/>
          <w:color w:val="000000"/>
          <w:sz w:val="24"/>
        </w:rPr>
        <w:t>to executing this Agreement; (b)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(c) Executive has seven (7) days following the execution of this Release to revoke this Release and may do so by writing to the Company’s General Counsel; (d) this Release shall not be effective until after the revocation period has expired without revocation;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 in less than the 21-day period identified above, Executive hereby acknowledges that Executive has freely and voluntarily chosen to waive the time period allotted for considering this Release.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Unknown Claims.</w:t>
      </w:r>
      <w:r>
        <w:rPr>
          <w:color w:val="000000"/>
        </w:rPr>
        <w:t xml:space="preserve"> </w:t>
      </w:r>
      <w:r>
        <w:rPr>
          <w:rFonts w:ascii="Times New Roman;sans-serif" w:hAnsi="Times New Roman;sans-serif"/>
          <w:b w:val="false"/>
          <w:color w:val="000000"/>
          <w:sz w:val="24"/>
        </w:rPr>
        <w:t>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Executive’s settlement with the Releasee. Executive, being aware of said principle, agrees to expressly waive any rights Executive may have to that effect, as well as under any other statute or common law principles of similar effect.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Pending or Future Lawsuits.</w:t>
      </w:r>
      <w:r>
        <w:rPr>
          <w:color w:val="000000"/>
        </w:rPr>
        <w:t xml:space="preserve"> </w:t>
      </w:r>
      <w:r>
        <w:rPr>
          <w:rFonts w:ascii="Times New Roman;sans-serif" w:hAnsi="Times New Roman;sans-serif"/>
          <w:b w:val="false"/>
          <w:color w:val="000000"/>
          <w:sz w:val="24"/>
        </w:rPr>
        <w:t>Executive represents that Executive has no lawsuits, claims, or actions pending (directly or indirectly) in Executive’s name, or on behalf of any other person or entity, against the Company or any of the other Releasees. Executive also represents that Executive does not intend to bring any claims (directly or indirectly) on Executive’s own behalf or on behalf of any other person or entity against the Company or any of the other Releasees.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Consulting Services</w:t>
      </w:r>
      <w:r>
        <w:rPr>
          <w:rFonts w:ascii="Times New Roman;sans-serif" w:hAnsi="Times New Roman;sans-serif"/>
          <w:b w:val="false"/>
          <w:color w:val="000000"/>
          <w:sz w:val="24"/>
        </w:rPr>
        <w:t xml:space="preserve">. The Company and Executive agree that, during the Operating Consultant Period, Executive will be available at reasonable times and upon reasonable notice to perform the consulting services described herein (the “Consulting Services”) on behalf of the Company and/or any of its subsidiaries and affiliates, which is intended to be on flexible terms and conditions mutually agreeable to the parties hereto.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Executive shall provide such consulting and other services as may be mutually agreed between Executive and the Board, including services that relate to historic and background matters applicable to the Company and/or any subsidiary or affiliate’s business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affairs, business decisions, or operations known to Executive by virtue of his employment with the Company or otherwise, which may be provided remotely;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if the Company reasonably requests Executive to provide such services in-person from time to time (including with travel as dictated by business needs), then Executive shall be required to provide such services in-person. Executive shall be provided access to Company personnel, files and systems for the purpose of completing projects assigned during the Operating Consultant Period.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Executive shall use his reasonable best efforts in his performance of services hereunder, including such care, resources, effort, knowledge and expertise as a reasonably prudent person experienced in and knowledgeable of such matters and duties of the kind and character contemplated herein would exercise under the circumstances.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The Parties acknowledge and agree that the consideration provided in this Agreement constitutes adequate and complete compensation for Executive’s consulting and other services as set forth herein.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Company shall reimburse Executive for reasonable expenses directly related to the provision of services, which expenses or costs are approved by the Company or the Board. Executive shall provide to the Company, on a monthly basis, documentation (in reasonable detail) of all expenses for which reimbursement is requested, and such approved expenses shall be paid to Executive as promptly as reasonably practicable after receipt of such documentation.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Nothing in this Agreement shall be construed to create an employment relationship between Executive and the Company after the Separation Date. During the Operating Consultant Period, (a) Executive shall be an independent contractor and shall have no authority to enter into contracts on behalf of the Company, bind the Company to any third parties, or act as an agent on behalf of the Company in any regard; (b) without limitation to Section 1, Executive shall not be entitled to receive any compensation or medical or other benefits as a Company employee; (c) Executive shall remain subject to the continuing obligations set forth in this Agreement; and (d) the level of Executive’s services shall be consistent with the incurrence of a “separation from service” (as defined in Section 409A of the Internal Revenue Code) as of the Separation Date (meaning no more than 20% of the average weekly level of services Executive performed over the previous 36 months). For the avoidance of doubt, nothing in this Section 8(e) shall be construed as limiting or modifying Executive’s rights pursuant to Section 1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Each party may, upon no less than 30 days’ written notice to the other, terminate the Operating Consultant Period, but each Party shall remain subject to all of its obligations under this Agreement (other than Executive’s obligation to provide the Consulting Services).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Confidentiality.</w:t>
      </w:r>
      <w:r>
        <w:rPr>
          <w:color w:val="000000"/>
        </w:rPr>
        <w:t xml:space="preserve"> </w:t>
      </w:r>
      <w:r>
        <w:rPr>
          <w:rFonts w:ascii="Times New Roman;sans-serif" w:hAnsi="Times New Roman;sans-serif"/>
          <w:b w:val="false"/>
          <w:color w:val="000000"/>
          <w:sz w:val="24"/>
        </w:rPr>
        <w:t>Executive reaffirms and agrees to observe and abide by the “Agreement Relating to Patents, Copyrights, Inventions, Confidentiality and Proprietary Information” entered into between Executive and the Company and any and all amendments and supplements thereto (the “Confidentiality Agreement”). For the avoidance of doubt, Confidential Information thereunder includes, without limitation, information or materials regarding the Company’s plans, strategies, governance or operations, deliberations, including any discussions or deliberations relating thereto.</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Existing Restrictive Covenants.</w:t>
      </w:r>
      <w:r>
        <w:rPr>
          <w:color w:val="000000"/>
        </w:rPr>
        <w:t xml:space="preserve"> </w:t>
      </w:r>
      <w:r>
        <w:rPr>
          <w:rFonts w:ascii="Times New Roman;sans-serif" w:hAnsi="Times New Roman;sans-serif"/>
          <w:b w:val="false"/>
          <w:color w:val="000000"/>
          <w:sz w:val="24"/>
        </w:rPr>
        <w:t xml:space="preserve">Executive acknowledges and agrees that he will remain subject to the restrictive covenants in his Transition and Succession Agreement with Mylan Inc. pursuant to their existing terms for the specified duration from the Separation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 in the event Executive requests a consent or waiver from such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covenants, such consent or waiver shall be considered in good faith and shall not be unreasonably withheld, conditioned or delayed and (ii) Executive shall be entitled to serve on the Board of Directors of other entities or to provide advisory or consulting services to other entities provided, in each case, that the Executive does not serve as an executive of any competitive entity during any period of restriction.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 xml:space="preserve">Trade Secrets and Confidential Information/Company Property/Inquiries. </w:t>
      </w:r>
      <w:r>
        <w:rPr>
          <w:rFonts w:ascii="Times New Roman;sans-serif" w:hAnsi="Times New Roman;sans-serif"/>
          <w:b w:val="false"/>
          <w:color w:val="000000"/>
          <w:sz w:val="24"/>
        </w:rPr>
        <w:t>Executive’s signature below constitutes Executive’s representation that as of the Separation Date, Executive shall (a) remove from any and all devices, records, files, folders, cameras, media, internet sites, electronic or digital devices, and any and all other sources, all documents, tapes, photographs, recordings, images, reproductions, electronic files and other items provided to Executive by the Company and/or any of the Releasees, developed or obtained by Executive in connection with Executive’s employment with the Company, or otherwise belonging to the Company and/or any of the Releasees, and (b) return all documents, tapes, photographs, recordings, images, reproductions, electronic files and other items provided to Executive by the Company, developed or obtained by Executive in connection with Executive’s employment with the Company, or otherwise belonging to the Company, including but not limited to any personal computer(s), BlackBerry, iPhone, iPad, tapes, photographs, recordings, images, reproductions, electronic files and other items. Executive further represents that Executive shall not misuse or disclose any of the Company’s and/or any of the Releasees’ confidential, proprietary or trade secret information to any third party other than good faith disclosure to a law enforcement or authorized regulatory agency of the United States Government or any state or local government. In addition, Executive shall abide by the Company’s external communication policy, such that in the event Executive receives any media, financial community or other third-party inquiries regarding the Company, except as provided in this Section 11 and Section 12 of this Agreement, Executive shall not respond (nor shall Executive initiate any such contact) and shall promptly notify the Company’s Global Public Affairs Department at 724.514.1968 or gpa@viatris.com, or any successor department. Pursuant to the Defend Trade Secrets Act of 2016, Executive is hereby notified that an individual may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Limits on Cooperation; Compliance.</w:t>
      </w:r>
      <w:r>
        <w:rPr>
          <w:color w:val="000000"/>
        </w:rPr>
        <w:t xml:space="preserve"> </w:t>
      </w:r>
      <w:r>
        <w:rPr>
          <w:rFonts w:ascii="Times New Roman;sans-serif" w:hAnsi="Times New Roman;sans-serif"/>
          <w:b w:val="false"/>
          <w:color w:val="000000"/>
          <w:sz w:val="24"/>
        </w:rPr>
        <w:t xml:space="preserve">Executive agrees that Executive shall not knowingly encourage, counsel or assist any attorneys or their clients in the presentation or prosecution of any disputes, differences, grievances, claims, charges or complaints by any third party, against any of the Releasees, other than good faith assistance to a law enforcement or authorized regulatory agency of the United States Government or any state or local government. Executive may, however, respond to a lawful subpoena or other court order to do so or as related directly to the ADEA waiver in this Agreement or as otherwise required by law. Executive agrees both to promptly notify the Company upon receipt of any such subpoena or court order, and to furnish, within three (3) business days of its receipt, a copy of such subpoena or other court order. If approached by anyone, other than a law enforcement or authorized regulatory agency of the United States Government or any state or local government, for counsel or assistance in the presentation or prosecution of any disputes, differences, grievances, claims, charges or complaints against any of the Releasees, Executive shall state no more than that Executive cannot provide counsel or assistance. If approached for counsel or assistance as aforementioned, whether by private parties or law enforcement or regulatory agencies, Executive shall promptly notify the Company of such an occurrence, and provide information to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Company regarding any such communication. While Executive may respond in good faith to lawful inquiries by law enforcement or regulatory agencies, Executive shall notify any such agencies of Executive’s obligations with respect to confidentiality under this Agreement, the Confidentiality Agreement, and any other applicable agreements, and Executive shall continue to honor such obligations in the course of responding to law enforcement or regulatory agency inquiries, as lawfully permitted. Executive understands that nothing contained in this Agreement limits Executive’s ability to file a charge or complaint with the Securities and Exchange Commission (the “SEC”) pursuant to Section 21F of the Securities Exchange Act of 1934, as amended, limits Executive’s ability to communicate with the SEC pursuant to such provision or limits Executive’s right to receive an award for information provided to the SEC pursuant to such provision. Furthermore, Executive hereby represents that Executive is not aware of any violation of any law, Company policy or the Company’s Code of Conduct in any event which could cause harm (financial or otherwise) to the Company or any of its subsidiaries, parents or affiliates or their respective properties, shareholders, employees or prospects, other than matters which Executive has previously reported to the Office of Global Compliance, the Viatris Legal Department or any successor department. </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shall use Executive’s best efforts to consult with the Company and respond to the Company’s reasonable requests for information or follow-up assistance pertaining to work Executive performed, directed or oversaw on behalf of the Company and/or any subsidiary or affiliate, or other matters in which Executive was involved or of which Executive was otherwise aware, including, but not limited to, in connection with his service as President and/or as a member of the Board of Directors of the Company or Mylan N.V. prior to the Separation Date. Executive’s obligations hereunder shall include without limitation Executive’s response to requests of legal counsel for the Company and/or any subsidiary or affiliate regarding any legal matters or proceedings of any kind currently pending or which may arise after the Separation Date. The Company will reimburse Executive for any expenses incurred by Executive in connection with such requests or assistance if approved by the Company’s Legal Department and supported by required documentation. No payment made to Executive hereunder is intended to be or shall be interpreted as a payment for testimony in any legal matter. Executive understands that Executive is to provide Executive’s good faith assistance, and agrees to provide truthful responses to any requests for information or testimony. For the avoidance of doubt, including as set forth above, Executive shall remain entitled to indemnification from the Company pursuant to the Employment Agreement and any other indemnification agreement between Executive and the Company or insurance policy maintained by the Company, in each case, pursuant to the terms thereof.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Mutual Non-Disparagement.</w:t>
      </w:r>
      <w:r>
        <w:rPr>
          <w:color w:val="000000"/>
        </w:rPr>
        <w:t xml:space="preserve"> </w:t>
      </w:r>
      <w:r>
        <w:rPr>
          <w:rFonts w:ascii="Times New Roman;sans-serif" w:hAnsi="Times New Roman;sans-serif"/>
          <w:b w:val="false"/>
          <w:color w:val="000000"/>
          <w:sz w:val="24"/>
        </w:rPr>
        <w:t>Executive agrees to refrain from any disparaging statements, including but not limited to statements that amount to libel or slander, about the Company, its direct and indirect parents, subsidiaries or affiliated companies, and/or any of its or their current or former employees, officers or directors, and/or any of the other Releasees including, without limitation, the business, products, governance, intellectual property, financial standing, future prospects or other employment, compensation, benefit or personnel practices of the Company and/or any of the Releasees. Executive further agrees to refrain from any disparaging statements, including but not limited to libel or slander, about any of the Releasees that pertain to any personal or confidential matters that may cause embarrassment to any of the Releasees or may result in any adverse effect on the professional or personal reputation of any of the Releasees. The foregoing restrictions shall not apply to any testimony that Executive is compelled by law to give (whether written or verbal). The Company agrees to instruct its executive officers to refrain from any disparaging statements, including but not limited to libel or slander, about Executive that pertain to any personal or confidential matters that may cause embarrassment to Executive or may result in any adverse effect on the professional or personal reputation of Executive. The foregoing restrictions shall not apply to any testimony that any executive officer of the Company is compelled to give by law (whether written or verbal).</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Indemnification.</w:t>
      </w:r>
      <w:r>
        <w:rPr>
          <w:color w:val="000000"/>
        </w:rPr>
        <w:t xml:space="preserve"> </w:t>
      </w:r>
      <w:r>
        <w:rPr>
          <w:rFonts w:ascii="Times New Roman;sans-serif" w:hAnsi="Times New Roman;sans-serif"/>
          <w:b w:val="false"/>
          <w:color w:val="000000"/>
          <w:sz w:val="24"/>
        </w:rPr>
        <w:t>Section 9 of the Employment Agreement shall survive the separation from employment in accordance with the terms thereof. In addition, with respect to periods of service prior to the Separation Date, Executive shall continue to receive indemnification in accordance with the Company’s Bylaws in effect as of the date of this Agreement. Such indemnification shall be contractual in nature and shall remain in effect notwithstanding any future change to the Company's Bylaws. With respect to periods of service prior to the Separation Date, Executive shall also continue to receive indemnification in accordance with his Indemnification Agreement with the Company entered into on November 16, 2020. With respect to period of service on or after the Separation Date, in the event that Executive is made a party or is threatened to be made a party to or is involved in any action, suit or proceeding (including those brought by or in the right of the Company) whether civil, criminal, administrative or investigative (“</w:t>
      </w:r>
      <w:r>
        <w:rPr>
          <w:rFonts w:ascii="Times New Roman;sans-serif" w:hAnsi="Times New Roman;sans-serif"/>
          <w:b w:val="false"/>
          <w:color w:val="000000"/>
          <w:sz w:val="24"/>
          <w:u w:val="single"/>
        </w:rPr>
        <w:t>proceeding</w:t>
      </w:r>
      <w:r>
        <w:rPr>
          <w:color w:val="000000"/>
        </w:rPr>
        <w:t>”</w:t>
      </w:r>
      <w:r>
        <w:rPr>
          <w:rFonts w:ascii="Times New Roman;sans-serif" w:hAnsi="Times New Roman;sans-serif"/>
          <w:b w:val="false"/>
          <w:color w:val="000000"/>
          <w:sz w:val="24"/>
        </w:rPr>
        <w:t>), by reason of the fact that he is or was an consultant to the Company or any subsidiary of the Company, whether the basis of such proceeding is alleged action in an official capacity as a consultant or in any other capacity while serving as an advisor or independent contractor, Executive shall be indemnified and held harmless by the Company to the fullest extent authorized by law against all expenses, liabilities and losses (including the advancement of attorneys fees, and the payment of judgments, fines, excise taxes or penalties and amounts paid or to be paid in settlement) reasonably incurred or suffered by Executive in connection therewith except to the extent that such expenses, liabilities and losses are determined by a court of competent jurisdiction to have been caused by the bad faith, fraud or willful misconduct (including but not limited to a willful breach of this Agreement) of Executive. Such right shall be a contract right and shall include the right to be paid by the Company expenses incurred in defending any such proceeding in advance of its final disposition;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payment of such expenses incurred by Executive in his capacity as a consultant in advance of the final disposition of such proceeding will be made only upon delivery to the Company of an undertaking, by or on behalf of Executive, to repay all amounts to Company so advanced if it should be determined ultimately that the Executive is not entitled to be indemnified under this section or otherwise. Promptly after receipt by Executive of notice of the commencement of any action, suit or proceeding for which the Executive may be entitled to be indemnified, Executive shall notify the Company in writing of the commencement thereof (but the failure to notify the Company shall not relieve it from any liability which it may have under this Section unless and to the extent that it has been prejudiced in a material respect by such failure or from the forfeiture of substantial rights and defenses). If any such action, suit or proceeding is brought against Executive and he notifies the Company of the commencement thereof, the Company will be entitled to participate therein, and, to the extent it may elect by written notice delivered to Executive promptly after receiving the aforesaid notice from Executive, to assume the defense thereof with counsel reasonably satisfactory to Executive, which may be the same counsel as counsel to the Company. Notwithstanding the foregoing, Executive shall have the right to employ his own counsel in any such case, but the fees and expenses of such counsel shall be at the expense of the Executive unless (i) the employment of such counsel shall have been authorized in writing by the Company, (ii) the Company shall not have employed counsel reasonably satisfactory to the Executive to take charge of the defense of such action within a reasonable time after notice of commencement of the action or (iii) the Executive shall have reasonably concluded, after consultation with counsel to the Executive, that a conflict of interest exists which makes representation by counsel chosen by the Company not advisable (in which case the Company shall not have the right to direct the defense of such action on behalf of the Executive), in any of which events such fees and expenses of one additional counsel shall be borne by the Company. Anything in this Section 14 to the contrary notwithstanding, the Company shall not be liable for any settlement of any claim or action effected without its written consent.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Material Breach of Agreement.</w:t>
      </w:r>
      <w:r>
        <w:rPr>
          <w:color w:val="000000"/>
        </w:rPr>
        <w:t xml:space="preserve"> </w:t>
      </w:r>
      <w:r>
        <w:rPr>
          <w:rFonts w:ascii="Times New Roman;sans-serif" w:hAnsi="Times New Roman;sans-serif"/>
          <w:b w:val="false"/>
          <w:color w:val="000000"/>
          <w:sz w:val="24"/>
        </w:rPr>
        <w:t xml:space="preserve">In addition to the rights provided in Section 22 below, if Executive commits a material breach of this Agreement, which shall include, without limitation, any breach of Sections 9, 10, 11, 12 and 13 of this Agreement and any breach of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Confidentiality Agreement, the Company shall be entitled to immediately recover and/or cease providing the payments and consideration provided to Executive under this Agreement (including, for the avoidance of doubt, canceling any equity awards Executive holds) and to obtain damages, except as provided by law.</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No Admission of Liability/Compromise.</w:t>
      </w:r>
      <w:r>
        <w:rPr>
          <w:color w:val="000000"/>
        </w:rPr>
        <w:t xml:space="preserve"> </w:t>
      </w:r>
      <w:r>
        <w:rPr>
          <w:rFonts w:ascii="Times New Roman;sans-serif" w:hAnsi="Times New Roman;sans-serif"/>
          <w:b w:val="false"/>
          <w:color w:val="000000"/>
          <w:sz w:val="24"/>
        </w:rPr>
        <w:t>No action taken by the Company and/or any of the Releasees, either previously or in connection with this Agreement, shall be deemed or construed to be (a) an admission of the truth or falsity of any actual or potential claims or (b) an acknowledgment or admission by the Company and/or any of the Releasees of any fault or liability.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Costs.</w:t>
      </w:r>
      <w:r>
        <w:rPr>
          <w:color w:val="000000"/>
        </w:rPr>
        <w:t xml:space="preserve"> </w:t>
      </w:r>
      <w:r>
        <w:rPr>
          <w:rFonts w:ascii="Times New Roman;sans-serif" w:hAnsi="Times New Roman;sans-serif"/>
          <w:b w:val="false"/>
          <w:color w:val="000000"/>
          <w:sz w:val="24"/>
        </w:rPr>
        <w:t>The Parties shall each bear their own costs, attorneys’ fees and other fees incurred in connection with the preparation of this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Choice of Law and Forum.</w:t>
      </w:r>
      <w:r>
        <w:rPr>
          <w:color w:val="000000"/>
        </w:rPr>
        <w:t xml:space="preserve"> </w:t>
      </w:r>
      <w:r>
        <w:rPr>
          <w:rFonts w:ascii="Times New Roman;sans-serif" w:hAnsi="Times New Roman;sans-serif"/>
          <w:b w:val="false"/>
          <w:color w:val="000000"/>
          <w:sz w:val="24"/>
        </w:rPr>
        <w:t xml:space="preserve">This Agreement shall be construed and enforced according to, and the rights and obligations of the parties shall be governed in all respects by, the laws of the Commonwealth of Pennsylvania without reference to the principles of conflicts of law thereof. Any controversy, dispute or claim arising out of or relating to this Agreement, or the breach hereof, including a claim for injunctive relief, or any claim which in any way arises out of or relates to Executive’s employment with the Company or separation from said employment (whether such dispute arises under any federal, state or local statute or regulation, or at common law), including but not limited to statutory claims for discrimination, shall be resolved by arbitration in accordance with the then-current rules of the American Arbitration Association respecting employment disputes pertaining at the time the dispute arises;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either party may seek an injunction in aid of arbitration with respect to enforcement of Sections 9, 10, 11, 12 and/or 13 of this Agreement from any court of competent jurisdiction. The Parties agree that the hearing of any such dispute shall be held in Pennsylvania. The decision of the arbitrator(s) shall be final and binding on all parties and any award rendered shall be enforceable upon confirmation by a court of competent jurisdiction. Any arbitration proceedings, decision or award rendered hereunder, and the validity, effect and interpretation of this arbitration provision shall be governed by the Federal Arbitration Act, 9 U.S.C. § 1 </w:t>
      </w:r>
      <w:r>
        <w:rPr>
          <w:rFonts w:ascii="Times New Roman;sans-serif" w:hAnsi="Times New Roman;sans-serif"/>
          <w:b w:val="false"/>
          <w:i/>
          <w:color w:val="000000"/>
          <w:sz w:val="24"/>
        </w:rPr>
        <w:t>et seq</w:t>
      </w:r>
      <w:r>
        <w:rPr>
          <w:rFonts w:ascii="Times New Roman;sans-serif" w:hAnsi="Times New Roman;sans-serif"/>
          <w:b w:val="false"/>
          <w:color w:val="000000"/>
          <w:sz w:val="24"/>
        </w:rPr>
        <w:t>. Executive and the Company expressly consent to the jurisdiction of any such arbitrator over them.</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Tax Consequences.</w:t>
      </w:r>
      <w:r>
        <w:rPr>
          <w:color w:val="000000"/>
        </w:rPr>
        <w:t xml:space="preserve"> </w:t>
      </w:r>
      <w:r>
        <w:rPr>
          <w:rFonts w:ascii="Times New Roman;sans-serif" w:hAnsi="Times New Roman;sans-serif"/>
          <w:b w:val="false"/>
          <w:color w:val="000000"/>
          <w:sz w:val="24"/>
        </w:rPr>
        <w:t xml:space="preserve">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intent of the parties is that payments and benefits under this Agreement comply with Section 409A of the Internal Revenue Code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Executive shall not be considered to have terminated employment with the Company for purposes of this Agreement and no payments shall be due to Executive under Section 2 of this Agreement until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Section 2 that are due within the “short term deferral period” as defined in Section 409A of the Code shall not be treated as deferred compensation unless applicable law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in a lump sum on the first regularly scheduled Company payroll date occurring after the six-month anniversary of the Separation Date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Authority.</w:t>
      </w:r>
      <w:r>
        <w:rPr>
          <w:color w:val="000000"/>
        </w:rPr>
        <w:t xml:space="preserve"> </w:t>
      </w:r>
      <w:r>
        <w:rPr>
          <w:rFonts w:ascii="Times New Roman;sans-serif" w:hAnsi="Times New Roman;sans-serif"/>
          <w:b w:val="false"/>
          <w:color w:val="000000"/>
          <w:sz w:val="24"/>
        </w:rPr>
        <w:t>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No Representations.</w:t>
      </w:r>
      <w:r>
        <w:rPr>
          <w:color w:val="000000"/>
        </w:rPr>
        <w:t xml:space="preserve"> </w:t>
      </w:r>
      <w:r>
        <w:rPr>
          <w:rFonts w:ascii="Times New Roman;sans-serif" w:hAnsi="Times New Roman;sans-serif"/>
          <w:b w:val="false"/>
          <w:color w:val="000000"/>
          <w:sz w:val="24"/>
        </w:rPr>
        <w:t>Executive represents that Executive has had an opportunity to consult with an attorney and has carefully read and understands the scope and effect of the provisions of this Agreement. Executive has not relied upon any representations or statements made by the Company that are not specifically set forth in this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Severability.</w:t>
      </w:r>
      <w:r>
        <w:rPr>
          <w:color w:val="000000"/>
        </w:rPr>
        <w:t xml:space="preserve"> </w:t>
      </w:r>
      <w:r>
        <w:rPr>
          <w:rFonts w:ascii="Times New Roman;sans-serif" w:hAnsi="Times New Roman;sans-serif"/>
          <w:b w:val="false"/>
          <w:color w:val="000000"/>
          <w:sz w:val="24"/>
        </w:rPr>
        <w:t>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Attorneys’ Fees.</w:t>
      </w:r>
      <w:r>
        <w:rPr>
          <w:color w:val="000000"/>
        </w:rPr>
        <w:t xml:space="preserve"> </w:t>
      </w:r>
      <w:r>
        <w:rPr>
          <w:rFonts w:ascii="Times New Roman;sans-serif" w:hAnsi="Times New Roman;sans-serif"/>
          <w:b w:val="false"/>
          <w:color w:val="000000"/>
          <w:sz w:val="24"/>
        </w:rPr>
        <w:t>Except with regard to a legal action challenging or seeking a determination in good faith of the validity of the waiver herein under the ADEA or otherwise prohibited by law,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 Such costs and expenses shall be paid to the prevailing party as soon as practicable after the legal action is resolved and in no event later than March 15 of the year following resolution of the legal action.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Entire Agreement.</w:t>
      </w:r>
      <w:r>
        <w:rPr>
          <w:color w:val="000000"/>
        </w:rPr>
        <w:t xml:space="preserve"> </w:t>
      </w:r>
      <w:r>
        <w:rPr>
          <w:rFonts w:ascii="Times New Roman;sans-serif" w:hAnsi="Times New Roman;sans-serif"/>
          <w:b w:val="false"/>
          <w:color w:val="000000"/>
          <w:sz w:val="24"/>
        </w:rPr>
        <w:t>This Agreement and the Confidentiality Agreement (as amended by this Agreement) represent the entire agreement and understanding between the Company and Executive concerning the subject matter of this Agreement and Executive’s employment with and separation from the Company and the events leading thereto and associated therewith, and supersede and replace any and all prior negotiations, representations, agreements and understandings concerning the subject matter of such agreements, Executive’s relationship with the Company and Executive’s obligations following employment with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No Oral Modification.</w:t>
      </w:r>
      <w:r>
        <w:rPr>
          <w:color w:val="000000"/>
        </w:rPr>
        <w:t xml:space="preserve"> </w:t>
      </w:r>
      <w:r>
        <w:rPr>
          <w:rFonts w:ascii="Times New Roman;sans-serif" w:hAnsi="Times New Roman;sans-serif"/>
          <w:b w:val="false"/>
          <w:color w:val="000000"/>
          <w:sz w:val="24"/>
        </w:rPr>
        <w:t>This Agreement may only be amended in a writing signed by Executive and the Company.</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Governing Law.</w:t>
      </w:r>
      <w:r>
        <w:rPr>
          <w:color w:val="000000"/>
        </w:rPr>
        <w:t xml:space="preserve"> </w:t>
      </w:r>
      <w:r>
        <w:rPr>
          <w:rFonts w:ascii="Times New Roman;sans-serif" w:hAnsi="Times New Roman;sans-serif"/>
          <w:b w:val="false"/>
          <w:color w:val="000000"/>
          <w:sz w:val="24"/>
        </w:rPr>
        <w:t>The laws of the Commonwealth of Pennsylvania govern this Agreement, without regard for choice-of-law provisions. Executive consents to personal and exclusive jurisdiction and venue in the Commonwealth of Pennsylvania.</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 xml:space="preserve">This Agreement shall become immediately effective upon Executive’s execution and delivery of this Agreement to the Company;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Executive fails to comply with this Agreement (including the execution and non-revocation of the Release pursuant to Sections 4 and 5), Executive shall not receive the amounts or benefits set forth in Section 2, and this Agreement shall never go into effect. Executive acknowledges and agrees that Executive shall execute this Agreement on, and in any event no earlier than one week prior to, the Separation Date.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28.</w:t>
      </w:r>
      <w:r>
        <w:rPr>
          <w:rFonts w:ascii="Times New Roman;sans-serif" w:hAnsi="Times New Roman;sans-serif"/>
          <w:b w:val="false"/>
          <w:color w:val="000000"/>
          <w:sz w:val="24"/>
          <w:u w:val="single"/>
        </w:rPr>
        <w:t>Counterparts.</w:t>
      </w:r>
      <w:r>
        <w:rPr>
          <w:color w:val="000000"/>
        </w:rPr>
        <w:t xml:space="preserve"> </w:t>
      </w:r>
      <w:r>
        <w:rPr>
          <w:rFonts w:ascii="Times New Roman;sans-serif" w:hAnsi="Times New Roman;sans-serif"/>
          <w:b w:val="false"/>
          <w:color w:val="000000"/>
          <w:sz w:val="24"/>
        </w:rPr>
        <w:t>This Agreement may be executed in counterparts and by facsimile, and each counterpart and facsimile shall have the same force and effect as an original and shall constitute an effective, binding agreement on the part of each of the undersigned.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29.</w:t>
      </w:r>
      <w:r>
        <w:rPr>
          <w:rFonts w:ascii="Times New Roman;sans-serif" w:hAnsi="Times New Roman;sans-serif"/>
          <w:b w:val="false"/>
          <w:color w:val="000000"/>
          <w:sz w:val="24"/>
          <w:u w:val="single"/>
        </w:rPr>
        <w:t>Voluntary Execution of Agreement.</w:t>
      </w:r>
      <w:r>
        <w:rPr>
          <w:color w:val="000000"/>
        </w:rPr>
        <w:t xml:space="preserve"> </w:t>
      </w:r>
      <w:r>
        <w:rPr>
          <w:rFonts w:ascii="Times New Roman;sans-serif" w:hAnsi="Times New Roman;sans-serif"/>
          <w:b w:val="false"/>
          <w:color w:val="000000"/>
          <w:sz w:val="24"/>
        </w:rPr>
        <w:t>Executive understands and agrees that Executive executed this Agreement voluntarily, without any duress or undue influence on the part or behalf of the Company and/or any of the Releasees or any third party, with the full intent of releasing all of Executive’s claims against the Company and any of the other Releasees. Executive acknowledges that: (a) Executive has read this Agreement; (b) Executive has been represented in the preparation, negotiation and execution of this Agreement by legal counsel of Executive’s own choice or has elected not to retain legal counsel; (c) Executive understands the terms and consequences of this Agreement and of the releases it contains; (d) Executive is fully aware of the legal and binding effect of this Agreement and (e) Executive has been given the toll-free telephone number of the Pennsylvania Bar Association to help Executive identify a qualified lawyer (800-692-7375).</w:t>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left"/>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on the respective dates set forth below.</w:t>
      </w:r>
    </w:p>
    <w:tbl>
      <w:tblPr>
        <w:tblW w:w="4410" w:type="dxa"/>
        <w:jc w:val="left"/>
        <w:tblInd w:w="0" w:type="dxa"/>
        <w:tblLayout w:type="fixed"/>
        <w:tblCellMar>
          <w:top w:w="28" w:type="dxa"/>
          <w:left w:w="28" w:type="dxa"/>
          <w:bottom w:w="28" w:type="dxa"/>
          <w:right w:w="28" w:type="dxa"/>
        </w:tblCellMar>
      </w:tblPr>
      <w:tblGrid>
        <w:gridCol w:w="896"/>
        <w:gridCol w:w="787"/>
        <w:gridCol w:w="791"/>
        <w:gridCol w:w="130"/>
        <w:gridCol w:w="130"/>
        <w:gridCol w:w="131"/>
        <w:gridCol w:w="451"/>
        <w:gridCol w:w="451"/>
        <w:gridCol w:w="643"/>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October 20, 2023</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Rajiv Malik</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Rajiv Malik</w:t>
            </w:r>
          </w:p>
        </w:tc>
      </w:tr>
    </w:tbl>
    <w:p>
      <w:pPr>
        <w:pStyle w:val="TextBody"/>
        <w:bidi w:val="0"/>
        <w:spacing w:before="0" w:after="240"/>
        <w:jc w:val="left"/>
        <w:rPr/>
      </w:pPr>
      <w:r>
        <w:rPr/>
      </w:r>
    </w:p>
    <w:tbl>
      <w:tblPr>
        <w:tblW w:w="7046" w:type="dxa"/>
        <w:jc w:val="left"/>
        <w:tblInd w:w="0" w:type="dxa"/>
        <w:tblLayout w:type="fixed"/>
        <w:tblCellMar>
          <w:top w:w="28" w:type="dxa"/>
          <w:left w:w="28" w:type="dxa"/>
          <w:bottom w:w="28" w:type="dxa"/>
          <w:right w:w="28" w:type="dxa"/>
        </w:tblCellMar>
      </w:tblPr>
      <w:tblGrid>
        <w:gridCol w:w="896"/>
        <w:gridCol w:w="787"/>
        <w:gridCol w:w="791"/>
        <w:gridCol w:w="181"/>
        <w:gridCol w:w="181"/>
        <w:gridCol w:w="181"/>
        <w:gridCol w:w="303"/>
        <w:gridCol w:w="303"/>
        <w:gridCol w:w="303"/>
        <w:gridCol w:w="912"/>
        <w:gridCol w:w="912"/>
        <w:gridCol w:w="129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INC.:</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October 20, 2023</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Andrew Enrietti</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Andrew Enrietti</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Human Relations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14</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Second Release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release (this “Second Release”) is delivered by Rajiv Malik (“Executive”) as of the date set forth below in connection with the Retirement and Operating Consultant Agreement and Release between Executive and Viatris Inc. (together with its affiliates, the “Company”), dated as of October 20, 2023 (the “Retirement and Consulting Agreement”), and in connection with Executive’s separation from employment with the Company. Capitalized terms used but not defined herein shall have the meaning ascribed to them in the Retirement and Consulting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rPr>
        <w:t>In consideration of the payments to be made under the Retirement and Consulting Agreement, which Executive acknowledges Executive would not otherwise be entitled to receive, Executive agrees that the consideration provided under the Retirement and Consulting Agreement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Executive may possess against any of the Releasees arising from any omissions, acts, failures to act, facts, or damages that have occurred up until and including the date Executive executes this Second Release, including, without limitation: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any and all claims relating to or arising from Executive’s employment relationship with the Company and/or any of the Releasees and the termination of that relationship;</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any and all claims relating to, or arising from, Executive’s right to purchase, or actual purchase of shares of stock of the Company and/or any of the Releasees, including, without limitation, any claims for fraud, misrepresentation, breach of fiduciary duty, breach of duty under applicable state corporate law, and securities fraud under any state or federal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any and all claims under any policy, agreement, understanding or promise, written or oral, formal or informal, between any Releasee and Executive existing as of the date hereof (whether or not known or arising before, on or after the date Executive executes this Second Release);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any and all claims for violation of any federal, state, or municipal statute, including, but not limited to, Title VII of the Civil Rights Act of 1964; the Civil Rights Act of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15</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any and all claims for violation of the federal or any state constitution;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any and all claims arising out of any other laws and regulations relating to employment or employment discrimination;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any claim for any loss, cost, damage, or expense arising out of any dispute over the non-withholding or other tax treatment of any of the proceeds received by Executive as a result of the Retirement and Consulting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any and all claims for attorneys’ fees and costs; and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rPr>
        <w:t>any other claims whatsoever.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Executive agrees that this Second Release shall be and remain in effect in all respects as a complete general release as to the matters released. This Second Release does not extend to any obligations incurred under the Retirement and Consulting Agreement (including but not limited to Section 2 under such Agreement), or any claims accruing after the execution of the Retirement and Consulting Agreement. This Second Release does not extend to any obligations incurred under any indemnification agreement between Executive and the Company, or any rights Executive may have under any D&amp;O insurance policy maintained by the Company and/or any of the Releasees. This Second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and/or any of the Releasees; and Executive’s release of claims herein bars 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Second Release.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Executive acknowledges that Executive is waiving and releasing any rights Executive may have under the Age Discrimination in Employment Act of 1967 (“ADEA”) and that this Second Release is knowing and voluntary. Executive agrees that this Second Release does not apply to any rights or claims that may arise under the ADEA after the date Executive executes this Second Release. Executive acknowledges that the consideration given for this Second Release is in addition to anything of value to which Executive was already entitled. Executive further acknowledges that Executive has been advised by this writing that: (a) Executive should consult with an attorney </w:t>
      </w:r>
      <w:r>
        <w:rPr>
          <w:rFonts w:ascii="Times New Roman;sans-serif" w:hAnsi="Times New Roman;sans-serif"/>
          <w:b w:val="false"/>
          <w:color w:val="000000"/>
          <w:sz w:val="24"/>
          <w:u w:val="single"/>
        </w:rPr>
        <w:t>prior</w:t>
      </w:r>
      <w:r>
        <w:rPr>
          <w:color w:val="000000"/>
        </w:rPr>
        <w:t xml:space="preserve"> </w:t>
      </w:r>
      <w:r>
        <w:rPr>
          <w:rFonts w:ascii="Times New Roman;sans-serif" w:hAnsi="Times New Roman;sans-serif"/>
          <w:b w:val="false"/>
          <w:color w:val="000000"/>
          <w:sz w:val="24"/>
        </w:rPr>
        <w:t xml:space="preserve">to executing this Second Release; (b) Executive has twenty-one (21) days within which to consider this Second Release; (c) Executive has seven (7) days following the execution of this Second Release to revoke this Second Release and may do so by writing to the Company’s General Counsel; (d) this Second Release shall not be effective until after the revocation period has expired without revocation; and (e) nothing in this Second Release prevents or precludes Executive from challenging or seeking a determination in good faith of the validity of this waiver under the ADEA, nor does it impose any condition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16</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precedent, penalties, or costs for doing so, unless specifically authorized by federal law. In the event Executive signs this Second Release and returns it to the Company in less than the 21-day period identified above, Executive hereby acknowledges that Executive has freely and voluntarily chosen to waive the time period allotted for considering this Second Release.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rPr>
        <w:t>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Executive’s settlement with the Releasee. Executive, being aware of said principle, agrees to expressly waive any rights Executive may have to that effect, as well as under any other statute or common law principles of similar effect.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rPr>
        <w:t>Executive hereby acknowledges and agrees that the covenant with respect to pending or future lawsuits set forth in Section 7 of the Retirement and Consulting Agreement applies to all claims released pursuant to this Second Release.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I HAVE READ, UNDERSTAND, AND VOLUNTARILY AGREE TO THE TERMS OF THIS RELEASE.</w:t>
      </w:r>
    </w:p>
    <w:p>
      <w:pPr>
        <w:pStyle w:val="TextBody"/>
        <w:bidi w:val="0"/>
        <w:spacing w:before="0" w:after="24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____________________________         DATE: ___________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Rajiv Malik</w:t>
      </w:r>
    </w:p>
    <w:p>
      <w:pPr>
        <w:pStyle w:val="TextBody"/>
        <w:bidi w:val="0"/>
        <w:spacing w:before="0" w:after="240"/>
        <w:jc w:val="left"/>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10.15</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SEPARATION AGREEMENT AND RELEASE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Separation Agreement and Release (“Agreement”) is made by and between Anthony Mauro (“Executive”) and Viatris Inc. (together with its affiliates, the “Company”) (collectively referred to as the “Parties” or individually referred to as a “Party”).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Executive shall separate from employment with the Company effective as of April 1, 2024 (the “Separation Date”);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Company and Executive wish to set forth the terms of such separation from employment with the Company.</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made herein and intending to be legally bound hereby, the Company and Executive hereby agree as follows:</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COVENANTS</w:t>
      </w:r>
    </w:p>
    <w:p>
      <w:pPr>
        <w:pStyle w:val="TextBody"/>
        <w:bidi w:val="0"/>
        <w:spacing w:lineRule="auto" w:line="240" w:before="0" w:after="24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Separation from Employment and Certain Company Positions.</w:t>
      </w:r>
      <w:r>
        <w:rPr>
          <w:color w:val="000000"/>
        </w:rPr>
        <w:t xml:space="preserve"> </w:t>
      </w:r>
      <w:r>
        <w:rPr>
          <w:rFonts w:ascii="Times New Roman;sans-serif" w:hAnsi="Times New Roman;sans-serif"/>
          <w:b w:val="false"/>
          <w:color w:val="000000"/>
          <w:sz w:val="24"/>
        </w:rPr>
        <w:t xml:space="preserve">Effective as of the Separation Date, Executive hereby resigns from all positions as an executive, officer or employee of the Company, and Executive shall cease to be the President, Developed Markets of the Company. In the event that the Company terminates Executive’s employment prior to the Separation Date for any reason other than for Cause (as defined under the Company’s 2020 Stock Incentive Plan (the “Plan”)), then the Executive shall be entitled to all of the payments and benefits set forth in this Agreement (including Sections 2 and 3) as if the “Separation Date” had, in fact, been April 1, 2024. Executive acknowledges and agrees that his separation from the Company is not due to any disagreement with the Company on any matter relating to the operations, policies or practices of the Company. </w:t>
      </w:r>
    </w:p>
    <w:p>
      <w:pPr>
        <w:pStyle w:val="TextBody"/>
        <w:bidi w:val="0"/>
        <w:spacing w:lineRule="auto" w:line="240" w:before="0" w:after="24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Compensation and Benefits.</w:t>
      </w:r>
      <w:r>
        <w:rPr>
          <w:color w:val="000000"/>
        </w:rPr>
        <w:t xml:space="preserve"> </w:t>
      </w:r>
      <w:r>
        <w:rPr>
          <w:rFonts w:ascii="Times New Roman;sans-serif" w:hAnsi="Times New Roman;sans-serif"/>
          <w:b w:val="false"/>
          <w:color w:val="000000"/>
          <w:sz w:val="24"/>
        </w:rPr>
        <w:t>Provided that Executive executes this Agreement, complies with its terms and does not commit a material breach of this Agreement, as described in Section 13 (</w:t>
      </w:r>
      <w:r>
        <w:rPr>
          <w:rFonts w:ascii="Times New Roman;sans-serif" w:hAnsi="Times New Roman;sans-serif"/>
          <w:b w:val="false"/>
          <w:i/>
          <w:color w:val="000000"/>
          <w:sz w:val="24"/>
        </w:rPr>
        <w:t xml:space="preserve">e.g., </w:t>
      </w:r>
      <w:r>
        <w:rPr>
          <w:rFonts w:ascii="Times New Roman;sans-serif" w:hAnsi="Times New Roman;sans-serif"/>
          <w:b w:val="false"/>
          <w:color w:val="000000"/>
          <w:sz w:val="24"/>
        </w:rPr>
        <w:t>Confidentiality, Non-Competition, Non-Solicitation) below:</w:t>
      </w:r>
    </w:p>
    <w:p>
      <w:pPr>
        <w:pStyle w:val="TextBody"/>
        <w:bidi w:val="0"/>
        <w:spacing w:lineRule="auto" w:line="240" w:before="0" w:after="2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Separation Payment.</w:t>
      </w:r>
      <w:r>
        <w:rPr>
          <w:color w:val="000000"/>
        </w:rPr>
        <w:t xml:space="preserve"> </w:t>
      </w:r>
      <w:r>
        <w:rPr>
          <w:rFonts w:ascii="Times New Roman;sans-serif" w:hAnsi="Times New Roman;sans-serif"/>
          <w:b w:val="false"/>
          <w:color w:val="000000"/>
          <w:sz w:val="24"/>
        </w:rPr>
        <w:t>Executive shall be paid an amount in cash equal to $3,698,000, subject to applicable deductions and withholdings required by applicable law (the “</w:t>
      </w:r>
      <w:r>
        <w:rPr>
          <w:rFonts w:ascii="Times New Roman;sans-serif" w:hAnsi="Times New Roman;sans-serif"/>
          <w:b w:val="false"/>
          <w:color w:val="000000"/>
          <w:sz w:val="24"/>
          <w:u w:val="single"/>
        </w:rPr>
        <w:t>Total Cash Separation Payment</w:t>
      </w:r>
      <w:r>
        <w:rPr>
          <w:color w:val="000000"/>
        </w:rPr>
        <w:t>”</w:t>
      </w:r>
      <w:r>
        <w:rPr>
          <w:rFonts w:ascii="Times New Roman;sans-serif" w:hAnsi="Times New Roman;sans-serif"/>
          <w:b w:val="false"/>
          <w:color w:val="000000"/>
          <w:sz w:val="24"/>
        </w:rPr>
        <w:t xml:space="preserve">). The Total Cash Separation Payment and other payments pursuant to this Agreement are expressly conditioned on Executive’s compliance with the terms and conditions of this Agreement. The Total Cash Separation Payment shall be payable in a lump sum on the first regularly scheduled Company payroll date occurring after the six-month anniversary of the Separation Date. </w:t>
      </w:r>
    </w:p>
    <w:p>
      <w:pPr>
        <w:pStyle w:val="TextBody"/>
        <w:bidi w:val="0"/>
        <w:spacing w:lineRule="auto" w:line="240" w:before="0" w:after="2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Treatment of Equity-Based Awards.</w:t>
      </w:r>
      <w:r>
        <w:rPr>
          <w:color w:val="000000"/>
        </w:rPr>
        <w:t xml:space="preserve"> </w:t>
      </w:r>
      <w:r>
        <w:rPr>
          <w:rFonts w:ascii="Times New Roman;sans-serif" w:hAnsi="Times New Roman;sans-serif"/>
          <w:b w:val="false"/>
          <w:color w:val="000000"/>
          <w:sz w:val="24"/>
        </w:rPr>
        <w:t>All time-based restricted stock units (“RSUs”) and performance-based RSUs (“PRSUs”), in each case, remain subject to the terms of the applicable long-term incentive plan or plans, as amended, and all applicable award agreements and amendments thereto. For the avoidance of doubt, all unvested RSUs and PRSUs, in each case, shall be forfeited immediately upon the Separation Date, unless otherwise specified in the applicable award agreement (i.e., pro rata vesting of Executive’s 2023 PRSUs upon the Separation Date, or other Change in Control provisions in the Plan that might become applicable).</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Pro Rata Annual Incentive Payment for 2024.</w:t>
      </w:r>
      <w:r>
        <w:rPr>
          <w:color w:val="000000"/>
        </w:rPr>
        <w:t xml:space="preserve"> </w:t>
      </w:r>
      <w:r>
        <w:rPr>
          <w:rFonts w:ascii="Times New Roman;sans-serif" w:hAnsi="Times New Roman;sans-serif"/>
          <w:b w:val="false"/>
          <w:color w:val="000000"/>
          <w:sz w:val="24"/>
        </w:rPr>
        <w:t>Executive shall be paid a pro rata annual bonus for 2024, which shall be determined by reference to the bonus Executive would have earned based on actual performance for 2024 and pro rated to reflect the number of days elapsed in the 2024 fiscal year through the Separation Date. The pro rata bonus shall be paid as soon as practicable following the certification of applicable performance metrics for 2024, but in no event later than March 15, 2025.</w:t>
      </w:r>
    </w:p>
    <w:p>
      <w:pPr>
        <w:pStyle w:val="TextBody"/>
        <w:bidi w:val="0"/>
        <w:spacing w:lineRule="auto" w:line="240" w:before="0" w:after="2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Benefits.</w:t>
      </w:r>
      <w:r>
        <w:rPr>
          <w:color w:val="000000"/>
        </w:rPr>
        <w:t xml:space="preserve"> </w:t>
      </w:r>
      <w:r>
        <w:rPr>
          <w:rFonts w:ascii="Times New Roman;sans-serif" w:hAnsi="Times New Roman;sans-serif"/>
          <w:b w:val="false"/>
          <w:color w:val="000000"/>
          <w:sz w:val="24"/>
        </w:rPr>
        <w:t>Executive shall be eligible for continued welfare benefits pursuant to the Consolidated Omnibus Budget Reconciliation Act of 1985, as amended, for a period of up to twenty four (24) months following the Separation Date, which period shall commence as of the first day of the month following the Separation Date.</w:t>
      </w:r>
    </w:p>
    <w:p>
      <w:pPr>
        <w:pStyle w:val="TextBody"/>
        <w:bidi w:val="0"/>
        <w:spacing w:lineRule="auto" w:line="240" w:before="0" w:after="2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401(k) Restoration Plan.</w:t>
      </w:r>
      <w:r>
        <w:rPr>
          <w:color w:val="000000"/>
        </w:rPr>
        <w:t xml:space="preserve"> </w:t>
      </w:r>
      <w:r>
        <w:rPr>
          <w:rFonts w:ascii="Times New Roman;sans-serif" w:hAnsi="Times New Roman;sans-serif"/>
          <w:b w:val="false"/>
          <w:color w:val="000000"/>
          <w:sz w:val="24"/>
        </w:rPr>
        <w:t>Executive shall be paid the accrued and vested benefit under the Company’s 401(k) Restoration Plan in a lump sum on the first regularly scheduled Company payroll date occurring after the six-month anniversary of the Separation Date.</w:t>
      </w:r>
    </w:p>
    <w:p>
      <w:pPr>
        <w:pStyle w:val="TextBody"/>
        <w:bidi w:val="0"/>
        <w:spacing w:lineRule="auto" w:line="240" w:before="0" w:after="2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Vacation Pay.</w:t>
      </w:r>
      <w:r>
        <w:rPr>
          <w:color w:val="000000"/>
        </w:rPr>
        <w:t xml:space="preserve"> </w:t>
      </w:r>
      <w:r>
        <w:rPr>
          <w:rFonts w:ascii="Times New Roman;sans-serif" w:hAnsi="Times New Roman;sans-serif"/>
          <w:b w:val="false"/>
          <w:color w:val="000000"/>
          <w:sz w:val="24"/>
        </w:rPr>
        <w:t>The Company shall pay Executive for all unused and accrued vacation time as of the Separation Date, less applicable deductions and withholdings required by applicable law. This payment shall be made in a lump sum and shall be paid on the Company’s next regularly scheduled payroll date after the Separation Date.</w:t>
      </w:r>
    </w:p>
    <w:p>
      <w:pPr>
        <w:pStyle w:val="TextBody"/>
        <w:bidi w:val="0"/>
        <w:spacing w:lineRule="auto" w:line="240" w:before="0" w:after="2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Other Benefits.</w:t>
      </w:r>
      <w:r>
        <w:rPr>
          <w:color w:val="000000"/>
        </w:rPr>
        <w:t xml:space="preserve"> </w:t>
      </w:r>
      <w:r>
        <w:rPr>
          <w:rFonts w:ascii="Times New Roman;sans-serif" w:hAnsi="Times New Roman;sans-serif"/>
          <w:b w:val="false"/>
          <w:color w:val="000000"/>
          <w:sz w:val="24"/>
        </w:rPr>
        <w:t>Executive’s participation in all other benefits and incidents of employment, including, but not limited to, the accrual of bonuses, vacation and paid time off, and any additional 401(k) plan contributions, shall cease as of the Separation Date. Vested amounts payable to Executive under the Company’s 401(k) and other retirement plans or agreements shall be paid in accordance with the terms of such plans and agreements and applicable law. All payments hereunder shall be subject to applicable deductions and withholdings as required by applicable law.</w:t>
      </w:r>
    </w:p>
    <w:p>
      <w:pPr>
        <w:pStyle w:val="TextBody"/>
        <w:bidi w:val="0"/>
        <w:spacing w:lineRule="auto" w:line="240" w:before="0" w:after="24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Payment of Salary and Receipt of All Benefits.</w:t>
      </w:r>
      <w:r>
        <w:rPr>
          <w:color w:val="000000"/>
        </w:rPr>
        <w:t xml:space="preserve"> </w:t>
      </w:r>
      <w:r>
        <w:rPr>
          <w:rFonts w:ascii="Times New Roman;sans-serif" w:hAnsi="Times New Roman;sans-serif"/>
          <w:b w:val="false"/>
          <w:color w:val="000000"/>
          <w:sz w:val="24"/>
        </w:rPr>
        <w:t>Executive acknowledges and represents that, other than the consideration to be paid pursuant to this Agreement, Executive’s final regular pay on the Company’s next regularly scheduled payroll date after the Separation Date and payment for all unused and accrued vacation time as of the Separation Date (which shall be included in Executive’s final regular pay on the Company’s next regularly scheduled payroll date after the Separation Date, subject to applicable deductions and withholding), the Company has paid or provided all salary, wages, bonuses, accrued vacation/paid time off, premiums, leaves, reimbursable expenses, stock, vesting, shares pursuant to vested restricted stock units, and any and all other benefits and compensation due to Executive by the Company and its affiliates. To receive reimbursement for any final Company-related travel expenses, Executive must submit a final report of all such outstanding expenses within thirty (30) calendar days after the Separation Date, accompanied by receipts and otherwise subject to the Company’s expense reimbursement policy.</w:t>
      </w:r>
    </w:p>
    <w:p>
      <w:pPr>
        <w:pStyle w:val="TextBody"/>
        <w:bidi w:val="0"/>
        <w:spacing w:lineRule="auto" w:line="240" w:before="0" w:after="24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General Release of Claims.</w:t>
      </w:r>
      <w:r>
        <w:rPr>
          <w:color w:val="000000"/>
        </w:rPr>
        <w:t xml:space="preserve"> </w:t>
      </w:r>
      <w:r>
        <w:rPr>
          <w:rFonts w:ascii="Times New Roman;sans-serif" w:hAnsi="Times New Roman;sans-serif"/>
          <w:b w:val="false"/>
          <w:color w:val="000000"/>
          <w:sz w:val="24"/>
        </w:rPr>
        <w:t xml:space="preserve">In consideration of the payments to be made under this Agreement, which Executive acknowledges Executive would not otherwise be entitled to receive, Executive agrees that the foregoing consideration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presently known or unknown, suspected or unsuspected, that Executive may possess against any of the Releasees arising from any omissions, acts, failures to act, facts or damages that have occurred up until and including the date Executive executes this Agreement, including, without limitation:</w:t>
      </w:r>
    </w:p>
    <w:p>
      <w:pPr>
        <w:pStyle w:val="TextBody"/>
        <w:bidi w:val="0"/>
        <w:spacing w:lineRule="auto" w:line="240" w:before="0" w:after="2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any and all claims relating to or arising from Executive’s employment relationship with the Company and/or any of the Releasees and the termination of that relationship;</w:t>
      </w:r>
    </w:p>
    <w:p>
      <w:pPr>
        <w:pStyle w:val="TextBody"/>
        <w:bidi w:val="0"/>
        <w:spacing w:lineRule="auto" w:line="240" w:before="0" w:after="2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any and all claims relating to, or arising from, Executive’s right to purchase, or actual purchase of shares of stock of the Company and/or any of the Releasees, including, without limitation, any claims for fraud, misrepresentation, breach of fiduciary duty, breach of duty under applicable state corporate law, and securities fraud under any state or federal law;</w:t>
      </w:r>
    </w:p>
    <w:p>
      <w:pPr>
        <w:pStyle w:val="TextBody"/>
        <w:bidi w:val="0"/>
        <w:spacing w:lineRule="auto" w:line="240" w:before="0" w:after="2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40" w:before="0" w:after="2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any and all claims under any policy, agreement, understanding or promise, written or oral, formal or informal, between any Releasee and Executive existing as of the date hereof (whether or not known or arising before, on or after the date Executive executes this Agreement);</w:t>
      </w:r>
    </w:p>
    <w:p>
      <w:pPr>
        <w:pStyle w:val="TextBody"/>
        <w:bidi w:val="0"/>
        <w:spacing w:lineRule="auto" w:line="240" w:before="0" w:after="2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(“ADEA”);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pStyle w:val="TextBody"/>
        <w:bidi w:val="0"/>
        <w:spacing w:lineRule="auto" w:line="240" w:before="0" w:after="2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any and all claims for violation of the federal or any state constitution; </w:t>
      </w:r>
    </w:p>
    <w:p>
      <w:pPr>
        <w:pStyle w:val="TextBody"/>
        <w:bidi w:val="0"/>
        <w:spacing w:lineRule="auto" w:line="240" w:before="0" w:after="2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any and all claims arising out of any other laws and regulations relating to employment or employment discrimination;</w:t>
      </w:r>
    </w:p>
    <w:p>
      <w:pPr>
        <w:pStyle w:val="TextBody"/>
        <w:bidi w:val="0"/>
        <w:spacing w:lineRule="auto" w:line="240" w:before="0" w:after="2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any claim for any loss, cost, damage, or expense arising out of any dispute over the non-withholding or other tax treatment of any of the proceeds received by Executive as a result of this Agreement;</w:t>
      </w:r>
    </w:p>
    <w:p>
      <w:pPr>
        <w:pStyle w:val="TextBody"/>
        <w:bidi w:val="0"/>
        <w:spacing w:lineRule="auto" w:line="240" w:before="0" w:after="2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any and all claims for attorneys’ fees and costs; and </w:t>
      </w:r>
    </w:p>
    <w:p>
      <w:pPr>
        <w:pStyle w:val="TextBody"/>
        <w:bidi w:val="0"/>
        <w:spacing w:lineRule="auto" w:line="240" w:before="0" w:after="24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rPr>
        <w:t>any other claims whatsoever.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agrees that the Release set forth in this section shall be and remain in effect in all respects as a complete general release as to the matters released. This Release does not extend to any obligations incurred under this Agreement or any indemnification agreement between Executive and the Company or other indemnification rights of Executive, any claims accruing after the execution of this Agreement, or any rights Executive may have under any D&amp;O insurance policy maintained by the Company and/or any of the Releasees. This Release does not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release claims to enforce the terms of this Agreement (including but not limited to the payments and benefits set forth in Section 2 of this Agreement), and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and/or any of the Releasees); and Executive’s release of claims herein bars 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Section 4.</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Executive agrees that the consideration set forth in this Agreement is subject to Executive’s execution, not later than 21 days following the Separation Date, of this Release, and the non-revocation of the Release during the period specified therein. If Executive fails to execute and deliver the Release within 21 days following the Separation Date, or if Executive revokes the Release as provided therein, Executive shall forfeit his right to receive the compensation and benefits provided under this Agreement. In the event Executive signs this Agreement prior to the Separation Date, he will be required to execute an affirmation of the Release upon his Separation Date in the form attached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Acknowledgment that Waiver of Claims is Knowing and Voluntary.</w:t>
      </w:r>
      <w:r>
        <w:rPr>
          <w:color w:val="000000"/>
        </w:rPr>
        <w:t xml:space="preserve"> </w:t>
      </w:r>
      <w:r>
        <w:rPr>
          <w:rFonts w:ascii="Times New Roman;sans-serif" w:hAnsi="Times New Roman;sans-serif"/>
          <w:b w:val="false"/>
          <w:color w:val="000000"/>
          <w:sz w:val="24"/>
        </w:rPr>
        <w:t xml:space="preserve">Executive acknowledges that Executive is waiving and releasing any rights Executive may have under the ADEA and that the waiver and release is knowing and voluntary. Executive agrees that this waiver and release does not apply to any rights or claims that may arise under the ADEA after the date Executive executes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sans-serif" w:hAnsi="Times New Roman;sans-serif"/>
          <w:b w:val="false"/>
          <w:color w:val="000000"/>
          <w:sz w:val="24"/>
          <w:u w:val="single"/>
        </w:rPr>
        <w:t>prior</w:t>
      </w:r>
      <w:r>
        <w:rPr>
          <w:color w:val="000000"/>
        </w:rPr>
        <w:t xml:space="preserve"> </w:t>
      </w:r>
      <w:r>
        <w:rPr>
          <w:rFonts w:ascii="Times New Roman;sans-serif" w:hAnsi="Times New Roman;sans-serif"/>
          <w:b w:val="false"/>
          <w:color w:val="000000"/>
          <w:sz w:val="24"/>
        </w:rPr>
        <w:t>to executing this Agreement; (b)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(c) Executive has seven (7) days following the execution of this Release to revoke this Release and may do so by writing to the Company’s General Counsel; (d) this Release shall not be effective until after the revocation period has expired without revocation;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 in less than the 21-day period identified above, Executive hereby acknowledges that Executive has freely and voluntarily chosen to waive the time period allotted for considering this Release.</w:t>
      </w:r>
    </w:p>
    <w:p>
      <w:pPr>
        <w:pStyle w:val="TextBody"/>
        <w:bidi w:val="0"/>
        <w:spacing w:lineRule="auto" w:line="240" w:before="0" w:after="24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Unknown Claims.</w:t>
      </w:r>
      <w:r>
        <w:rPr>
          <w:color w:val="000000"/>
        </w:rPr>
        <w:t xml:space="preserve"> </w:t>
      </w:r>
      <w:r>
        <w:rPr>
          <w:rFonts w:ascii="Times New Roman;sans-serif" w:hAnsi="Times New Roman;sans-serif"/>
          <w:b w:val="false"/>
          <w:color w:val="000000"/>
          <w:sz w:val="24"/>
        </w:rPr>
        <w:t>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Executive’s settlement with the Releasee. Executive, being aware of said principle, agrees to expressly waive any rights Executive may have to that effect, as well as under any other statute or common law principles of similar effect.</w:t>
      </w:r>
    </w:p>
    <w:p>
      <w:pPr>
        <w:pStyle w:val="TextBody"/>
        <w:bidi w:val="0"/>
        <w:spacing w:lineRule="auto" w:line="240" w:before="0" w:after="24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Pending or Future Lawsuits.</w:t>
      </w:r>
      <w:r>
        <w:rPr>
          <w:color w:val="000000"/>
        </w:rPr>
        <w:t xml:space="preserve"> </w:t>
      </w:r>
      <w:r>
        <w:rPr>
          <w:rFonts w:ascii="Times New Roman;sans-serif" w:hAnsi="Times New Roman;sans-serif"/>
          <w:b w:val="false"/>
          <w:color w:val="000000"/>
          <w:sz w:val="24"/>
        </w:rPr>
        <w:t xml:space="preserve">Executive represents that Executive has no lawsuits, claims, or actions pending (directly or indirectly) in Executive’s name, or on behalf of any other person or entity, against the Company or any of the other Releasees. Executive also represents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that Executive does not intend to bring any claims (directly or indirectly) on Executive’s own behalf or on behalf of any other person or entity against the Company or any of the other Releasees.</w:t>
      </w:r>
    </w:p>
    <w:p>
      <w:pPr>
        <w:pStyle w:val="TextBody"/>
        <w:bidi w:val="0"/>
        <w:spacing w:lineRule="auto" w:line="240" w:before="0" w:after="24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Confidentiality.</w:t>
      </w:r>
      <w:r>
        <w:rPr>
          <w:color w:val="000000"/>
        </w:rPr>
        <w:t xml:space="preserve"> </w:t>
      </w:r>
      <w:r>
        <w:rPr>
          <w:rFonts w:ascii="Times New Roman;sans-serif" w:hAnsi="Times New Roman;sans-serif"/>
          <w:b w:val="false"/>
          <w:color w:val="000000"/>
          <w:sz w:val="24"/>
        </w:rPr>
        <w:t>Executive reaffirms and agrees to observe and abide by the “Agreement Relating to Patents, Copyrights, Inventions, Confidentiality and Proprietary Information” entered into between Executive and the Company and any and all amendments and supplements thereto (the “Confidentiality Agreement”). For the avoidance of doubt, Confidential Information thereunder includes, without limitation, information or materials regarding the Company’s plans, strategies, governance or operations, deliberations, including any discussions or deliberations relating thereto.</w:t>
      </w:r>
    </w:p>
    <w:p>
      <w:pPr>
        <w:pStyle w:val="TextBody"/>
        <w:bidi w:val="0"/>
        <w:spacing w:lineRule="auto" w:line="240" w:before="0" w:after="24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Existing Restrictive Covenants.</w:t>
      </w:r>
      <w:r>
        <w:rPr>
          <w:color w:val="000000"/>
        </w:rPr>
        <w:t xml:space="preserve"> </w:t>
      </w:r>
      <w:r>
        <w:rPr>
          <w:rFonts w:ascii="Times New Roman;sans-serif" w:hAnsi="Times New Roman;sans-serif"/>
          <w:b w:val="false"/>
          <w:color w:val="000000"/>
          <w:sz w:val="24"/>
        </w:rPr>
        <w:t xml:space="preserve">Executive acknowledges and agrees that he will remain subject to the restrictive covenants in his Transition and Succession Agreement with Mylan Inc. pursuant to their existing terms for the specified duration from the Separation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 in the event Executive requests a consent or waiver from such covenants, the Company will consider such request in good faith and such consent or waiver shall not be unreasonably withheld, conditioned or delayed and (ii) Executive shall be entitled to serve on the Board of Directors of other entities or to provide advisory or consulting services to other entities provided, in each case, that the Executive does not serve as an executive of any competitive entity during any period of restriction. </w:t>
      </w:r>
    </w:p>
    <w:p>
      <w:pPr>
        <w:pStyle w:val="TextBody"/>
        <w:bidi w:val="0"/>
        <w:spacing w:lineRule="auto" w:line="240" w:before="0" w:after="24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 xml:space="preserve">Trade Secrets and Confidential Information/Company Property/Inquiries. </w:t>
      </w:r>
      <w:r>
        <w:rPr>
          <w:rFonts w:ascii="Times New Roman;sans-serif" w:hAnsi="Times New Roman;sans-serif"/>
          <w:b w:val="false"/>
          <w:color w:val="000000"/>
          <w:sz w:val="24"/>
        </w:rPr>
        <w:t>Executive’s signature below constitutes Executive’s representation that as of the Separation Date, Executive shall (a) remove from any and all devices, records, files, folders, cameras, media, internet sites, electronic or digital devices, and any and all other sources, all documents, tapes, photographs, recordings, images, reproductions, electronic files and other items provided to Executive by the Company and/or any of the Releasees, developed or obtained by Executive in connection with Executive’s employment with the Company, or otherwise belonging to the Company and/or any of the Releasees, and (b) return all documents, tapes, photographs, recordings, images, reproductions, electronic files and other items provided to Executive by the Company, developed or obtained by Executive in connection with Executive’s employment with the Company, or otherwise belonging to the Company, including but not limited to any personal computer(s), BlackBerry, iPhone, iPad, tapes, photographs, recordings, images, reproductions, electronic files and other items. Executive further represents that Executive shall not misuse or disclose any of the Company’s and/or any of the Releasees’ confidential, proprietary or trade secret information to any third party other than good faith disclosure to a law enforcement or authorized regulatory agency of the United States Government or any state or local government. In addition, Executive shall abide by the Company’s external communication policy, such that in the event Executive receives any media, financial community or other third-party inquiries regarding the Company, except as provided in this Section 11 and Section 12 of this Agreement, Executive shall not respond (nor shall Executive initiate any such contact) and shall promptly notify the Company’s Global Public Affairs Department at 724.514.1968 or gpa@viatris.com, or any successor department. Pursuant to the Defend Trade Secrets Act of 2016, Executive is hereby notified that an individual may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Limits on Cooperation; Compliance.</w:t>
      </w:r>
      <w:r>
        <w:rPr>
          <w:color w:val="000000"/>
        </w:rPr>
        <w:t xml:space="preserve"> </w:t>
      </w:r>
      <w:r>
        <w:rPr>
          <w:rFonts w:ascii="Times New Roman;sans-serif" w:hAnsi="Times New Roman;sans-serif"/>
          <w:b w:val="false"/>
          <w:color w:val="000000"/>
          <w:sz w:val="24"/>
        </w:rPr>
        <w:t xml:space="preserve">Executive agrees that Executive shall not knowingly encourage, counsel or assist any attorneys or their clients in the presentation or prosecution of any disputes, differences, grievances, claims, charges or complaints by any third party, against any of the Releasees, other than good faith assistance to a law enforcement or authorized regulatory agency of the United States Government or any state or local government. Executive may, however, respond to a lawful subpoena or other court order to do so or as related directly to the ADEA waiver in this Agreement or as otherwise required by law. Executive agrees both to promptly notify the Company upon receipt of any such subpoena or court order, and to furnish, within three (3) business days of its receipt, a copy of such subpoena or other court order. If approached by anyone, other than a law enforcement or authorized regulatory agency of the United States Government or any state or local government, for counsel or assistance in the presentation or prosecution of any disputes, differences, grievances, claims, charges or complaints against any of the Releasees, Executive shall state no more than that Executive cannot provide counsel or assistance. If approached for counsel or assistance as aforementioned, whether by private parties or law enforcement or regulatory agencies, Executive shall promptly notify the Company of such an occurrence, and provide information to the Company regarding any such communication. While Executive may respond in good faith to lawful inquiries by law enforcement or regulatory agencies, Executive shall notify any such agencies of Executive’s obligations with respect to confidentiality under this Agreement, the Confidentiality Agreement, and any other applicable agreements, and Executive shall continue to honor such obligations in the course of responding to law enforcement or regulatory agency inquiries, as lawfully permitted. Executive understands that nothing contained in this Agreement limits Executive’s ability to file a charge or complaint with the Securities and Exchange Commission (the “SEC”) pursuant to Section 21F of the Securities Exchange Act of 1934, as amended, limits Executive’s ability to communicate with the SEC pursuant to such provision or limits Executive’s right to receive an award for information provided to the SEC pursuant to such provision. Furthermore, Executive hereby represents that Executive is not aware of any violation of any law, Company policy or the Company’s Code of Conduct in any event which could cause harm (financial or otherwise) to the Company or any of its subsidiaries, parents or affiliates or their respective properties, shareholders, employees or prospects, other than matters which Executive has previously reported to the Office of Global Compliance, the Viatris Legal Department or any successor department. </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shall use Executive’s reasonable best efforts to consult with the Company and respond at reasonable times or intervals to the Company’s reasonable requests for information or follow-up assistance pertaining to work Executive performed, directed or oversaw on behalf of the Company and/or any subsidiary or affiliate, or other matters in which Executive was involved or of which Executive was otherwise aware. Executive’s obligations hereunder shall include without limitation Executive’s response to requests of legal counsel for the Company and/or any subsidiary or affiliate regarding any legal matters or proceedings of any kind currently pending or which may arise after the Separation Date. The Company will reimburse Executive for any expenses incurred by Executive in connection with such requests or assistance if approved by the Company’s Legal Department and supported by required documentation. No payment made to Executive hereunder is intended to be or shall be interpreted as a payment for testimony in any legal matter. Executive understands that Executive is to provide Executive’s good faith assistance, and agrees to provide truthful responses to any requests for information or testimony. For the avoidance of doubt, Executive shall remain entitled to indemnification from the Company pursuant to any indemnification agreement between Executive and the Company or charter or by-law provision, in each case, pursuant to the terms thereof. </w:t>
      </w:r>
    </w:p>
    <w:p>
      <w:pPr>
        <w:pStyle w:val="TextBody"/>
        <w:bidi w:val="0"/>
        <w:spacing w:lineRule="auto" w:line="240" w:before="0" w:after="24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Mutual Non-Disparagement.</w:t>
      </w:r>
      <w:r>
        <w:rPr>
          <w:color w:val="000000"/>
        </w:rPr>
        <w:t xml:space="preserve"> </w:t>
      </w:r>
      <w:r>
        <w:rPr>
          <w:rFonts w:ascii="Times New Roman;sans-serif" w:hAnsi="Times New Roman;sans-serif"/>
          <w:b w:val="false"/>
          <w:color w:val="000000"/>
          <w:sz w:val="24"/>
        </w:rPr>
        <w:t xml:space="preserve">Executive agrees to refrain from any disparaging statements, including but not limited to statements that amount to libel or slander, about the Company, its direct and indirect parents, subsidiaries or affiliated companies, and/or any of its or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their current or former employees, officers or directors, and/or any of the other Releasees including, without limitation, the business, products, governance, intellectual property, financial standing, future prospects or other employment, compensation, benefit or personnel practices of the Company and/or any of the Releasees. Executive further agrees to refrain from any disparaging statements, including but not limited to libel or slander, about any of the Releasees that pertain to any personal or confidential matters that may cause embarrassment to any of the Releasees or may result in any adverse effect on the professional or personal reputation of any of the Releasees. The foregoing restrictions shall not apply to any testimony that Executive is compelled by law to give (whether written or verbal). The Company agrees to instruct its executive officers to refrain from any disparaging statements, including but not limited to libel or slander, about Executive that pertain to any personal or confidential matters that may cause embarrassment to Executive or may result in any adverse effect on the professional or personal reputation of Executive. The foregoing restrictions shall not apply to any testimony that any executive officer of the Company is compelled to give by law (whether written or verbal). </w:t>
      </w:r>
    </w:p>
    <w:p>
      <w:pPr>
        <w:pStyle w:val="TextBody"/>
        <w:bidi w:val="0"/>
        <w:spacing w:lineRule="auto" w:line="240" w:before="0" w:after="24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Material Breach of Agreement.</w:t>
      </w:r>
      <w:r>
        <w:rPr>
          <w:color w:val="000000"/>
        </w:rPr>
        <w:t xml:space="preserve"> </w:t>
      </w:r>
      <w:r>
        <w:rPr>
          <w:rFonts w:ascii="Times New Roman;sans-serif" w:hAnsi="Times New Roman;sans-serif"/>
          <w:b w:val="false"/>
          <w:color w:val="000000"/>
          <w:sz w:val="24"/>
        </w:rPr>
        <w:t>In addition to the rights provided in Section 22 below, if Executive commits a material breach of this Agreement, which shall include, without limitation, any breach of Sections 8, 9, 10, 11 and 12 of this Agreement and any breach of the Confidentiality Agreement, the Company shall be entitled to immediately recover and/or cease providing the payments and consideration provided to Executive under this Agreement (including, for the avoidance of doubt, canceling any equity awards Executive holds) and to obtain damages, except as provided by law.</w:t>
      </w:r>
    </w:p>
    <w:p>
      <w:pPr>
        <w:pStyle w:val="TextBody"/>
        <w:bidi w:val="0"/>
        <w:spacing w:lineRule="auto" w:line="240" w:before="0" w:after="24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No Admission of Liability/Compromise.</w:t>
      </w:r>
      <w:r>
        <w:rPr>
          <w:color w:val="000000"/>
        </w:rPr>
        <w:t xml:space="preserve"> </w:t>
      </w:r>
      <w:r>
        <w:rPr>
          <w:rFonts w:ascii="Times New Roman;sans-serif" w:hAnsi="Times New Roman;sans-serif"/>
          <w:b w:val="false"/>
          <w:color w:val="000000"/>
          <w:sz w:val="24"/>
        </w:rPr>
        <w:t>No action taken by the Company and/or any of the Releasees, either previously or in connection with this Agreement, shall be deemed or construed to be (a) an admission of the truth or falsity of any actual or potential claims or (b) an acknowledgment or admission by the Company and/or any of the Releasees of any fault or liability.</w:t>
      </w:r>
    </w:p>
    <w:p>
      <w:pPr>
        <w:pStyle w:val="TextBody"/>
        <w:bidi w:val="0"/>
        <w:spacing w:lineRule="auto" w:line="240" w:before="0" w:after="24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Costs.</w:t>
      </w:r>
      <w:r>
        <w:rPr>
          <w:color w:val="000000"/>
        </w:rPr>
        <w:t xml:space="preserve"> </w:t>
      </w:r>
      <w:r>
        <w:rPr>
          <w:rFonts w:ascii="Times New Roman;sans-serif" w:hAnsi="Times New Roman;sans-serif"/>
          <w:b w:val="false"/>
          <w:color w:val="000000"/>
          <w:sz w:val="24"/>
        </w:rPr>
        <w:t>The Parties shall each bear their own costs, attorneys’ fees and other fees incurred in connection with the preparation of this Agreement.</w:t>
      </w:r>
    </w:p>
    <w:p>
      <w:pPr>
        <w:pStyle w:val="TextBody"/>
        <w:bidi w:val="0"/>
        <w:spacing w:lineRule="auto" w:line="240" w:before="0" w:after="24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Choice of Law and Forum.</w:t>
      </w:r>
      <w:r>
        <w:rPr>
          <w:color w:val="000000"/>
        </w:rPr>
        <w:t xml:space="preserve"> </w:t>
      </w:r>
      <w:r>
        <w:rPr>
          <w:rFonts w:ascii="Times New Roman;sans-serif" w:hAnsi="Times New Roman;sans-serif"/>
          <w:b w:val="false"/>
          <w:color w:val="000000"/>
          <w:sz w:val="24"/>
        </w:rPr>
        <w:t xml:space="preserve">This Agreement shall be construed and enforced according to, and the rights and obligations of the parties shall be governed in all respects by, the laws of the Commonwealth of Pennsylvania without reference to the principles of conflicts of law thereof. Any controversy, dispute or claim arising out of or relating to this Agreement, or the breach hereof, including a claim for injunctive relief, or any claim which in any way arises out of or relates to Executive’s employment with the Company or separation from said employment (whether such dispute arises under any federal, state or local statute or regulation, or at common law), including but not limited to statutory claims for discrimination, shall be resolved by arbitration in accordance with the then-current rules of the American Arbitration Association respecting employment disputes pertaining at the time the dispute arises;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either party may seek an injunction in aid of arbitration with respect to enforcement of Sections 8, 9, 10, 11 and/or 12 of this Agreement from any court of competent jurisdiction. The Parties agree that the hearing of any such dispute shall be held in Pennsylvania. The decision of the arbitrator(s) shall be final and binding on all parties and any award rendered shall be enforceable upon confirmation by a court of competent jurisdiction. Any arbitration proceedings, decision or award rendered hereunder, and the validity, effect and interpretation of this arbitration provision shall be governed by the Federal Arbitration Act, 9 U.S.C. § 1 </w:t>
      </w:r>
      <w:r>
        <w:rPr>
          <w:rFonts w:ascii="Times New Roman;sans-serif" w:hAnsi="Times New Roman;sans-serif"/>
          <w:b w:val="false"/>
          <w:i/>
          <w:color w:val="000000"/>
          <w:sz w:val="24"/>
        </w:rPr>
        <w:t>et seq</w:t>
      </w:r>
      <w:r>
        <w:rPr>
          <w:rFonts w:ascii="Times New Roman;sans-serif" w:hAnsi="Times New Roman;sans-serif"/>
          <w:b w:val="false"/>
          <w:color w:val="000000"/>
          <w:sz w:val="24"/>
        </w:rPr>
        <w:t>. Executive and the Company expressly consent to the jurisdiction of any such arbitrator over them.</w:t>
      </w:r>
    </w:p>
    <w:p>
      <w:pPr>
        <w:pStyle w:val="TextBody"/>
        <w:bidi w:val="0"/>
        <w:spacing w:lineRule="auto" w:line="240" w:before="0" w:after="24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Tax Consequences.</w:t>
      </w:r>
      <w:r>
        <w:rPr>
          <w:color w:val="000000"/>
        </w:rPr>
        <w:t xml:space="preserve"> </w:t>
      </w:r>
      <w:r>
        <w:rPr>
          <w:rFonts w:ascii="Times New Roman;sans-serif" w:hAnsi="Times New Roman;sans-serif"/>
          <w:b w:val="false"/>
          <w:color w:val="000000"/>
          <w:sz w:val="24"/>
        </w:rPr>
        <w:t xml:space="preserve">The Company makes no representations or warranties with respect to the tax consequences of the payments and any other consideration provided to Executive or made on Executive’s behalf under the terms of this Agreement. Executive agrees and understands that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is responsible for payment, if any, of local, state and/or federal taxes on the payments and any other consideration provided hereunder by the Company and any penalties or assessments thereon.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The intent of the parties is that payments and benefits under this Agreement comply with Section 409A of the Internal Revenue Code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Executive shall not be considered to have terminated employment with the Company for purposes of this Agreement and no payments shall be due to Executive under Section 2 of this Agreement until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Section 2 that are due within the “short term deferral period” as defined in Section 409A of the Code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in a lump sum on the first regularly scheduled Company payroll date occurring after the six-month anniversary of the Separation Date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w:t>
      </w:r>
    </w:p>
    <w:p>
      <w:pPr>
        <w:pStyle w:val="TextBody"/>
        <w:bidi w:val="0"/>
        <w:spacing w:lineRule="auto" w:line="240" w:before="0" w:after="24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Authority.</w:t>
      </w:r>
      <w:r>
        <w:rPr>
          <w:color w:val="000000"/>
        </w:rPr>
        <w:t xml:space="preserve"> </w:t>
      </w:r>
      <w:r>
        <w:rPr>
          <w:rFonts w:ascii="Times New Roman;sans-serif" w:hAnsi="Times New Roman;sans-serif"/>
          <w:b w:val="false"/>
          <w:color w:val="000000"/>
          <w:sz w:val="24"/>
        </w:rPr>
        <w:t>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lineRule="auto" w:line="240" w:before="0" w:after="24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No Representations.</w:t>
      </w:r>
      <w:r>
        <w:rPr>
          <w:color w:val="000000"/>
        </w:rPr>
        <w:t xml:space="preserve"> </w:t>
      </w:r>
      <w:r>
        <w:rPr>
          <w:rFonts w:ascii="Times New Roman;sans-serif" w:hAnsi="Times New Roman;sans-serif"/>
          <w:b w:val="false"/>
          <w:color w:val="000000"/>
          <w:sz w:val="24"/>
        </w:rPr>
        <w:t>Executive represents that Executive has had an opportunity to consult with an attorney and has carefully read and understands the scope and effect of the provisions of this Agreement. Executive has not relied upon any representations or statements made by the Company that are not specifically set forth in this Agreement.</w:t>
      </w:r>
    </w:p>
    <w:p>
      <w:pPr>
        <w:pStyle w:val="TextBody"/>
        <w:bidi w:val="0"/>
        <w:spacing w:lineRule="auto" w:line="240" w:before="0" w:after="240"/>
        <w:jc w:val="left"/>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Severability.</w:t>
      </w:r>
      <w:r>
        <w:rPr>
          <w:color w:val="000000"/>
        </w:rPr>
        <w:t xml:space="preserve"> </w:t>
      </w:r>
      <w:r>
        <w:rPr>
          <w:rFonts w:ascii="Times New Roman;sans-serif" w:hAnsi="Times New Roman;sans-serif"/>
          <w:b w:val="false"/>
          <w:color w:val="000000"/>
          <w:sz w:val="24"/>
        </w:rPr>
        <w:t>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lineRule="auto" w:line="240" w:before="0" w:after="240"/>
        <w:jc w:val="left"/>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Attorneys’ Fees.</w:t>
      </w:r>
      <w:r>
        <w:rPr>
          <w:color w:val="000000"/>
        </w:rPr>
        <w:t xml:space="preserve"> </w:t>
      </w:r>
      <w:r>
        <w:rPr>
          <w:rFonts w:ascii="Times New Roman;sans-serif" w:hAnsi="Times New Roman;sans-serif"/>
          <w:b w:val="false"/>
          <w:color w:val="000000"/>
          <w:sz w:val="24"/>
        </w:rPr>
        <w:t xml:space="preserve">Except with regard to a legal action challenging or seeking a determination in good faith of the validity of the waiver herein under the ADEA or otherwise prohibited by law, in the event that either Party brings an action to enforce or effect its rights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under this Agreement, the prevailing Party shall be entitled to recover its costs and expenses, including the costs of mediation, arbitration, litigation, court fees and reasonable attorneys’ fees incurred in connection with such an action. Such costs and expenses shall be paid to the prevailing party as soon as practicable after the legal action is resolved and in no event later than March 15 of the year following resolution of the legal action.</w:t>
      </w:r>
    </w:p>
    <w:p>
      <w:pPr>
        <w:pStyle w:val="TextBody"/>
        <w:bidi w:val="0"/>
        <w:spacing w:lineRule="auto" w:line="240" w:before="0" w:after="240"/>
        <w:jc w:val="left"/>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Entire Agreement.</w:t>
      </w:r>
      <w:r>
        <w:rPr>
          <w:color w:val="000000"/>
        </w:rPr>
        <w:t xml:space="preserve"> </w:t>
      </w:r>
      <w:r>
        <w:rPr>
          <w:rFonts w:ascii="Times New Roman;sans-serif" w:hAnsi="Times New Roman;sans-serif"/>
          <w:b w:val="false"/>
          <w:color w:val="000000"/>
          <w:sz w:val="24"/>
        </w:rPr>
        <w:t>This Agreement and the Confidentiality Agreement (as amended by this Agreement) represent the entire agreement and understanding between the Company and Executive concerning the subject matter of this Agreement and Executive’s employment with and separation from the Company and the events leading thereto and associated therewith, and supersede and replace any and all prior negotiations, representations, agreements and understandings concerning the subject matter of such agreements, Executive’s relationship with the Company and Executive’s obligations following employment with the Company.</w:t>
      </w:r>
    </w:p>
    <w:p>
      <w:pPr>
        <w:pStyle w:val="TextBody"/>
        <w:bidi w:val="0"/>
        <w:spacing w:lineRule="auto" w:line="240" w:before="0" w:after="240"/>
        <w:jc w:val="left"/>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No Oral Modification.</w:t>
      </w:r>
      <w:r>
        <w:rPr>
          <w:color w:val="000000"/>
        </w:rPr>
        <w:t xml:space="preserve"> </w:t>
      </w:r>
      <w:r>
        <w:rPr>
          <w:rFonts w:ascii="Times New Roman;sans-serif" w:hAnsi="Times New Roman;sans-serif"/>
          <w:b w:val="false"/>
          <w:color w:val="000000"/>
          <w:sz w:val="24"/>
        </w:rPr>
        <w:t>This Agreement may only be amended in a writing signed by Executive and the Company.</w:t>
      </w:r>
    </w:p>
    <w:p>
      <w:pPr>
        <w:pStyle w:val="TextBody"/>
        <w:bidi w:val="0"/>
        <w:spacing w:lineRule="auto" w:line="240" w:before="0" w:after="240"/>
        <w:jc w:val="left"/>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Governing Law.</w:t>
      </w:r>
      <w:r>
        <w:rPr>
          <w:color w:val="000000"/>
        </w:rPr>
        <w:t xml:space="preserve"> </w:t>
      </w:r>
      <w:r>
        <w:rPr>
          <w:rFonts w:ascii="Times New Roman;sans-serif" w:hAnsi="Times New Roman;sans-serif"/>
          <w:b w:val="false"/>
          <w:color w:val="000000"/>
          <w:sz w:val="24"/>
        </w:rPr>
        <w:t>The laws of the Commonwealth of Pennsylvania govern this Agreement, without regard for choice-of-law provisions. Executive consents to personal and exclusive jurisdiction and venue in the Commonwealth of Pennsylvania.</w:t>
      </w:r>
    </w:p>
    <w:p>
      <w:pPr>
        <w:pStyle w:val="TextBody"/>
        <w:bidi w:val="0"/>
        <w:spacing w:lineRule="auto" w:line="240" w:before="0" w:after="240"/>
        <w:jc w:val="left"/>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 xml:space="preserve">This Agreement shall become immediately effective upon Executive’s execution and delivery of this Agreement to the Company;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Executive fails to comply with this Agreement (including the execution and non-revocation of the Release pursuant to Sections 4 and 5), Executive shall not receive the amounts or benefits set forth in Section 2, and this Agreement shall never go into effect. </w:t>
      </w:r>
    </w:p>
    <w:p>
      <w:pPr>
        <w:pStyle w:val="TextBody"/>
        <w:bidi w:val="0"/>
        <w:spacing w:lineRule="auto" w:line="240" w:before="0" w:after="240"/>
        <w:jc w:val="left"/>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Counterparts.</w:t>
      </w:r>
      <w:r>
        <w:rPr>
          <w:color w:val="000000"/>
        </w:rPr>
        <w:t xml:space="preserve"> </w:t>
      </w:r>
      <w:r>
        <w:rPr>
          <w:rFonts w:ascii="Times New Roman;sans-serif" w:hAnsi="Times New Roman;sans-serif"/>
          <w:b w:val="false"/>
          <w:color w:val="000000"/>
          <w:sz w:val="24"/>
        </w:rPr>
        <w:t>This Agreement may be executed in counterparts and by facsimile, and each counterpart and facsimile shall have the same force and effect as an original and shall constitute an effective, binding agreement on the part of each of the undersigned.</w:t>
      </w:r>
    </w:p>
    <w:p>
      <w:pPr>
        <w:pStyle w:val="TextBody"/>
        <w:bidi w:val="0"/>
        <w:spacing w:lineRule="auto" w:line="240" w:before="0" w:after="240"/>
        <w:jc w:val="left"/>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Voluntary Execution of Agreement.</w:t>
      </w:r>
      <w:r>
        <w:rPr>
          <w:color w:val="000000"/>
        </w:rPr>
        <w:t xml:space="preserve"> </w:t>
      </w:r>
      <w:r>
        <w:rPr>
          <w:rFonts w:ascii="Times New Roman;sans-serif" w:hAnsi="Times New Roman;sans-serif"/>
          <w:b w:val="false"/>
          <w:color w:val="000000"/>
          <w:sz w:val="24"/>
        </w:rPr>
        <w:t>Executive understands and agrees that Executive executed this Agreement voluntarily, without any duress or undue influence on the part or behalf of the Company and/or any of the Releasees or any third party, with the full intent of releasing all of Executive’s claims against the Company and any of the other Releasees. Executive acknowledges that: (a) Executive has read this Agreement; (b) Executive has been represented in the preparation, negotiation and execution of this Agreement by legal counsel of Executive’s own choice or has elected not to retain legal counsel; (c) Executive understands the terms and consequences of this Agreement and of the releases it contains; (d) Executive is fully aware of the legal and binding effect of this Agreement and (e) Executive has been given the toll-free telephone number of the Pennsylvania Bar Association to help Executive identify a qualified lawyer (800-692-7375).</w:t>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left"/>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on the respective dates set forth below.</w:t>
      </w:r>
    </w:p>
    <w:tbl>
      <w:tblPr>
        <w:tblW w:w="5235" w:type="dxa"/>
        <w:jc w:val="left"/>
        <w:tblInd w:w="0" w:type="dxa"/>
        <w:tblLayout w:type="fixed"/>
        <w:tblCellMar>
          <w:top w:w="28" w:type="dxa"/>
          <w:left w:w="28" w:type="dxa"/>
          <w:bottom w:w="28" w:type="dxa"/>
          <w:right w:w="28" w:type="dxa"/>
        </w:tblCellMar>
      </w:tblPr>
      <w:tblGrid>
        <w:gridCol w:w="896"/>
        <w:gridCol w:w="787"/>
        <w:gridCol w:w="791"/>
        <w:gridCol w:w="130"/>
        <w:gridCol w:w="130"/>
        <w:gridCol w:w="131"/>
        <w:gridCol w:w="692"/>
        <w:gridCol w:w="692"/>
        <w:gridCol w:w="98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October 20, 2023</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Anthony Mauro</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Anthony Mauro</w:t>
            </w:r>
          </w:p>
        </w:tc>
      </w:tr>
    </w:tbl>
    <w:p>
      <w:pPr>
        <w:pStyle w:val="TextBody"/>
        <w:bidi w:val="0"/>
        <w:spacing w:before="0" w:after="240"/>
        <w:jc w:val="left"/>
        <w:rPr/>
      </w:pPr>
      <w:r>
        <w:rPr/>
      </w:r>
    </w:p>
    <w:tbl>
      <w:tblPr>
        <w:tblW w:w="7046" w:type="dxa"/>
        <w:jc w:val="left"/>
        <w:tblInd w:w="0" w:type="dxa"/>
        <w:tblLayout w:type="fixed"/>
        <w:tblCellMar>
          <w:top w:w="28" w:type="dxa"/>
          <w:left w:w="28" w:type="dxa"/>
          <w:bottom w:w="28" w:type="dxa"/>
          <w:right w:w="28" w:type="dxa"/>
        </w:tblCellMar>
      </w:tblPr>
      <w:tblGrid>
        <w:gridCol w:w="896"/>
        <w:gridCol w:w="787"/>
        <w:gridCol w:w="791"/>
        <w:gridCol w:w="181"/>
        <w:gridCol w:w="181"/>
        <w:gridCol w:w="181"/>
        <w:gridCol w:w="303"/>
        <w:gridCol w:w="303"/>
        <w:gridCol w:w="303"/>
        <w:gridCol w:w="912"/>
        <w:gridCol w:w="912"/>
        <w:gridCol w:w="129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INC.:</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October 20, 2023</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Andrew Enrietti</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Andrew Enrietti</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Human Relations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Second Release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release (this “Second Release”) is delivered by Anthony Mauro (“Executive”) as of the date set forth below in connection with the Separation Agreement and Release between Executive and Viatris Inc. (together with its affiliates, the “Company”), dated as of October 20, 2023 (the “Separation Agreement and Release”), and in connection with Executive’s separation from employment with the Company. Capitalized terms used but not defined herein shall have the meaning ascribed to them in the Separation Agreement and Release.</w:t>
      </w:r>
    </w:p>
    <w:p>
      <w:pPr>
        <w:pStyle w:val="TextBody"/>
        <w:bidi w:val="0"/>
        <w:spacing w:lineRule="auto" w:line="240" w:before="0" w:after="24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rPr>
        <w:t>In consideration of the payments to be made under the Separation Agreement and Release, which Executive acknowledges Executive would not otherwise be entitled to receive, Executive agrees that the consideration provided under the Separation Agreement and Release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Executive may possess against any of the Releasees arising from any omissions, acts, failures to act, facts, or damages that have occurred up until and including the date Executive executes this Second Release, including, without limitation:</w:t>
      </w:r>
    </w:p>
    <w:p>
      <w:pPr>
        <w:pStyle w:val="TextBody"/>
        <w:bidi w:val="0"/>
        <w:spacing w:lineRule="auto" w:line="240" w:before="0" w:after="2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any and all claims relating to or arising from Executive’s employment relationship with the Company and/or any of the Releasees and the termination of that relationship;</w:t>
      </w:r>
    </w:p>
    <w:p>
      <w:pPr>
        <w:pStyle w:val="TextBody"/>
        <w:bidi w:val="0"/>
        <w:spacing w:lineRule="auto" w:line="240" w:before="0" w:after="2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any and all claims relating to, or arising from, Executive’s right to purchase, or actual purchase of shares of stock of the Company and/or any of the Releasees, including, without limitation, any claims for fraud, misrepresentation, breach of fiduciary duty, breach of duty under applicable state corporate law, and securities fraud under any state or federal law;</w:t>
      </w:r>
    </w:p>
    <w:p>
      <w:pPr>
        <w:pStyle w:val="TextBody"/>
        <w:bidi w:val="0"/>
        <w:spacing w:lineRule="auto" w:line="240" w:before="0" w:after="2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40" w:before="0" w:after="2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any and all claims under any policy, agreement, understanding or promise, written or oral, formal or informal, between any Releasee and Executive existing as of the date hereof (whether or not known or arising before, on or after the date Executive executes this Second Release);</w:t>
      </w:r>
    </w:p>
    <w:p>
      <w:pPr>
        <w:pStyle w:val="TextBody"/>
        <w:bidi w:val="0"/>
        <w:spacing w:lineRule="auto" w:line="240" w:before="0" w:after="2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Medical Leave Act; the Sarbanes-Oxley Act of 2002; the laws and Constitution of the Commonwealth of Pennsylvania, each as amended, or any other federal, state or local law, regulation ordinance or common law;</w:t>
      </w:r>
    </w:p>
    <w:p>
      <w:pPr>
        <w:pStyle w:val="TextBody"/>
        <w:bidi w:val="0"/>
        <w:spacing w:lineRule="auto" w:line="240" w:before="0" w:after="2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any and all claims for violation of the federal or any state constitution; </w:t>
      </w:r>
    </w:p>
    <w:p>
      <w:pPr>
        <w:pStyle w:val="TextBody"/>
        <w:bidi w:val="0"/>
        <w:spacing w:lineRule="auto" w:line="240" w:before="0" w:after="2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any and all claims arising out of any other laws and regulations relating to employment or employment discrimination;</w:t>
      </w:r>
    </w:p>
    <w:p>
      <w:pPr>
        <w:pStyle w:val="TextBody"/>
        <w:bidi w:val="0"/>
        <w:spacing w:lineRule="auto" w:line="240" w:before="0" w:after="2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any claim for any loss, cost, damage, or expense arising out of any dispute over the non-withholding or other tax treatment of any of the proceeds received by Executive as a result of the Separation Agreement and Release;</w:t>
      </w:r>
    </w:p>
    <w:p>
      <w:pPr>
        <w:pStyle w:val="TextBody"/>
        <w:bidi w:val="0"/>
        <w:spacing w:lineRule="auto" w:line="240" w:before="0" w:after="2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any and all claims for attorneys’ fees and costs; and </w:t>
      </w:r>
    </w:p>
    <w:p>
      <w:pPr>
        <w:pStyle w:val="TextBody"/>
        <w:bidi w:val="0"/>
        <w:spacing w:lineRule="auto" w:line="240" w:before="0" w:after="24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rPr>
        <w:t>any other claims whatsoever.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Executive agrees that this Second Release shall be and remain in effect in all respects as a complete general release as to the matters released. This Second Release does not extend to any obligations incurred under the Separation Agreement and Release, any claims accruing after the execution of the Separation Agreement and Release, any rights Executive may have under any indemnification agreements or policies of the Company, or any D&amp;O insurance policy maintained by the Company and/or any of the Releasees. This Second Release does not release claims under the Separation Agreement and Release (including the payments and benefits set forth in Section 2 thereof), and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and/or any of the Releasees; and Executive’s release of claims herein bars 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Second Release.</w:t>
      </w:r>
    </w:p>
    <w:p>
      <w:pPr>
        <w:pStyle w:val="TextBody"/>
        <w:bidi w:val="0"/>
        <w:spacing w:lineRule="auto" w:line="240" w:before="0" w:after="24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Executive acknowledges that Executive is waiving and releasing any rights Executive may have under the Age Discrimination in Employment Act of 1967 (“ADEA”) and that this Second Release is knowing and voluntary. Executive agrees that this Second Release does not apply to any rights or claims that may arise under the ADEA after the date Executive executes this Second Release. Executive acknowledges that the consideration given for this Second Release is in addition to anything of value to which Executive was already entitled. Executive further acknowledges that Executive has been advised by this writing that: (a) Executive should consult with an attorney </w:t>
      </w:r>
      <w:r>
        <w:rPr>
          <w:rFonts w:ascii="Times New Roman;sans-serif" w:hAnsi="Times New Roman;sans-serif"/>
          <w:b w:val="false"/>
          <w:color w:val="000000"/>
          <w:sz w:val="24"/>
          <w:u w:val="single"/>
        </w:rPr>
        <w:t>prior</w:t>
      </w:r>
      <w:r>
        <w:rPr>
          <w:color w:val="000000"/>
        </w:rPr>
        <w:t xml:space="preserve"> </w:t>
      </w:r>
      <w:r>
        <w:rPr>
          <w:rFonts w:ascii="Times New Roman;sans-serif" w:hAnsi="Times New Roman;sans-serif"/>
          <w:b w:val="false"/>
          <w:color w:val="000000"/>
          <w:sz w:val="24"/>
        </w:rPr>
        <w:t>to executing this Second Release; (b) Executive has twenty-one (21) days within which to consider this Second Release; (c) Executive has seven (7) days following the execution of this Second Release to revoke this Second Release and may do so by writing to the Company’s General Counsel; (d) this Second Release shall not be effective until after the revocation period has expired without revocation; and (e) nothing in this Second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Second Release and returns it to the Company in less than the 21-day period identified above, Executive hereby acknowledges that Executive has freely and voluntarily chosen to waive the time period allotted for considering this Second Release.</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rPr>
        <w:t>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Executive’s settlement with the Releasee. Executive, being aware of said principle, agrees to expressly waive any rights Executive may have to that effect, as well as under any other statute or common law principles of similar effect.</w:t>
      </w:r>
    </w:p>
    <w:p>
      <w:pPr>
        <w:pStyle w:val="TextBody"/>
        <w:bidi w:val="0"/>
        <w:spacing w:lineRule="auto" w:line="240" w:before="0" w:after="24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rPr>
        <w:t>Executive hereby acknowledges and agrees that the covenant with respect to pending or future lawsuits set forth in Section 7 of the Separation Agreement and Release applies to all claims released pursuant to this Second Release.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I HAVE READ, UNDERSTAND, AND VOLUNTARILY AGREE TO THE TERMS OF THIS RELEASE.</w:t>
      </w:r>
    </w:p>
    <w:p>
      <w:pPr>
        <w:pStyle w:val="TextBody"/>
        <w:bidi w:val="0"/>
        <w:spacing w:before="0" w:after="24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____________________________         DATE: ___________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Anthony Mauro</w:t>
      </w:r>
    </w:p>
    <w:p>
      <w:pPr>
        <w:pStyle w:val="TextBody"/>
        <w:bidi w:val="0"/>
        <w:spacing w:before="0" w:after="240"/>
        <w:jc w:val="left"/>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10.16</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SEPARATION AGREEMENT AND RELEASE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Separation Agreement and Release (“Agreement”) is made by and between Sanjeev Narula (“Executive”) and Viatris Inc. (together with its affiliates, the “Company”) (collectively referred to as the “Parties” or individually referred to as a “Party”).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Executive shall separate from employment with the Company effective as of March 5, 2024 (the “Separation Date”);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Company and Executive wish to set forth the terms of such separation from employment with the Company.</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made herein and intending to be legally bound hereby, the Company and Executive hereby agree as follows:</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COVENANTS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Consideration and Other Terms of Separation.</w:t>
      </w:r>
      <w:r>
        <w:rPr>
          <w:color w:val="000000"/>
        </w:rPr>
        <w:t xml:space="preserve"> </w:t>
      </w:r>
      <w:r>
        <w:rPr>
          <w:rFonts w:ascii="Times New Roman;sans-serif" w:hAnsi="Times New Roman;sans-serif"/>
          <w:b w:val="false"/>
          <w:color w:val="000000"/>
          <w:sz w:val="24"/>
        </w:rPr>
        <w:t xml:space="preserve">Effective as of the Separation Date, Executive resigns from all positions as an executive, officer, employee or director of the Company and all of its parents, subsidiaries and affiliates, and Executive shall cease to be the Chief Financial Officer of the Company or any of its parents, subsidiaries and affiliates as of March 1, 2024. Provided that Executive executes this Agreement and complies with its terms, and does not commit a material breach of this Agreement, as described in Section 12 below: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Severance Payment.</w:t>
      </w:r>
      <w:r>
        <w:rPr>
          <w:color w:val="000000"/>
        </w:rPr>
        <w:t xml:space="preserve"> </w:t>
      </w:r>
      <w:r>
        <w:rPr>
          <w:rFonts w:ascii="Times New Roman;sans-serif" w:hAnsi="Times New Roman;sans-serif"/>
          <w:b w:val="false"/>
          <w:color w:val="000000"/>
          <w:sz w:val="24"/>
        </w:rPr>
        <w:t xml:space="preserve">Executive shall be paid an amount in cash equal $3,700,000, subject to applicable deductions and withholdings required by applicable law (the “Total Cash Severance”). The Total Cash Severance shall be payable in the form of installments over a period of twenty-four months on Viatris’ normal payroll dates;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installments payable for the first six (6) months following the Separation Date shall be withheld and paid in a lump sum on the first regularly scheduled Company payroll date occurring after the six-month anniversary of the Separation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Treatment of Equity-Based Awards.</w:t>
      </w:r>
      <w:r>
        <w:rPr>
          <w:color w:val="000000"/>
        </w:rPr>
        <w:t xml:space="preserve"> </w:t>
      </w:r>
      <w:r>
        <w:rPr>
          <w:rFonts w:ascii="Times New Roman;sans-serif" w:hAnsi="Times New Roman;sans-serif"/>
          <w:b w:val="false"/>
          <w:color w:val="000000"/>
          <w:sz w:val="24"/>
        </w:rPr>
        <w:t xml:space="preserve">All time-based restricted stock units (“RSUs”) and performance-based RSUs (“PRSUs”), in each case, remain subject to the terms of the applicable long-term incentive plan or plans, as amended, and all applicable award agreements and amendments thereto. For the avoidance of doubt, except as expressly provided herein, all unvested RSUs and PRSUs held by the Executive as of the Separation Date shall be forfeited immediately upon the Separation Date, other than a pro rata portion of the PRSUs granted in 2023 in accordance with the applicable award agreement. Executive will also be eligible to receive a pro rata portion of the PRSUs granted in 2022, determined based on actual achievement of applicable performance goals and pro rated based on a fraction, the numerator of which is the number of days elapsed in the performance period prior to the Separation Date and the denominator of which is the total number of days in the full performance period, at the time such awards are settled in the ordinary course pursuant to the applicable award agreements;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in the event Executive breaches this Agreement or any other agreement with the Company or its affiliates, such awards shall be immediately forfeited in their entirety.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Pro Rata Annual Incentive Payment for 2024.</w:t>
      </w:r>
      <w:r>
        <w:rPr>
          <w:color w:val="000000"/>
        </w:rPr>
        <w:t xml:space="preserve"> </w:t>
      </w:r>
      <w:r>
        <w:rPr>
          <w:rFonts w:ascii="Times New Roman;sans-serif" w:hAnsi="Times New Roman;sans-serif"/>
          <w:b w:val="false"/>
          <w:color w:val="000000"/>
          <w:sz w:val="24"/>
        </w:rPr>
        <w:t xml:space="preserve">Executive shall be paid a pro rata annual bonus for 2024, which shall be determined by reference to the bonus Executive would have earned based on actual performance for 2024 and pro rated to reflect the number of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days elapsed in the 2024 fiscal year through the Separation Date. The pro rata bonus shall be paid as soon as practicable following the certification of applicable performance metrics for 2024, but in no event later than March 15, 2025.</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Benefits.</w:t>
      </w:r>
      <w:r>
        <w:rPr>
          <w:color w:val="000000"/>
        </w:rPr>
        <w:t xml:space="preserve"> </w:t>
      </w:r>
      <w:r>
        <w:rPr>
          <w:rFonts w:ascii="Times New Roman;sans-serif" w:hAnsi="Times New Roman;sans-serif"/>
          <w:b w:val="false"/>
          <w:color w:val="000000"/>
          <w:sz w:val="24"/>
        </w:rPr>
        <w:t xml:space="preserve">For a period of three years from the Separation Date, the Company shall continue to provide health and welfare benefits to Executive and/or Executive’s eligible dependents at least equal to those that were provided to them (taking into account any required employee contributions, co-payments and similar costs imposed on the Executive and the Executive’s dependents) by or on behalf of the Company in accordance with the benefit plans, programs, practices and policies in effect immediately prior to the Separation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to the extent the Executive and/or Executive’s eligible dependents cannot be maintained on the Company’s health and welfare plans during such period the Company shall obtain comparable policies for the Executive and shall continue to pay that portion of the applicable costs that it pays on behalf of its actively employed executives who receive the same type of coverage;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if the Executive becomes eligible for health benefits through a subsequent employer or otherwise, the continued benefits provided herein shall immediately cease. For the avoidance of doubt, Executive acknowledges and agrees that the period of continued benefits provided in this Section 1(d) shall be concurrent with Executive’s eligible benefit continuation period pursuant to the Consolidated Omnibus Budget Reconciliation Act of 1985, as amended, which shall commence as of the first day of the month following the Separation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401(k) Restoration Plan.</w:t>
      </w:r>
      <w:r>
        <w:rPr>
          <w:color w:val="000000"/>
        </w:rPr>
        <w:t xml:space="preserve"> </w:t>
      </w:r>
      <w:r>
        <w:rPr>
          <w:rFonts w:ascii="Times New Roman;sans-serif" w:hAnsi="Times New Roman;sans-serif"/>
          <w:b w:val="false"/>
          <w:color w:val="000000"/>
          <w:sz w:val="24"/>
        </w:rPr>
        <w:t>Executive shall be paid the accrued and vested benefit under the Company’s 401(k) Restoration Plan in a lump sum on the first regularly scheduled Company payroll date occurring after the six-month anniversary of the Separation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Vacation Pay</w:t>
      </w:r>
      <w:r>
        <w:rPr>
          <w:rFonts w:ascii="Times New Roman;sans-serif" w:hAnsi="Times New Roman;sans-serif"/>
          <w:b w:val="false"/>
          <w:color w:val="000000"/>
          <w:sz w:val="24"/>
        </w:rPr>
        <w:t>. The Company shall pay Executive for all unused and accrued vacation time as of the Separation Date, less applicable deductions and withholdings required by applicable law. This payment shall be made in a lump sum and shall be paid on the Company’s next regularly scheduled payroll date after the Separation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Other Benefits.</w:t>
      </w:r>
      <w:r>
        <w:rPr>
          <w:color w:val="000000"/>
        </w:rPr>
        <w:t xml:space="preserve"> </w:t>
      </w:r>
      <w:r>
        <w:rPr>
          <w:rFonts w:ascii="Times New Roman;sans-serif" w:hAnsi="Times New Roman;sans-serif"/>
          <w:b w:val="false"/>
          <w:color w:val="000000"/>
          <w:sz w:val="24"/>
        </w:rPr>
        <w:t>Executive’s participation in all other benefits and incidents of employment, including, but not limited to, the accrual of bonuses, vacation and paid time off, and any additional 401(k) plan contributions, shall cease as of the Separation Date. Vested amounts payable to Executive under the Company’s 401(k) and other retirement plans or agreements shall be paid in accordance with the terms of such plans and agreements and applicable law. All payments hereunder shall be subject to applicable deductions and withholdings as required by applicable law.</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Payment of Salary and Receipt of All Benefits.</w:t>
      </w:r>
      <w:r>
        <w:rPr>
          <w:color w:val="000000"/>
        </w:rPr>
        <w:t xml:space="preserve"> </w:t>
      </w:r>
      <w:r>
        <w:rPr>
          <w:rFonts w:ascii="Times New Roman;sans-serif" w:hAnsi="Times New Roman;sans-serif"/>
          <w:b w:val="false"/>
          <w:color w:val="000000"/>
          <w:sz w:val="24"/>
        </w:rPr>
        <w:t>Executive acknowledges and represents that, other than the consideration to be paid pursuant to this Agreement, Executive’s final regular pay on the Company’s next regularly scheduled payroll date after the Separation Date and payment for all unused and accrued vacation time as of the Separation Date (which shall be included in Executive’s final regular pay on the Company’s next regularly scheduled payroll date after the Separation Date, subject to applicable deductions and withholding), the Company has paid or provided all salary, wages, bonuses, accrued vacation/paid time off, premiums, leaves, reimbursable expenses, stock, vesting, shares pursuant to vested restricted stock units, and any and all other benefits and compensation due to Executive by the Company and its affiliates. To receive reimbursement for any final Company-related travel expenses, Executive must submit a final report of all such outstanding expenses within thirty (30) calendar days after the Separation Date, accompanied by receipts and otherwise subject to the Company’s expense reimbursement policy.</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General Release of Claims</w:t>
      </w:r>
      <w:r>
        <w:rPr>
          <w:rFonts w:ascii="Times New Roman;sans-serif" w:hAnsi="Times New Roman;sans-serif"/>
          <w:b w:val="false"/>
          <w:color w:val="000000"/>
          <w:sz w:val="24"/>
        </w:rPr>
        <w:t>. In consideration of the payments to be made under this Agreement, which Executive acknowledges Executive would not otherwise be entitled to receive, Executive agrees that the foregoing consideration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Executive may possess against any of the Releasees arising from any omissions, acts, failures to act, facts or damages that have occurred up until and including the date Executive executes this Agreement, including, without limitation: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any and all claims relating to or arising from Executive’s employment relationship with the Company and/or any of the Releasees and the termination of that relationship;</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any and all claims relating to, or arising from, Executive’s right to purchase, or actual purchase of shares of stock of the Company and/or any of the Releasees, including, without limitation, any claims for fraud, misrepresentation, breach of fiduciary duty, breach of duty under applicable state corporate law, and securities fraud under any state or federal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any and all claims under any policy, agreement, understanding or promise, written or oral, formal or informal, between any Releasee and Executive existing as of the date hereof (whether or not known or arising before, on or after the date Executive executes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(“ADEA”);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any and all claims for violation of the federal or any state constitution;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any and all claims arising out of any other laws and regulations relating to employment or employment discrimination;</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any claim for any loss, cost, damage, or expense arising out of any dispute over the non-withholding or other tax treatment of any of the proceeds received by Executive as a result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any and all claims for attorneys’ fees and costs; and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rPr>
        <w:t>any other claims whatsoever.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Executive agrees that the Release set forth in this section shall be and remain in effect in all respects as a complete general release as to the matters released. This Release does not extend to any obligations incurred under this Agreement or any indemnification agreement between Executive and the Company, any claims accruing after the execution of this Agreement, or any rights Executive may have under any D&amp;O insurance policy maintained by the Company and/or any of the Releasees. This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and/or any of the Releasees; and Executive’s release of claims herein bars 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Section 3.</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Executive agrees that the consideration set forth in this Agreement is subject to Executive’s execution, not later than 21 days following the Separation Date, of this Release, and the non-revocation of the Release during the period specified therein. If Executive fails to execute and deliver the Release within 21 days following the Separation Date, or if Executive revokes the Release as provided therein, Executive shall forfeit his right to receive the compensation and benefits provided under this Agreement. In the event Executive signs this Agreement prior to the Separation Date, he will be required to execute an affirmation of the Release upon his Separation Date in the form attached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Acknowledgment that Waiver of Claims is Knowing and Voluntary</w:t>
      </w:r>
      <w:r>
        <w:rPr>
          <w:rFonts w:ascii="Times New Roman;sans-serif" w:hAnsi="Times New Roman;sans-serif"/>
          <w:b w:val="false"/>
          <w:color w:val="000000"/>
          <w:sz w:val="24"/>
        </w:rPr>
        <w:t xml:space="preserve">. Executive acknowledges that Executive is waiving and releasing any rights Executive may have under the ADEA and that the waiver and release is knowing and voluntary. Executive agrees that this waiver and release does not apply to any rights or claims that may arise under the ADEA after the date Executive executes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sans-serif" w:hAnsi="Times New Roman;sans-serif"/>
          <w:b w:val="false"/>
          <w:color w:val="000000"/>
          <w:sz w:val="24"/>
          <w:u w:val="single"/>
        </w:rPr>
        <w:t>prior</w:t>
      </w:r>
      <w:r>
        <w:rPr>
          <w:color w:val="000000"/>
        </w:rPr>
        <w:t xml:space="preserve"> </w:t>
      </w:r>
      <w:r>
        <w:rPr>
          <w:rFonts w:ascii="Times New Roman;sans-serif" w:hAnsi="Times New Roman;sans-serif"/>
          <w:b w:val="false"/>
          <w:color w:val="000000"/>
          <w:sz w:val="24"/>
        </w:rPr>
        <w:t>to executing this Agreement; (b)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(c) Executive has seven (7) days following the execution of this Release to revoke this Release and may do so by writing to the Company’s General Counsel; (d) this Release shall not be effective until after the revocation period has expired without revocation;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 in less than the 21-day period identified above, Executive hereby acknowledges that Executive has freely and voluntarily chosen to waive the time period allotted for considering this Release.</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Unknown Claims</w:t>
      </w:r>
      <w:r>
        <w:rPr>
          <w:rFonts w:ascii="Times New Roman;sans-serif" w:hAnsi="Times New Roman;sans-serif"/>
          <w:b w:val="false"/>
          <w:color w:val="000000"/>
          <w:sz w:val="24"/>
        </w:rPr>
        <w:t>. 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Executive’s settlement with the Releasee. Executive, being aware of said principle, agrees to expressly waive any rights Executive may have to that effect, as well as under any other statute or common law principles of similar effect.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 Pending or Future Lawsuits</w:t>
      </w:r>
      <w:r>
        <w:rPr>
          <w:rFonts w:ascii="Times New Roman;sans-serif" w:hAnsi="Times New Roman;sans-serif"/>
          <w:b w:val="false"/>
          <w:color w:val="000000"/>
          <w:sz w:val="24"/>
        </w:rPr>
        <w:t>. Executive represents that Executive has no lawsuits, claims, or actions pending (directly or indirectly) in Executive’s name, or on behalf of any other person or entity, against the Company or any of the other Releasees. Executive also represents that Executive does not intend to bring any claims (directly or indirectly) on Executive’s own behalf or on behalf of any other person or entity against the Company or any of the other Releasees.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Executive expressly acknowledges and agrees that, by reason of Executive’s position and employment with the Company, Executive has and will continue to have a heightened level of access to the directors and senior executive officers (“Covered Persons”) of Viatris and its affiliate companies and parents and subsidiaries (collectively, the “Viatris Companies”), and that Executive consequently has had a heightened level of access to and/or knowledge of highly confidential, proprietary, and non-public discussions, information, assessments and evaluations, strategies, and/or materials (hereafter “Covered Information”), the disclosure of which will or may injure the Viatris Companies and/or their shareholders. Executive further acknowledges and agrees that the business interests of the Viatris Companies require a highly confidential relationship between the Company and Executive and the fullest protection and confidential treatment by Executive of the Viatris Companies’ non-public: financial data and information; customer strategies, plans, and information; supplier strategies, plans, and information; market strategies, plans, and information; marketing and/or promotional techniques, strategies, plans, policies, and methods; pricing strategies, plans, and information; purchasing strategies, plans, and information; supply chain strategies, plans, and information; sales strategies, plans, techniques, policies, and information; employee lists; other policies and procedures; business records; advertising strategies, plans, techniques, and information; computer records, programs, and systems; trade secrets; know how; research and development plans, strategies, techniques, and information; legal strategies; intellectual property and/or assessments of strategies relating to intellectual property, regardless of the owner of such intellectual property; regulatory plans, strategies, and information; product plans and strategies, including launch plans and assessments; business development plans, activities, and strategies; plans and programs; sources of supply; earnings and other performance results, assessments, and projections; risk assessments; board and management deliberations, assessments, and strategies; communications among or with Covered Persons regarding any and all matters referenced in this paragraph; and all other proprietary or confidential information and trade secrets, Covered Information, and other knowledge of the business of the Viatris Companies (all of which are hereinafter jointly termed “Confidential Information”) which have been or may be in whole or in part conceived, learned, received, or obtained by Executive in the course of Executive’s employment with the Company. Accordingly, Executive agrees to keep secret and treat as confidential all Confidential Information whether or not copyrightable or patentable, and agrees not to disclose or use or aid others in learning of or using any Confidential Information except in the ordinary course of the Viatris Companies’ business and in furtherance of the Viatris Companies’ interests. For example, and not by way of limitation, during the term of this Agreement and at all times thereafter, except insofar as is necessary consistent with Executive’s responsibilities and the Viatris Companies’ best interests: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Executive will not, directly or indirectly, use or disclose any Confidential Information to anyone outside the Mylan Companies;</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Executive will not make copies of or otherwise disclose the contents of documents containing or constituting Confidential Information;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As to documents which are delivered to Executive or which are made available to or obtained by him as a part of the working relationships and duties of Executive within the business of the Mylan Companies, Executive will treat such documents confidentially and will treat such documents as proprietary and confidential, not to be reproduced, disclosed or used without appropriate authority of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Executive will not advise others that the information and/or know how included in Confidential Information is known to or used by the Mylan Companies; and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Executive will not in any manner disclose or use Confidential Information for Executive’s own or any third party’s account and will not aid, assist or abet others in the use of Confidential Information for their account or benefit, or for the account or benefit of any person or entity other than the Company.</w:t>
      </w:r>
    </w:p>
    <w:p>
      <w:pPr>
        <w:pStyle w:val="TextBody"/>
        <w:bidi w:val="0"/>
        <w:spacing w:lineRule="auto" w:line="30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obligations set forth in this paragraph are in addition to any other agreements Executive may have with the Company and any and all rights the Company may have under state or federal statutes or common law.</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Non-Competition and Non-Solicitation</w:t>
      </w:r>
      <w:r>
        <w:rPr>
          <w:rFonts w:ascii="Times New Roman;sans-serif" w:hAnsi="Times New Roman;sans-serif"/>
          <w:b w:val="false"/>
          <w:color w:val="000000"/>
          <w:sz w:val="24"/>
        </w:rPr>
        <w:t>. Executive agrees that for a period ending one (1) year after the Separation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Executive shall not, directly or indirectly, whether for himself or for any other person, company, corporation or other entity be or become associated in any way (including but not limited to the association set forth in (i)-(vii) of this subsection) with any business or organization which is directly or indirectly engaged in the research, development, manufacture, production, marketing, promotion or sale of any product the same as or similar to those of the Company, or which competes or intends to compete in any line of business with the Company. Notwithstanding the foregoing, Executive may during the period in which this paragraph is in effect own stock or other interests in corporations or other entities that engage in businesses the same or substantially similar to those engaged in by the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Executive does not, directly or indirectly (including without limitation as the result of ownership or control of another corporation or other entity), individually or as part of a group (as that term is defined in Section 13(d) of the Securities Exchange Act of 1934, as amended, and the rules and regulations promulgated thereunder) (i) control or have the ability to control the corporation or other entity; (ii) provide to the corporation or entity, whether as an executive, consultant or otherwise, advice or consultation; (iii) provide to the corporation or entity any confidential or proprietary information regarding the Company or its businesses or regarding the conduct of businesses similar to those of the Company; (iv) hold or have the right by contract or arrangement or understanding with other parties to hold a position on the board of directors or other governing body of the corporation or entity or have the right by contract or arrangement or understanding with other parties to elect one or more persons to any such position; (v) hold a position as an officer of the corporation or entity; (vi) have the purpose to change or influence the control of the corporation or entity (other than solely by the voting of his shares or ownership interest); or (vii) have a business or other relationship, by contract or otherwise, with the corporation or entity other than as a passive investor in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Executive may vote his shares or ownership interest in such manner as he chooses provided that such action does not otherwise violate the prohibitions set forth in this sentence. In the event Executive requests a consent or waiver from the covenant set forth in Section 8(a), the Company will consider such request in good faith and such consent or waiver shall not be unreasonably withheld, conditioned or delayed.</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Executive will not, either directly or indirectly, either for himself or for any other person, partnership, firm, company, corporation or other entity, contact, solicit, divert or take away any of the customers or suppliers of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Executive will not solicit, entice or otherwise induce any employee of the Company to leave the employ of the Company for any reason whatsoever; nor will Executive directly or indirectly aid, assist or abet any other person or entity in soliciting or hiring any employee of the Company, nor will Executive otherwise interfere with any contractual or other business relationships between the Company and its employees.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Trade Secrets and Confidential Information/Company Property/Inquiries</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rPr>
        <w:t>Executive’s signature below constitutes Executive’s representation that as of the Separation Date, Executive shall (a) remove from any and all devices, records, files, folders, cameras, media, internet sites, electronic or digital devices, and any and all other sources, all documents, tapes, photographs, recordings, images, reproductions, electronic files and other items provided to Executive by the Company and/or any of the Releasees, developed or obtained by Executive in connection with Executive’s employment with the Company, or otherwise belonging to the Company and/or any of the Releasees, and (b) return all documents, tapes, photographs, recordings, images, reproductions, electronic files and other items provided to Executive by the Company, developed or obtained by Executive in connection with Executive’s employment with the Company, or otherwise belonging to the Company, including but not limited to any personal computer(s), BlackBerry, iPhone, iPad, tapes, photographs, recordings, images, reproductions, electronic files and other items. Executive further represents that Executive shall not misuse or disclose any of the Company’s and/or any of the Releasees’ confidential, proprietary or trade secret information to any third party other than good faith disclosure to a law enforcement or authorized regulatory agency of the United States Government or any state or local government. In addition, Executive shall abide by the Company’s external communication policy, such that in the event Executive receives any media, financial community or other third-party inquiries regarding the Company, except as provided in this Section 9 and Section 10 of this Agreement, Executive shall not respond (nor shall Executive initiate any such contact) and shall promptly notify the Company’s Global Public Affairs Department at 724.514.1968 or gpa@viatris.com, or any successor department. Pursuant to the Defend Trade Secrets Act of 2016, Executive is hereby notified that an individual may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Limits on Cooperation; Compliance</w:t>
      </w:r>
      <w:r>
        <w:rPr>
          <w:rFonts w:ascii="Times New Roman;sans-serif" w:hAnsi="Times New Roman;sans-serif"/>
          <w:b w:val="false"/>
          <w:color w:val="000000"/>
          <w:sz w:val="24"/>
        </w:rPr>
        <w:t xml:space="preserve">. Executive agrees that Executive shall not knowingly encourage, counsel or assist any attorneys or their clients in the presentation or prosecution of any disputes, differences, grievances, claims, charges or complaints by any third party, against any of the Releasees, other than good faith assistance to a law enforcement or authorized regulatory agency of the United States Government or any state or local government. Executive may, however, respond to a lawful subpoena or other court order to do so or as related directly to the ADEA waiver in this Agreement or as otherwise required by law. Executive agrees both to promptly notify the Company upon receipt of any such subpoena or court order, and to furnish, within three (3) business days of its receipt, a copy of such subpoena or other court order. If approached by anyone, other than a law enforcement or authorized regulatory agency of the United States Government or any state or local government, for counsel or assistance in the presentation or prosecution of any disputes, differences, grievances, claims,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charges or complaints against any of the Releasees, Executive shall state no more than that Executive cannot provide counsel or assistance. If approached for counsel or assistance as aforementioned, whether by private parties or law enforcement or regulatory agencies, Executive shall promptly notify the Company of such an occurrence, and provide information to the Company regarding any such communication. While Executive may respond in good faith to lawful inquiries by law enforcement or regulatory agencies, Executive shall notify any such agencies of Executive’s obligations with respect to confidentiality under this Agreement, the Confidentiality Agreement, and any other applicable agreements, and Executive shall continue to honor such obligations in the course of responding to law enforcement or regulatory agency inquiries, as lawfully permitted. Executive understands that nothing contained in this Agreement limits Executive’s ability to file a charge or complaint with the Securities and Exchange Commission (the “SEC”) pursuant to Section 21F of the Securities Exchange Act of 1934, as amended, limits Executive’s ability to communicate with the SEC pursuant to such provision or limits Executive’s right to receive an award for information provided to the SEC pursuant to such provision. Furthermore, Executive hereby represents that Executive is not aware of any violation of any law, Company policy or the Company’s Code of Conduct in any event which could cause harm (financial or otherwise) to the Company or any of its subsidiaries, parents or affiliates or their respective properties, shareholders, employees or prospects, other than matters which Executive has previously reported to the Office of Global Compliance, the Viatris Legal Department or any successor department.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shall use Executive’s best efforts to consult with the Company and respond to the Company’s reasonable requests for information or follow-up assistance pertaining to work Executive performed on behalf of the Company and/or any subsidiary or affiliate, or other matters in which Executive was involved or of which Executive was otherwise aware, prior to the Separation Date. Executive’s obligations hereunder shall include, without limitation, Executive’s response to requests of legal counsel for the Company and/or any subsidiary or affiliate regarding any legal matters or proceedings of any kind currently pending or which may arise after the Separation Date. The Company shall reimburse Executive for any expenses incurred by Executive in connection with such requests or assistance if approved by the Company’s Legal Department and supported by required documentation. No payment made to Executive hereunder is intended to be or shall be interpreted as a payment for testimony in any legal matter. Executive understands that Executive is to provide Executive’s good faith assistance, and agrees to provide truthful responses to any requests for information or testimony.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xml:space="preserve">. Executive agrees to refrain from any disparaging statements, including but not limited to statements that amount to libel or slander, about the Company, its direct and indirect parents, subsidiaries or affiliated companies, and/or any of its or their current or former employees, officers or directors, and/or any of the other Releasees including, without limitation, the business, products, governance, intellectual property, financial standing, future prospects or other employment, compensation, benefit or personnel practices of the Company and/or any of the Releasees. Executive further agrees to refrain from any disparaging statements, including but not limited to libel or slander, about any of the Releasees that pertain to any personal or confidential matters that may cause embarrassment to any of the Releasees or may result in any adverse effect on the professional or personal reputation of any of the Releasees. The foregoing restrictions shall not apply to any testimony that Executive is compelled by law to give (whether written or verbal). The Company agrees to instruct its executive officers to refrain from any disparaging statements, including but not limited to libel or slander, about Executive that pertain to any personal or confidential matters that may cause embarrassment to Executive or may result in any adverse effect on the professional or personal reputation of Executive. The foregoing restrictions shall not apply to any testimony that any executive officer of the Company is compelled to give by law (whether written or verbal).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Breach</w:t>
      </w:r>
      <w:r>
        <w:rPr>
          <w:rFonts w:ascii="Times New Roman;sans-serif" w:hAnsi="Times New Roman;sans-serif"/>
          <w:b w:val="false"/>
          <w:color w:val="000000"/>
          <w:sz w:val="24"/>
        </w:rPr>
        <w:t xml:space="preserv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Material Breach of Agreement</w:t>
      </w:r>
      <w:r>
        <w:rPr>
          <w:rFonts w:ascii="Times New Roman;sans-serif" w:hAnsi="Times New Roman;sans-serif"/>
          <w:b w:val="false"/>
          <w:color w:val="000000"/>
          <w:sz w:val="24"/>
        </w:rPr>
        <w:t>. In addition to the rights provided in Section 20 below, if Executive commits a material breach of this Agreement, which shall include, without limitation, any breach of Sections 7, 8, 9 and 10 of this Agreement and any breach of the Confidentiality Agreement, the Company shall be entitled to immediately recover and/or cease providing the payments and consideration provided to Executive under this Agreement (including, for the avoidance of doubt, canceling any equity awards Executive holds) and to obtain damages, except as provided by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Executive also acknowledges and agrees that Executive’s compliance with Sections 7, 8, 9 and 10 of this Agreement and the Confidentiality Agreement (as amended by this Agreement) is </w:t>
      </w:r>
      <w:r>
        <w:rPr>
          <w:rFonts w:ascii="Times New Roman;sans-serif" w:hAnsi="Times New Roman;sans-serif"/>
          <w:b w:val="false"/>
          <w:color w:val="000000"/>
          <w:sz w:val="24"/>
          <w:u w:val="single"/>
        </w:rPr>
        <w:t>of the essence</w:t>
      </w:r>
      <w:r>
        <w:rPr>
          <w:rFonts w:ascii="Times New Roman;sans-serif" w:hAnsi="Times New Roman;sans-serif"/>
          <w:b w:val="false"/>
          <w:color w:val="000000"/>
          <w:sz w:val="24"/>
        </w:rPr>
        <w:t>. The Parties agree that if the Company and/or any of the Releasees proves that Executive breached, intends to breach or will breach any of these provisions (Sections 7, 8, 9, 10 or 11 of this Agreement or the Confidentiality Agreement), without limiting any other remedies available to the Company and/or any of the Releasees, the Company and/or any of the Releasees shall be entitled to an injunction restraining Executive from any future or further breaches and an award of its costs spent enforcing the applicable provision(s), including all reasonable attorneys’ fees associated with the enforcement action as provided in Section 20, without regard to whether the Company and/or any of the Releasees can establish actual damages from Executive’s breach. Any such individual breach or disclosure shall not excuse Executive from Executive’s obligations hereunder, nor permit Executive to make additional disclosures. Executive expressly agrees and warrants that Executive shall not, in violation of the terms of Sections 7, 8, 9, 10 or 11 of this Agreement and the Confidentiality Agreement disclose, orally or in writing, directly or indirectly, any of the Company’s confidential, proprietary or trade secret information to any third party other than good faith disclosure to a law enforcement or authorized regulatory agency of the United States Government or any state or local government. Executive warrants that Executive has not encouraged or assisted any attorneys or their clients in the presentation or prosecution of any disputes against the Company and/or any of the Releasees.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 Admission of Liability/Compromise</w:t>
      </w:r>
      <w:r>
        <w:rPr>
          <w:rFonts w:ascii="Times New Roman;sans-serif" w:hAnsi="Times New Roman;sans-serif"/>
          <w:b w:val="false"/>
          <w:color w:val="000000"/>
          <w:sz w:val="24"/>
        </w:rPr>
        <w:t>. No action taken by the Company and/or any of the Releasees, either previously or in connection with this Agreement, shall be deemed or construed to be (a) an admission of the truth or falsity of any actual or potential claims or (b) an acknowledgment or admission by the Company and/or any of the Releasees of any fault or liability.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Costs</w:t>
      </w:r>
      <w:r>
        <w:rPr>
          <w:rFonts w:ascii="Times New Roman;sans-serif" w:hAnsi="Times New Roman;sans-serif"/>
          <w:b w:val="false"/>
          <w:color w:val="000000"/>
          <w:sz w:val="24"/>
        </w:rPr>
        <w:t>. The Parties shall each bear their own costs, attorneys’ fees and other fees incurred in connection with the preparation of this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Choice of Law and Forum</w:t>
      </w:r>
      <w:r>
        <w:rPr>
          <w:rFonts w:ascii="Times New Roman;sans-serif" w:hAnsi="Times New Roman;sans-serif"/>
          <w:b w:val="false"/>
          <w:color w:val="000000"/>
          <w:sz w:val="24"/>
        </w:rPr>
        <w:t xml:space="preserve">. This Agreement shall be construed and enforced according to, and the rights and obligations of the parties shall be governed in all respects by, the laws of the Commonwealth of Pennsylvania without reference to the principles of conflicts of law thereof. Any controversy, dispute or claim arising out of or relating to this Agreement, or the breach hereof, including a claim for injunctive relief, or any claim which in any way arises out of or relates to Executive’s employment with the Company or separation from said employment (whether such dispute arises under any federal, state or local statute or regulation, or at common law), including but not limited to statutory claims for discrimination, shall be resolved by arbitration in accordance with the then-current rules of the American Arbitration Association respecting employment disputes pertaining at the time the dispute arises;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either party may seek an injunction in aid of arbitration with respect to enforcement of 7, 8, 9, 10 or 11 of this Agreement from any court of competent jurisdiction. The Parties agree that the hearing of any such dispute shall be held in Pennsylvania. The decision of the arbitrator(s) shall be final and binding on all parties and any award rendered shall be enforceable upon confirmation by a court of competent jurisdiction. Any arbitration proceedings, decision or award rendered hereunder, and the validity, effect and interpretation of this arbitration provision shall be governed by the Federal Arbitration Act, 9 U.S.C. § 1 </w:t>
      </w:r>
      <w:r>
        <w:rPr>
          <w:rFonts w:ascii="Times New Roman;sans-serif" w:hAnsi="Times New Roman;sans-serif"/>
          <w:b w:val="false"/>
          <w:i/>
          <w:color w:val="000000"/>
          <w:sz w:val="24"/>
        </w:rPr>
        <w:t>et seq</w:t>
      </w:r>
      <w:r>
        <w:rPr>
          <w:rFonts w:ascii="Times New Roman;sans-serif" w:hAnsi="Times New Roman;sans-serif"/>
          <w:b w:val="false"/>
          <w:color w:val="000000"/>
          <w:sz w:val="24"/>
        </w:rPr>
        <w:t xml:space="preserv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Executive and the Company expressly consent to the jurisdiction of any such arbitrator over them.</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Tax Consequences</w:t>
      </w:r>
      <w:r>
        <w:rPr>
          <w:rFonts w:ascii="Times New Roman;sans-serif" w:hAnsi="Times New Roman;sans-serif"/>
          <w:b w:val="false"/>
          <w:color w:val="000000"/>
          <w:sz w:val="24"/>
        </w:rPr>
        <w:t>.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 xml:space="preserve">The intent of the parties is that payments and benefits under this Agreement comply with Section 409A of the Internal Revenue Code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Executive shall not be considered to have terminated employment with the Company for purposes of this Agreement and no payments shall be due to Executive under Section 1 of this Agreement until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Section 1 that are due within the “short term deferral period” as defined in Section 409A of the Code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in a lump sum on the first regularly scheduled Company payroll date occurring after the six-month anniversary of the Separation Date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Authority</w:t>
      </w:r>
      <w:r>
        <w:rPr>
          <w:rFonts w:ascii="Times New Roman;sans-serif" w:hAnsi="Times New Roman;sans-serif"/>
          <w:b w:val="false"/>
          <w:color w:val="000000"/>
          <w:sz w:val="24"/>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No Representations</w:t>
      </w:r>
      <w:r>
        <w:rPr>
          <w:rFonts w:ascii="Times New Roman;sans-serif" w:hAnsi="Times New Roman;sans-serif"/>
          <w:b w:val="false"/>
          <w:color w:val="000000"/>
          <w:sz w:val="24"/>
        </w:rPr>
        <w:t xml:space="preserve">. Executive represents that Executive has had an opportunity to consult with an attorney and has carefully read and understands the scope and effect of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provisions of this Agreement. Executive has not relied upon any representations or statements made by the Company that are not specifically set forth in this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Attorneys’ Fees</w:t>
      </w:r>
      <w:r>
        <w:rPr>
          <w:rFonts w:ascii="Times New Roman;sans-serif" w:hAnsi="Times New Roman;sans-serif"/>
          <w:b w:val="false"/>
          <w:color w:val="000000"/>
          <w:sz w:val="24"/>
        </w:rPr>
        <w:t>. Except with regard to a legal action challenging or seeking a determination in good faith of the validity of the waiver herein under the ADEA or otherwise prohibited by law,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 Such costs and expenses shall be paid to the prevailing party as soon as practicable after the legal action is resolved and in no event later than March 15 of the year following resolution of the legal action.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and the Confidentiality Agreement (as amended by this Agreement) represent the entire agreement and understanding between the Company and Executive concerning the subject matter of this Agreement and Executive’s employment with and separation from the Company and the events leading thereto and associated therewith, and supersede and replace any and all prior negotiations, representations, agreements and understandings concerning the subject matter of such agreements, Executive’s relationship with the Company and Executive’s obligations following employment with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No Oral Modification</w:t>
      </w:r>
      <w:r>
        <w:rPr>
          <w:rFonts w:ascii="Times New Roman;sans-serif" w:hAnsi="Times New Roman;sans-serif"/>
          <w:b w:val="false"/>
          <w:color w:val="000000"/>
          <w:sz w:val="24"/>
        </w:rPr>
        <w:t>. This Agreement may only be amended in a writing signed by Executive and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laws of the Commonwealth of Pennsylvania govern this Agreement, without regard for choice-of-law provisions. Executive consents to personal and exclusive jurisdiction and venue in the Commonwealth of Pennsylvania.</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xml:space="preserve">. This Agreement shall become immediately effective upon Executive’s execution and delivery of this Agreement to the Company;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Executive fails to comply with this Agreement (including the execution and non-revocation of the Release pursuant to Sections 3 and 4), Executive shall not receive the amounts or benefits set forth in Section 1, and this Agreement shall never go into effect. Executive acknowledges and agrees that Executive shall execute this Agreement on, and in any event no earlier than one week prior to, the Separation Date.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and by facsimile, and each counterpart and facsimile shall have the same force and effect as an original and shall constitute an effective, binding agreement on the part of each of the undersigned.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Voluntary Execution of Agreement</w:t>
      </w:r>
      <w:r>
        <w:rPr>
          <w:rFonts w:ascii="Times New Roman;sans-serif" w:hAnsi="Times New Roman;sans-serif"/>
          <w:b w:val="false"/>
          <w:color w:val="000000"/>
          <w:sz w:val="24"/>
        </w:rPr>
        <w:t>. Executive understands and agrees that Executive executed this Agreement voluntarily, without any duress or undue influence on the part or behalf of the Company and/or any of the Releasees or any third party, with the full intent of releasing all of Executive’s claims against the Company and any of the other Releasees. Executive acknowledges that: (a) Executive has read this Agreement; (b) Executive has been represented in the preparation, negotiation and execution of this Agreement by legal counsel of Executive’s own choice or has elected not to retain legal counsel; (c) Executive understands the terms and consequences of this Agreement and of the releases it contains; (d) Executive is fully aware of the legal and binding effect of this Agreement and (e) Executive has been given the toll-</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free telephone number of the Pennsylvania Bar Association to help Executive identify a qualified lawyer (800-692-7375).</w:t>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left"/>
        <w:rPr/>
      </w:pPr>
      <w:r>
        <w:rPr/>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on the respective dates set forth below.</w:t>
      </w:r>
    </w:p>
    <w:tbl>
      <w:tblPr>
        <w:tblW w:w="5370" w:type="dxa"/>
        <w:jc w:val="left"/>
        <w:tblInd w:w="0" w:type="dxa"/>
        <w:tblLayout w:type="fixed"/>
        <w:tblCellMar>
          <w:top w:w="28" w:type="dxa"/>
          <w:left w:w="28" w:type="dxa"/>
          <w:bottom w:w="28" w:type="dxa"/>
          <w:right w:w="28" w:type="dxa"/>
        </w:tblCellMar>
      </w:tblPr>
      <w:tblGrid>
        <w:gridCol w:w="972"/>
        <w:gridCol w:w="854"/>
        <w:gridCol w:w="858"/>
        <w:gridCol w:w="130"/>
        <w:gridCol w:w="130"/>
        <w:gridCol w:w="131"/>
        <w:gridCol w:w="672"/>
        <w:gridCol w:w="672"/>
        <w:gridCol w:w="951"/>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December 15, 2023</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Sanjeev Narula</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Sanjeev Narula</w:t>
            </w:r>
          </w:p>
        </w:tc>
      </w:tr>
    </w:tbl>
    <w:p>
      <w:pPr>
        <w:pStyle w:val="TextBody"/>
        <w:bidi w:val="0"/>
        <w:spacing w:before="0" w:after="240"/>
        <w:jc w:val="left"/>
        <w:rPr/>
      </w:pPr>
      <w:r>
        <w:rPr/>
      </w:r>
    </w:p>
    <w:tbl>
      <w:tblPr>
        <w:tblW w:w="7256" w:type="dxa"/>
        <w:jc w:val="left"/>
        <w:tblInd w:w="0" w:type="dxa"/>
        <w:tblLayout w:type="fixed"/>
        <w:tblCellMar>
          <w:top w:w="28" w:type="dxa"/>
          <w:left w:w="28" w:type="dxa"/>
          <w:bottom w:w="28" w:type="dxa"/>
          <w:right w:w="28" w:type="dxa"/>
        </w:tblCellMar>
      </w:tblPr>
      <w:tblGrid>
        <w:gridCol w:w="972"/>
        <w:gridCol w:w="854"/>
        <w:gridCol w:w="858"/>
        <w:gridCol w:w="181"/>
        <w:gridCol w:w="181"/>
        <w:gridCol w:w="181"/>
        <w:gridCol w:w="303"/>
        <w:gridCol w:w="303"/>
        <w:gridCol w:w="303"/>
        <w:gridCol w:w="912"/>
        <w:gridCol w:w="912"/>
        <w:gridCol w:w="1296"/>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INC.:</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December 15, 2023</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Andrew Enrietti</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Andrew Enrietti</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Human Relations Officer</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Second Release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release (this “Second Release”) is delivered by Sanjeev Narula (“Executive”) as of the date set forth below in connection with the Separation Agreement and Release between Executive and Viatris Inc. (together with its affiliates, the “Company”), dated as of [●] (the “Separation Agreement and Release”), and in connection with Executive’s separation from employment with the Company. Capitalized terms used but not defined herein shall have the meaning ascribed to them in the Separation Agreement and Release.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rPr>
        <w:t>In consideration of the payments to be made under the Separation Agreement and Release, which Executive acknowledges Executive would not otherwise be entitled to receive, Executive agrees that the consideration provided under the Separation Agreement and Release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Executive may possess against any of the Releasees arising from any omissions, acts, failures to act, facts, or damages that have occurred up until and including the date Executive executes this Second Release, including, without limitation: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any and all claims relating to or arising from Executive’s employment relationship with the Company and/or any of the Releasees and the termination of that relationship;</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any and all claims relating to, or arising from, Executive’s right to purchase, or actual purchase of shares of stock of the Company and/or any of the Releasees, including, without limitation, any claims for fraud, misrepresentation, breach of fiduciary duty, breach of duty under applicable state corporate law, and securities fraud under any state or federal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any and all claims under any policy, agreement, understanding or promise, written or oral, formal or informal, between any Releasee and Executive existing as of the date hereof (whether or not known or arising before, on or after the date Executive executes this Second Release);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any and all claims for violation of any federal, state, or municipal statute, including, but not limited to, Title VII of the Civil Rights Act of 1964; the Civil Rights Act of 1991; the Rehabilitation Act of 1973; the Americans with Disabilities Act of 1990; the Equal Pay </w:t>
      </w:r>
    </w:p>
    <w:p>
      <w:pPr>
        <w:pStyle w:val="TextBody"/>
        <w:bidi w:val="0"/>
        <w:spacing w:before="0" w:after="0"/>
        <w:jc w:val="righ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any and all claims for violation of the federal or any state constitution;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any and all claims arising out of any other laws and regulations relating to employment or employment discrimination;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any claim for any loss, cost, damage, or expense arising out of any dispute over the non-withholding or other tax treatment of any of the proceeds received by Executive as a result of the Separation Agreement and Release;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any and all claims for attorneys’ fees and costs; and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rPr>
        <w:t>any other claims whatsoever.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Executive agrees that this Second Release shall be and remain in effect in all respects as a complete general release as to the matters released. This Second Release does not extend to any obligations incurred under the Separation Agreement and Release, any claims accruing after the execution of the Separation Agreement and Release, any rights Executive may have under any indemnification agreements or policies of the Company, or any D&amp;O insurance policy maintained by the Company and/or any of the Releasees. This Second Release does not release claims under the Separation Agreement and Release (including the payments and benefits set forth in Section 1 thereof), and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and/or any of the Releasees; and Executive’s release of claims herein bars 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Second Release.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Executive acknowledges that Executive is waiving and releasing any rights Executive may have under the Age Discrimination in Employment Act of 1967 (“ADEA”) and that this Second Release is knowing and voluntary. Executive agrees that this Second Release does not apply to any rights or claims that may arise under the ADEA after the date Executive executes this Second Release. Executive acknowledges that the consideration given for this Second Release is in addition to anything of value to which Executive was already entitled. Executive further acknowledges that Executive has been advised by this writing that: (a) Executive should consult with an attorney </w:t>
      </w:r>
      <w:r>
        <w:rPr>
          <w:rFonts w:ascii="Times New Roman;sans-serif" w:hAnsi="Times New Roman;sans-serif"/>
          <w:b w:val="false"/>
          <w:color w:val="000000"/>
          <w:sz w:val="24"/>
          <w:u w:val="single"/>
        </w:rPr>
        <w:t>prior</w:t>
      </w:r>
      <w:r>
        <w:rPr>
          <w:color w:val="000000"/>
        </w:rPr>
        <w:t xml:space="preserve"> </w:t>
      </w:r>
      <w:r>
        <w:rPr>
          <w:rFonts w:ascii="Times New Roman;sans-serif" w:hAnsi="Times New Roman;sans-serif"/>
          <w:b w:val="false"/>
          <w:color w:val="000000"/>
          <w:sz w:val="24"/>
        </w:rPr>
        <w:t xml:space="preserve">to executing this Second Release; (b) Executive has twenty-one (21) days within which to consider this Second Release; (c) Executive has seven (7) days following the execution of this Second Release to revoke this Second Release and may do so by writing to the Company’s General Counsel; (d) this Second Release shall not be effective until after the revocation period has expired without revocation; and (e) nothing in this Second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Second Release and returns it to the Company in less than the 21-day </w:t>
      </w:r>
    </w:p>
    <w:p>
      <w:pPr>
        <w:pStyle w:val="TextBody"/>
        <w:bidi w:val="0"/>
        <w:spacing w:before="0" w:after="0"/>
        <w:jc w:val="righ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period identified above, Executive hereby acknowledges that Executive has freely and voluntarily chosen to waive the time period allotted for considering this Second Release.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rPr>
        <w:t>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Executive’s settlement with the Releasee. Executive, being aware of said principle, agrees to expressly waive any rights Executive may have to that effect, as well as under any other statute or common law principles of similar effect.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rPr>
        <w:t>Executive hereby acknowledges and agrees that the covenant with respect to pending or future lawsuits set forth in Section 6 of the Separation Agreement and Release applies to all claims released pursuant to this Second Release.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I HAVE READ, UNDERSTAND, AND VOLUNTARILY AGREE TO THE TERMS OF THIS RELEASE.</w:t>
      </w:r>
    </w:p>
    <w:p>
      <w:pPr>
        <w:pStyle w:val="TextBody"/>
        <w:bidi w:val="0"/>
        <w:spacing w:before="0" w:after="24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____________________________         DATE: _____________</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Sanjeev Narula</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48" w:before="0" w:after="160"/>
        <w:jc w:val="right"/>
        <w:rPr>
          <w:color w:val="000000"/>
        </w:rPr>
      </w:pPr>
      <w:r>
        <w:rPr>
          <w:color w:val="000000"/>
        </w:rPr>
        <w:t>                                            </w:t>
      </w:r>
      <w:r>
        <w:rPr>
          <w:rFonts w:ascii="Times New Roman;sans-serif" w:hAnsi="Times New Roman;sans-serif"/>
          <w:b/>
          <w:color w:val="000000"/>
          <w:sz w:val="22"/>
        </w:rPr>
        <w:t>Exhibit 21</w:t>
      </w:r>
    </w:p>
    <w:p>
      <w:pPr>
        <w:pStyle w:val="TextBody"/>
        <w:bidi w:val="0"/>
        <w:spacing w:lineRule="auto" w:line="348" w:before="0" w:after="160"/>
        <w:jc w:val="left"/>
        <w:rPr>
          <w:rFonts w:ascii="Times New Roman;sans-serif" w:hAnsi="Times New Roman;sans-serif"/>
          <w:b/>
          <w:color w:val="000000"/>
          <w:sz w:val="22"/>
        </w:rPr>
      </w:pPr>
      <w:r>
        <w:rPr>
          <w:rFonts w:ascii="Times New Roman;sans-serif" w:hAnsi="Times New Roman;sans-serif"/>
          <w:b/>
          <w:color w:val="000000"/>
          <w:sz w:val="22"/>
        </w:rPr>
        <w:t>Subsidiaries as of December 31, 2023</w:t>
      </w:r>
    </w:p>
    <w:tbl>
      <w:tblPr>
        <w:tblW w:w="10205" w:type="dxa"/>
        <w:jc w:val="left"/>
        <w:tblInd w:w="0" w:type="dxa"/>
        <w:tblLayout w:type="fixed"/>
        <w:tblCellMar>
          <w:top w:w="28" w:type="dxa"/>
          <w:left w:w="28" w:type="dxa"/>
          <w:bottom w:w="28" w:type="dxa"/>
          <w:right w:w="28" w:type="dxa"/>
        </w:tblCellMar>
      </w:tblPr>
      <w:tblGrid>
        <w:gridCol w:w="2437"/>
        <w:gridCol w:w="2127"/>
        <w:gridCol w:w="2163"/>
        <w:gridCol w:w="1017"/>
        <w:gridCol w:w="1017"/>
        <w:gridCol w:w="1444"/>
      </w:tblGrid>
      <w:tr>
        <w:trPr/>
        <w:tc>
          <w:tcPr>
            <w:tcW w:w="2437"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Name</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State or Country of Organization</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Agila Australasia Pty Ltd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Alphapharm Pty. Ltd.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Australia Holding Pty Ltd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Australia Pty Limited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Australia Pty Ltd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Pty. Ltd.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Arcana Arzneimittel GmbH</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Austria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Österreich GmbH</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Austria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GX BV</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BV</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Pfizer Innovative Supply Point International BVBA</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SRL</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NV</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Bermuda Ltd.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Bermuda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BH, društvo sa ograničenom odgovornošću za trgovinu i usluge</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Bosnia and Herzegovina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Brasil Distribuidora de Medicamentos Ltda</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Laboratórios Ltda</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Brasil Importadora e Distribuidora de Medicamentos Ltda</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EOOD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Bulgaria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BGP Pharma ULC</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ULC</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Canada ULC</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 Zhi (Hainan) Health Investment Co., Ltd.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 Zhi (Hainan) Medical Technology Co</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 Zhi Health Management Co., Ltd.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Hai Nan Ge Zhi Telemedicine Center Co., Ltd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 Science and Technology (Shanghai) Co., Ltd.</w:t>
            </w:r>
          </w:p>
        </w:tc>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326"/>
        <w:gridCol w:w="1166"/>
        <w:gridCol w:w="1168"/>
        <w:gridCol w:w="486"/>
        <w:gridCol w:w="486"/>
        <w:gridCol w:w="692"/>
      </w:tblGrid>
      <w:tr>
        <w:trPr/>
        <w:tc>
          <w:tcPr>
            <w:tcW w:w="13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Pfizer Pharmaceuticals Ltd.</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Pfizer Upjohn Management Co., Ltd</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(Hainan) Investment Co., Ltd.</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 Co., Ltd.</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Hrvatska d.o.o.</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Croatia</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Onco Laboratories Limited</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Cyprus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CZ s.r.o.</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Czech Republic</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Acton Pharmaceuticals,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Alaven Pharmaceutical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ALVP Holdings,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Delcor Asset Corporation</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Denco Asset,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Deogun Manufacturing,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Dey Limited Partner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Dey,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EMD,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Ezio Pharma,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Franklin Pharmaceutical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Greenstone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Lotic.ai,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Madaus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Marquis Industrial Company,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Pharmaceuticals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API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Consumer Healthcare,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D.T. (U.S.) Holdings,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D.T. DPT Partner Sub,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D.T.,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Inc.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I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II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Institutional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Investment Holdings 4 LLC</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931" w:type="dxa"/>
        <w:jc w:val="left"/>
        <w:tblInd w:w="0" w:type="dxa"/>
        <w:tblLayout w:type="fixed"/>
        <w:tblCellMar>
          <w:top w:w="28" w:type="dxa"/>
          <w:left w:w="28" w:type="dxa"/>
          <w:bottom w:w="28" w:type="dxa"/>
          <w:right w:w="28" w:type="dxa"/>
        </w:tblCellMar>
      </w:tblPr>
      <w:tblGrid>
        <w:gridCol w:w="3214"/>
        <w:gridCol w:w="2822"/>
        <w:gridCol w:w="2829"/>
        <w:gridCol w:w="312"/>
        <w:gridCol w:w="312"/>
        <w:gridCol w:w="442"/>
      </w:tblGrid>
      <w:tr>
        <w:trPr/>
        <w:tc>
          <w:tcPr>
            <w:tcW w:w="3214"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Investment Holdings 5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Investment Holdings 6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Securitization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II,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III,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IV,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V,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 Investments VI,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Specialty L.P.</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Nimes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Oyster Point Pharma,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Powder Street,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Prestium Pharma,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Somerset Pharmaceuticals,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US 2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US Employment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US Holdings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Worldwide Holdings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Utah Acquisition Holdco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Utah Acquisition Sub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Enterprises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Holdings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Overseas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Specialty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US Holdings 4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US Holdings 5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US Supply Hub LLC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Wallace Pharmaceuticals Inc.</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ApS</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Denmark</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ApS</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Denmark</w:t>
            </w:r>
          </w:p>
        </w:tc>
      </w:tr>
      <w:tr>
        <w:trPr/>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Pfizer Africa &amp; Middle East for Pharmaceuticals, Veterinarian Products &amp; Chemicals S.A.E.</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Egypt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99" w:type="dxa"/>
        <w:jc w:val="left"/>
        <w:tblInd w:w="0" w:type="dxa"/>
        <w:tblLayout w:type="fixed"/>
        <w:tblCellMar>
          <w:top w:w="28" w:type="dxa"/>
          <w:left w:w="28" w:type="dxa"/>
          <w:bottom w:w="28" w:type="dxa"/>
          <w:right w:w="28" w:type="dxa"/>
        </w:tblCellMar>
      </w:tblPr>
      <w:tblGrid>
        <w:gridCol w:w="1399"/>
        <w:gridCol w:w="1233"/>
        <w:gridCol w:w="1238"/>
        <w:gridCol w:w="534"/>
        <w:gridCol w:w="534"/>
        <w:gridCol w:w="761"/>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Egypt S.A.E.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Egypt</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 Care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Egypt</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Agila Specialties Investments Limited</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Generics (U.K.) Limited</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Acquisition Limited</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Acquisition 2 Limited</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Ltd.</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UK Limited</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Products Limited</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UK 2 Ltd.</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UK Limited</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UK Healthcare Limited</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OÜ</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Estonia</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Oy</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Finland</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Laboratoires Madaus S.A.S.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Holding S.A.S.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Manufacturing S.A.S.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S.A.S.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Generics France Holding S.A.S.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Laboratories S.A.S.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Rottapharm S.A.S.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Medical</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Sante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Up</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Erste Madaus Beteiligungs GmbH</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Madaus GmbH</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Germany Holding GmbH</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Manufacturing GmbH</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GmbH &amp; Co. KG</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MWB Pharma GmbH</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dura GmbH</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Germany GmbH</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838" w:type="dxa"/>
        <w:jc w:val="left"/>
        <w:tblInd w:w="0" w:type="dxa"/>
        <w:tblLayout w:type="fixed"/>
        <w:tblCellMar>
          <w:top w:w="28" w:type="dxa"/>
          <w:left w:w="28" w:type="dxa"/>
          <w:bottom w:w="28" w:type="dxa"/>
          <w:right w:w="28" w:type="dxa"/>
        </w:tblCellMar>
      </w:tblPr>
      <w:tblGrid>
        <w:gridCol w:w="2012"/>
        <w:gridCol w:w="1767"/>
        <w:gridCol w:w="1770"/>
        <w:gridCol w:w="377"/>
        <w:gridCol w:w="377"/>
        <w:gridCol w:w="535"/>
      </w:tblGrid>
      <w:tr>
        <w:trPr/>
        <w:tc>
          <w:tcPr>
            <w:tcW w:w="201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Pharmazeutische Union GmbH</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PharmLog Pharma Logistik GmbH</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ROTTAPHARM | MADAUS GmbH</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GmbH</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GmbH</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 GmbH</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Zweite Madaus Beteiligungs GmbH</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4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5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6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7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8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(Gibraltar) 9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Gibraltar</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Hellas Pharmaceutical Limited Liability Company</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Greece</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 Hong Kong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Hong Kong</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Hong Kong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Hong Kong</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Kft.</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Hungary</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Hungary Kft.</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Hungary</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Services Kft.</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Hungary</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Institutional Inc.</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Illinois</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Famy Life Sciences Private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India</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Laboratories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India</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Private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India</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Senador Laboratories Private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India</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Tianish Laboratories Private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India</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McDermott Laboratories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Health Sales Ireland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Investments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IRE Healthcare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Ireland Investment Designated Activity Company</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Ireland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Acquisition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Group Limited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00" w:type="dxa"/>
        <w:jc w:val="left"/>
        <w:tblInd w:w="0" w:type="dxa"/>
        <w:tblLayout w:type="fixed"/>
        <w:tblCellMar>
          <w:top w:w="28" w:type="dxa"/>
          <w:left w:w="28" w:type="dxa"/>
          <w:bottom w:w="28" w:type="dxa"/>
          <w:right w:w="28" w:type="dxa"/>
        </w:tblCellMar>
      </w:tblPr>
      <w:tblGrid>
        <w:gridCol w:w="1456"/>
        <w:gridCol w:w="1278"/>
        <w:gridCol w:w="1285"/>
        <w:gridCol w:w="403"/>
        <w:gridCol w:w="403"/>
        <w:gridCol w:w="575"/>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Holdings Limited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Limited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Teoranta</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Rottapharm Limited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Manufacturing Ireland Unlimited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Limited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Limited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DERMOGROUP S.r.l.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S.p.A.</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Italia S.r.l.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S.p.A.</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Rottapharm S.p.A.</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 S.r.l.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G.K.</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Japan</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Seiyaku Ltd.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Japan</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Japan Inc.</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Japan</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SIA “Meda Pharma”</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Latvia</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SIA</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Latvia</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UAB</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Lithuania</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S.à 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Integral S.A.</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S.à 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1 S.à 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2 S.à 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3 S.à 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6 S.à 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7 S.à 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Luxembourg S.à 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SIM S.A.</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 Lux Newco S.à r.l.</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Healthcare Sdn. Bhd.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Malaysia</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Pfizer Parke Davis Sdn. Bhd.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Malaysia</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Sdn. Bhd.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Malaysia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93" w:type="dxa"/>
        <w:jc w:val="left"/>
        <w:tblInd w:w="0" w:type="dxa"/>
        <w:tblLayout w:type="fixed"/>
        <w:tblCellMar>
          <w:top w:w="28" w:type="dxa"/>
          <w:left w:w="28" w:type="dxa"/>
          <w:bottom w:w="28" w:type="dxa"/>
          <w:right w:w="28" w:type="dxa"/>
        </w:tblCellMar>
      </w:tblPr>
      <w:tblGrid>
        <w:gridCol w:w="1613"/>
        <w:gridCol w:w="1418"/>
        <w:gridCol w:w="1423"/>
        <w:gridCol w:w="420"/>
        <w:gridCol w:w="420"/>
        <w:gridCol w:w="599"/>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MP Laboratories (Mauritius) Ltd.</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Mauritius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Phama, S. de R.L. de C.V.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Servicios, S. de R.L. de C.V.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Mexico S. de R.L. de C.V.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S.A.S.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Morocco</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Group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Healthcare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II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Manufacturing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Ireland Holding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Mexico Holding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Philippines Holding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Enterprise Holding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Holding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Turkey Holding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Belgium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EESV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Europe Holdings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Export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Finance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Global Holdings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Group Holdings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Intermediate Holdings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International Holdings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Vietnam Dutch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Netherlands B.V.</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FamyGen Life Sciences, Inc.</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Nevada</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Agila Specialties Inc.</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Jersey</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Zealand</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New Zealand ULC</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Zealand</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Limited</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Zealand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683" w:type="dxa"/>
        <w:jc w:val="left"/>
        <w:tblInd w:w="0" w:type="dxa"/>
        <w:tblLayout w:type="fixed"/>
        <w:tblCellMar>
          <w:top w:w="28" w:type="dxa"/>
          <w:left w:w="28" w:type="dxa"/>
          <w:bottom w:w="28" w:type="dxa"/>
          <w:right w:w="28" w:type="dxa"/>
        </w:tblCellMar>
      </w:tblPr>
      <w:tblGrid>
        <w:gridCol w:w="2435"/>
        <w:gridCol w:w="2140"/>
        <w:gridCol w:w="2144"/>
        <w:gridCol w:w="572"/>
        <w:gridCol w:w="572"/>
        <w:gridCol w:w="820"/>
      </w:tblGrid>
      <w:tr>
        <w:trPr/>
        <w:tc>
          <w:tcPr>
            <w:tcW w:w="2435"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Pty Ltd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Nigeria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Health Management LLC</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North Carolina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AS</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Norway</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ZpearPoint AS</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Norway</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MLRE LLC</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Sub Inc.</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Inc.</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Synerx Pharma, LLC</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Inc.</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Philippines</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Inc.</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Philippines</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EPD Sp. z o.o.</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Poland</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Healthcare Sp. z o.o.</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Poland</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Unipessoal, LDA</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Portugal</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Laboratorios Anova - Produtos Farmaceuticos, LDA</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Portugal</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Laboratorios Delta, S.A.</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Portugal</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Lda.</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Portugal</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Lda</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Portugal</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S.r.l.</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Romania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LLC</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Russian Federation</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LLC</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Russian Federation</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Arabia Limited “LLC”</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Saudi Arabia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Drustvo SA Ogranicenom Odgovornoscu Beograd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Serbia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Pte. Ltd.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Asia Pacific Pte Ltd.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Private Limited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Singapore Pte Ltd.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spol. s.r.o.</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Slovakia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s.r.o.</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Slovakia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Slovakia s.r.o.</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Slovakia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farmacevtsko podjetje, d.o.o.</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Slovenia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South Africa (Pty) Limited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(Pty) Ltd.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99" w:type="dxa"/>
        <w:jc w:val="left"/>
        <w:tblInd w:w="0" w:type="dxa"/>
        <w:tblLayout w:type="fixed"/>
        <w:tblCellMar>
          <w:top w:w="28" w:type="dxa"/>
          <w:left w:w="28" w:type="dxa"/>
          <w:bottom w:w="28" w:type="dxa"/>
          <w:right w:w="28" w:type="dxa"/>
        </w:tblCellMar>
      </w:tblPr>
      <w:tblGrid>
        <w:gridCol w:w="1570"/>
        <w:gridCol w:w="1381"/>
        <w:gridCol w:w="1383"/>
        <w:gridCol w:w="400"/>
        <w:gridCol w:w="400"/>
        <w:gridCol w:w="565"/>
      </w:tblGrid>
      <w:tr>
        <w:trPr/>
        <w:tc>
          <w:tcPr>
            <w:tcW w:w="15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SCP Pharmaceuticals (Proprietary) Limited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Upjohn South Africa Proprietary Limited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(Pty) Ltd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South Africa (Proprietary) Limited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South Africa</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Korea</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South Korea</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Fundacion Viatris para la Salud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Spain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S.L.</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Spain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Pharmaceuticals, S.L.</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Spain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Abbex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Ipex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Ipex Medical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OTC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Sweden Holdings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Recip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Scandinavian Pharmaceuticals-Generics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AB</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Operations GmbH</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BGP Products Switzerland GmbH</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GmbH</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Pharmaceuticals Switzerland GmbH</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Holdings GmbH</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 GmbH</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 GmbH</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(Taiwan) Limited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Taiwan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Pharmaceutical Company Limited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Taiwan</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DPT Laboratories, Ltd.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Texas</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Bertek Pharmaceuticals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Texas</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(Thailand) Co., Ltd.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Thailand</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Healthcare (Thailand) Limited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Thailand</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(Thailand) Limited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Thailand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44" w:type="dxa"/>
        <w:jc w:val="left"/>
        <w:tblInd w:w="0" w:type="dxa"/>
        <w:tblLayout w:type="fixed"/>
        <w:tblCellMar>
          <w:top w:w="28" w:type="dxa"/>
          <w:left w:w="28" w:type="dxa"/>
          <w:bottom w:w="28" w:type="dxa"/>
          <w:right w:w="28" w:type="dxa"/>
        </w:tblCellMar>
      </w:tblPr>
      <w:tblGrid>
        <w:gridCol w:w="1820"/>
        <w:gridCol w:w="1597"/>
        <w:gridCol w:w="1608"/>
        <w:gridCol w:w="648"/>
        <w:gridCol w:w="648"/>
        <w:gridCol w:w="923"/>
      </w:tblGrid>
      <w:tr>
        <w:trPr/>
        <w:tc>
          <w:tcPr>
            <w:tcW w:w="182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 Ilaç Sanayi ve Ticaret Limited Sirketi</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Turkey</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Ilaclari Limited Sirketi</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Turkey</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Meda Pharmaceuticals MEA FZ-LLC</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Arab Emirates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FZ-LLC</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Arab Emirates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Middle East FZ-LLC</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Arab Emirates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American Triumvirate Insurance Company</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Vermont</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International Holdings, Inc.</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Vermont</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Vietnam Limited Company</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Vietnam</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MP AIR, Inc.</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West Virginia</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Pharmaceuticals Inc.</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West Virginia</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Technologies, Inc.</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West Virginia</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Mylan ASI LLC</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Wyoming</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List of Subsidiary Guarantors and Issuers of Guaranteed Securities</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December 31, 2023, Viatris Inc., a Delaware corporation (“Viatris”), Mylan Inc., a Pennsylvania corporation (“Mylan Inc.”), and Mylan II B.V., a company incorporated under the laws of the Netherlands (“Mylan II”), were the guarantors of the 3.950% Senior Notes due 2026 and 5.250% Senior Notes due 2046 issued by Utah Acquisition Sub Inc., a Delaware corporation (“Utah”).</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December 31, 2023, Viatris, Utah and Mylan II were the guarantors of the 4.550% Senior Notes due 2028, 5.400% Senior Notes due 2043 and 5.200% Senior Notes due 2048 issued by Mylan Inc.</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As of December 31, 2023, Utah, Mylan Inc. and Mylan II were the guarantors of the 1.650% Senior Notes due 2025,</w:t>
      </w:r>
      <w:r>
        <w:rPr>
          <w:color w:val="000000"/>
        </w:rPr>
        <w:t xml:space="preserve"> </w:t>
      </w:r>
      <w:r>
        <w:rPr>
          <w:rFonts w:ascii="Times New Roman;sans-serif" w:hAnsi="Times New Roman;sans-serif"/>
          <w:b w:val="false"/>
          <w:color w:val="000000"/>
          <w:sz w:val="24"/>
        </w:rPr>
        <w:t>2.300% Senior Notes due 2027, 2.700% Senior Notes due 2030, 3.850% Senior Notes due 2040 and 4.000% Senior Notes due 2050 issued by Viatris.</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75" w:after="283"/>
        <w:jc w:val="right"/>
        <w:rPr>
          <w:rFonts w:ascii="Times New Roman;sans-serif" w:hAnsi="Times New Roman;sans-serif"/>
          <w:b/>
          <w:color w:val="000000"/>
          <w:sz w:val="22"/>
        </w:rPr>
      </w:pPr>
      <w:r>
        <w:rPr>
          <w:rFonts w:ascii="Times New Roman;sans-serif" w:hAnsi="Times New Roman;sans-serif"/>
          <w:b/>
          <w:color w:val="000000"/>
          <w:sz w:val="22"/>
        </w:rPr>
        <w:t>Exhibit 23</w:t>
      </w:r>
    </w:p>
    <w:p>
      <w:pPr>
        <w:pStyle w:val="TextBody"/>
        <w:bidi w:val="0"/>
        <w:spacing w:before="75" w:after="283"/>
        <w:jc w:val="left"/>
        <w:rPr/>
      </w:pPr>
      <w:r>
        <w:rPr/>
      </w:r>
    </w:p>
    <w:p>
      <w:pPr>
        <w:pStyle w:val="TextBody"/>
        <w:bidi w:val="0"/>
        <w:spacing w:lineRule="auto" w:line="288" w:before="75" w:after="283"/>
        <w:jc w:val="left"/>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16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Registration Statement Nos. 333-250845 and 333-270274 on Form S-8, Registration Statement No. 333-264760 on Form S-3ASR and Registration Statement No. 333-264762 on Form S-3 of our reports dated February 28, 2024, relating to the consolidated financial statements of Viatris Inc. (the “Company”) and the effectiveness of the Company's internal control over financial reporting appearing in this Annual Report on Form 10-K for the year ended December 31, 2023.</w:t>
      </w:r>
    </w:p>
    <w:p>
      <w:pPr>
        <w:pStyle w:val="TextBody"/>
        <w:bidi w:val="0"/>
        <w:spacing w:before="0" w:after="0"/>
        <w:jc w:val="left"/>
        <w:rPr/>
      </w:pPr>
      <w:r>
        <w:rPr/>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/s/ Deloitte &amp; Touche LLP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Pittsburgh, Pennsylvania</w:t>
      </w:r>
    </w:p>
    <w:p>
      <w:pPr>
        <w:pStyle w:val="TextBody"/>
        <w:bidi w:val="0"/>
        <w:spacing w:lineRule="auto" w:line="417"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February 28,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A. Smith, certify that: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Form 10-K of Viatris Inc.;</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847" w:type="dxa"/>
        <w:jc w:val="left"/>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2024 </w:t>
      </w:r>
    </w:p>
    <w:p>
      <w:pPr>
        <w:pStyle w:val="TextBody"/>
        <w:bidi w:val="0"/>
        <w:spacing w:before="28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Sanjeev Narula, certify that: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Form 10-K of Viatris Inc.;</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861" w:type="dxa"/>
        <w:jc w:val="left"/>
        <w:tblInd w:w="0" w:type="dxa"/>
        <w:tblLayout w:type="fixed"/>
        <w:tblCellMar>
          <w:top w:w="28" w:type="dxa"/>
          <w:left w:w="28" w:type="dxa"/>
          <w:bottom w:w="28" w:type="dxa"/>
          <w:right w:w="28" w:type="dxa"/>
        </w:tblCellMar>
      </w:tblPr>
      <w:tblGrid>
        <w:gridCol w:w="124"/>
        <w:gridCol w:w="109"/>
        <w:gridCol w:w="109"/>
        <w:gridCol w:w="738"/>
        <w:gridCol w:w="738"/>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PRINCIPAL EXECUTIVE OFFICER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Form 10-K of Viatris Inc. (the “Company”) for the year ended December 31, 2023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2024 </w:t>
      </w:r>
    </w:p>
    <w:tbl>
      <w:tblPr>
        <w:tblW w:w="2847" w:type="dxa"/>
        <w:jc w:val="left"/>
        <w:tblInd w:w="0" w:type="dxa"/>
        <w:tblLayout w:type="fixed"/>
        <w:tblCellMar>
          <w:top w:w="28" w:type="dxa"/>
          <w:left w:w="28" w:type="dxa"/>
          <w:bottom w:w="28" w:type="dxa"/>
          <w:right w:w="28" w:type="dxa"/>
        </w:tblCellMar>
      </w:tblPr>
      <w:tblGrid>
        <w:gridCol w:w="124"/>
        <w:gridCol w:w="109"/>
        <w:gridCol w:w="109"/>
        <w:gridCol w:w="734"/>
        <w:gridCol w:w="734"/>
        <w:gridCol w:w="10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Scott A. Smith</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before="0" w:after="0"/>
        <w:jc w:val="left"/>
        <w:rPr>
          <w:color w:val="000000"/>
        </w:rPr>
      </w:pPr>
      <w:r>
        <w:rPr>
          <w:color w:val="000000"/>
        </w:rPr>
        <w:t>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8"/>
        <w:gridCol w:w="738"/>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Sanjeev Narula</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in accordance with Securities and Exchange Commission Release No. 34-47551 and shall not be considered filed as part of the Form 10-K.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97</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Viatris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Incentive-Based Compensation Recovery Policy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Effective December 1, 2023</w:t>
      </w:r>
    </w:p>
    <w:p>
      <w:pPr>
        <w:pStyle w:val="TextBody"/>
        <w:bidi w:val="0"/>
        <w:spacing w:lineRule="auto" w:line="240" w:before="0" w:after="240"/>
        <w:jc w:val="both"/>
        <w:rPr/>
      </w:pPr>
      <w:r>
        <w:rPr>
          <w:rFonts w:ascii="Times New Roman;sans-serif" w:hAnsi="Times New Roman;sans-serif"/>
          <w:b/>
          <w:color w:val="000000"/>
          <w:sz w:val="24"/>
          <w:u w:val="single"/>
        </w:rPr>
        <w:t>Scope</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val="false"/>
          <w:color w:val="000000"/>
          <w:sz w:val="24"/>
        </w:rPr>
        <w:t>This Incentive-Based Compensation Recovery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of Viatris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applies to each Specified Officer as set forth herein.</w:t>
      </w:r>
    </w:p>
    <w:p>
      <w:pPr>
        <w:pStyle w:val="TextBody"/>
        <w:bidi w:val="0"/>
        <w:spacing w:lineRule="auto" w:line="240" w:before="0" w:after="240"/>
        <w:jc w:val="both"/>
        <w:rPr/>
      </w:pPr>
      <w:r>
        <w:rPr>
          <w:rFonts w:ascii="Times New Roman;sans-serif" w:hAnsi="Times New Roman;sans-serif"/>
          <w:b/>
          <w:color w:val="000000"/>
          <w:sz w:val="24"/>
          <w:u w:val="single"/>
        </w:rPr>
        <w:t>Purpose</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val="false"/>
          <w:color w:val="000000"/>
          <w:sz w:val="24"/>
        </w:rPr>
        <w:t>To establish a policy providing for the recovery of erroneously awarded incentive-based compensation as required by Section 10D of the Securities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Rule 10D-1 under the Exchange Act and the applicable NASDAQ listing rules (the “</w:t>
      </w:r>
      <w:r>
        <w:rPr>
          <w:rFonts w:ascii="Times New Roman;sans-serif" w:hAnsi="Times New Roman;sans-serif"/>
          <w:b w:val="false"/>
          <w:color w:val="000000"/>
          <w:sz w:val="24"/>
          <w:u w:val="single"/>
        </w:rPr>
        <w:t>NASDAQ Standards</w:t>
      </w:r>
      <w:r>
        <w:rPr>
          <w:color w:val="000000"/>
        </w:rPr>
        <w:t>”</w:t>
      </w:r>
      <w:r>
        <w:rPr>
          <w:rFonts w:ascii="Times New Roman;sans-serif" w:hAnsi="Times New Roman;sans-serif"/>
          <w:b w:val="false"/>
          <w:color w:val="000000"/>
          <w:sz w:val="24"/>
        </w:rPr>
        <w:t>) (collectively, the “</w:t>
      </w:r>
      <w:r>
        <w:rPr>
          <w:rFonts w:ascii="Times New Roman;sans-serif" w:hAnsi="Times New Roman;sans-serif"/>
          <w:b w:val="false"/>
          <w:color w:val="000000"/>
          <w:sz w:val="24"/>
          <w:u w:val="single"/>
        </w:rPr>
        <w:t>Recovery Rules</w:t>
      </w:r>
      <w:r>
        <w:rPr>
          <w:color w:val="000000"/>
        </w:rPr>
        <w:t>”</w:t>
      </w:r>
      <w:r>
        <w:rPr>
          <w:rFonts w:ascii="Times New Roman;sans-serif" w:hAnsi="Times New Roman;sans-serif"/>
          <w:b w:val="false"/>
          <w:color w:val="000000"/>
          <w:sz w:val="24"/>
        </w:rPr>
        <w:t>). This Policy is intended to apply independently of all other clawback, recoupment or forfeiture policies, agreements or other arrangements of the Company (including the Company’s Clawback Policy) (collectively, “</w:t>
      </w:r>
      <w:r>
        <w:rPr>
          <w:rFonts w:ascii="Times New Roman;sans-serif" w:hAnsi="Times New Roman;sans-serif"/>
          <w:b w:val="false"/>
          <w:color w:val="000000"/>
          <w:sz w:val="24"/>
          <w:u w:val="single"/>
        </w:rPr>
        <w:t>Other Clawback Policies</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color w:val="000000"/>
          <w:sz w:val="24"/>
          <w:u w:val="single"/>
        </w:rPr>
        <w:t>Administration</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val="false"/>
          <w:color w:val="000000"/>
          <w:sz w:val="24"/>
        </w:rPr>
        <w:t>This Policy shall be administered by the Compensation Committee of the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of the Company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The Compensation Committee shall have the full power and authority to interpret, and make determinations under, this Policy consistent with the Recovery Rules. All determinations and decisions made by the Compensation Committee pursuant to this Policy shall be final, conclusive and binding on all persons, including each member of the Company Group, its respective affiliates, stockholders and employees. Any action or inaction by the Compensation Committee with respect to a Specified Officer under this Policy shall in no way limit the Compensation Committee’s actions or decisions not to act with respect to any other Specified Officer under this Policy or Other Clawback Policies, nor shall any such action or inaction serve as a waiver of any other rights the Company may have against any Specified Officer. In the absence of the Compensation Committee, a majority of the independent directors serving on the Board shall administer this Policy as set forth in this paragraph.</w:t>
      </w:r>
    </w:p>
    <w:p>
      <w:pPr>
        <w:pStyle w:val="TextBody"/>
        <w:bidi w:val="0"/>
        <w:spacing w:lineRule="auto" w:line="240" w:before="0" w:after="240"/>
        <w:jc w:val="both"/>
        <w:rPr/>
      </w:pPr>
      <w:r>
        <w:rPr>
          <w:rFonts w:ascii="Times New Roman;sans-serif" w:hAnsi="Times New Roman;sans-serif"/>
          <w:b/>
          <w:color w:val="000000"/>
          <w:sz w:val="24"/>
          <w:u w:val="single"/>
        </w:rPr>
        <w:t>Policy</w:t>
      </w:r>
      <w:r>
        <w:rPr>
          <w:rFonts w:ascii="Times New Roman;sans-serif" w:hAnsi="Times New Roman;sans-serif"/>
          <w:b w:val="false"/>
          <w:color w:val="000000"/>
          <w:sz w:val="24"/>
        </w:rPr>
        <w:t>:</w:t>
      </w:r>
    </w:p>
    <w:p>
      <w:pPr>
        <w:pStyle w:val="TextBody"/>
        <w:bidi w:val="0"/>
        <w:spacing w:lineRule="auto" w:line="240"/>
        <w:jc w:val="both"/>
        <w:rPr/>
      </w:pPr>
      <w:r>
        <w:rPr>
          <w:rFonts w:ascii="Times New Roman;sans-serif" w:hAnsi="Times New Roman;sans-serif"/>
          <w:b w:val="false"/>
          <w:color w:val="000000"/>
          <w:sz w:val="24"/>
        </w:rPr>
        <w:t xml:space="preserve">In the event that the Company is required to prepare a Covered Financial Restatement, the Company shall, on a reasonably prompt basis, recover any Erroneously Awarded Compensation received by a Specified Officer during the three completed fiscal years immediately preceding the applicable Triggering Date and any transition period (that results from a change in the Company’s fiscal year) within or immediately following those three completed fiscal years;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transition period between the last day of the Company’s previous fiscal year end and the first day of its new fiscal year that comprises a period of nine to 12 months shall be considered a completed fiscal year for purposes of this Policy. The Company’s obligation to recover Erroneously Awarded Compensation from a Specified Officer is not dependent on if, or when, the applicable restated financial statements are filed. Unless otherwise specified by the Compensation Committee, a Specified Officer shall be required to forfeit or repay the Erroneously Awarded Compensation within 90 days following the date he or she is informed that he or she holds or has received Erroneously Awarded Compensation from the Company Group. For the avoidance of doubt, any action by the Company to recover Erroneously Awarded Compensation under this Policy from a Specified Officer shall not, whether alone or in </w:t>
      </w:r>
    </w:p>
    <w:p>
      <w:pPr>
        <w:pStyle w:val="TextBody"/>
        <w:bidi w:val="0"/>
        <w:spacing w:before="0" w:after="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50520"/>
                <wp:effectExtent l="0" t="0" r="0" b="0"/>
                <wp:wrapNone/>
                <wp:docPr id="245" name="Frame2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combination with any other action, event or condition, be deemed (1) “good reason” or term of similar import or to serve as a basis for a claim of constructive termination under any benefit or compensation arrangement applicable to such Specified Officer or (2) to constitute a breach of a contract or other arrangement to which such Specified Officer is party.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Subject to the Recovery Rules, the Compensation Committee shall have discretion to determine the method by which Erroneously Awarded Compensation shall be recovered from the applicable Specified Officers;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to the extent the applicable Erroneously Awarded Compensation consists of amounts that have been received by, but not yet paid to, such Specified Officer, such unpaid amounts shall be forfeited and (ii) to the extent any remaining Erroneously Awarded Compensation consists of amounts paid to such Specified Officer in cash or shares of Company common stock that are still held by such Specified Officer, such Specified Officer shall be entitled to repay such amount either in cash or such shares of Company common stock, as applicable. For the avoidance of doubt, any Erroneously Awarded Compensation received by a Specified Officer that has subsequently been forfeited prior to payment thereof (including as a result of termination of employment or breach of contract) shall be deemed to have been repaid in accordance with this Policy. To the extent that the application of this Policy would provide for recovery of Erroneously Awarded Compensation that the Company recovers pursuant to Section 304 of the Sarbanes-Oxley Act of 2002 or Other Clawback Policies, the amount the relevant Specified Officer has already reimbursed the Company will be credited to the required recovery under this Policy.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must recover Erroneously Awarded Compensation pursuant to this Policy, except to the extent the conditions of (1), (2) or (3) of this sentence are satisfied, including the Company’s compliance with any additional requirements set forth in the applicable Recovery Rules related thereto, and the Compensation Committee has made a determination that recovery would be impracticable: (1) the direct expense paid to a third party to assist in enforcing this Policy would exceed the amount to be recovered; (2) recovery would violate home country law where the applicable law was adopted prior to November 28, 2022; or (3)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only apply to Incentive-Based Compensation received on or after October 2, 2023.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not limit the rights of the Company to take any other actions or pursue other remedies that the Company may deem appropriate under the circumstances and under applicable law.</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4"/>
          <w:u w:val="single"/>
        </w:rPr>
        <w:t>Definitions</w:t>
      </w:r>
      <w:r>
        <w:rPr>
          <w:rFonts w:ascii="Times New Roman;sans-serif" w:hAnsi="Times New Roman;sans-serif"/>
          <w:b w:val="false"/>
          <w:color w:val="000000"/>
          <w:sz w:val="24"/>
        </w:rPr>
        <w:t>:</w:t>
      </w:r>
    </w:p>
    <w:p>
      <w:pPr>
        <w:pStyle w:val="TextBody"/>
        <w:bidi w:val="0"/>
        <w:spacing w:lineRule="auto" w:line="240" w:before="0" w:after="0"/>
        <w:jc w:val="both"/>
        <w:rPr/>
      </w:pPr>
      <w:r>
        <w:rPr>
          <w:color w:val="000000"/>
        </w:rPr>
        <w:t>“</w:t>
      </w:r>
      <w:r>
        <w:rPr>
          <w:rFonts w:ascii="Times New Roman;sans-serif" w:hAnsi="Times New Roman;sans-serif"/>
          <w:b w:val="false"/>
          <w:color w:val="000000"/>
          <w:sz w:val="24"/>
          <w:u w:val="single"/>
        </w:rPr>
        <w:t>Company Group</w:t>
      </w:r>
      <w:r>
        <w:rPr>
          <w:color w:val="000000"/>
        </w:rPr>
        <w:t xml:space="preserve">” </w:t>
      </w:r>
      <w:r>
        <w:rPr>
          <w:rFonts w:ascii="Times New Roman;sans-serif" w:hAnsi="Times New Roman;sans-serif"/>
          <w:b w:val="false"/>
          <w:color w:val="000000"/>
          <w:sz w:val="24"/>
        </w:rPr>
        <w:t>means the Company, collectively with each of its direct and indirect subsidiaries.</w:t>
      </w:r>
    </w:p>
    <w:p>
      <w:pPr>
        <w:pStyle w:val="TextBody"/>
        <w:bidi w:val="0"/>
        <w:spacing w:before="0" w:after="0"/>
        <w:jc w:val="both"/>
        <w:rPr/>
      </w:pPr>
      <w:r>
        <w:rPr/>
      </w:r>
    </w:p>
    <w:p>
      <w:pPr>
        <w:pStyle w:val="TextBody"/>
        <w:bidi w:val="0"/>
        <w:spacing w:lineRule="auto" w:line="240"/>
        <w:jc w:val="both"/>
        <w:rPr/>
      </w:pPr>
      <w:r>
        <w:rPr>
          <w:color w:val="000000"/>
        </w:rPr>
        <w:t>“</w:t>
      </w:r>
      <w:r>
        <w:rPr>
          <w:rFonts w:ascii="Times New Roman;sans-serif" w:hAnsi="Times New Roman;sans-serif"/>
          <w:b w:val="false"/>
          <w:color w:val="000000"/>
          <w:sz w:val="24"/>
          <w:u w:val="single"/>
        </w:rPr>
        <w:t>Covered Financial Restatement</w:t>
      </w:r>
      <w:r>
        <w:rPr>
          <w:color w:val="000000"/>
        </w:rPr>
        <w:t xml:space="preserve">” </w:t>
      </w:r>
      <w:r>
        <w:rPr>
          <w:rFonts w:ascii="Times New Roman;sans-serif" w:hAnsi="Times New Roman;sans-serif"/>
          <w:b w:val="false"/>
          <w:color w:val="000000"/>
          <w:sz w:val="24"/>
        </w:rPr>
        <w:t xml:space="preserve">means an accounting restatement due to the material noncompliance by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following shall not constitute a Covered Financial Restatement: (1) out-of-period adjustments; (2) retrospective application of a change in accounting principle; (3) retrospective revision to reportable segment information due to a change in the structure of the internal organization of the Company Group; (4) retrospective </w:t>
      </w:r>
    </w:p>
    <w:p>
      <w:pPr>
        <w:pStyle w:val="TextBody"/>
        <w:bidi w:val="0"/>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50520"/>
                <wp:effectExtent l="0" t="0" r="0" b="0"/>
                <wp:wrapNone/>
                <wp:docPr id="246" name="Frame2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reclassification due to a discontinued operation; (5) retrospective application of a change in reporting entity, such as from a reorganization of entities under common control; and (6) retrospective revision for stock splits, reverse stock splits, stock dividends or other change in capital structure.</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color w:val="000000"/>
          <w:sz w:val="24"/>
          <w:u w:val="single"/>
        </w:rPr>
        <w:t>Erroneously Awarded Compensation</w:t>
      </w:r>
      <w:r>
        <w:rPr>
          <w:color w:val="000000"/>
        </w:rPr>
        <w:t xml:space="preserve">” </w:t>
      </w:r>
      <w:r>
        <w:rPr>
          <w:rFonts w:ascii="Times New Roman;sans-serif" w:hAnsi="Times New Roman;sans-serif"/>
          <w:b w:val="false"/>
          <w:color w:val="000000"/>
          <w:sz w:val="24"/>
        </w:rPr>
        <w:t>means the amount of Incentive-Based Compensation received by a person who was an Executive Officer at any time during the applicable performance period for such Incentive-Based Compensation and which was received by such person on or after the date of becoming an Executive Officer (such person, a “</w:t>
      </w:r>
      <w:r>
        <w:rPr>
          <w:rFonts w:ascii="Times New Roman;sans-serif" w:hAnsi="Times New Roman;sans-serif"/>
          <w:b w:val="false"/>
          <w:color w:val="000000"/>
          <w:sz w:val="24"/>
          <w:u w:val="single"/>
        </w:rPr>
        <w:t>Specified Officer</w:t>
      </w:r>
      <w:r>
        <w:rPr>
          <w:color w:val="000000"/>
        </w:rPr>
        <w:t>”</w:t>
      </w:r>
      <w:r>
        <w:rPr>
          <w:rFonts w:ascii="Times New Roman;sans-serif" w:hAnsi="Times New Roman;sans-serif"/>
          <w:b w:val="false"/>
          <w:color w:val="000000"/>
          <w:sz w:val="24"/>
        </w:rPr>
        <w:t>) from any member of the Company Group that exceeds the amount of Incentive-Based Compensation that otherwise would have been received had it been determined based on the restated Financial Reporting Measure following the completion of a Covered Financial Restatement, and must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(1) the amount shall be based on a reasonable estimate of the effect of the accounting restatement on the stock price or total shareholder return upon which the Incentive-Based Compensation was received and (2) the Company must maintain documentation of the determination of that reasonable estimate and provide such documentation to NASDAQ. For the avoidance of doubt, Erroneously Awarded Compensation may include Incentive-Based Compensation received by a person after such person ceases to be an Executive Officer, including a former employee of the Company Group.</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color w:val="000000"/>
          <w:sz w:val="24"/>
          <w:u w:val="single"/>
        </w:rPr>
        <w:t>Executive Officer</w:t>
      </w:r>
      <w:r>
        <w:rPr>
          <w:color w:val="000000"/>
        </w:rPr>
        <w:t xml:space="preserve">” </w:t>
      </w:r>
      <w:r>
        <w:rPr>
          <w:rFonts w:ascii="Times New Roman;sans-serif" w:hAnsi="Times New Roman;sans-serif"/>
          <w:b w:val="false"/>
          <w:color w:val="000000"/>
          <w:sz w:val="24"/>
        </w:rPr>
        <w:t>means an “executive officer” of the Company, as defined in Rule 10D-1.</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color w:val="000000"/>
          <w:sz w:val="24"/>
          <w:u w:val="single"/>
        </w:rPr>
        <w:t>Financial Reporting Measures</w:t>
      </w:r>
      <w:r>
        <w:rPr>
          <w:color w:val="000000"/>
        </w:rPr>
        <w:t xml:space="preserve">” </w:t>
      </w:r>
      <w:r>
        <w:rPr>
          <w:rFonts w:ascii="Times New Roman;sans-serif" w:hAnsi="Times New Roman;sans-serif"/>
          <w:b w:val="false"/>
          <w:color w:val="000000"/>
          <w:sz w:val="24"/>
        </w:rPr>
        <w:t>mean measures that are determined and presented in accordance with the accounting principles used in preparing the Company Group’s financial statements, and any measures that are derived wholly or in part from such measures, including stock price and other measures based on stock price such as total shareholder return. A Financial Reporting Measure need not be presented within the financial statements or included in a filing with the Securities and Exchange Commission.</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color w:val="000000"/>
          <w:sz w:val="24"/>
          <w:u w:val="single"/>
        </w:rPr>
        <w:t>Incentive-Based Compensation</w:t>
      </w:r>
      <w:r>
        <w:rPr>
          <w:color w:val="000000"/>
        </w:rPr>
        <w:t xml:space="preserve">” </w:t>
      </w:r>
      <w:r>
        <w:rPr>
          <w:rFonts w:ascii="Times New Roman;sans-serif" w:hAnsi="Times New Roman;sans-serif"/>
          <w:b w:val="false"/>
          <w:color w:val="000000"/>
          <w:sz w:val="24"/>
        </w:rPr>
        <w:t>means any compensation that is granted, earned or vested based wholly or in part upon the attainment of a Financial Reporting Measure. For the avoidance of doubt, compensation that is earned solely based on service or the passage of time shall not be considered Incentive-Based Compensation for purposes of this Policy.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Incentive-Based Compensation shall be considered to be “</w:t>
      </w:r>
      <w:r>
        <w:rPr>
          <w:rFonts w:ascii="Times New Roman;sans-serif" w:hAnsi="Times New Roman;sans-serif"/>
          <w:b w:val="false"/>
          <w:color w:val="000000"/>
          <w:sz w:val="24"/>
          <w:u w:val="single"/>
        </w:rPr>
        <w:t>received</w:t>
      </w:r>
      <w:r>
        <w:rPr>
          <w:color w:val="000000"/>
        </w:rPr>
        <w:t xml:space="preserve">” </w:t>
      </w:r>
      <w:r>
        <w:rPr>
          <w:rFonts w:ascii="Times New Roman;sans-serif" w:hAnsi="Times New Roman;sans-serif"/>
          <w:b w:val="false"/>
          <w:color w:val="000000"/>
          <w:sz w:val="24"/>
        </w:rPr>
        <w:t>by a Specified Officer in the Company’s fiscal period during which the Financial Reporting Measure specified in the Incentive-Based Compensation award is achieved or attained, even if the payment, grant or certification of achievement of the Incentive-Based Compensation occurs after the end of that fiscal period.</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color w:val="000000"/>
          <w:sz w:val="24"/>
          <w:u w:val="single"/>
        </w:rPr>
        <w:t>Triggering Date</w:t>
      </w:r>
      <w:r>
        <w:rPr>
          <w:color w:val="000000"/>
        </w:rPr>
        <w:t xml:space="preserve">” </w:t>
      </w:r>
      <w:r>
        <w:rPr>
          <w:rFonts w:ascii="Times New Roman;sans-serif" w:hAnsi="Times New Roman;sans-serif"/>
          <w:b w:val="false"/>
          <w:color w:val="000000"/>
          <w:sz w:val="24"/>
        </w:rPr>
        <w:t xml:space="preserve">means the earlier to occur of (1) the date the Board, a committee of the Board, or the officer or officers of the Company authorized to take such action if Board action is not required concludes, or reasonably should have concluded, that the Company is required to prepare a Covered Financial Restatement or (2) the date a court, regulator or other legally authorized body directs the Company to prepare a Covered Financial Restatement;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recovery of Erroneously Awarded Compensation pursuant to this Policy as a result of this clause (2) shall only be required if such action by such court, regulator or other legally authorized body, as applicable, is final and non-appealable.</w:t>
      </w:r>
    </w:p>
    <w:p>
      <w:pPr>
        <w:pStyle w:val="TextBody"/>
        <w:bidi w:val="0"/>
        <w:spacing w:before="0" w:after="0"/>
        <w:jc w:val="both"/>
        <w:rPr/>
      </w:pPr>
      <w:r>
        <w:rPr/>
      </w:r>
    </w:p>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50520"/>
                <wp:effectExtent l="0" t="0" r="0" b="0"/>
                <wp:wrapNone/>
                <wp:docPr id="247" name="Frame2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4"/>
          <w:u w:val="single"/>
        </w:rPr>
        <w:t>Other Matters</w:t>
      </w:r>
      <w:r>
        <w:rPr>
          <w:rFonts w:ascii="Times New Roman;sans-serif" w:hAnsi="Times New Roman;sans-serif"/>
          <w:b w:val="false"/>
          <w:color w:val="000000"/>
          <w:sz w:val="24"/>
        </w:rPr>
        <w: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may amend this Policy from time to time in its sole and absolute discretion. This Policy and determinations and decisions made by the Compensation Committee pursuant to this Policy shall be binding and enforceable against all Specified Officers and their beneficiaries, heirs, executors, administrators or other legal representatives. This Policy shall cease to apply in the event the Company ceases to have a class of securities listed on a national securities exchange or national securities association.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governed by and construed in accordance with the laws of the Commonwealth of Pennsylvania without regard to conflicts of law thereof or of any other jurisdiction. Any dispute, controversy or claim arising out of or relating to this Policy shall be administered by and in accordance with the then-existing JAMS Comprehensive Arbitration Rules and Procedures. Any dispute regarding the scope of the arbitration (including the matters subject to arbitration and any legal issues arising in the arbitration) shall be resolved by the arbitrators. The parties shall each bear their own expenses in connection with any dispute under or relating to this Policy.</w:t>
      </w:r>
    </w:p>
    <w:p>
      <w:pPr>
        <w:pStyle w:val="TextBody"/>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50520"/>
                <wp:effectExtent l="0" t="0" r="0" b="0"/>
                <wp:wrapNone/>
                <wp:docPr id="248" name="Frame2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www.sec.gov/Archives/edgar/data/1792044/000119312520157465/d904458dex21.htm" TargetMode="External"/><Relationship Id="rId7" Type="http://schemas.openxmlformats.org/officeDocument/2006/relationships/hyperlink" Target="http://www.sec.gov/Archives/edgar/data/0001623613/000119312519205031/d775236dex22.htm" TargetMode="External"/><Relationship Id="rId8" Type="http://schemas.openxmlformats.org/officeDocument/2006/relationships/hyperlink" Target="http://www.sec.gov/Archives/edgar/data/0001623613/000162361320000018/mylex2120200331-10q.htm" TargetMode="External"/><Relationship Id="rId9" Type="http://schemas.openxmlformats.org/officeDocument/2006/relationships/hyperlink" Target="http://www.sec.gov/Archives/edgar/data/0001623613/000119312520157416/d830428dex22.htm" TargetMode="External"/><Relationship Id="rId10" Type="http://schemas.openxmlformats.org/officeDocument/2006/relationships/hyperlink" Target="http://www.sec.gov/Archives/edgar/data/0001792044/000119312520298226/d56774dex26.htm" TargetMode="External"/><Relationship Id="rId11" Type="http://schemas.openxmlformats.org/officeDocument/2006/relationships/hyperlink" Target="http://www.sec.gov/Archives/edgar/data/1792044/000119312520298226/d56774dex27.htm" TargetMode="External"/><Relationship Id="rId12" Type="http://schemas.openxmlformats.org/officeDocument/2006/relationships/hyperlink" Target="http://www.sec.gov/Archives/edgar/data/1792044/000119312522058054/d265304dex21.htm" TargetMode="External"/><Relationship Id="rId13" Type="http://schemas.openxmlformats.org/officeDocument/2006/relationships/hyperlink" Target="http://www.sec.gov/Archives/edgar/data/1792044/000095015722001253/ex2-1.htm" TargetMode="External"/><Relationship Id="rId14" Type="http://schemas.openxmlformats.org/officeDocument/2006/relationships/hyperlink" Target="http://www.sec.gov/Archives/edgar/data/1792044/000179204423000024/ex_21xvtrsx20230630.htm" TargetMode="External"/><Relationship Id="rId15" Type="http://schemas.openxmlformats.org/officeDocument/2006/relationships/hyperlink" Target="http://www.sec.gov/Archives/edgar/data/1792044/000179204423000033/ex_21xvtrsx20230930.htm" TargetMode="External"/><Relationship Id="rId16" Type="http://schemas.openxmlformats.org/officeDocument/2006/relationships/hyperlink" Target="http://www.sec.gov/Archives/edgar/data/1792044/000119312524019472/d619190dex21.htm" TargetMode="External"/><Relationship Id="rId17" Type="http://schemas.openxmlformats.org/officeDocument/2006/relationships/hyperlink" Target="http://www.sec.gov/Archives/edgar/data/1792044/000119312520298226/d56774dex31.htm" TargetMode="External"/><Relationship Id="rId18" Type="http://schemas.openxmlformats.org/officeDocument/2006/relationships/hyperlink" Target="http://www.sec.gov/Archives/edgar/data/1792044/000119312520298226/d56774dex33.htm" TargetMode="External"/><Relationship Id="rId19" Type="http://schemas.openxmlformats.org/officeDocument/2006/relationships/hyperlink" Target="http://www.sec.gov/Archives/edgar/data/1792044/000119312523296654/d662898dex31.htm" TargetMode="External"/><Relationship Id="rId20" Type="http://schemas.openxmlformats.org/officeDocument/2006/relationships/hyperlink" Target="http://www.sec.gov/Archives/edgar/data/69499/000006949912000042/exhibit_41xindenture.htm" TargetMode="External"/><Relationship Id="rId21" Type="http://schemas.openxmlformats.org/officeDocument/2006/relationships/hyperlink" Target="http://www.sec.gov/Archives/edgar/data/1623613/000119312515068819/d882101dex44.htm" TargetMode="External"/><Relationship Id="rId22" Type="http://schemas.openxmlformats.org/officeDocument/2006/relationships/hyperlink" Target="http://www.sec.gov/Archives/edgar/data/1623613/000162361315000009/myl_ex43bx20150331-10q.htm" TargetMode="External"/><Relationship Id="rId23" Type="http://schemas.openxmlformats.org/officeDocument/2006/relationships/hyperlink" Target="http://www.sec.gov/Archives/edgar/data/1792044/000119312520298236/d57281dex46.htm" TargetMode="External"/><Relationship Id="rId24" Type="http://schemas.openxmlformats.org/officeDocument/2006/relationships/hyperlink" Target="http://www.sec.gov/Archives/edgar/data/69499/000110465913087739/a13-20314_5ex4d1.htm" TargetMode="External"/><Relationship Id="rId25" Type="http://schemas.openxmlformats.org/officeDocument/2006/relationships/hyperlink" Target="http://www.sec.gov/Archives/edgar/data/69499/000110465913087739/a13-20314_5ex4d2.htm" TargetMode="External"/><Relationship Id="rId26" Type="http://schemas.openxmlformats.org/officeDocument/2006/relationships/hyperlink" Target="http://www.sec.gov/Archives/edgar/data/1623613/000119312515068819/d882101dex46.htm" TargetMode="External"/><Relationship Id="rId27" Type="http://schemas.openxmlformats.org/officeDocument/2006/relationships/hyperlink" Target="http://www.sec.gov/Archives/edgar/data/1623613/000162361315000009/myl_ex45bx20150331-10q.htm" TargetMode="External"/><Relationship Id="rId28" Type="http://schemas.openxmlformats.org/officeDocument/2006/relationships/hyperlink" Target="http://www.sec.gov/Archives/edgar/data/1792044/000119312520298236/d57281dex47.htm" TargetMode="External"/><Relationship Id="rId29" Type="http://schemas.openxmlformats.org/officeDocument/2006/relationships/hyperlink" Target="http://www.sec.gov/Archives/edgar/data/1623613/000119312516622620/d207286dex41.htm" TargetMode="External"/><Relationship Id="rId30" Type="http://schemas.openxmlformats.org/officeDocument/2006/relationships/hyperlink" Target="http://www.sec.gov/Archives/edgar/data/1792044/000119312520298236/d57281dex44.htm" TargetMode="External"/><Relationship Id="rId31" Type="http://schemas.openxmlformats.org/officeDocument/2006/relationships/hyperlink" Target="http://www.sec.gov/Archives/edgar/data/1623613/000162361317000007/exhibit49.htm" TargetMode="External"/><Relationship Id="rId32" Type="http://schemas.openxmlformats.org/officeDocument/2006/relationships/hyperlink" Target="http://www.sec.gov/Archives/edgar/data/1792044/000119312520298236/d57281dex45.htm" TargetMode="External"/><Relationship Id="rId33" Type="http://schemas.openxmlformats.org/officeDocument/2006/relationships/hyperlink" Target="http://www.sec.gov/Archives/edgar/data/1623613/000119312518111603/d560332dex41.htm" TargetMode="External"/><Relationship Id="rId34" Type="http://schemas.openxmlformats.org/officeDocument/2006/relationships/hyperlink" Target="http://www.sec.gov/Archives/edgar/data/1792044/000119312520298236/d57281dex48.htm" TargetMode="External"/><Relationship Id="rId35" Type="http://schemas.openxmlformats.org/officeDocument/2006/relationships/hyperlink" Target="http://www.sec.gov/Archives/edgar/data/1623613/000119312518172116/d566535dex41.htm" TargetMode="External"/><Relationship Id="rId36" Type="http://schemas.openxmlformats.org/officeDocument/2006/relationships/hyperlink" Target="https://www.sec.gov/Archives/edgar/data/1792044/000119312520298236/d57281dex49.htm" TargetMode="External"/><Relationship Id="rId37" Type="http://schemas.openxmlformats.org/officeDocument/2006/relationships/hyperlink" Target="http://www.sec.gov/Archives/edgar/data/1792044/000119312520181088/d920857dex41.htm" TargetMode="External"/><Relationship Id="rId38" Type="http://schemas.openxmlformats.org/officeDocument/2006/relationships/hyperlink" Target="http://www.sec.gov/Archives/edgar/data/1792044/000119312520298236/d57281dex41.htm" TargetMode="External"/><Relationship Id="rId39" Type="http://schemas.openxmlformats.org/officeDocument/2006/relationships/hyperlink" Target="http://www.sec.gov/Archives/edgar/data/1792044/000119312520181088/d920857dex49.htm" TargetMode="External"/><Relationship Id="rId40" Type="http://schemas.openxmlformats.org/officeDocument/2006/relationships/hyperlink" Target="http://www.sec.gov/Archives/edgar/data/1792044/000119312520298236/d57281dex42.htm" TargetMode="External"/><Relationship Id="rId41" Type="http://schemas.openxmlformats.org/officeDocument/2006/relationships/hyperlink" Target="http://www.sec.gov/Archives/edgar/data/1792044/000119312520167802/d781435dex101.htm" TargetMode="External"/><Relationship Id="rId42" Type="http://schemas.openxmlformats.org/officeDocument/2006/relationships/hyperlink" Target="http://www.sec.gov/Archives/edgar/data/1792044/000179204421000009/ex_101b-vtrsx20201231x10xk.htm" TargetMode="External"/><Relationship Id="rId43" Type="http://schemas.openxmlformats.org/officeDocument/2006/relationships/hyperlink" Target="http://www.sec.gov/Archives/edgar/data/1792044/000179204421000009/ex_101c-vtrsx20201231x10xk.htm" TargetMode="External"/><Relationship Id="rId44" Type="http://schemas.openxmlformats.org/officeDocument/2006/relationships/hyperlink" Target="http://www.sec.gov/Archives/edgar/data/1792044/000179204421000009/ex_101d-vtrsx20201231x10xk.htm" TargetMode="External"/><Relationship Id="rId45" Type="http://schemas.openxmlformats.org/officeDocument/2006/relationships/hyperlink" Target="http://www.sec.gov/Archives/edgar/data/1792044/000179204421000009/ex_101e-vtrsx20201231x10xk.htm" TargetMode="External"/><Relationship Id="rId46" Type="http://schemas.openxmlformats.org/officeDocument/2006/relationships/hyperlink" Target="http://www.sec.gov/Archives/edgar/data/1792044/000179204421000018/ex_101xvtrsx20210331x10-q.htm" TargetMode="External"/><Relationship Id="rId47" Type="http://schemas.openxmlformats.org/officeDocument/2006/relationships/hyperlink" Target="http://www.sec.gov/Archives/edgar/data/1792044/000179204421000018/ex_102xvtrsx20210331x10-q.htm" TargetMode="External"/><Relationship Id="rId48" Type="http://schemas.openxmlformats.org/officeDocument/2006/relationships/hyperlink" Target="http://www.sec.gov/Archives/edgar/data/1792044/000179204421000018/ex_103xvtrsx20210331x10-q.htm" TargetMode="External"/><Relationship Id="rId49" Type="http://schemas.openxmlformats.org/officeDocument/2006/relationships/hyperlink" Target="http://www.sec.gov/Archives/edgar/data/1792044/000179204423000017/ex_103xvtrsx20230331.htm" TargetMode="External"/><Relationship Id="rId50" Type="http://schemas.openxmlformats.org/officeDocument/2006/relationships/hyperlink" Target="http://www.sec.gov/Archives/edgar/data/1792044/000119312523060080/d476202dex991.htm" TargetMode="External"/><Relationship Id="rId51" Type="http://schemas.openxmlformats.org/officeDocument/2006/relationships/hyperlink" Target="http://www.sec.gov/Archives/edgar/data/1792044/000119312523060080/d476202dex992.htm" TargetMode="External"/><Relationship Id="rId52" Type="http://schemas.openxmlformats.org/officeDocument/2006/relationships/hyperlink" Target="http://www.sec.gov/Archives/edgar/data/1792044/000119312523060080/d476202dex993.htm" TargetMode="External"/><Relationship Id="rId53" Type="http://schemas.openxmlformats.org/officeDocument/2006/relationships/hyperlink" Target="http://www.sec.gov/Archives/edgar/data/1792044/000179204421000009/ex_102-vtrsx20201231x10xk.htm" TargetMode="External"/><Relationship Id="rId54" Type="http://schemas.openxmlformats.org/officeDocument/2006/relationships/hyperlink" Target="https://www.sec.gov/Archives/edgar/data/1792044/000179204421000009/ex_103-vtrsx20201231x10xk.htm" TargetMode="External"/><Relationship Id="rId55" Type="http://schemas.openxmlformats.org/officeDocument/2006/relationships/hyperlink" Target="http://www.sec.gov/Archives/edgar/data/1792044/000179204421000009/ex_104-vtrsx20201231x10xk.htm" TargetMode="External"/><Relationship Id="rId56" Type="http://schemas.openxmlformats.org/officeDocument/2006/relationships/hyperlink" Target="http://www.sec.gov/Archives/edgar/data/1792044/000179204421000009/ex_105-vtrsx20201231x10xk.htm" TargetMode="External"/><Relationship Id="rId57" Type="http://schemas.openxmlformats.org/officeDocument/2006/relationships/hyperlink" Target="http://www.sec.gov/Archives/edgar/data/1792044/000179204421000009/ex_106-vtrsx20201231x10xk.htm" TargetMode="External"/><Relationship Id="rId58" Type="http://schemas.openxmlformats.org/officeDocument/2006/relationships/hyperlink" Target="http://www.sec.gov/Archives/edgar/data/1792044/000119312523050797/d452663dex102.htm" TargetMode="External"/><Relationship Id="rId59" Type="http://schemas.openxmlformats.org/officeDocument/2006/relationships/hyperlink" Target="http://www.sec.gov/Archives/edgar/data/1792044/000179204421000009/ex_107-vtrsx20201231x10xk.htm" TargetMode="External"/><Relationship Id="rId60" Type="http://schemas.openxmlformats.org/officeDocument/2006/relationships/hyperlink" Target="http://www.sec.gov/Archives/edgar/data/1792044/000119312521145240/d113011dex101.htm" TargetMode="External"/><Relationship Id="rId61" Type="http://schemas.openxmlformats.org/officeDocument/2006/relationships/hyperlink" Target="http://www.sec.gov/Archives/edgar/data/1792044/000179204421000009/ex_109-vtrsx20201231x10xk.htm" TargetMode="External"/><Relationship Id="rId62" Type="http://schemas.openxmlformats.org/officeDocument/2006/relationships/hyperlink" Target="http://www.sec.gov/Archives/edgar/data/1792044/000179204423000024/ex_102xvtrsx20230630.htm" TargetMode="External"/><Relationship Id="rId63" Type="http://schemas.openxmlformats.org/officeDocument/2006/relationships/hyperlink" Target="http://www.sec.gov/Archives/edgar/data/1792044/000119312523050797/d452663dex101.htm" TargetMode="External"/><Relationship Id="rId64" Type="http://schemas.openxmlformats.org/officeDocument/2006/relationships/hyperlink" Target="http://www.sec.gov/Archives/edgar/data/1623613/000162361317000014/exhibit101_20170331.htm" TargetMode="External"/><Relationship Id="rId65" Type="http://schemas.openxmlformats.org/officeDocument/2006/relationships/hyperlink" Target="http://www.sec.gov/Archives/edgar/data/69499/000006949913000044/myl_ex102x2013930-10q.htm" TargetMode="External"/><Relationship Id="rId66" Type="http://schemas.openxmlformats.org/officeDocument/2006/relationships/hyperlink" Target="http://www.sec.gov/Archives/edgar/data/69499/000006949914000007/myl_ex104ix20131231-10k.htm" TargetMode="External"/><Relationship Id="rId67" Type="http://schemas.openxmlformats.org/officeDocument/2006/relationships/hyperlink" Target="http://www.sec.gov/Archives/edgar/data/1623613/000162361316000046/myl_ex101ix20151231-10k.htm" TargetMode="External"/><Relationship Id="rId68" Type="http://schemas.openxmlformats.org/officeDocument/2006/relationships/hyperlink" Target="http://www.sec.gov/Archives/edgar/data/1623613/000162361316000046/myl_ex101lx20151231-10k.htm" TargetMode="External"/><Relationship Id="rId69" Type="http://schemas.openxmlformats.org/officeDocument/2006/relationships/hyperlink" Target="http://www.sec.gov/Archives/edgar/data/1623613/000162361319000016/myl_ex107x20190331-10xq.htm" TargetMode="External"/><Relationship Id="rId70" Type="http://schemas.openxmlformats.org/officeDocument/2006/relationships/hyperlink" Target="http://www.sec.gov/Archives/edgar/data/1623613/000162361320000018/mylex10220200331-10q.htm" TargetMode="External"/><Relationship Id="rId71" Type="http://schemas.openxmlformats.org/officeDocument/2006/relationships/hyperlink" Target="http://www.sec.gov/Archives/edgar/data/1623613/000162361319000030/mylex10120190930-10xq.htm" TargetMode="External"/><Relationship Id="rId72" Type="http://schemas.openxmlformats.org/officeDocument/2006/relationships/hyperlink" Target="http://www.sec.gov/Archives/edgar/data/69499/000095012309055689/l37693exv10w4.htm" TargetMode="External"/><Relationship Id="rId73" Type="http://schemas.openxmlformats.org/officeDocument/2006/relationships/hyperlink" Target="http://www.sec.gov/Archives/edgar/data/69499/000095015208003868/l31450aexv10w5.htm" TargetMode="External"/><Relationship Id="rId74" Type="http://schemas.openxmlformats.org/officeDocument/2006/relationships/hyperlink" Target="http://www.sec.gov/Archives/edgar/data/69499/000095015209001668/l35088aexv10w28wb.htm" TargetMode="External"/><Relationship Id="rId75" Type="http://schemas.openxmlformats.org/officeDocument/2006/relationships/hyperlink" Target="http://www.sec.gov/Archives/edgar/data/69499/000119312512187918/d327924dex105a.htm" TargetMode="External"/><Relationship Id="rId76" Type="http://schemas.openxmlformats.org/officeDocument/2006/relationships/hyperlink" Target="http://www.sec.gov/Archives/edgar/data/69499/000119312512187918/d327924dex105b.htm" TargetMode="External"/><Relationship Id="rId77" Type="http://schemas.openxmlformats.org/officeDocument/2006/relationships/hyperlink" Target="http://www.sec.gov/Archives/edgar/data/69499/000119312512187918/d327924dex105c.htm" TargetMode="External"/><Relationship Id="rId78" Type="http://schemas.openxmlformats.org/officeDocument/2006/relationships/hyperlink" Target="http://www.sec.gov/Archives/edgar/data/69499/000095012309070283/l38158exv10w1.htm" TargetMode="External"/><Relationship Id="rId79" Type="http://schemas.openxmlformats.org/officeDocument/2006/relationships/hyperlink" Target="http://www.sec.gov/Archives/edgar/data/69499/000006949915000003/myl_ex1041bx20141231-10k.htm" TargetMode="External"/><Relationship Id="rId80" Type="http://schemas.openxmlformats.org/officeDocument/2006/relationships/hyperlink" Target="http://www.sec.gov/Archives/edgar/data/69499/000095012309070283/l38158exv10w2.htm" TargetMode="External"/><Relationship Id="rId81" Type="http://schemas.openxmlformats.org/officeDocument/2006/relationships/hyperlink" Target="http://www.sec.gov/Archives/edgar/data/69499/000006949915000003/myl_ex1042bx20141231-10k.htm" TargetMode="External"/><Relationship Id="rId82" Type="http://schemas.openxmlformats.org/officeDocument/2006/relationships/hyperlink" Target="http://www.sec.gov/Archives/edgar/data/69499/000006949914000007/myl_ex1027bx20131232-10k.htm" TargetMode="External"/><Relationship Id="rId83" Type="http://schemas.openxmlformats.org/officeDocument/2006/relationships/hyperlink" Target="http://www.sec.gov/Archives/edgar/data/69499/000006949914000007/myl_ex1057x20131232-10k.htm" TargetMode="External"/><Relationship Id="rId84" Type="http://schemas.openxmlformats.org/officeDocument/2006/relationships/hyperlink" Target="http://www.sec.gov/Archives/edgar/data/1623613/000162361319000008/myl_ex1020cx20181231-10xk.htm" TargetMode="External"/><Relationship Id="rId85" Type="http://schemas.openxmlformats.org/officeDocument/2006/relationships/hyperlink" Target="http://www.sec.gov/Archives/edgar/data/1623613/000162361319000008/myl_ex1021bx20181231-10xk.htm" TargetMode="External"/><Relationship Id="rId86" Type="http://schemas.openxmlformats.org/officeDocument/2006/relationships/hyperlink" Target="http://www.sec.gov/Archives/edgar/data/1623613/000162361320000011/mylex102920191231-10k.htm" TargetMode="External"/><Relationship Id="rId87" Type="http://schemas.openxmlformats.org/officeDocument/2006/relationships/hyperlink" Target="http://www.sec.gov/Archives/edgar/data/1792044/000179204421000009/ex_1025-vtrsx20201231x10xk.htm" TargetMode="External"/><Relationship Id="rId88" Type="http://schemas.openxmlformats.org/officeDocument/2006/relationships/hyperlink" Target="http://www.sec.gov/Archives/edgar/data/69499/000006949914000007/myl_ex1038x20131231-10k.htm" TargetMode="External"/><Relationship Id="rId89" Type="http://schemas.openxmlformats.org/officeDocument/2006/relationships/hyperlink" Target="http://www.sec.gov/Archives/edgar/data/1623613/000119312515068819/d882101dex101.htm" TargetMode="External"/><Relationship Id="rId90" Type="http://schemas.openxmlformats.org/officeDocument/2006/relationships/hyperlink" Target="http://www.sec.gov/Archives/edgar/data/1792044/000119312521206477/d50384dex101.htm" TargetMode="External"/><Relationship Id="rId91" Type="http://schemas.openxmlformats.org/officeDocument/2006/relationships/hyperlink" Target="http://www.sec.gov/Archives/edgar/data/1792044/000179204423000017/ex_104xvtrsx20230331.htm" TargetMode="External"/><Relationship Id="rId92" Type="http://schemas.openxmlformats.org/officeDocument/2006/relationships/hyperlink" Target="http://www.sec.gov/Archives/edgar/data/1792044/000119312521206477/d50384dex102.htm" TargetMode="External"/><Relationship Id="rId93" Type="http://schemas.openxmlformats.org/officeDocument/2006/relationships/hyperlink" Target="http://www.sec.gov/Archives/edgar/data/1792044/000119312520298236/d57281dex101.htm" TargetMode="External"/><Relationship Id="rId94" Type="http://schemas.openxmlformats.org/officeDocument/2006/relationships/hyperlink" Target="http://www.sec.gov/Archives/edgar/data/1623613/000119312517263762/d418144dex101.htm" TargetMode="External"/><Relationship Id="rId95" Type="http://schemas.openxmlformats.org/officeDocument/2006/relationships/hyperlink" Target="http://www.sec.gov/Archives/edgar/data/1623613/000119312517263762/d418144dex102.htm" TargetMode="External"/><Relationship Id="rId96" Type="http://schemas.openxmlformats.org/officeDocument/2006/relationships/hyperlink" Target="http://www.sec.gov/Archives/edgar/data/1623613/000162361320000035/ex102myl10-q09302020.htm" TargetMode="External"/><Relationship Id="rId97" Type="http://schemas.openxmlformats.org/officeDocument/2006/relationships/hyperlink" Target="http://www.sec.gov/Archives/edgar/data/1792044/000179204421000009/ex_1034b-vtrsx20201231x10xk.htm" TargetMode="External"/><Relationship Id="rId98" Type="http://schemas.openxmlformats.org/officeDocument/2006/relationships/hyperlink" Target="http://www.sec.gov/Archives/edgar/data/1792044/000119312520298226/d56774dex101.htm" TargetMode="External"/><Relationship Id="rId99" Type="http://schemas.openxmlformats.org/officeDocument/2006/relationships/hyperlink" Target="http://www.sec.gov/Archives/edgar/data/1792044/000119312520298226/d56774dex102.htm" TargetMode="External"/><Relationship Id="rId100" Type="http://schemas.openxmlformats.org/officeDocument/2006/relationships/hyperlink" Target="http://www.sec.gov/Archives/edgar/data/1792044/000119312520298226/d56774dex103.htm" TargetMode="External"/><Relationship Id="rId101" Type="http://schemas.openxmlformats.org/officeDocument/2006/relationships/hyperlink" Target="http://www.sec.gov/Archives/edgar/data/1792044/000119312520298226/d56774dex104.htm" TargetMode="External"/><Relationship Id="rId102" Type="http://schemas.openxmlformats.org/officeDocument/2006/relationships/hyperlink" Target="http://www.sec.gov/Archives/edgar/data/1792044/000119312520298226/d56774dex105.htm" TargetMode="External"/><Relationship Id="rId103" Type="http://schemas.openxmlformats.org/officeDocument/2006/relationships/hyperlink" Target="http://www.sec.gov/Archives/edgar/data/1792044/000119312520298226/d56774dex106.htm" TargetMode="External"/><Relationship Id="rId104" Type="http://schemas.openxmlformats.org/officeDocument/2006/relationships/hyperlink" Target="http://www.sec.gov/Archives/edgar/data/1792044/000119312520298226/d56774dex107.htm" TargetMode="External"/><Relationship Id="rId105" Type="http://schemas.openxmlformats.org/officeDocument/2006/relationships/hyperlink" Target="http://www.sec.gov/Archives/edgar/data/1792044/000119312520298226/d56774dex108.htm" TargetMode="External"/><Relationship Id="rId106" Type="http://schemas.openxmlformats.org/officeDocument/2006/relationships/fontTable" Target="fontTable.xml"/><Relationship Id="rId10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95</Pages>
  <Words>132853</Words>
  <Characters>746047</Characters>
  <CharactersWithSpaces>874245</CharactersWithSpaces>
  <Paragraphs>7915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