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420" w:right="280" w:hanging="394"/>
        <w:spacing w:after="0" w:line="235"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20" w:right="260" w:hanging="394"/>
        <w:spacing w:after="0" w:line="235"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 _____________to___________</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001-39695</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VIATRIS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13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2">
            <w:col w:w="7360" w:space="720"/>
            <w:col w:w="3100"/>
          </w:cols>
          <w:pgMar w:left="320" w:top="994" w:right="399" w:bottom="1440" w:gutter="0" w:footer="0" w:header="0"/>
          <w:type w:val="continuous"/>
        </w:sectPr>
      </w:pPr>
    </w:p>
    <w:p>
      <w:pPr>
        <w:jc w:val="center"/>
        <w:ind w:right="1540"/>
        <w:spacing w:after="0"/>
        <w:rPr>
          <w:sz w:val="20"/>
          <w:szCs w:val="20"/>
          <w:color w:val="auto"/>
        </w:rPr>
      </w:pPr>
      <w:r>
        <w:rPr>
          <w:rFonts w:ascii="Arial" w:cs="Arial" w:eastAsia="Arial" w:hAnsi="Arial"/>
          <w:sz w:val="14"/>
          <w:szCs w:val="14"/>
          <w:i w:val="1"/>
          <w:iCs w:val="1"/>
          <w:color w:val="auto"/>
        </w:rPr>
        <w:t>(State or other jurisdiction</w:t>
      </w:r>
    </w:p>
    <w:p>
      <w:pPr>
        <w:jc w:val="center"/>
        <w:ind w:right="154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4"/>
          <w:szCs w:val="14"/>
          <w:i w:val="1"/>
          <w:iCs w:val="1"/>
          <w:color w:val="auto"/>
        </w:rPr>
        <w:t>(I.R.S. Employer</w:t>
      </w:r>
    </w:p>
    <w:p>
      <w:pPr>
        <w:jc w:val="center"/>
        <w:ind w:right="2140"/>
        <w:spacing w:after="0"/>
        <w:rPr>
          <w:sz w:val="20"/>
          <w:szCs w:val="20"/>
          <w:color w:val="auto"/>
        </w:rPr>
      </w:pPr>
      <w:r>
        <w:rPr>
          <w:rFonts w:ascii="Arial" w:cs="Arial" w:eastAsia="Arial" w:hAnsi="Arial"/>
          <w:sz w:val="13"/>
          <w:szCs w:val="13"/>
          <w:i w:val="1"/>
          <w:iCs w:val="1"/>
          <w:color w:val="auto"/>
        </w:rPr>
        <w:t>Identification No.)</w:t>
      </w:r>
    </w:p>
    <w:p>
      <w:pPr>
        <w:spacing w:after="0" w:line="122"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1000 Mylan Boulevard, Canonsburg, Pennsylvania 15317</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(724) 514-1800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5"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54" w:lineRule="exact"/>
        <w:rPr>
          <w:sz w:val="24"/>
          <w:szCs w:val="24"/>
          <w:color w:val="auto"/>
        </w:rPr>
      </w:pPr>
    </w:p>
    <w:p>
      <w:pPr>
        <w:sectPr>
          <w:pgSz w:w="11900" w:h="16838" w:orient="portrait"/>
          <w:cols w:equalWidth="0" w:num="3">
            <w:col w:w="3980" w:space="720"/>
            <w:col w:w="2180" w:space="720"/>
            <w:col w:w="3580"/>
          </w:cols>
          <w:pgMar w:left="320" w:top="994" w:right="39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94" w:right="399" w:bottom="1440" w:gutter="0" w:footer="0" w:header="0"/>
          <w:type w:val="continuous"/>
        </w:sectPr>
      </w:pPr>
    </w:p>
    <w:p>
      <w:pPr>
        <w:spacing w:after="0" w:line="25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left="20" w:right="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The number of shares of common stock outstanding, par value $0.01 per share, of the registrant as of May 3, 2023 was 1,199,029,984.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100330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INDEX TO 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6900" w:type="dxa"/>
            <w:vAlign w:val="bottom"/>
            <w:gridSpan w:val="9"/>
            <w:vMerge w:val="restart"/>
          </w:tcPr>
          <w:p>
            <w:pPr>
              <w:jc w:val="center"/>
              <w:ind w:right="178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6900" w:type="dxa"/>
            <w:vAlign w:val="bottom"/>
            <w:gridSpan w:val="9"/>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3"/>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340" w:type="dxa"/>
            <w:vAlign w:val="bottom"/>
            <w:gridSpan w:val="10"/>
          </w:tcPr>
          <w:p>
            <w:pPr>
              <w:spacing w:after="0" w:line="190" w:lineRule="exact"/>
              <w:rPr>
                <w:sz w:val="20"/>
                <w:szCs w:val="20"/>
                <w:color w:val="auto"/>
              </w:rPr>
            </w:pPr>
            <w:r>
              <w:rPr>
                <w:rFonts w:ascii="Arial" w:cs="Arial" w:eastAsia="Arial" w:hAnsi="Arial"/>
                <w:sz w:val="18"/>
                <w:szCs w:val="18"/>
                <w:color w:val="0000FF"/>
                <w:w w:val="89"/>
              </w:rPr>
              <w:t>Condensed Consolidated Statements of Operations — Three Months Ended March 31, 2023 and 2022</w:t>
            </w:r>
          </w:p>
        </w:tc>
        <w:tc>
          <w:tcPr>
            <w:tcW w:w="1320" w:type="dxa"/>
            <w:vAlign w:val="bottom"/>
            <w:gridSpan w:val="3"/>
          </w:tcPr>
          <w:p>
            <w:pPr>
              <w:spacing w:after="0"/>
              <w:rPr>
                <w:sz w:val="16"/>
                <w:szCs w:val="16"/>
                <w:color w:val="auto"/>
              </w:rPr>
            </w:pPr>
          </w:p>
        </w:tc>
        <w:tc>
          <w:tcPr>
            <w:tcW w:w="980" w:type="dxa"/>
            <w:vAlign w:val="bottom"/>
            <w:gridSpan w:val="4"/>
          </w:tcPr>
          <w:p>
            <w:pPr>
              <w:jc w:val="right"/>
              <w:ind w:right="20"/>
              <w:spacing w:after="0" w:line="190" w:lineRule="exact"/>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3"/>
          </w:tcPr>
          <w:p>
            <w:pPr>
              <w:spacing w:after="0"/>
              <w:rPr>
                <w:sz w:val="20"/>
                <w:szCs w:val="20"/>
                <w:color w:val="auto"/>
              </w:rPr>
            </w:pPr>
            <w:r>
              <w:rPr>
                <w:rFonts w:ascii="Arial" w:cs="Arial" w:eastAsia="Arial" w:hAnsi="Arial"/>
                <w:sz w:val="18"/>
                <w:szCs w:val="18"/>
                <w:color w:val="0000FF"/>
                <w:w w:val="92"/>
              </w:rPr>
              <w:t>Condensed Consolidated Statements of Comprehensive Earnings — Three Months Ended March 31, 2023 and 2022</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360" w:type="dxa"/>
            <w:vAlign w:val="bottom"/>
            <w:gridSpan w:val="12"/>
          </w:tcPr>
          <w:p>
            <w:pPr>
              <w:spacing w:after="0"/>
              <w:rPr>
                <w:sz w:val="20"/>
                <w:szCs w:val="20"/>
                <w:color w:val="auto"/>
              </w:rPr>
            </w:pPr>
            <w:r>
              <w:rPr>
                <w:rFonts w:ascii="Arial" w:cs="Arial" w:eastAsia="Arial" w:hAnsi="Arial"/>
                <w:sz w:val="18"/>
                <w:szCs w:val="18"/>
                <w:color w:val="0000FF"/>
              </w:rPr>
              <w:t>Condensed Consolidated Balance Sheets — March 31, 2023 and December 31, 2022</w:t>
            </w:r>
          </w:p>
        </w:tc>
        <w:tc>
          <w:tcPr>
            <w:tcW w:w="30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Equity — Three Months Ended March 31, 2023 and 2022</w:t>
            </w: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gridSpan w:val="11"/>
          </w:tcPr>
          <w:p>
            <w:pPr>
              <w:spacing w:after="0"/>
              <w:rPr>
                <w:sz w:val="20"/>
                <w:szCs w:val="20"/>
                <w:color w:val="auto"/>
              </w:rPr>
            </w:pPr>
            <w:r>
              <w:rPr>
                <w:rFonts w:ascii="Arial" w:cs="Arial" w:eastAsia="Arial" w:hAnsi="Arial"/>
                <w:sz w:val="18"/>
                <w:szCs w:val="18"/>
                <w:color w:val="0000FF"/>
                <w:w w:val="89"/>
              </w:rPr>
              <w:t>Condensed Consolidated Statements of Cash Flows — Three Months Ended March 31, 2023 and 2022</w:t>
            </w:r>
          </w:p>
        </w:tc>
        <w:tc>
          <w:tcPr>
            <w:tcW w:w="1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w:t>
            </w: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2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60" w:type="dxa"/>
            <w:vAlign w:val="bottom"/>
            <w:gridSpan w:val="1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Controls and Procedures</w:t>
            </w:r>
          </w:p>
        </w:tc>
        <w:tc>
          <w:tcPr>
            <w:tcW w:w="432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900" w:type="dxa"/>
            <w:vAlign w:val="bottom"/>
            <w:gridSpan w:val="9"/>
          </w:tcPr>
          <w:p>
            <w:pPr>
              <w:jc w:val="center"/>
              <w:ind w:right="180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660" w:type="dxa"/>
            <w:vAlign w:val="bottom"/>
            <w:gridSpan w:val="13"/>
          </w:tcPr>
          <w:p>
            <w:pPr>
              <w:spacing w:after="0" w:line="190" w:lineRule="exact"/>
              <w:rPr>
                <w:sz w:val="20"/>
                <w:szCs w:val="20"/>
                <w:color w:val="auto"/>
              </w:rPr>
            </w:pPr>
            <w:r>
              <w:rPr>
                <w:rFonts w:ascii="Arial" w:cs="Arial" w:eastAsia="Arial" w:hAnsi="Arial"/>
                <w:sz w:val="18"/>
                <w:szCs w:val="18"/>
                <w:color w:val="0000FF"/>
              </w:rPr>
              <w:t>Legal Proceedings</w:t>
            </w:r>
          </w:p>
        </w:tc>
        <w:tc>
          <w:tcPr>
            <w:tcW w:w="960" w:type="dxa"/>
            <w:vAlign w:val="bottom"/>
            <w:gridSpan w:val="3"/>
          </w:tcPr>
          <w:p>
            <w:pPr>
              <w:jc w:val="right"/>
              <w:spacing w:after="0" w:line="190" w:lineRule="exact"/>
              <w:rPr>
                <w:sz w:val="20"/>
                <w:szCs w:val="20"/>
                <w:color w:val="auto"/>
              </w:rPr>
            </w:pPr>
            <w:r>
              <w:rPr>
                <w:rFonts w:ascii="Arial" w:cs="Arial" w:eastAsia="Arial" w:hAnsi="Arial"/>
                <w:sz w:val="18"/>
                <w:szCs w:val="18"/>
                <w:color w:val="0000FF"/>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tcPr>
          <w:p>
            <w:pPr>
              <w:spacing w:after="0"/>
              <w:rPr>
                <w:sz w:val="24"/>
                <w:szCs w:val="24"/>
                <w:color w:val="auto"/>
              </w:rPr>
            </w:pPr>
          </w:p>
        </w:tc>
        <w:tc>
          <w:tcPr>
            <w:tcW w:w="734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32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806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43"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2003 LTIP</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Amended and Restated 2003 Long-Term Incentive Plan</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2020 Incentive 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2020 Stock Incentive Plan</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annual report on Form 10-K for the fiscal year ended December</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2022 Form 10-K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2022, as amended</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provide information to investors - EBITDA (defined below) is further</w:t>
            </w:r>
          </w:p>
        </w:tc>
        <w:tc>
          <w:tcPr>
            <w:tcW w:w="280" w:type="dxa"/>
            <w:vAlign w:val="bottom"/>
          </w:tcPr>
          <w:p>
            <w:pPr>
              <w:spacing w:after="0"/>
              <w:rPr>
                <w:sz w:val="15"/>
                <w:szCs w:val="15"/>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89"/>
              </w:rPr>
              <w:t>adjusted for share-based compensation expense, litigation settlements, and</w:t>
            </w:r>
          </w:p>
        </w:tc>
        <w:tc>
          <w:tcPr>
            <w:tcW w:w="280" w:type="dxa"/>
            <w:vAlign w:val="bottom"/>
          </w:tcPr>
          <w:p>
            <w:pPr>
              <w:spacing w:after="0"/>
              <w:rPr>
                <w:sz w:val="16"/>
                <w:szCs w:val="16"/>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Adjusted EBITDA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contingencies, net, restructuring and other special items</w:t>
            </w:r>
          </w:p>
        </w:tc>
        <w:tc>
          <w:tcPr>
            <w:tcW w:w="280" w:type="dxa"/>
            <w:vAlign w:val="bottom"/>
          </w:tcPr>
          <w:p>
            <w:pPr>
              <w:spacing w:after="0"/>
              <w:rPr>
                <w:sz w:val="20"/>
                <w:szCs w:val="20"/>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Abbreviated New Drug Application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AOCE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earnings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Active pharmaceutical ingredient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ARV</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Antiretroviral medicines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Codification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Update</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Limited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Biologics Limited, a majority owned subsidiary of Biocon</w:t>
            </w:r>
          </w:p>
        </w:tc>
        <w:tc>
          <w:tcPr>
            <w:tcW w:w="280" w:type="dxa"/>
            <w:vAlign w:val="bottom"/>
          </w:tcPr>
          <w:p>
            <w:pPr>
              <w:spacing w:after="0"/>
              <w:rPr>
                <w:sz w:val="19"/>
                <w:szCs w:val="19"/>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5"/>
              </w:rPr>
              <w:t>The transaction between Viatris and Biocon Biologics pursuant to which</w:t>
            </w:r>
          </w:p>
        </w:tc>
        <w:tc>
          <w:tcPr>
            <w:tcW w:w="280" w:type="dxa"/>
            <w:vAlign w:val="bottom"/>
          </w:tcPr>
          <w:p>
            <w:pPr>
              <w:spacing w:after="0"/>
              <w:rPr>
                <w:sz w:val="16"/>
                <w:szCs w:val="16"/>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Viatris contributed its biosimilars portfolio, composed of the Biocon</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3"/>
              </w:rPr>
              <w:t>collaboration programs, biosimilars to Humira®, Enbrel®, and Eylea®, as</w:t>
            </w:r>
          </w:p>
        </w:tc>
        <w:tc>
          <w:tcPr>
            <w:tcW w:w="280" w:type="dxa"/>
            <w:vAlign w:val="bottom"/>
          </w:tcPr>
          <w:p>
            <w:pPr>
              <w:spacing w:after="0"/>
              <w:rPr>
                <w:sz w:val="17"/>
                <w:szCs w:val="17"/>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 Transaction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well as related assets and liabilities to Biocon Biologics</w:t>
            </w:r>
          </w:p>
        </w:tc>
        <w:tc>
          <w:tcPr>
            <w:tcW w:w="280" w:type="dxa"/>
            <w:vAlign w:val="bottom"/>
          </w:tcPr>
          <w:p>
            <w:pPr>
              <w:spacing w:after="0"/>
              <w:rPr>
                <w:sz w:val="22"/>
                <w:szCs w:val="22"/>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The transaction agreement between Viatris and Biocon Biologics, dated</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February 27, 2022, relating to the Biocon Biologics Transaction, as</w:t>
            </w:r>
          </w:p>
        </w:tc>
        <w:tc>
          <w:tcPr>
            <w:tcW w:w="280" w:type="dxa"/>
            <w:vAlign w:val="bottom"/>
          </w:tcPr>
          <w:p>
            <w:pPr>
              <w:spacing w:after="0"/>
              <w:rPr>
                <w:sz w:val="15"/>
                <w:szCs w:val="15"/>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6"/>
              </w:rPr>
              <w:t>amended by that certain Amendment No. 1 to Transaction Agreement,</w:t>
            </w:r>
          </w:p>
        </w:tc>
        <w:tc>
          <w:tcPr>
            <w:tcW w:w="280" w:type="dxa"/>
            <w:vAlign w:val="bottom"/>
          </w:tcPr>
          <w:p>
            <w:pPr>
              <w:spacing w:after="0"/>
              <w:rPr>
                <w:sz w:val="16"/>
                <w:szCs w:val="16"/>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dated November 28, 2022</w:t>
            </w:r>
          </w:p>
        </w:tc>
        <w:tc>
          <w:tcPr>
            <w:tcW w:w="280" w:type="dxa"/>
            <w:vAlign w:val="bottom"/>
          </w:tcPr>
          <w:p>
            <w:pPr>
              <w:spacing w:after="0"/>
              <w:rPr>
                <w:sz w:val="20"/>
                <w:szCs w:val="20"/>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Biogen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Biogen MA Inc. and Biogen International GmbH, collectively</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Business Combination Agreement, dated as of July 29, 2019, as amended</w:t>
            </w:r>
          </w:p>
        </w:tc>
        <w:tc>
          <w:tcPr>
            <w:tcW w:w="280" w:type="dxa"/>
            <w:vAlign w:val="bottom"/>
          </w:tcPr>
          <w:p>
            <w:pPr>
              <w:spacing w:after="0"/>
              <w:rPr>
                <w:sz w:val="14"/>
                <w:szCs w:val="14"/>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from time to time, among Viatris, Mylan, Pfizer and certain of their</w:t>
            </w:r>
          </w:p>
        </w:tc>
        <w:tc>
          <w:tcPr>
            <w:tcW w:w="280" w:type="dxa"/>
            <w:vAlign w:val="bottom"/>
          </w:tcPr>
          <w:p>
            <w:pPr>
              <w:spacing w:after="0"/>
              <w:rPr>
                <w:sz w:val="15"/>
                <w:szCs w:val="15"/>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Business Combination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CCPS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Compulsory convertible preferred shares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and Markets Authority</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U.S. Internal Revenue Code of 1986, as amended</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Refers to Mylan combining with Pfizer's Upjohn Business in a Reverse</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Combination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Trust transaction to form Viatris on November 16, 2020</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The $1.65 billion unsecured commercial paper program entered into as of</w:t>
            </w:r>
          </w:p>
        </w:tc>
        <w:tc>
          <w:tcPr>
            <w:tcW w:w="280" w:type="dxa"/>
            <w:vAlign w:val="bottom"/>
          </w:tcPr>
          <w:p>
            <w:pPr>
              <w:spacing w:after="0"/>
              <w:rPr>
                <w:sz w:val="14"/>
                <w:szCs w:val="14"/>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November 16, 2020 by Viatris, as issuer, Mylan Inc., Utah Acquisition Sub</w:t>
            </w:r>
          </w:p>
        </w:tc>
        <w:tc>
          <w:tcPr>
            <w:tcW w:w="280" w:type="dxa"/>
            <w:vAlign w:val="bottom"/>
          </w:tcPr>
          <w:p>
            <w:pPr>
              <w:spacing w:after="0"/>
              <w:rPr>
                <w:sz w:val="15"/>
                <w:szCs w:val="15"/>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Commercial Paper Program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Inc. and Mylan II B.V., as guarantors, and certain dealers from time to time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COVID-19</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Novel coronavirus disease of 2019</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Unsecured, short-term commercial paper notes issued pursuant to the</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CP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Commercial Paper Program</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Developed Markets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North America and Europe</w:t>
            </w:r>
          </w:p>
        </w:tc>
        <w:tc>
          <w:tcPr>
            <w:tcW w:w="280" w:type="dxa"/>
            <w:vAlign w:val="bottom"/>
          </w:tcPr>
          <w:p>
            <w:pPr>
              <w:spacing w:after="0"/>
              <w:rPr>
                <w:sz w:val="21"/>
                <w:szCs w:val="21"/>
                <w:color w:val="auto"/>
              </w:rPr>
            </w:pPr>
          </w:p>
        </w:tc>
      </w:tr>
      <w:tr>
        <w:trPr>
          <w:trHeight w:val="885"/>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Pfizer's distribution to Pfizer stockholders all the issued and outstanding</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Distribution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shares of Upjohn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DOJ</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Department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provide information to investors - U.S. GAAP net earnings (loss) adjusted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for net contribution attributable to equity method investments, income tax</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provision (benefit), interest expense and depreciation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Eastern District of Pennsylvania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Viatris’ business segment that includes, but is not limited to, our operations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6"/>
              </w:rPr>
              <w:t>primarily in the following markets: Parts of Asia, the Middle East, South</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Emerging Markets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Central America, Africa, and Eastern Europe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ERP system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Enterprise resource planning system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Union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Exchange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Exchange Act of 1934,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Famy Life Sciences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Famy Life Sciences Private Limited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Accounting Standards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Food and Drug Administration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This quarterly report on Form 10-Q for the quarterly period ended March</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 10-Q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Financial institutions that are considered systemically important by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Global Systemically Important Banks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Stability Board.</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Greater China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China, Taiwan and Hong Kong</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Gx</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Generic drugs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 Partes review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Internal Revenue Service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Viatris’ business segment that includes our operations in the following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JANZ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markets: Japan, Australia and New Zealand</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London Interbank Offered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Lilly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Eli Lilly and Company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The maximum consolidated leverage ratio financial covenant requiring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maintenance of a maximum ratio of consolidated total indebtedness as of</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Maximum Leverage Ratio</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the end of any quarter to consolidated EBITDA for the trailing four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quarters as defined in the related credit agreements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MDL</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Multidistrict litigation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Pharmaceuticals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and its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4.200% Senior Notes due 2023, 4.550% Senior Notes due 2028,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0"/>
              </w:rPr>
              <w:t>5.400% Senior Notes due 2043 and 5.200% Senior Notes due 2048 issued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by Mylan Inc., which are fully and unconditionally guaranteed on a senior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unsecured basis by Mylan II B.V., Viatris Inc. and Utah Acquisition Sub</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Inc. U.S. Dollar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Securitization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Securitization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NASDAQ Stock Market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NHS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Health 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The note securitization facility entered into in August 2022 for borrowings</w:t>
            </w:r>
          </w:p>
        </w:tc>
        <w:tc>
          <w:tcPr>
            <w:tcW w:w="280" w:type="dxa"/>
            <w:vAlign w:val="bottom"/>
          </w:tcPr>
          <w:p>
            <w:pPr>
              <w:spacing w:after="0"/>
              <w:rPr>
                <w:sz w:val="16"/>
                <w:szCs w:val="16"/>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Note Securitization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 to $200 million and expiring in August 2023</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Over-the-counter</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Oyster Point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Oyster Point Pharma, Inc.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Pfizer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 Inc.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PMS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Pharmascience Inc.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Performance awards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Patent Trial and Appeal Board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The $400 million accounts receivable entered into in August 2020 and</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Receivables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expiring in April 2025</w:t>
            </w:r>
          </w:p>
        </w:tc>
        <w:tc>
          <w:tcPr>
            <w:tcW w:w="280" w:type="dxa"/>
            <w:vAlign w:val="bottom"/>
          </w:tcPr>
          <w:p>
            <w:pPr>
              <w:spacing w:after="0"/>
              <w:rPr>
                <w:sz w:val="21"/>
                <w:szCs w:val="21"/>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The 1.650% Senior Notes due 2025, 2.300% Senior Notes due 2027,</w:t>
            </w:r>
          </w:p>
        </w:tc>
        <w:tc>
          <w:tcPr>
            <w:tcW w:w="280" w:type="dxa"/>
            <w:vAlign w:val="bottom"/>
          </w:tcPr>
          <w:p>
            <w:pPr>
              <w:spacing w:after="0"/>
              <w:rPr>
                <w:sz w:val="16"/>
                <w:szCs w:val="16"/>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2.700% Senior Notes due 2030, 3.850% Senior Notes due 2040 and</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8"/>
              </w:rPr>
              <w:t>4.000% Senior Notes due 2050 originally issued on October 29, 2021</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4"/>
              </w:rPr>
              <w:t>registered with the SEC in exchange for the corresponding Unregistered</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2"/>
              </w:rPr>
              <w:t>Upjohn U.S. Dollar Notes in a similar aggregate principal amount and with</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6"/>
              </w:rPr>
              <w:t>terms substantially identical to the corresponding Unregistered Upjohn</w:t>
            </w:r>
          </w:p>
        </w:tc>
        <w:tc>
          <w:tcPr>
            <w:tcW w:w="280" w:type="dxa"/>
            <w:vAlign w:val="bottom"/>
          </w:tcPr>
          <w:p>
            <w:pPr>
              <w:spacing w:after="0"/>
              <w:rPr>
                <w:sz w:val="17"/>
                <w:szCs w:val="17"/>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U.S. Dollar Notes and fully and unconditionally guaranteed by Mylan Inc.,</w:t>
            </w:r>
          </w:p>
        </w:tc>
        <w:tc>
          <w:tcPr>
            <w:tcW w:w="280" w:type="dxa"/>
            <w:vAlign w:val="bottom"/>
          </w:tcPr>
          <w:p>
            <w:pPr>
              <w:spacing w:after="0"/>
              <w:rPr>
                <w:sz w:val="16"/>
                <w:szCs w:val="16"/>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Registered Upjohn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 and Utah Acquisition Sub Inc.</w:t>
            </w:r>
          </w:p>
        </w:tc>
        <w:tc>
          <w:tcPr>
            <w:tcW w:w="280" w:type="dxa"/>
            <w:vAlign w:val="bottom"/>
          </w:tcPr>
          <w:p>
            <w:pPr>
              <w:spacing w:after="0"/>
              <w:rPr>
                <w:sz w:val="22"/>
                <w:szCs w:val="22"/>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Respiratory Delivery Platform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Pfizer’s proprietary dry powder inhaler delivery platform</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89"/>
              </w:rPr>
              <w:t>The Company’s nonvested restricted stock and restricted stock unit awards,</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Restricted Stock Awards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including PSUs</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$4.0 billion revolving facility dated as of July 1, 2021, by and among</w:t>
            </w:r>
          </w:p>
        </w:tc>
        <w:tc>
          <w:tcPr>
            <w:tcW w:w="280" w:type="dxa"/>
            <w:vAlign w:val="bottom"/>
          </w:tcPr>
          <w:p>
            <w:pPr>
              <w:spacing w:after="0"/>
              <w:rPr>
                <w:sz w:val="14"/>
                <w:szCs w:val="14"/>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Viatris, certain lenders and issuing banks from time to time party thereto</w:t>
            </w:r>
          </w:p>
        </w:tc>
        <w:tc>
          <w:tcPr>
            <w:tcW w:w="280" w:type="dxa"/>
            <w:vAlign w:val="bottom"/>
          </w:tcPr>
          <w:p>
            <w:pPr>
              <w:spacing w:after="0"/>
              <w:rPr>
                <w:sz w:val="16"/>
                <w:szCs w:val="16"/>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Revolving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280" w:type="dxa"/>
            <w:vAlign w:val="bottom"/>
          </w:tcPr>
          <w:p>
            <w:pPr>
              <w:spacing w:after="0"/>
              <w:rPr>
                <w:sz w:val="20"/>
                <w:szCs w:val="20"/>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RICO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Racketeer Influenced and Corrupt Organizations Act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Company's unvested restricted stock unit awards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Sanofi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Sanofi-Aventis U.S., LLC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Appreciation Rights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SDNY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Southern District of New York</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Securities and Exchange Commission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Act of 1933, as amended</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Upjohn U.S. Dollar Notes, the Utah U.S. Dollar Notes and the Mylan</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Senior U.S. Dollar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 U.S. Dollar Notes, collectively</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Separation and Distribution Agreement between Viatris and Pfizer, dated</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Separation and Distribution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July 29, 2019, as amended from time to time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SG&amp;A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SOFR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Secured overnight financial rate</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 awards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options and SARs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Teva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Teva Pharmaceutical Industries Ltd.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TSA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Transition services agreement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GAAP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principles generally accepted in the U.S.</w:t>
            </w:r>
          </w:p>
        </w:tc>
        <w:tc>
          <w:tcPr>
            <w:tcW w:w="280" w:type="dxa"/>
            <w:vAlign w:val="bottom"/>
          </w:tcPr>
          <w:p>
            <w:pPr>
              <w:spacing w:after="0"/>
              <w:rPr>
                <w:sz w:val="19"/>
                <w:szCs w:val="19"/>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The 1.650% Senior Notes due 2025, 2.300% Senior Notes due 2027,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9"/>
              </w:rPr>
              <w:t>2.700% Senior Notes due 2030, 3.850% Senior Notes due 2040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4.000% Senior Notes due 2050 originally issued on June 22, 2020 by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Upjohn Inc. (now Viatris Inc.) in a private offering exempt from the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registration requirements of the Securities Act and fully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Unregistered 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unconditionally guaranteed by Mylan Inc., Mylan II B.V. and Utah</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Upjohn Inc., a wholly owned subsidiary of Pfizer prior to the Distribution,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that combined with Mylan and was renamed Viatris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Pfizer’s off-patent branded and generic established medicines business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that, in connection with the Combination, was separated from Pfizer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 Business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combined with Mylan to form Viatris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Select geographic markets that were part of the Combination that are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smaller in nature and in which we had no established infrastructure prior to</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 Distributor Markets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or following the Combination and that the Company intends to divest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Senior unsecured notes denominated in U.S. dollars and originally issued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1"/>
              </w:rPr>
              <w:t>by Upjohn Inc. or Viatris Inc. pursuant to an indenture dated June 22, 2020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fully and unconditionally guaranteed by Mylan Inc., Mylan II B.V.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Utah Acquisition Sub Inc., a Delaware corporation and an indirect wholly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Utah Acquisition Sub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owned subsidiary of Viatris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3.950% Senior Notes due 2026 and 5.250% Senior Notes due 2046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issued by Utah Acquisition Sub Inc., which are fully and unconditionally</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guaranteed on a senior unsecured basis by Mylan Inc., Viatris Inc.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Inc., formerly known as Upjohn Inc. prior to the completion of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Viatris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The ¥40 billion term loan agreement dated as of July 1, 2021, among</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6"/>
              </w:rPr>
              <w:t>Viatris, the guarantors from time to time party thereto, the lenders from</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YEN Term Loan Facility</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time to time party thereto and Mizuho Bank, Ltd., as administrative agent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per share amounts)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3,719.1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4,191.7</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2,420.5</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1,213.1</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7"/>
                <w:szCs w:val="17"/>
                <w:color w:val="auto"/>
              </w:rPr>
            </w:pPr>
          </w:p>
        </w:tc>
      </w:tr>
      <w:tr>
        <w:trPr>
          <w:trHeight w:val="26"/>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6"/>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Change in unrecognized gain (loss) and prior service cost related to defined benefit plans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on derivatives in cash flow hedging relationships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unrecognized (loss) gain on derivatives in net investment hedging relationships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(loss) on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700" w:type="dxa"/>
            <w:vAlign w:val="bottom"/>
          </w:tcPr>
          <w:p>
            <w:pPr>
              <w:ind w:left="48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(272.0)</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8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ind w:left="9180"/>
        <w:spacing w:after="0"/>
        <w:tabs>
          <w:tab w:leader="none" w:pos="104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ectPr>
          <w:pgSz w:w="11900" w:h="16838" w:orient="portrait"/>
          <w:cols w:equalWidth="0" w:num="1">
            <w:col w:w="11220"/>
          </w:cols>
          <w:pgMar w:left="320" w:top="118" w:right="359" w:bottom="1440" w:gutter="0" w:footer="0" w:header="0"/>
        </w:sect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480" w:right="320" w:firstLine="14"/>
        <w:spacing w:after="0" w:line="273" w:lineRule="auto"/>
        <w:rPr>
          <w:sz w:val="20"/>
          <w:szCs w:val="20"/>
          <w:color w:val="auto"/>
        </w:rPr>
      </w:pPr>
      <w:r>
        <w:rPr>
          <w:rFonts w:ascii="Arial" w:cs="Arial" w:eastAsia="Arial" w:hAnsi="Arial"/>
          <w:sz w:val="18"/>
          <w:szCs w:val="18"/>
          <w:color w:val="auto"/>
        </w:rPr>
        <w:t>Prepaid expenses and other current assets Assets held for sale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plant and equipment,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assets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161290</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4220" w:type="dxa"/>
        <w:tblCellMar>
          <w:top w:w="0" w:type="dxa"/>
          <w:left w:w="0" w:type="dxa"/>
          <w:bottom w:w="0" w:type="dxa"/>
          <w:right w:w="0" w:type="dxa"/>
        </w:tblCellMar>
      </w:tblPr>
      <w:tr>
        <w:trPr>
          <w:trHeight w:val="229"/>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1,259.9</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3,814.5</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3,519.5</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1,811.2</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r>
      <w:tr>
        <w:trPr>
          <w:trHeight w:val="222"/>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10,635.4</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3,024.5</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22,607.1</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10,425.8</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925.9</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2,403.5</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50,022.2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-1654175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-1362710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-1071245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-770890</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-479425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-187960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3780" w:space="720"/>
            <w:col w:w="67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1,766.6</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borrowings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279.6</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portion of long-term debt and other long-term obligations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w:t>
            </w:r>
          </w:p>
        </w:tc>
      </w:tr>
      <w:tr>
        <w:trPr>
          <w:trHeight w:val="230"/>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3,440.9</w:t>
            </w:r>
          </w:p>
        </w:tc>
      </w:tr>
      <w:tr>
        <w:trPr>
          <w:trHeight w:val="223"/>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6,746.2</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18,069.4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18,015.2</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2,432.0</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obligations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1,756.5</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28,949.9</w:t>
            </w:r>
          </w:p>
        </w:tc>
      </w:tr>
      <w:tr>
        <w:trPr>
          <w:trHeight w:val="209"/>
        </w:trPr>
        <w:tc>
          <w:tcPr>
            <w:tcW w:w="870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Viatris Inc. shareholders’ equity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8700" w:type="dxa"/>
            <w:vAlign w:val="bottom"/>
          </w:tcPr>
          <w:p>
            <w:pPr>
              <w:ind w:left="340"/>
              <w:spacing w:after="0" w:line="176" w:lineRule="exact"/>
              <w:rPr>
                <w:sz w:val="20"/>
                <w:szCs w:val="20"/>
                <w:color w:val="auto"/>
              </w:rPr>
            </w:pPr>
            <w:r>
              <w:rPr>
                <w:rFonts w:ascii="Arial" w:cs="Arial" w:eastAsia="Arial" w:hAnsi="Arial"/>
                <w:sz w:val="18"/>
                <w:szCs w:val="18"/>
                <w:color w:val="auto"/>
                <w:w w:val="89"/>
              </w:rPr>
              <w:t>Common stock: $0.01 par value, 3,000,000,000 shares authorized; shares issued: 1,220,224,204 and 1,213,793,231,</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87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18,645.8</w:t>
            </w: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5,175.6</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(2,761.2)</w:t>
            </w:r>
          </w:p>
        </w:tc>
      </w:tr>
      <w:tr>
        <w:trPr>
          <w:trHeight w:val="223"/>
        </w:trPr>
        <w:tc>
          <w:tcPr>
            <w:tcW w:w="8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21,179.7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21,072.3</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Treasury stock — at cost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Common stock shares: 21,239,521 as of March 31, 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21,072.3</w:t>
            </w: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50,022.2</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and per share amounts)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8"/>
            <w:vMerge w:val="restart"/>
          </w:tcPr>
          <w:p>
            <w:pPr>
              <w:ind w:left="28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ind w:left="100"/>
              <w:spacing w:after="0" w:line="12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9"/>
                <w:szCs w:val="9"/>
                <w:color w:val="auto"/>
              </w:rPr>
            </w:pPr>
          </w:p>
        </w:tc>
        <w:tc>
          <w:tcPr>
            <w:tcW w:w="760" w:type="dxa"/>
            <w:vAlign w:val="bottom"/>
            <w:gridSpan w:val="2"/>
            <w:vMerge w:val="restart"/>
          </w:tcPr>
          <w:p>
            <w:pPr>
              <w:jc w:val="right"/>
              <w:ind w:right="180"/>
              <w:spacing w:after="0" w:line="129" w:lineRule="exact"/>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9"/>
                <w:szCs w:val="9"/>
                <w:color w:val="auto"/>
              </w:rPr>
            </w:pPr>
          </w:p>
        </w:tc>
        <w:tc>
          <w:tcPr>
            <w:tcW w:w="164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4"/>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9"/>
                <w:szCs w:val="9"/>
                <w:color w:val="auto"/>
              </w:rPr>
            </w:pPr>
          </w:p>
        </w:tc>
        <w:tc>
          <w:tcPr>
            <w:tcW w:w="80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6"/>
                <w:szCs w:val="16"/>
                <w:color w:val="auto"/>
              </w:rPr>
            </w:pPr>
          </w:p>
        </w:tc>
        <w:tc>
          <w:tcPr>
            <w:tcW w:w="90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Balance at December 31, 2022</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1,213,793,231</w:t>
            </w:r>
          </w:p>
        </w:tc>
        <w:tc>
          <w:tcPr>
            <w:tcW w:w="8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12.1</w:t>
            </w:r>
          </w:p>
        </w:tc>
        <w:tc>
          <w:tcPr>
            <w:tcW w:w="8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$18,645.8</w:t>
            </w:r>
          </w:p>
        </w:tc>
        <w:tc>
          <w:tcPr>
            <w:tcW w:w="8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$ 5,175.6</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(2,761.2)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$21,072.3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6,350,585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line="176" w:lineRule="exact"/>
              <w:rPr>
                <w:sz w:val="20"/>
                <w:szCs w:val="20"/>
                <w:color w:val="auto"/>
              </w:rPr>
            </w:pPr>
            <w:r>
              <w:rPr>
                <w:rFonts w:ascii="Arial" w:cs="Arial" w:eastAsia="Arial" w:hAnsi="Arial"/>
                <w:sz w:val="18"/>
                <w:szCs w:val="18"/>
                <w:color w:val="auto"/>
                <w:w w:val="91"/>
              </w:rPr>
              <w:t>Taxes related to the net share settlement of equity</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0"/>
              <w:spacing w:after="0"/>
              <w:rPr>
                <w:sz w:val="20"/>
                <w:szCs w:val="20"/>
                <w:color w:val="auto"/>
              </w:rPr>
            </w:pPr>
            <w:r>
              <w:rPr>
                <w:rFonts w:ascii="Arial" w:cs="Arial" w:eastAsia="Arial" w:hAnsi="Arial"/>
                <w:sz w:val="18"/>
                <w:szCs w:val="18"/>
                <w:color w:val="auto"/>
              </w:rPr>
              <w:t>awards</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Common stock repurchase</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21,239,521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(251.8)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80,388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Arial" w:cs="Arial" w:eastAsia="Arial" w:hAnsi="Arial"/>
                <w:sz w:val="18"/>
                <w:szCs w:val="18"/>
                <w:color w:val="auto"/>
                <w:w w:val="90"/>
              </w:rPr>
              <w:t>Cash dividends declared, $0.12 per common share</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 at March 31, 2023</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1,220,224,204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12.2</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18,679.6</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$ 5,252.5</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21,239,521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(2,764.6)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$20,927.9</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8"/>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ind w:left="180"/>
              <w:spacing w:after="0" w:line="125"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9"/>
                <w:szCs w:val="9"/>
                <w:color w:val="auto"/>
              </w:rPr>
            </w:pPr>
          </w:p>
        </w:tc>
        <w:tc>
          <w:tcPr>
            <w:tcW w:w="760" w:type="dxa"/>
            <w:vAlign w:val="bottom"/>
            <w:gridSpan w:val="2"/>
            <w:vMerge w:val="restart"/>
          </w:tcPr>
          <w:p>
            <w:pPr>
              <w:jc w:val="right"/>
              <w:ind w:right="100"/>
              <w:spacing w:after="0" w:line="12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9"/>
                <w:szCs w:val="9"/>
                <w:color w:val="auto"/>
              </w:rPr>
            </w:pPr>
          </w:p>
        </w:tc>
        <w:tc>
          <w:tcPr>
            <w:tcW w:w="164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4"/>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9"/>
                <w:szCs w:val="9"/>
                <w:color w:val="auto"/>
              </w:rPr>
            </w:pPr>
          </w:p>
        </w:tc>
        <w:tc>
          <w:tcPr>
            <w:tcW w:w="80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Cost</w:t>
            </w:r>
          </w:p>
        </w:tc>
        <w:tc>
          <w:tcPr>
            <w:tcW w:w="80" w:type="dxa"/>
            <w:vAlign w:val="bottom"/>
          </w:tcPr>
          <w:p>
            <w:pPr>
              <w:spacing w:after="0"/>
              <w:rPr>
                <w:sz w:val="16"/>
                <w:szCs w:val="16"/>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90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0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8"/>
              </w:rPr>
              <w:t>1,209,507,463</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$18,536.1</w:t>
            </w:r>
          </w:p>
        </w:tc>
        <w:tc>
          <w:tcPr>
            <w:tcW w:w="80" w:type="dxa"/>
            <w:vAlign w:val="bottom"/>
          </w:tcPr>
          <w:p>
            <w:pPr>
              <w:spacing w:after="0"/>
              <w:rPr>
                <w:sz w:val="19"/>
                <w:szCs w:val="19"/>
                <w:color w:val="auto"/>
              </w:rPr>
            </w:pPr>
          </w:p>
        </w:tc>
        <w:tc>
          <w:tcPr>
            <w:tcW w:w="7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7"/>
              </w:rPr>
              <w:t>$ 3,688.8</w:t>
            </w:r>
          </w:p>
        </w:tc>
        <w:tc>
          <w:tcPr>
            <w:tcW w:w="80" w:type="dxa"/>
            <w:vAlign w:val="bottom"/>
          </w:tcPr>
          <w:p>
            <w:pPr>
              <w:spacing w:after="0"/>
              <w:rPr>
                <w:sz w:val="19"/>
                <w:szCs w:val="19"/>
                <w:color w:val="auto"/>
              </w:rPr>
            </w:pPr>
          </w:p>
        </w:tc>
        <w:tc>
          <w:tcPr>
            <w:tcW w:w="880" w:type="dxa"/>
            <w:vAlign w:val="bottom"/>
            <w:tcBorders>
              <w:top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(1,744.3)</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$20,492.7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399.2</w:t>
            </w:r>
          </w:p>
        </w:tc>
        <w:tc>
          <w:tcPr>
            <w:tcW w:w="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2,816,020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900" w:type="dxa"/>
            <w:vAlign w:val="bottom"/>
          </w:tcPr>
          <w:p>
            <w:pPr>
              <w:ind w:left="200"/>
              <w:spacing w:after="0" w:line="189" w:lineRule="exact"/>
              <w:rPr>
                <w:sz w:val="20"/>
                <w:szCs w:val="20"/>
                <w:color w:val="auto"/>
              </w:rPr>
            </w:pPr>
            <w:r>
              <w:rPr>
                <w:rFonts w:ascii="Arial" w:cs="Arial" w:eastAsia="Arial" w:hAnsi="Arial"/>
                <w:sz w:val="18"/>
                <w:szCs w:val="18"/>
                <w:color w:val="auto"/>
                <w:w w:val="91"/>
              </w:rPr>
              <w:t>Taxes related to the net share settlement of equity</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awards</w:t>
            </w: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Arial" w:cs="Arial" w:eastAsia="Arial" w:hAnsi="Arial"/>
                <w:sz w:val="18"/>
                <w:szCs w:val="18"/>
                <w:color w:val="auto"/>
                <w:w w:val="90"/>
              </w:rPr>
              <w:t>Cash dividends declared, $0.12 per common share</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9"/>
                <w:szCs w:val="19"/>
                <w:color w:val="auto"/>
              </w:rPr>
            </w:pPr>
          </w:p>
        </w:tc>
        <w:tc>
          <w:tcPr>
            <w:tcW w:w="9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1,212,323,483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18,555.1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$ 3,941.5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$20,447.7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7"/>
                <w:szCs w:val="17"/>
                <w:color w:val="auto"/>
              </w:rPr>
            </w:pPr>
          </w:p>
        </w:tc>
      </w:tr>
      <w:tr>
        <w:trPr>
          <w:trHeight w:val="26"/>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2022</w:t>
            </w:r>
          </w:p>
        </w:tc>
      </w:tr>
      <w:tr>
        <w:trPr>
          <w:trHeight w:val="26"/>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399.2</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70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736.0</w:t>
            </w:r>
          </w:p>
        </w:tc>
      </w:tr>
      <w:tr>
        <w:trPr>
          <w:trHeight w:val="219"/>
        </w:trPr>
        <w:tc>
          <w:tcPr>
            <w:tcW w:w="8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13"/>
        </w:trPr>
        <w:tc>
          <w:tcPr>
            <w:tcW w:w="8700" w:type="dxa"/>
            <w:vAlign w:val="bottom"/>
          </w:tcPr>
          <w:p>
            <w:pPr>
              <w:ind w:left="460"/>
              <w:spacing w:after="0"/>
              <w:rPr>
                <w:sz w:val="20"/>
                <w:szCs w:val="20"/>
                <w:color w:val="auto"/>
              </w:rPr>
            </w:pPr>
            <w:r>
              <w:rPr>
                <w:rFonts w:ascii="Arial" w:cs="Arial" w:eastAsia="Arial" w:hAnsi="Arial"/>
                <w:sz w:val="16"/>
                <w:szCs w:val="16"/>
                <w:color w:val="auto"/>
              </w:rPr>
              <w:t>Deferred income tax benefit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(52.8)</w:t>
            </w:r>
          </w:p>
        </w:tc>
      </w:tr>
      <w:tr>
        <w:trPr>
          <w:trHeight w:val="219"/>
        </w:trPr>
        <w:tc>
          <w:tcPr>
            <w:tcW w:w="8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from equity method investments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700" w:type="dxa"/>
            <w:vAlign w:val="bottom"/>
          </w:tcPr>
          <w:p>
            <w:pPr>
              <w:ind w:left="460"/>
              <w:spacing w:after="0"/>
              <w:rPr>
                <w:sz w:val="20"/>
                <w:szCs w:val="20"/>
                <w:color w:val="auto"/>
              </w:rPr>
            </w:pPr>
            <w:r>
              <w:rPr>
                <w:rFonts w:ascii="Arial" w:cs="Arial" w:eastAsia="Arial" w:hAnsi="Arial"/>
                <w:sz w:val="16"/>
                <w:szCs w:val="16"/>
                <w:color w:val="auto"/>
              </w:rPr>
              <w:t>Other non-cash items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19"/>
        </w:trPr>
        <w:tc>
          <w:tcPr>
            <w:tcW w:w="8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8700" w:type="dxa"/>
            <w:vAlign w:val="bottom"/>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r>
      <w:tr>
        <w:trPr>
          <w:trHeight w:val="213"/>
        </w:trPr>
        <w:tc>
          <w:tcPr>
            <w:tcW w:w="8700" w:type="dxa"/>
            <w:vAlign w:val="bottom"/>
          </w:tcPr>
          <w:p>
            <w:pPr>
              <w:ind w:left="66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(69.1)</w:t>
            </w:r>
          </w:p>
        </w:tc>
      </w:tr>
      <w:tr>
        <w:trPr>
          <w:trHeight w:val="219"/>
        </w:trPr>
        <w:tc>
          <w:tcPr>
            <w:tcW w:w="8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3"/>
        </w:trPr>
        <w:tc>
          <w:tcPr>
            <w:tcW w:w="8700" w:type="dxa"/>
            <w:vAlign w:val="bottom"/>
          </w:tcPr>
          <w:p>
            <w:pPr>
              <w:ind w:left="66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19"/>
        </w:trPr>
        <w:tc>
          <w:tcPr>
            <w:tcW w:w="8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operating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r>
      <w:tr>
        <w:trPr>
          <w:trHeight w:val="207"/>
        </w:trPr>
        <w:tc>
          <w:tcPr>
            <w:tcW w:w="87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1,138.5</w:t>
            </w:r>
          </w:p>
        </w:tc>
      </w:tr>
      <w:tr>
        <w:trPr>
          <w:trHeight w:val="19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Purchase of marketable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sale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Payments for product rights and other,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6"/>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w:t>
            </w:r>
          </w:p>
        </w:tc>
      </w:tr>
      <w:tr>
        <w:trPr>
          <w:trHeight w:val="19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Purchase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short-term borrowings,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(837.9)</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payments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Payments of financing fees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dividends paid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Non-contingent payments for product rights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items,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(1,009.0)</w:t>
            </w:r>
          </w:p>
        </w:tc>
      </w:tr>
      <w:tr>
        <w:trPr>
          <w:trHeight w:val="207"/>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on cash of changes in exchange rates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706.2</w:t>
            </w:r>
          </w:p>
        </w:tc>
      </w:tr>
      <w:tr>
        <w:trPr>
          <w:trHeight w:val="23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spacing w:after="0" w:line="176"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These interim financial statements should be read in conjunction with the consolidated financial statements and notes thereto in Viatris’ 2022 Form 10-K. The December 31, 2022 condensed consolidated balance sheet was derived from audited financial statements.</w:t>
      </w:r>
    </w:p>
    <w:p>
      <w:pPr>
        <w:spacing w:after="0" w:line="14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interim results of operations, comprehensive earnings and cash flows for the three months ended March 31, 2023 are not necessarily indicative of the results to be expected for the full fiscal year or any other future period.</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The Company recognizes revenues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6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net sales by product category for each of our reportable segments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2022, respectively:</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6"/>
          </w:tcPr>
          <w:p>
            <w:pPr>
              <w:jc w:val="center"/>
              <w:ind w:left="456"/>
              <w:spacing w:after="0"/>
              <w:rPr>
                <w:sz w:val="20"/>
                <w:szCs w:val="20"/>
                <w:color w:val="auto"/>
              </w:rPr>
            </w:pPr>
            <w:r>
              <w:rPr>
                <w:rFonts w:ascii="Arial" w:cs="Arial" w:eastAsia="Arial" w:hAnsi="Arial"/>
                <w:sz w:val="14"/>
                <w:szCs w:val="14"/>
                <w:b w:val="1"/>
                <w:bCs w:val="1"/>
                <w:color w:val="auto"/>
                <w:w w:val="95"/>
              </w:rPr>
              <w:t>Three Months Ended March 31, 2023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JANZ</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2,420.3</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Complex Gx</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6"/>
          </w:tcPr>
          <w:p>
            <w:pPr>
              <w:jc w:val="center"/>
              <w:ind w:left="456"/>
              <w:spacing w:after="0"/>
              <w:rPr>
                <w:sz w:val="20"/>
                <w:szCs w:val="20"/>
                <w:color w:val="auto"/>
              </w:rPr>
            </w:pPr>
            <w:r>
              <w:rPr>
                <w:rFonts w:ascii="Arial" w:cs="Arial" w:eastAsia="Arial" w:hAnsi="Arial"/>
                <w:sz w:val="14"/>
                <w:szCs w:val="14"/>
                <w:b w:val="1"/>
                <w:bCs w:val="1"/>
                <w:color w:val="auto"/>
                <w:w w:val="95"/>
              </w:rPr>
              <w:t>Three Months Ended March 31, 2022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JANZ</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50" w:lineRule="exact"/>
        <w:rPr>
          <w:sz w:val="20"/>
          <w:szCs w:val="20"/>
          <w:color w:val="auto"/>
        </w:rPr>
      </w:pPr>
    </w:p>
    <w:p>
      <w:pPr>
        <w:ind w:left="660" w:right="20" w:hanging="328"/>
        <w:spacing w:after="0" w:line="220" w:lineRule="auto"/>
        <w:tabs>
          <w:tab w:leader="none" w:pos="655"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Amounts for the three months ended March 31, 2023 include the unfavorable impact of foreign currency translations compared to the prior year period.</w:t>
      </w:r>
    </w:p>
    <w:p>
      <w:pPr>
        <w:spacing w:after="0" w:line="94" w:lineRule="exact"/>
        <w:rPr>
          <w:rFonts w:ascii="Arial" w:cs="Arial" w:eastAsia="Arial" w:hAnsi="Arial"/>
          <w:sz w:val="23"/>
          <w:szCs w:val="23"/>
          <w:color w:val="auto"/>
          <w:vertAlign w:val="superscript"/>
        </w:rPr>
      </w:pPr>
    </w:p>
    <w:p>
      <w:pPr>
        <w:jc w:val="both"/>
        <w:ind w:left="660" w:hanging="328"/>
        <w:spacing w:after="0" w:line="224"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Amounts for the three months ended March 31, 2022 include $164.8 million related to the biosimilars business which was subsequently contributed to Biocon Biologics in November 2022. The Company has not recognized the results of the biosimilars business in its consolidated financial statements subsequent to November 29, 2022.</w:t>
      </w:r>
    </w:p>
    <w:p>
      <w:pPr>
        <w:spacing w:after="0" w:line="230"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7"/>
          <w:szCs w:val="17"/>
          <w:color w:val="auto"/>
        </w:rPr>
        <w:t>The following table presents net sales on a consolidated basis for select key products for the three months ended March 31, 2023 and 2022:</w:t>
      </w: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1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Select Key Global Products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Lipitor ®</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Arial" w:cs="Arial" w:eastAsia="Arial" w:hAnsi="Arial"/>
                <w:sz w:val="18"/>
                <w:szCs w:val="18"/>
                <w:color w:val="auto"/>
              </w:rPr>
              <w:t>Norvasc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Lyrica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29"/>
        </w:trPr>
        <w:tc>
          <w:tcPr>
            <w:tcW w:w="8100" w:type="dxa"/>
            <w:vAlign w:val="bottom"/>
          </w:tcPr>
          <w:p>
            <w:pPr>
              <w:ind w:left="120"/>
              <w:spacing w:after="0"/>
              <w:rPr>
                <w:sz w:val="20"/>
                <w:szCs w:val="20"/>
                <w:color w:val="auto"/>
              </w:rPr>
            </w:pPr>
            <w:r>
              <w:rPr>
                <w:rFonts w:ascii="Arial" w:cs="Arial" w:eastAsia="Arial" w:hAnsi="Arial"/>
                <w:sz w:val="18"/>
                <w:szCs w:val="18"/>
                <w:color w:val="auto"/>
              </w:rPr>
              <w:t>Viagra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EpiPen® Auto-Injectors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8100" w:type="dxa"/>
            <w:vAlign w:val="bottom"/>
          </w:tcPr>
          <w:p>
            <w:pPr>
              <w:ind w:left="120"/>
              <w:spacing w:after="0"/>
              <w:rPr>
                <w:sz w:val="20"/>
                <w:szCs w:val="20"/>
                <w:color w:val="auto"/>
              </w:rPr>
            </w:pPr>
            <w:r>
              <w:rPr>
                <w:rFonts w:ascii="Arial" w:cs="Arial" w:eastAsia="Arial" w:hAnsi="Arial"/>
                <w:sz w:val="18"/>
                <w:szCs w:val="18"/>
                <w:color w:val="auto"/>
              </w:rPr>
              <w:t>Celebrex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Creon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Arial" w:cs="Arial" w:eastAsia="Arial" w:hAnsi="Arial"/>
                <w:sz w:val="18"/>
                <w:szCs w:val="18"/>
                <w:color w:val="auto"/>
              </w:rPr>
              <w:t>Effexor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Zoloft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9"/>
        </w:trPr>
        <w:tc>
          <w:tcPr>
            <w:tcW w:w="8100" w:type="dxa"/>
            <w:vAlign w:val="bottom"/>
          </w:tcPr>
          <w:p>
            <w:pPr>
              <w:ind w:left="120"/>
              <w:spacing w:after="0"/>
              <w:rPr>
                <w:sz w:val="20"/>
                <w:szCs w:val="20"/>
                <w:color w:val="auto"/>
              </w:rPr>
            </w:pPr>
            <w:r>
              <w:rPr>
                <w:rFonts w:ascii="Arial" w:cs="Arial" w:eastAsia="Arial" w:hAnsi="Arial"/>
                <w:sz w:val="18"/>
                <w:szCs w:val="18"/>
                <w:color w:val="auto"/>
              </w:rPr>
              <w:t>Xalabrands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Arial" w:cs="Arial" w:eastAsia="Arial" w:hAnsi="Arial"/>
                <w:sz w:val="18"/>
                <w:szCs w:val="18"/>
                <w:b w:val="1"/>
                <w:bCs w:val="1"/>
                <w:color w:val="auto"/>
              </w:rPr>
              <w:t>Select Key Segment Products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Dymista ®</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Arial" w:cs="Arial" w:eastAsia="Arial" w:hAnsi="Arial"/>
                <w:sz w:val="18"/>
                <w:szCs w:val="18"/>
                <w:color w:val="auto"/>
              </w:rPr>
              <w:t>Yupelri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Xanax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Arial" w:cs="Arial" w:eastAsia="Arial" w:hAnsi="Arial"/>
                <w:sz w:val="18"/>
                <w:szCs w:val="18"/>
                <w:color w:val="auto"/>
              </w:rPr>
              <w:t>Amitiza ®</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Company does not disclose net sales for any products considered competitively sensitive.</w:t>
      </w:r>
    </w:p>
    <w:p>
      <w:pPr>
        <w:spacing w:after="0" w:line="4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Products disclosed may change in future periods, including as a result of seasonality, competition or new product launches.</w:t>
      </w:r>
    </w:p>
    <w:p>
      <w:pPr>
        <w:spacing w:after="0" w:line="56" w:lineRule="exact"/>
        <w:rPr>
          <w:rFonts w:ascii="Arial" w:cs="Arial" w:eastAsia="Arial" w:hAnsi="Arial"/>
          <w:sz w:val="23"/>
          <w:szCs w:val="23"/>
          <w:color w:val="auto"/>
          <w:vertAlign w:val="superscript"/>
        </w:rPr>
      </w:pPr>
    </w:p>
    <w:p>
      <w:pPr>
        <w:ind w:left="660" w:right="20" w:hanging="328"/>
        <w:spacing w:after="0" w:line="219" w:lineRule="auto"/>
        <w:tabs>
          <w:tab w:leader="none" w:pos="655"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Amounts for the three months ended March 31, 2023 include the unfavorable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 and Accounts Receivable</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presents a reconciliation of gross sales to net sales by each significant category of variable consideration during the three months ended March 31, 2023 and 2022, respectively:</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7,198.3</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Gross to net adjustments: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Chargebacks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Rebates, promotional programs and other sales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(1,205.9)</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Governmental rebate programs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gross to net adjustments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(3,020.1)</w:t>
            </w:r>
          </w:p>
        </w:tc>
        <w:tc>
          <w:tcPr>
            <w:tcW w:w="0" w:type="dxa"/>
            <w:vAlign w:val="bottom"/>
          </w:tcPr>
          <w:p>
            <w:pPr>
              <w:spacing w:after="0"/>
              <w:rPr>
                <w:sz w:val="1"/>
                <w:szCs w:val="1"/>
                <w:color w:val="auto"/>
              </w:rPr>
            </w:pPr>
          </w:p>
        </w:tc>
      </w:tr>
      <w:tr>
        <w:trPr>
          <w:trHeight w:val="223"/>
        </w:trPr>
        <w:tc>
          <w:tcPr>
            <w:tcW w:w="870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No significant revisions were made to the methodology used in determining these provisions or the nature of the provisions during the three months ended March 31, 2023. Such allowances were comprised of the following at March 31, 2023 and December 31, 2022, respectively:</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was comprised of the following at March 31, 2023 and December 31, 2022, respectively:</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6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$76.3 million and $34.7 million of accounts receivable as of March 31, 2023 and December 31, 2022, respectively, under these factoring arrangements.</w:t>
      </w:r>
    </w:p>
    <w:p>
      <w:pPr>
        <w:spacing w:after="0" w:line="18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Adoption of New Accounting Standards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September 2022, the FASB issued Accounting Standards Update 2022-04, </w:t>
      </w:r>
      <w:r>
        <w:rPr>
          <w:rFonts w:ascii="Arial" w:cs="Arial" w:eastAsia="Arial" w:hAnsi="Arial"/>
          <w:sz w:val="18"/>
          <w:szCs w:val="18"/>
          <w:i w:val="1"/>
          <w:iCs w:val="1"/>
          <w:color w:val="auto"/>
        </w:rPr>
        <w:t>Liabilities—Supplier Finance Programs (Subtopic 405-50),</w:t>
      </w:r>
      <w:r>
        <w:rPr>
          <w:rFonts w:ascii="Arial" w:cs="Arial" w:eastAsia="Arial" w:hAnsi="Arial"/>
          <w:sz w:val="18"/>
          <w:szCs w:val="18"/>
          <w:color w:val="auto"/>
        </w:rPr>
        <w:t xml:space="preserve"> which requires entities to provide qualitative and quantitative disclosures about their supplier finance programs, including a rollforward of related obligations. The adoption of ASU 2022-04 did not affect the Company’s financial condition, results of operations or cash flows as the guidance only requires additional disclosures. We adopted this ASU effective January 1, 2023.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March 31, 2023 and December 31, 2022 were $55.5 million and $33.4 million, respectively. These amounts are included within </w:t>
      </w:r>
      <w:r>
        <w:rPr>
          <w:rFonts w:ascii="Arial" w:cs="Arial" w:eastAsia="Arial" w:hAnsi="Arial"/>
          <w:sz w:val="16"/>
          <w:szCs w:val="16"/>
          <w:i w:val="1"/>
          <w:iCs w:val="1"/>
          <w:color w:val="auto"/>
        </w:rPr>
        <w:t>Accounts payable</w:t>
      </w:r>
      <w:r>
        <w:rPr>
          <w:rFonts w:ascii="Arial" w:cs="Arial" w:eastAsia="Arial" w:hAnsi="Arial"/>
          <w:sz w:val="16"/>
          <w:szCs w:val="16"/>
          <w:color w:val="auto"/>
        </w:rPr>
        <w:t xml:space="preserve"> in the condensed consolidated balance sheets.</w:t>
      </w:r>
    </w:p>
    <w:p>
      <w:pPr>
        <w:spacing w:after="0" w:line="19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were no other significant changes in new accounting standards from those disclosed in Viatris’ 2022 Form 10-K. Refer to Viatris’ 2022 Form 10-K for additional information.</w:t>
      </w:r>
    </w:p>
    <w:p>
      <w:pPr>
        <w:spacing w:after="0" w:line="1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Other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Oyster Point Acquisition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first quarter of 2023, the Company completed the acquisition of Oyster Point for approximately $427.4 million in cash, which included $11 per share paid to Oyster Point stockholders through a tender offer, payment for vested share-based awards, and the repayment of debt of Oyster Point. In addition to the upfront cash consideration, each Oyster Point stockholder received one non-tradeable contingent value right representing up to an additional $2 per share, or approximately $60 million in the aggregate, contingent upon Oyster Point achieving certain metrics based upon full year 2022 performance. Oyster Point did not achieve the metrics that would have triggered a contingent payment and the contingent value rights have expired. Oyster Point is focused on the discovery, development, and commercialization of first-in-class pharmaceutical therapies to treat ophthalmic diseases.</w:t>
      </w:r>
    </w:p>
    <w:p>
      <w:pPr>
        <w:spacing w:after="0" w:line="164"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Vested share-based awards to acquire Oyster Point common stock that were outstanding immediately prior to the closing of the acquisition were cancelled in exchange for the right to receive an amount in cash based upon a formula contained within the merger agreement. The unvested share-based awards were converted into Viatris share-based awards based upon a formula contained within the merger agreement.</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During the three months ended March 31, 2023, the Company incurred acquisition related costs of approximately $18.3 million, which were recorded primarily in SG&amp;A in the condensed consolidated statement of operations.</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U.S. GAAP purchase price was $392.7 million, net of cash acquired. The preliminary allocation of the purchase price to the assets acquired and liabilities assumed for Oyster Point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
        </w:trPr>
        <w:tc>
          <w:tcPr>
            <w:tcW w:w="9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(excluding inventories and net of cash acquired)</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334.0</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9180" w:type="dxa"/>
            <w:vAlign w:val="bottom"/>
          </w:tcPr>
          <w:p>
            <w:pPr>
              <w:ind w:left="240"/>
              <w:spacing w:after="0"/>
              <w:rPr>
                <w:sz w:val="20"/>
                <w:szCs w:val="20"/>
                <w:color w:val="auto"/>
              </w:rPr>
            </w:pPr>
            <w:r>
              <w:rPr>
                <w:rFonts w:ascii="Arial" w:cs="Arial" w:eastAsia="Arial" w:hAnsi="Arial"/>
                <w:sz w:val="18"/>
                <w:szCs w:val="18"/>
                <w:color w:val="auto"/>
              </w:rPr>
              <w:t>Total assets acquired</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431.4</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9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 (net of $34.7 of cash acquired)</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valuation of intangible assets and income taxes.</w:t>
      </w:r>
    </w:p>
    <w:p>
      <w:pPr>
        <w:spacing w:after="0" w:line="1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The Company recorded a step-up in the fair value of inventory of approximately $29.3 million. During the three months ended March 31, 2023, the Company recorded amortization of the inventory step-up of approximately $7.3 million, which is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in the condensed consolidated statement of operations.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identified intangible assets of $334.0 million are comprised of product rights and licenses related to a commercial asset, Tyrvaya®, for the treatment of dry eye disease, that have an estimated useful life of 10 years. Significant assumptions utilized in the valuation of identified intangible assets were based on company specific information and projections which are not observable in the market and are thus considered Level 3 measurements as defined by U.S. GAAP.</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goodwill of $5.9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operating results of Oyster Point have been included in the Company’s condensed consolidated statements of operations since the acquisition date. The total revenues of Oyster Point for the period from the acquisition date to March 31, 2023, were $6.3 million and net loss, net of tax, was approximately $49.3 million. The net loss for the period includes the effect of the purchase accounting adjustments and acquisition related costs.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supplemental unaudited pro forma information for the acquisition, as if it had occurred on January 1, 2022. The unaudited pro forma results reflect certain adjustments related to past operating performance and acquisition accounting adjustments, such as increased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acquisition.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6"/>
                <w:szCs w:val="16"/>
                <w:color w:val="auto"/>
              </w:rPr>
            </w:pPr>
          </w:p>
        </w:tc>
        <w:tc>
          <w:tcPr>
            <w:tcW w:w="160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per share amounts)</w:t>
            </w:r>
          </w:p>
        </w:tc>
        <w:tc>
          <w:tcPr>
            <w:tcW w:w="16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2023</w:t>
            </w:r>
          </w:p>
        </w:tc>
        <w:tc>
          <w:tcPr>
            <w:tcW w:w="180" w:type="dxa"/>
            <w:vAlign w:val="bottom"/>
          </w:tcPr>
          <w:p>
            <w:pPr>
              <w:spacing w:after="0"/>
              <w:rPr>
                <w:sz w:val="17"/>
                <w:szCs w:val="17"/>
                <w:color w:val="auto"/>
              </w:rPr>
            </w:pPr>
          </w:p>
        </w:tc>
        <w:tc>
          <w:tcPr>
            <w:tcW w:w="160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5"/>
        </w:trPr>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40" w:type="dxa"/>
            <w:vAlign w:val="bottom"/>
          </w:tcPr>
          <w:p>
            <w:pPr>
              <w:ind w:left="20"/>
              <w:spacing w:after="0" w:line="203" w:lineRule="exact"/>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260.5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1,213.1</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Famy Life Sciences Acquisition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On November 7, 2022, the Company entered into a definitive agreement to acquire the remaining equity shares of Famy Life Sciences, a privately-owned research company with a complementary portfolio of ophthalmology therapies under development, for consideration of $281 million. The Company had previously entered into a Master Development Agreement with Famy Life Sciences on December 20, 2019 under which the Company obtained rights with respect to acquiring certain pharmaceutical products and had also acquired shares representing approximately 13.5% equity interest in Famy Life Sciences for $25.0 million at December 31, 2020. The investment was accounted for in accordance with ASC 321, </w:t>
      </w:r>
      <w:r>
        <w:rPr>
          <w:rFonts w:ascii="Arial" w:cs="Arial" w:eastAsia="Arial" w:hAnsi="Arial"/>
          <w:sz w:val="18"/>
          <w:szCs w:val="18"/>
          <w:i w:val="1"/>
          <w:iCs w:val="1"/>
          <w:color w:val="auto"/>
        </w:rPr>
        <w:t>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 xml:space="preserve">The transaction to acquire the remaining equity shares of Famy Life Sciences closed during the first quarter of 2023. The Company recognized a gain of $18.9 million during the first quarter of 2023 as a result of remeasuring its pre-existing 13.5% equity interest in Famy Life Sciences to fair value, which was recorded as a component of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condensed consolidated statement of operations.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The U.S. GAAP purchase price allocated to the transaction was $325.0 million, which consisted of $281 million of cash consideration paid for the remaining equity shares and $43.9 million for the fair value of the pre-existing 13.5% equity interest. The preliminary allocation of the purchase price to the assets acquired and liabilities assumed for Famy Life Sciences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6"/>
        </w:trPr>
        <w:tc>
          <w:tcPr>
            <w:tcW w:w="9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IPR&amp;D</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r>
      <w:tr>
        <w:trPr>
          <w:trHeight w:val="223"/>
        </w:trPr>
        <w:tc>
          <w:tcPr>
            <w:tcW w:w="9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9180" w:type="dxa"/>
            <w:vAlign w:val="bottom"/>
          </w:tcPr>
          <w:p>
            <w:pPr>
              <w:ind w:left="240"/>
              <w:spacing w:after="0"/>
              <w:rPr>
                <w:sz w:val="20"/>
                <w:szCs w:val="20"/>
                <w:color w:val="auto"/>
              </w:rPr>
            </w:pPr>
            <w:r>
              <w:rPr>
                <w:rFonts w:ascii="Arial" w:cs="Arial" w:eastAsia="Arial" w:hAnsi="Arial"/>
                <w:sz w:val="18"/>
                <w:szCs w:val="18"/>
                <w:color w:val="auto"/>
              </w:rPr>
              <w:t>Net assets acquired (net of $0.2 of cash acquired)</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r>
      <w:tr>
        <w:trPr>
          <w:trHeight w:val="20"/>
        </w:trPr>
        <w:tc>
          <w:tcPr>
            <w:tcW w:w="9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valuation of IPR&amp;D and income taxes.</w:t>
      </w:r>
    </w:p>
    <w:p>
      <w:pPr>
        <w:spacing w:after="0" w:line="16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$290.0 million was based on the excess earnings method, which utilizes forecasts of expected cash inflows (including estimates for ongoing costs) and other contributory charges. A discount rate of 23.9%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The acquired IPR&amp;D projects are in various stages of completion and the estimated costs to complete these projects total approximately $120 million, which are expected to be incurred through 2024.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w:t>
      </w:r>
    </w:p>
    <w:p>
      <w:pPr>
        <w:spacing w:after="0" w:line="166"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The goodwill of $89.3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acquisition did not have a material impact on the Company’s results of operations since the acquisition date or on a pro forma basis for the three months ended March 31, 2023 and 2022.</w:t>
      </w:r>
    </w:p>
    <w:p>
      <w:pPr>
        <w:spacing w:after="0" w:line="19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Ophthalmology is one of the key therapeutic areas of focus that the Company announced in February 2022 when it announced plans for certain strategic actions. With the combination of Viatris' global commercial footprint, R&amp;D and regulatory capabilities and supply chain, along with Oyster Point's deep knowledge of the ophthalmology space from a clinical, medical, regulatory and commercial perspective—including Tyrvaya®—and Famy Life Sciences' Phase III-ready pipeline, the Company believes it has the foundation to create a leading global ophthalmology franchise, accelerating efforts to address the unmet needs of patients with ophthalmic disease and the eye care professionals who treat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Biocon Biologics Transaction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November 29, 2022, Viatris completed a transaction to contribute its biosimilars portfolio to Biocon Biologics.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Viatris also is entitled to $335 million of additional cash payments in 2024. In addition, Viatris and Biocon Biologics have agreed to a closing working capital target of $250 million. An amount of cash equal to all or a portion of the closing working capital target may become payable to Biocon Biologics in connection with certain events in the future, depending on the valuations attributable to such events. Refer to Note 8 </w:t>
      </w:r>
      <w:r>
        <w:rPr>
          <w:rFonts w:ascii="Arial" w:cs="Arial" w:eastAsia="Arial" w:hAnsi="Arial"/>
          <w:sz w:val="18"/>
          <w:szCs w:val="18"/>
          <w:i w:val="1"/>
          <w:iCs w:val="1"/>
          <w:color w:val="auto"/>
        </w:rPr>
        <w:t>Balance Sheet Components</w:t>
      </w:r>
      <w:r>
        <w:rPr>
          <w:rFonts w:ascii="Arial" w:cs="Arial" w:eastAsia="Arial" w:hAnsi="Arial"/>
          <w:sz w:val="18"/>
          <w:szCs w:val="18"/>
          <w:color w:val="auto"/>
        </w:rPr>
        <w:t xml:space="preserve"> for additional information on assets and liabilities related to Biocon Biologics. The Company’s CCPS in Biocon Biologics are classified as equity securities, refer to Note 11 </w:t>
      </w:r>
      <w:r>
        <w:rPr>
          <w:rFonts w:ascii="Arial" w:cs="Arial" w:eastAsia="Arial" w:hAnsi="Arial"/>
          <w:sz w:val="18"/>
          <w:szCs w:val="18"/>
          <w:i w:val="1"/>
          <w:iCs w:val="1"/>
          <w:color w:val="auto"/>
        </w:rPr>
        <w:t xml:space="preserve">Financial Instruments and Risk Management </w:t>
      </w:r>
      <w:r>
        <w:rPr>
          <w:rFonts w:ascii="Arial" w:cs="Arial" w:eastAsia="Arial" w:hAnsi="Arial"/>
          <w:sz w:val="18"/>
          <w:szCs w:val="18"/>
          <w:color w:val="auto"/>
        </w:rPr>
        <w:t>for further discussion.</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term of the transition services agreement is generally up to two years. Under the transition services agreement, Viatris is entitled to be reimbursed for its costs (subject to certain caps) plus a markup. During the three months ended March 31, 2023, the Company recognized TSA income of approximately $45.7 million as a component of </w:t>
      </w:r>
      <w:r>
        <w:rPr>
          <w:rFonts w:ascii="Arial" w:cs="Arial" w:eastAsia="Arial" w:hAnsi="Arial"/>
          <w:sz w:val="18"/>
          <w:szCs w:val="18"/>
          <w:i w:val="1"/>
          <w:iCs w:val="1"/>
          <w:color w:val="auto"/>
        </w:rPr>
        <w:t>Other (Income) Expense, net</w:t>
      </w:r>
      <w:r>
        <w:rPr>
          <w:rFonts w:ascii="Arial" w:cs="Arial" w:eastAsia="Arial" w:hAnsi="Arial"/>
          <w:sz w:val="18"/>
          <w:szCs w:val="18"/>
          <w:color w:val="auto"/>
        </w:rPr>
        <w: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Potential Divestitures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2022, the Company provided an update on the strategic priorities announced in February 2022, including identifying the following businesses no longer considered core to its future strategy that the Company intends to divest:</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API (while retaining some selective development API capabilities);</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Women’s health care, primarily related to our oral and injectable contraceptives. This does not include all of our women’s health care related products; as an example, our Xulane® product in the U.S. is excluded; and</w:t>
      </w:r>
    </w:p>
    <w:p>
      <w:pPr>
        <w:spacing w:after="0" w:line="75"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Upjohn Distributor Markets.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fourth quarter of 2022, we determined that our Upjohn Distributor Markets should be classified as held for sale. Upon classification as held for sale, we recognized a total charge of $374.2 million during the three months ended December 31, 2022. This was comprised of a goodwill impairment charge of $117.0 million, other charges, principally inventory write-offs, of $84.3 million and a charge of approximately $172.9 million to write down the disposal group to fair value, less cost to sell. During the three months ended March 31, 2023, the Company recorded additional inventory reserves of $9.2 million and an intangible asset charge of $32.0 million to write down the disposal group to fair value, less cost to sell. As of March 31, 2023 and December 31, 2022, assets held for sale associated with the Upjohn Distributor Markets consisted of intangible assets of $198.3 million and $230.3 million, respectively. If these transactions are not completed, the distribution arrangements will expire in accordance with our agreement with Pfizer and the Company will wind down operations in these markets, which may result in additional asset write-offs and other costs being incurred. These additional charges could be in excess of $250 million.</w:t>
      </w:r>
    </w:p>
    <w:p>
      <w:pPr>
        <w:spacing w:after="0" w:line="200" w:lineRule="exact"/>
        <w:rPr>
          <w:sz w:val="20"/>
          <w:szCs w:val="20"/>
          <w:color w:val="auto"/>
        </w:rPr>
      </w:pPr>
    </w:p>
    <w:p>
      <w:pPr>
        <w:spacing w:after="0" w:line="22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Incentive Plan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Prior to the Distribution, Viatris adopted and Pfizer, in the capacity as Viatris’ sole stockholder at such time, approved the 2020 Incentive Plan (the </w:t>
      </w:r>
      <w:r>
        <w:rPr>
          <w:rFonts w:ascii="Arial" w:cs="Arial" w:eastAsia="Arial" w:hAnsi="Arial"/>
          <w:sz w:val="16"/>
          <w:szCs w:val="16"/>
          <w:i w:val="1"/>
          <w:iCs w:val="1"/>
          <w:color w:val="auto"/>
        </w:rPr>
        <w:t>Viatris Inc. 2020 Stock Incentive Plan</w:t>
      </w:r>
      <w:r>
        <w:rPr>
          <w:rFonts w:ascii="Arial" w:cs="Arial" w:eastAsia="Arial" w:hAnsi="Arial"/>
          <w:sz w:val="16"/>
          <w:szCs w:val="16"/>
          <w:color w:val="auto"/>
        </w:rPr>
        <w:t>) which became effective as of the Distribution. In connection with the Combination, as of November 16, 2020,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assumed the 2003 LTIP (</w:t>
      </w:r>
      <w:r>
        <w:rPr>
          <w:rFonts w:ascii="Arial" w:cs="Arial" w:eastAsia="Arial" w:hAnsi="Arial"/>
          <w:sz w:val="16"/>
          <w:szCs w:val="16"/>
          <w:i w:val="1"/>
          <w:iCs w:val="1"/>
          <w:color w:val="auto"/>
        </w:rPr>
        <w:t>Mylan N.V. Amended and Restated 2003 Long-Term Incentive Plan</w:t>
      </w:r>
      <w:r>
        <w:rPr>
          <w:rFonts w:ascii="Arial" w:cs="Arial" w:eastAsia="Arial" w:hAnsi="Arial"/>
          <w:sz w:val="16"/>
          <w:szCs w:val="16"/>
          <w:color w:val="auto"/>
        </w:rPr>
        <w:t>), which had previously been approved by Mylan shareholders. The 2020 Incentive Plan and 2003 LTIP include (i) 72,500,000 shares of Common Stock authorized for grant pursuant to the 2020 Incentive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2020 Incentive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awards (stock options and SARs) activity under the 2020 Incentive Plan and 2003 LTIP: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9"/>
        </w:trPr>
        <w:tc>
          <w:tcPr>
            <w:tcW w:w="852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Under Stock</w:t>
            </w:r>
          </w:p>
        </w:tc>
        <w:tc>
          <w:tcPr>
            <w:tcW w:w="120" w:type="dxa"/>
            <w:vAlign w:val="bottom"/>
          </w:tcPr>
          <w:p>
            <w:pPr>
              <w:spacing w:after="0"/>
              <w:rPr>
                <w:sz w:val="12"/>
                <w:szCs w:val="12"/>
                <w:color w:val="auto"/>
              </w:rPr>
            </w:pPr>
          </w:p>
        </w:tc>
        <w:tc>
          <w:tcPr>
            <w:tcW w:w="13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Exercise Price per</w:t>
            </w:r>
          </w:p>
        </w:tc>
        <w:tc>
          <w:tcPr>
            <w:tcW w:w="0" w:type="dxa"/>
            <w:vAlign w:val="bottom"/>
          </w:tcPr>
          <w:p>
            <w:pPr>
              <w:spacing w:after="0"/>
              <w:rPr>
                <w:sz w:val="1"/>
                <w:szCs w:val="1"/>
                <w:color w:val="auto"/>
              </w:rPr>
            </w:pPr>
          </w:p>
        </w:tc>
      </w:tr>
      <w:tr>
        <w:trPr>
          <w:trHeight w:val="186"/>
        </w:trPr>
        <w:tc>
          <w:tcPr>
            <w:tcW w:w="85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212"/>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6"/>
        </w:trPr>
        <w:tc>
          <w:tcPr>
            <w:tcW w:w="85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283,361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(242,165)</w:t>
            </w:r>
          </w:p>
        </w:tc>
        <w:tc>
          <w:tcPr>
            <w:tcW w:w="40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4,485,613</w:t>
            </w:r>
          </w:p>
        </w:tc>
        <w:tc>
          <w:tcPr>
            <w:tcW w:w="4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March 31, 2023</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line="20" w:lineRule="exact"/>
              <w:rPr>
                <w:sz w:val="1"/>
                <w:szCs w:val="1"/>
                <w:color w:val="auto"/>
              </w:rPr>
            </w:pPr>
          </w:p>
        </w:tc>
      </w:tr>
      <w:tr>
        <w:trPr>
          <w:trHeight w:val="204"/>
        </w:trPr>
        <w:tc>
          <w:tcPr>
            <w:tcW w:w="852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4,452,279</w:t>
            </w:r>
          </w:p>
        </w:tc>
        <w:tc>
          <w:tcPr>
            <w:tcW w:w="4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4,185,316</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As of March 31, 2023, stock awards outstanding, stock awards vested and expected to vest and stock awards exercisable had average remaining contractual terms of 4.4 years, 4.4 years and 4.0 years, respectively. Also, at March 31, 2023, stock awards outstanding, stock awards vested and expected to vest and stock awards exercisable had aggregate intrinsic values of $0.6 million, $0.5 million, and $0.1 million,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rollforward of the changes in the Company’s nonvested Restricted Stock Awards (restricted stock and restricted stock unit awards, including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PSUs) from December 31, 2022 to March 31, 2023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 Restricted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4"/>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27,271,926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19,043,465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38,304,863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As of March 31, 2023, the Company had $213.8 million of total unrecognized compensation expense, net of estimated forfeitures, related to all of its stock-based awards, which we expect to recognize over the remaining weighted average vesting period of 1.7 years. The total intrinsic value of Restricted Stock Awards released during the three months ended March 31, 2023 and 2022 was $100.8 million and $63.1 million, respectively.</w:t>
      </w:r>
    </w:p>
    <w:p>
      <w:pPr>
        <w:spacing w:after="0" w:line="388" w:lineRule="exact"/>
        <w:rPr>
          <w:sz w:val="20"/>
          <w:szCs w:val="20"/>
          <w:color w:val="auto"/>
        </w:rPr>
      </w:pPr>
    </w:p>
    <w:p>
      <w:pPr>
        <w:ind w:left="340" w:right="7540" w:hanging="332"/>
        <w:spacing w:after="0" w:line="503"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i w:val="1"/>
          <w:iCs w:val="1"/>
          <w:color w:val="auto"/>
        </w:rPr>
        <w:t>Defined Benefit Plans</w:t>
      </w:r>
    </w:p>
    <w:p>
      <w:pPr>
        <w:ind w:right="40" w:firstLine="648"/>
        <w:spacing w:after="0" w:line="263"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three months ended March 31, 2023 and 2022 were as follows:</w:t>
      </w:r>
    </w:p>
    <w:p>
      <w:pPr>
        <w:spacing w:after="0" w:line="126"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Pension and Other Postretirement</w:t>
      </w:r>
    </w:p>
    <w:p>
      <w:pPr>
        <w:jc w:val="center"/>
        <w:ind w:left="8660"/>
        <w:spacing w:after="0"/>
        <w:rPr>
          <w:sz w:val="20"/>
          <w:szCs w:val="20"/>
          <w:color w:val="auto"/>
        </w:rPr>
      </w:pPr>
      <w:r>
        <w:rPr>
          <w:rFonts w:ascii="Arial" w:cs="Arial" w:eastAsia="Arial" w:hAnsi="Arial"/>
          <w:sz w:val="14"/>
          <w:szCs w:val="14"/>
          <w:b w:val="1"/>
          <w:bCs w:val="1"/>
          <w:color w:val="auto"/>
        </w:rPr>
        <w:t>Benefits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3"/>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The Company is making the minimum mandatory contributions to its defined benefit pension plans in the U.S. and Puerto Rico for the 2023 plan year. The Company expects to make total benefit payments of approximately $108.5 million from pension and other postretirement benefit plans in 2023. The Company anticipates making contributions to pension and other postretirement benefit plans of approximately $51.3 million in 2023.</w:t>
      </w:r>
    </w:p>
    <w:p>
      <w:pPr>
        <w:spacing w:after="0" w:line="3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400" w:type="dxa"/>
            <w:vAlign w:val="bottom"/>
          </w:tcPr>
          <w:p>
            <w:pPr>
              <w:jc w:val="center"/>
              <w:ind w:left="3108"/>
              <w:spacing w:after="0"/>
              <w:rPr>
                <w:sz w:val="20"/>
                <w:szCs w:val="20"/>
                <w:color w:val="auto"/>
              </w:rPr>
            </w:pPr>
            <w:r>
              <w:rPr>
                <w:rFonts w:ascii="Arial" w:cs="Arial" w:eastAsia="Arial" w:hAnsi="Arial"/>
                <w:sz w:val="14"/>
                <w:szCs w:val="14"/>
                <w:b w:val="1"/>
                <w:bCs w:val="1"/>
                <w:color w:val="auto"/>
                <w:w w:val="95"/>
              </w:rPr>
              <w:t>March 31,</w:t>
            </w: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4"/>
              </w:rPr>
              <w:t>March 31, 2022</w:t>
            </w: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440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Available-for-sale fixed income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financial instruments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Prepaid expenses and other current assets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640"/>
              <w:spacing w:after="0"/>
              <w:rPr>
                <w:sz w:val="20"/>
                <w:szCs w:val="20"/>
                <w:color w:val="auto"/>
              </w:rPr>
            </w:pPr>
            <w:r>
              <w:rPr>
                <w:rFonts w:ascii="Arial" w:cs="Arial" w:eastAsia="Arial" w:hAnsi="Arial"/>
                <w:sz w:val="18"/>
                <w:szCs w:val="18"/>
                <w:color w:val="auto"/>
                <w:w w:val="98"/>
              </w:rPr>
              <w:t>Prepaid expenses consist primarily of prepaid rent, insurance and other individually insignificant items.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Non-marketable equity investments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Deferred consideration due from Biocon Biologics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CCPS in Biocon Biologics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2,403.5</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payables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allowances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Legal and professional accruals, including litigation accruals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employee benefit liabilities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financial instruments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Due to Biocon Biologics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long-term obligations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22"/>
                <w:szCs w:val="22"/>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items, including contingencies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long-term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hanging="328"/>
        <w:spacing w:after="0" w:line="227" w:lineRule="auto"/>
        <w:tabs>
          <w:tab w:leader="none" w:pos="602" w:val="left"/>
        </w:tabs>
        <w:numPr>
          <w:ilvl w:val="1"/>
          <w:numId w:val="13"/>
        </w:numPr>
        <w:rPr>
          <w:rFonts w:ascii="Arial" w:cs="Arial" w:eastAsia="Arial" w:hAnsi="Arial"/>
          <w:sz w:val="23"/>
          <w:szCs w:val="23"/>
          <w:color w:val="auto"/>
          <w:vertAlign w:val="superscript"/>
        </w:rPr>
      </w:pPr>
      <w:r>
        <w:rPr>
          <w:rFonts w:ascii="Arial" w:cs="Arial" w:eastAsia="Arial" w:hAnsi="Arial"/>
          <w:sz w:val="18"/>
          <w:szCs w:val="18"/>
          <w:color w:val="auto"/>
        </w:rPr>
        <w:t xml:space="preserve">Balances as of March 31, 2023 and December 31, 2022 include $224.7 million and $221.2 million, respectively, due to Biocon Biologics. Refer to Note 11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xml:space="preserve"> for additional information.</w:t>
      </w:r>
    </w:p>
    <w:p>
      <w:pPr>
        <w:spacing w:after="0" w:line="200" w:lineRule="exact"/>
        <w:rPr>
          <w:rFonts w:ascii="Arial" w:cs="Arial" w:eastAsia="Arial" w:hAnsi="Arial"/>
          <w:sz w:val="23"/>
          <w:szCs w:val="23"/>
          <w:color w:val="auto"/>
          <w:vertAlign w:val="superscript"/>
        </w:rPr>
      </w:pPr>
    </w:p>
    <w:p>
      <w:pPr>
        <w:spacing w:after="0" w:line="322"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Basic earnings per share is computed by dividing net earnings by the weighted average number of shares outstanding during the period. Diluted earnings per share is computed by dividing net earnings by the weighted average number of shares outstanding during the period increased by the number of additional shares that would have been outstanding related to potentially dilutive securities or instruments, if the impact is dilutive.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earnings per share attributable to Viatris Inc. are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attributable to Viatris Inc. common shareholders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20"/>
              <w:spacing w:after="0"/>
              <w:rPr>
                <w:sz w:val="20"/>
                <w:szCs w:val="20"/>
                <w:color w:val="auto"/>
              </w:rPr>
            </w:pPr>
            <w:r>
              <w:rPr>
                <w:rFonts w:ascii="Arial" w:cs="Arial" w:eastAsia="Arial" w:hAnsi="Arial"/>
                <w:sz w:val="18"/>
                <w:szCs w:val="18"/>
                <w:color w:val="auto"/>
              </w:rPr>
              <w:t>Net earnings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 earnings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attributable to Viatris Inc. common shareholders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Net earnings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Total dilutive shares outstanding</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earnings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Additional stock awards and Restricted Stock Awards were outstanding during the three months ended March 31, 2023 and 2022, but were not included in the computation of diluted earnings per share for each respective period because the effect would be anti-dilutive. Excluded shares at March 31, 2023 include certain share-based compensation awards whose performance conditions had not been fully met. Such excluded shares and anti-dilutive awards represented 13.9 million shares and 15.5 million shares for the three months ended March 31, 2023 and 2022, respectively.</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paid a quarterly dividend of $0.12 per share on the Company’s issued and outstanding common stock on March 17, 2023. On May 5, 2023, the Company’s Board of Directors declared a quarterly cash dividend of $0.12 per share on the Company’s issued and outstanding common stock, which will be payable on June 16, 2023 to shareholders of record as of the close of business on May 24, 2023.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92"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three months ended March 31, 2023, the Company repurchased approximately</w:t>
      </w:r>
    </w:p>
    <w:p>
      <w:pPr>
        <w:spacing w:after="0" w:line="2"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21.2 million shares of common stock at a cost of approximately $250 million. The Company did not repurchase any shares of common stock under the share repurchase program in 2022. The share repurchase program does not obligate the Company to acquire any particular amount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ind w:left="340" w:right="8520" w:hanging="332"/>
        <w:spacing w:after="0" w:line="503" w:lineRule="auto"/>
        <w:tabs>
          <w:tab w:leader="none" w:pos="33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31, 2023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Developed</w:t>
            </w: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Greater China</w:t>
            </w: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JANZ</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Emerging Markets</w:t>
            </w:r>
          </w:p>
        </w:tc>
        <w:tc>
          <w:tcPr>
            <w:tcW w:w="28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Markets (1)</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414"/>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10,425.8</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10,573.2</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Balances as of March 31, 2023 and December 31, 2022 include an accumulated impairment loss of $385.0 million.</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Balances as of March 31, 2023 and December 31, 2022 include an accumulated impairment loss of $117.0 million.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components at March 31, 2023 and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Original Cost</w:t>
            </w: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6040" w:type="dxa"/>
            <w:vAlign w:val="bottom"/>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2023</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37,975.1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15,604.6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22,370.5</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38,306.2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15,604.6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22,701.6</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2022</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37,490.5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14,923.6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22,566.9</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37,530.7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14,923.6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22,607.1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amortizable intangible assets. Other intangible assets consists principally of customer lists and contractual rights.</w:t>
      </w:r>
    </w:p>
    <w:p>
      <w:pPr>
        <w:spacing w:after="0" w:line="20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 xml:space="preserve">During the three months ended March 31, 2023, the Company acquired product rights and licenses from Oyster Point of approximately $334.0 million and IPR&amp;D of approximately $290.0 million from Famy Life Sciences. Refer to Note 4 </w:t>
      </w:r>
      <w:r>
        <w:rPr>
          <w:rFonts w:ascii="Arial" w:cs="Arial" w:eastAsia="Arial" w:hAnsi="Arial"/>
          <w:sz w:val="18"/>
          <w:szCs w:val="18"/>
          <w:i w:val="1"/>
          <w:iCs w:val="1"/>
          <w:color w:val="auto"/>
        </w:rPr>
        <w:t>Acquisitions and Other Transactions</w:t>
      </w:r>
      <w:r>
        <w:rPr>
          <w:rFonts w:ascii="Arial" w:cs="Arial" w:eastAsia="Arial" w:hAnsi="Arial"/>
          <w:sz w:val="18"/>
          <w:szCs w:val="18"/>
          <w:color w:val="auto"/>
        </w:rPr>
        <w:t xml:space="preserve"> for additional information.</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Amortization expense and intangible asset disposal &amp; impairment charges (which are included as a component of amortization expense) are classified primarily within cost of sales in the condensed consolidated statements of operations and were as follows for the three months ended March 31, 2023 and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 disposal &amp; impairment charges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 amortization expense (including disposal &amp; impairment charges)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 xml:space="preserve">During the three months ended March 31, 2023, the Company recognized an intangible asset charge of approximately $32.0 million, which was recorded within </w:t>
      </w:r>
      <w:r>
        <w:rPr>
          <w:rFonts w:ascii="Arial" w:cs="Arial" w:eastAsia="Arial" w:hAnsi="Arial"/>
          <w:sz w:val="17"/>
          <w:szCs w:val="17"/>
          <w:i w:val="1"/>
          <w:iCs w:val="1"/>
          <w:color w:val="auto"/>
        </w:rPr>
        <w:t>Cost of sales</w:t>
      </w:r>
      <w:r>
        <w:rPr>
          <w:rFonts w:ascii="Arial" w:cs="Arial" w:eastAsia="Arial" w:hAnsi="Arial"/>
          <w:sz w:val="17"/>
          <w:szCs w:val="17"/>
          <w:color w:val="auto"/>
        </w:rPr>
        <w:t xml:space="preserve"> in the condensed consolidated statement of operations, to write down the disposal group to fair value, less cost to sell, related to our Upjohn Distributor Markets, which are classified as held for sale. As of March 31, 2023 and December 31, 2022, the Company has approximately $198.3 million and $230.3 million, respectively, of intangible assets related to the Upjohn Distributor Markets that are classified as held for sale in the condensed consolidated balance sheets. Refer to Note 5 </w:t>
      </w:r>
      <w:r>
        <w:rPr>
          <w:rFonts w:ascii="Arial" w:cs="Arial" w:eastAsia="Arial" w:hAnsi="Arial"/>
          <w:sz w:val="17"/>
          <w:szCs w:val="17"/>
          <w:i w:val="1"/>
          <w:iCs w:val="1"/>
          <w:color w:val="auto"/>
        </w:rPr>
        <w:t>Divestitures</w:t>
      </w:r>
      <w:r>
        <w:rPr>
          <w:rFonts w:ascii="Arial" w:cs="Arial" w:eastAsia="Arial" w:hAnsi="Arial"/>
          <w:sz w:val="17"/>
          <w:szCs w:val="17"/>
          <w:color w:val="auto"/>
        </w:rPr>
        <w:t xml:space="preserve"> for additional information.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 amortization expense over the remainder of 2023 and for the years ending December 31, 2024 through 2027 is estimated to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0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6"/>
        </w:trPr>
        <w:tc>
          <w:tcPr>
            <w:tcW w:w="5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2024</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2026</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2,124</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 and Risk Management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spacing w:after="0" w:line="171"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principal amounts of the Company’s outstanding Euro and Yen borrowings and the notional amounts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 and Yen borrowings designated as net investment hedges: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2"/>
              </w:rPr>
              <w:t>Notional Amount Designated as a Net</w:t>
            </w:r>
          </w:p>
        </w:tc>
        <w:tc>
          <w:tcPr>
            <w:tcW w:w="0" w:type="dxa"/>
            <w:vAlign w:val="bottom"/>
          </w:tcPr>
          <w:p>
            <w:pPr>
              <w:spacing w:after="0"/>
              <w:rPr>
                <w:sz w:val="1"/>
                <w:szCs w:val="1"/>
                <w:color w:val="auto"/>
              </w:rPr>
            </w:pPr>
          </w:p>
        </w:tc>
      </w:tr>
      <w:tr>
        <w:trPr>
          <w:trHeight w:val="186"/>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Investment Hedge</w:t>
            </w:r>
          </w:p>
        </w:tc>
        <w:tc>
          <w:tcPr>
            <w:tcW w:w="0" w:type="dxa"/>
            <w:vAlign w:val="bottom"/>
          </w:tcPr>
          <w:p>
            <w:pPr>
              <w:spacing w:after="0"/>
              <w:rPr>
                <w:sz w:val="1"/>
                <w:szCs w:val="1"/>
                <w:color w:val="auto"/>
              </w:rPr>
            </w:pPr>
          </w:p>
        </w:tc>
      </w:tr>
      <w:tr>
        <w:trPr>
          <w:trHeight w:val="15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Principal Amount</w:t>
            </w:r>
          </w:p>
        </w:tc>
        <w:tc>
          <w:tcPr>
            <w:tcW w:w="140" w:type="dxa"/>
            <w:vAlign w:val="bottom"/>
          </w:tcPr>
          <w:p>
            <w:pPr>
              <w:spacing w:after="0"/>
              <w:rPr>
                <w:sz w:val="13"/>
                <w:szCs w:val="13"/>
                <w:color w:val="auto"/>
              </w:rPr>
            </w:pPr>
          </w:p>
        </w:tc>
        <w:tc>
          <w:tcPr>
            <w:tcW w:w="1240" w:type="dxa"/>
            <w:vAlign w:val="bottom"/>
            <w:gridSpan w:val="2"/>
          </w:tcPr>
          <w:p>
            <w:pPr>
              <w:ind w:left="180"/>
              <w:spacing w:after="0" w:line="151"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tcPr>
          <w:p>
            <w:pPr>
              <w:jc w:val="right"/>
              <w:ind w:right="133"/>
              <w:spacing w:after="0" w:line="151"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6"/>
        </w:trPr>
        <w:tc>
          <w:tcPr>
            <w:tcW w:w="7160" w:type="dxa"/>
            <w:vAlign w:val="bottom"/>
            <w:gridSpan w:val="2"/>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2.250% Euro Senior Notes due 2024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3.125% Euro Senior Notes due 2028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2.125% Euro Senior Notes due 2025</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1.023% Euro Senior Notes due 2024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1.362% Euro Senior Notes due 2027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1.908% Euro Senior Notes due 2032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Yen</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YEN Term Loan</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Yen 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At March 31, 2023, the principal amount of the Company’s outstanding Yen borrowings and the notional amount of the Yen borrowings designated as net investment hedge was $301.1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the classification and fair values of derivative instruments in our condensed consolidated balance sheets: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780" w:type="dxa"/>
            <w:vAlign w:val="bottom"/>
            <w:tcBorders>
              <w:top w:val="single" w:sz="8" w:color="auto"/>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top w:val="single" w:sz="8" w:color="auto"/>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w w:val="95"/>
              </w:rPr>
              <w:t>Liability Derivatives</w:t>
            </w: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jc w:val="center"/>
              <w:ind w:left="8"/>
              <w:spacing w:after="0" w:line="139" w:lineRule="exact"/>
              <w:rPr>
                <w:sz w:val="20"/>
                <w:szCs w:val="20"/>
                <w:color w:val="auto"/>
              </w:rPr>
            </w:pPr>
            <w:r>
              <w:rPr>
                <w:rFonts w:ascii="Arial" w:cs="Arial" w:eastAsia="Arial" w:hAnsi="Arial"/>
                <w:sz w:val="14"/>
                <w:szCs w:val="14"/>
                <w:b w:val="1"/>
                <w:bCs w:val="1"/>
                <w:color w:val="auto"/>
                <w:w w:val="95"/>
              </w:rPr>
              <w:t>March 31,</w:t>
            </w:r>
          </w:p>
        </w:tc>
        <w:tc>
          <w:tcPr>
            <w:tcW w:w="12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March 31,</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Balance Sheet Location</w:t>
            </w:r>
          </w:p>
        </w:tc>
        <w:tc>
          <w:tcPr>
            <w:tcW w:w="94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w w:val="95"/>
              </w:rPr>
              <w:t>2023 Fair</w:t>
            </w:r>
          </w:p>
        </w:tc>
        <w:tc>
          <w:tcPr>
            <w:tcW w:w="120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2023 Fair</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40" w:type="dxa"/>
            <w:vAlign w:val="bottom"/>
            <w:vMerge w:val="continue"/>
          </w:tcPr>
          <w:p>
            <w:pPr>
              <w:spacing w:after="0"/>
              <w:rPr>
                <w:sz w:val="16"/>
                <w:szCs w:val="16"/>
                <w:color w:val="auto"/>
              </w:rPr>
            </w:pP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Value</w:t>
            </w: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2022 Fair Value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2022 Fair Value</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Derivatives designated as hedges: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forward contracts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derivatives designated as hedges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Derivatives not designated as hedges: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auto"/>
              </w:rPr>
              <w:t>Prepaid expenses &amp;</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Other current</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43"/>
        </w:trPr>
        <w:tc>
          <w:tcPr>
            <w:tcW w:w="1840" w:type="dxa"/>
            <w:vAlign w:val="bottom"/>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20" w:type="dxa"/>
            <w:vAlign w:val="bottom"/>
          </w:tcPr>
          <w:p>
            <w:pPr>
              <w:ind w:left="120"/>
              <w:spacing w:after="0"/>
              <w:rPr>
                <w:sz w:val="20"/>
                <w:szCs w:val="20"/>
                <w:color w:val="auto"/>
              </w:rPr>
            </w:pPr>
            <w:r>
              <w:rPr>
                <w:rFonts w:ascii="Arial" w:cs="Arial" w:eastAsia="Arial" w:hAnsi="Arial"/>
                <w:sz w:val="18"/>
                <w:szCs w:val="18"/>
                <w:color w:val="auto"/>
              </w:rPr>
              <w:t>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1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-162560</wp:posOffset>
            </wp:positionV>
            <wp:extent cx="704659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6595"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-565150</wp:posOffset>
            </wp:positionV>
            <wp:extent cx="704659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46595" cy="13716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3080" w:space="720"/>
            <w:col w:w="74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420" w:type="dxa"/>
            <w:vAlign w:val="bottom"/>
            <w:shd w:val="clear" w:color="auto" w:fill="CCEEFF"/>
          </w:tcPr>
          <w:p>
            <w:pPr>
              <w:spacing w:after="0"/>
              <w:rPr>
                <w:sz w:val="17"/>
                <w:szCs w:val="17"/>
                <w:color w:val="auto"/>
              </w:rPr>
            </w:pPr>
          </w:p>
        </w:tc>
        <w:tc>
          <w:tcPr>
            <w:tcW w:w="2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&amp;</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43"/>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contracts</w:t>
            </w:r>
          </w:p>
        </w:tc>
        <w:tc>
          <w:tcPr>
            <w:tcW w:w="2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23"/>
        </w:trPr>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w w:val="99"/>
              </w:rPr>
              <w:t>Total derivatives not designated as hedges</w:t>
            </w:r>
          </w:p>
        </w:tc>
        <w:tc>
          <w:tcPr>
            <w:tcW w:w="2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r>
      <w:tr>
        <w:trPr>
          <w:trHeight w:val="248"/>
        </w:trPr>
        <w:tc>
          <w:tcPr>
            <w:tcW w:w="3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derivatives</w:t>
            </w:r>
          </w:p>
        </w:tc>
        <w:tc>
          <w:tcPr>
            <w:tcW w:w="2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gains/(losses) incurred to hedge or offset operational foreign exchange or interest rate risk:</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Amount of Gains/(Losses)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Amount of Gains/(Losses)</w:t>
            </w: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Recognized in AOCE (Net</w:t>
            </w:r>
          </w:p>
        </w:tc>
        <w:tc>
          <w:tcPr>
            <w:tcW w:w="16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0"/>
              </w:rPr>
              <w:t>Recognized in Earnings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of Tax) on Derivatives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13"/>
              <w:spacing w:after="0"/>
              <w:rPr>
                <w:sz w:val="20"/>
                <w:szCs w:val="20"/>
                <w:color w:val="auto"/>
              </w:rPr>
            </w:pPr>
            <w:r>
              <w:rPr>
                <w:rFonts w:ascii="Arial" w:cs="Arial" w:eastAsia="Arial" w:hAnsi="Arial"/>
                <w:sz w:val="14"/>
                <w:szCs w:val="14"/>
                <w:b w:val="1"/>
                <w:bCs w:val="1"/>
                <w:color w:val="auto"/>
                <w:w w:val="91"/>
              </w:rPr>
              <w:t>into Earnings</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0" w:type="dxa"/>
            <w:vAlign w:val="bottom"/>
          </w:tcPr>
          <w:p>
            <w:pPr>
              <w:ind w:left="28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39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w w:val="93"/>
              </w:rPr>
              <w:t>Derivative Financial Instruments in Cash Flow Hedging</w:t>
            </w: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0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20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3"/>
              </w:rPr>
              <w:t>Non-derivative Financial Instruments in Net Investment</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borrowings</w:t>
            </w: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9"/>
              </w:rPr>
              <w:t>Derivative Financial Instruments Not Designated as</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9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w w:val="97"/>
              </w:rPr>
              <w:t>Other (income) expense,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00" w:type="dxa"/>
            <w:vAlign w:val="bottom"/>
            <w:shd w:val="clear" w:color="auto" w:fill="CCEEFF"/>
          </w:tcPr>
          <w:p>
            <w:pPr>
              <w:ind w:left="40"/>
              <w:spacing w:after="0" w:line="243" w:lineRule="exact"/>
              <w:rPr>
                <w:sz w:val="20"/>
                <w:szCs w:val="20"/>
                <w:color w:val="auto"/>
              </w:rPr>
            </w:pPr>
            <w:r>
              <w:rPr>
                <w:rFonts w:ascii="Arial" w:cs="Arial" w:eastAsia="Arial" w:hAnsi="Arial"/>
                <w:sz w:val="18"/>
                <w:szCs w:val="18"/>
                <w:color w:val="auto"/>
              </w:rPr>
              <w:t xml:space="preserve">net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44.6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44.6 $</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660" w:right="380" w:hanging="328"/>
        <w:spacing w:after="0" w:line="219"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At March 31, 2023, the Company expects that approximately $14.0 million of pre-tax net losses on cash flow hedges will be reclassified from AOCE into earnings during the next twelve months.</w:t>
      </w:r>
    </w:p>
    <w:p>
      <w:pPr>
        <w:spacing w:after="0" w:line="47"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recognized in earnings on derivatives.</w:t>
      </w:r>
    </w:p>
    <w:p>
      <w:pPr>
        <w:spacing w:after="0" w:line="68" w:lineRule="exact"/>
        <w:rPr>
          <w:rFonts w:ascii="Arial" w:cs="Arial" w:eastAsia="Arial" w:hAnsi="Arial"/>
          <w:sz w:val="23"/>
          <w:szCs w:val="23"/>
          <w:color w:val="auto"/>
          <w:vertAlign w:val="superscript"/>
        </w:rPr>
      </w:pPr>
    </w:p>
    <w:p>
      <w:pPr>
        <w:ind w:left="640" w:hanging="308"/>
        <w:spacing w:after="0" w:line="219"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reclassified from AOCE into earnings.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980" w:right="320" w:hanging="324"/>
        <w:spacing w:after="0" w:line="277" w:lineRule="auto"/>
        <w:tabs>
          <w:tab w:leader="none" w:pos="97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that are accessible at the measurement date for identical assets or liabilities.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gives the highest priority to Level 1 inputs.</w:t>
      </w:r>
    </w:p>
    <w:p>
      <w:pPr>
        <w:spacing w:after="0" w:line="62" w:lineRule="exact"/>
        <w:rPr>
          <w:rFonts w:ascii="Arial" w:cs="Arial" w:eastAsia="Arial" w:hAnsi="Arial"/>
          <w:sz w:val="18"/>
          <w:szCs w:val="18"/>
          <w:i w:val="1"/>
          <w:iCs w:val="1"/>
          <w:color w:val="auto"/>
        </w:rPr>
      </w:pPr>
    </w:p>
    <w:p>
      <w:pPr>
        <w:ind w:left="980" w:hanging="324"/>
        <w:spacing w:after="0"/>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other than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980" w:right="140" w:hanging="324"/>
        <w:spacing w:after="0" w:line="277" w:lineRule="auto"/>
        <w:tabs>
          <w:tab w:leader="none" w:pos="97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are used when little or no market data is available. The fair value hierarchy gives the lowest priority to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inputs.</w:t>
      </w:r>
    </w:p>
    <w:p>
      <w:pPr>
        <w:spacing w:after="0" w:line="17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March 31, 2023</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6"/>
          </w:tcPr>
          <w:p>
            <w:pPr>
              <w:jc w:val="center"/>
              <w:ind w:right="10"/>
              <w:spacing w:after="0"/>
              <w:rPr>
                <w:sz w:val="20"/>
                <w:szCs w:val="20"/>
                <w:color w:val="auto"/>
              </w:rPr>
            </w:pPr>
            <w:r>
              <w:rPr>
                <w:rFonts w:ascii="Arial" w:cs="Arial" w:eastAsia="Arial" w:hAnsi="Arial"/>
                <w:sz w:val="14"/>
                <w:szCs w:val="14"/>
                <w:b w:val="1"/>
                <w:bCs w:val="1"/>
                <w:color w:val="auto"/>
                <w:w w:val="93"/>
              </w:rPr>
              <w:t>December 31, 2022</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688.8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traded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CCPS in Biocon Biologics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fixed income investments: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Agency mortgage-backed securities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Asset backed securities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available-for-sale fixed income investments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exchange derivative assets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recurring fair value measurement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derivative liabilities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recurring fair value measurement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For financial assets and liabilities that utilize Level 2 inputs, the Company utilizes both direct and indirect observable price quotes, including the LIBOR yield curve, foreign exchange forward prices and bank price quotes. Below is a summary of valuation techniques for the Company’s financial assets and liabilities:</w:t>
      </w:r>
    </w:p>
    <w:p>
      <w:pPr>
        <w:spacing w:after="0" w:line="76"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are included in other expense, net, in the condensed consolidated statements of operations.</w:t>
      </w:r>
    </w:p>
    <w:p>
      <w:pPr>
        <w:spacing w:after="0" w:line="75" w:lineRule="exact"/>
        <w:rPr>
          <w:rFonts w:ascii="Arial" w:cs="Arial" w:eastAsia="Arial" w:hAnsi="Arial"/>
          <w:sz w:val="18"/>
          <w:szCs w:val="18"/>
          <w:color w:val="auto"/>
        </w:rPr>
      </w:pPr>
    </w:p>
    <w:p>
      <w:pPr>
        <w:jc w:val="both"/>
        <w:ind w:left="980" w:hanging="324"/>
        <w:spacing w:after="0" w:line="342" w:lineRule="auto"/>
        <w:tabs>
          <w:tab w:leader="none" w:pos="975"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Equity securities, marketable securities </w:t>
      </w:r>
      <w:r>
        <w:rPr>
          <w:rFonts w:ascii="Arial" w:cs="Arial" w:eastAsia="Arial" w:hAnsi="Arial"/>
          <w:sz w:val="16"/>
          <w:szCs w:val="16"/>
          <w:color w:val="auto"/>
        </w:rPr>
        <w:t>— valued using quoted stock prices from public exchanges at the reporting date.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losses attributable to changes in fair value are included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in the condensed consolidated statements of operations.</w:t>
      </w:r>
    </w:p>
    <w:p>
      <w:pPr>
        <w:spacing w:after="0" w:line="15" w:lineRule="exact"/>
        <w:rPr>
          <w:rFonts w:ascii="Arial" w:cs="Arial" w:eastAsia="Arial" w:hAnsi="Arial"/>
          <w:sz w:val="16"/>
          <w:szCs w:val="16"/>
          <w:b w:val="1"/>
          <w:bCs w:val="1"/>
          <w:i w:val="1"/>
          <w:iCs w:val="1"/>
          <w:color w:val="auto"/>
        </w:rPr>
      </w:pPr>
    </w:p>
    <w:p>
      <w:pPr>
        <w:jc w:val="both"/>
        <w:ind w:left="980" w:right="220" w:hanging="324"/>
        <w:spacing w:after="0" w:line="263" w:lineRule="auto"/>
        <w:tabs>
          <w:tab w:leader="none" w:pos="97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CCPS in Biocon Biologics </w:t>
      </w:r>
      <w:r>
        <w:rPr>
          <w:rFonts w:ascii="Arial" w:cs="Arial" w:eastAsia="Arial" w:hAnsi="Arial"/>
          <w:sz w:val="18"/>
          <w:szCs w:val="18"/>
          <w:color w:val="auto"/>
        </w:rPr>
        <w:t>— valued using a Monte Carlo simulation model using Level 3 inputs. The fair value of the CCPS is sensitive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the forecasts of operating metrics and changes in volatility and discount rates. The Company elected the fair value option for the CCPS under </w:t>
      </w:r>
      <w:r>
        <w:rPr>
          <w:rFonts w:ascii="Arial" w:cs="Arial" w:eastAsia="Arial" w:hAnsi="Arial"/>
          <w:sz w:val="18"/>
          <w:szCs w:val="18"/>
          <w:i w:val="1"/>
          <w:iCs w:val="1"/>
          <w:color w:val="auto"/>
        </w:rPr>
        <w:t>ASC 825.</w:t>
      </w:r>
      <w:r>
        <w:rPr>
          <w:rFonts w:ascii="Arial" w:cs="Arial" w:eastAsia="Arial" w:hAnsi="Arial"/>
          <w:sz w:val="18"/>
          <w:szCs w:val="18"/>
          <w:color w:val="auto"/>
        </w:rPr>
        <w:t xml:space="preserve"> The fair value is reassessed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980" w:right="260"/>
        <w:spacing w:after="0" w:line="277" w:lineRule="auto"/>
        <w:rPr>
          <w:sz w:val="20"/>
          <w:szCs w:val="20"/>
          <w:color w:val="auto"/>
        </w:rPr>
      </w:pPr>
      <w:r>
        <w:rPr>
          <w:rFonts w:ascii="Arial" w:cs="Arial" w:eastAsia="Arial" w:hAnsi="Arial"/>
          <w:sz w:val="18"/>
          <w:szCs w:val="18"/>
          <w:color w:val="auto"/>
        </w:rPr>
        <w:t xml:space="preserve">quarterly and any change in the fair value estimate is recorded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in the condensed consolidated statements of operations for that period.</w:t>
      </w:r>
    </w:p>
    <w:p>
      <w:pPr>
        <w:spacing w:after="0" w:line="62" w:lineRule="exact"/>
        <w:rPr>
          <w:sz w:val="20"/>
          <w:szCs w:val="20"/>
          <w:color w:val="auto"/>
        </w:rPr>
      </w:pPr>
    </w:p>
    <w:p>
      <w:pPr>
        <w:ind w:left="980" w:right="380" w:hanging="324"/>
        <w:spacing w:after="0" w:line="263" w:lineRule="auto"/>
        <w:tabs>
          <w:tab w:leader="none" w:pos="97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5" w:lineRule="exact"/>
        <w:rPr>
          <w:rFonts w:ascii="Arial" w:cs="Arial" w:eastAsia="Arial" w:hAnsi="Arial"/>
          <w:sz w:val="18"/>
          <w:szCs w:val="18"/>
          <w:i w:val="1"/>
          <w:iCs w:val="1"/>
          <w:color w:val="auto"/>
        </w:rPr>
      </w:pPr>
    </w:p>
    <w:p>
      <w:pPr>
        <w:ind w:left="9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of March 31, 2023 and December 31, 2022, the Company had a contingent consideration liability of $224.7 million and $221.2 million, respectively, relating to the Biocon Biologics Transaction. This contingent consideration liability represents the amount of the closing working capital target to which the parties have agreed that may become payable to Biocon Biologics in connection with certain events in the future, depending on the valuations attributable to such events. The remaining contingent consideration liability represents a component of the total purchase consideration for Pfizer’s Respiratory Delivery Platform and certain other acquisitions.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March 31, 2023 and December 31, 2022, discount rates ranging from 6.4% to 9.0% were utilized in the valuations. Significant changes in unobservable inputs could result in material changes to the contingent consideration liability.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rollforward of the activity in the Company’s fair value of contingent consideration from December 31, 2022 to March 31, 2023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Total Contingent</w:t>
            </w:r>
          </w:p>
        </w:tc>
        <w:tc>
          <w:tcPr>
            <w:tcW w:w="0" w:type="dxa"/>
            <w:vAlign w:val="bottom"/>
          </w:tcPr>
          <w:p>
            <w:pPr>
              <w:spacing w:after="0"/>
              <w:rPr>
                <w:sz w:val="1"/>
                <w:szCs w:val="1"/>
                <w:color w:val="auto"/>
              </w:rPr>
            </w:pPr>
          </w:p>
        </w:tc>
      </w:tr>
      <w:tr>
        <w:trPr>
          <w:trHeight w:val="203"/>
        </w:trPr>
        <w:tc>
          <w:tcPr>
            <w:tcW w:w="7380" w:type="dxa"/>
            <w:vAlign w:val="bottom"/>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 xml:space="preserve">Portion </w:t>
            </w:r>
            <w:r>
              <w:rPr>
                <w:rFonts w:ascii="Arial" w:cs="Arial" w:eastAsia="Arial" w:hAnsi="Arial"/>
                <w:sz w:val="9"/>
                <w:szCs w:val="9"/>
                <w:b w:val="1"/>
                <w:bCs w:val="1"/>
                <w:color w:val="auto"/>
                <w:w w:val="96"/>
              </w:rPr>
              <w:t>(2)</w:t>
            </w:r>
          </w:p>
        </w:tc>
        <w:tc>
          <w:tcPr>
            <w:tcW w:w="1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Accretion</w:t>
            </w:r>
          </w:p>
        </w:tc>
        <w:tc>
          <w:tcPr>
            <w:tcW w:w="4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Fair value loss </w:t>
            </w:r>
            <w:r>
              <w:rPr>
                <w:rFonts w:ascii="Arial" w:cs="Arial" w:eastAsia="Arial" w:hAnsi="Arial"/>
                <w:sz w:val="23"/>
                <w:szCs w:val="23"/>
                <w:color w:val="auto"/>
                <w:vertAlign w:val="superscript"/>
              </w:rPr>
              <w:t>(3)</w:t>
            </w:r>
          </w:p>
        </w:tc>
        <w:tc>
          <w:tcPr>
            <w:tcW w:w="4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in the condensed consolidated balance sheets.</w:t>
      </w:r>
    </w:p>
    <w:p>
      <w:pPr>
        <w:spacing w:after="0" w:line="55"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obligations in the condensed consolidated balance sheets.</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Included in litigation settlements and other contingencies, net in the condensed consolidated statements of operations.</w:t>
      </w:r>
    </w:p>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other financial assets and liabilities other than the CCPS, any future transacted financial asset or liability will be evaluated for the fair value election.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see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Viatris’ 2022 Form 10-K.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short-term borrowings: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7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Facility</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Short-term borrowings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Receivables Facility and Note Securitization Facility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a $400 million Receivables Facility, which expires in April 2025 and a $200 million Note Securitization Facility which expires in August 2023.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either facility are included as a component of short-term borrowings, while the accounts receivables securing these obligations remain as a component of accounts receivable, net, in our condensed consolidated balance sheets.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19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Effective April 28, 2023, we executed an amendment to the Revolving Facility to convert the benchmark interest rate from LIBOR to an adjusted SOFR, with no change in the applicable interest rate margins.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Interest Rate as</w:t>
            </w:r>
          </w:p>
        </w:tc>
        <w:tc>
          <w:tcPr>
            <w:tcW w:w="20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8"/>
        </w:trPr>
        <w:tc>
          <w:tcPr>
            <w:tcW w:w="7440" w:type="dxa"/>
            <w:vAlign w:val="bottom"/>
            <w:gridSpan w:val="2"/>
            <w:vMerge w:val="restart"/>
          </w:tcPr>
          <w:p>
            <w:pPr>
              <w:ind w:left="140"/>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of March 31,</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gridSpan w:val="2"/>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debt: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2023</w:t>
            </w:r>
          </w:p>
        </w:tc>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(a) *</w:t>
            </w:r>
          </w:p>
        </w:tc>
        <w:tc>
          <w:tcPr>
            <w:tcW w:w="1120" w:type="dxa"/>
            <w:vAlign w:val="bottom"/>
          </w:tcPr>
          <w:p>
            <w:pPr>
              <w:jc w:val="right"/>
              <w:spacing w:after="0"/>
              <w:rPr>
                <w:sz w:val="20"/>
                <w:szCs w:val="20"/>
                <w:color w:val="auto"/>
              </w:rPr>
            </w:pPr>
            <w:r>
              <w:rPr>
                <w:rFonts w:ascii="Arial" w:cs="Arial" w:eastAsia="Arial" w:hAnsi="Arial"/>
                <w:sz w:val="18"/>
                <w:szCs w:val="18"/>
                <w:color w:val="auto"/>
              </w:rPr>
              <w:t>3.125 %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2023</w:t>
            </w:r>
          </w:p>
        </w:tc>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financing fees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7440" w:type="dxa"/>
            <w:vAlign w:val="bottom"/>
            <w:gridSpan w:val="2"/>
          </w:tcPr>
          <w:p>
            <w:pPr>
              <w:ind w:left="480"/>
              <w:spacing w:after="0"/>
              <w:rPr>
                <w:sz w:val="20"/>
                <w:szCs w:val="20"/>
                <w:color w:val="auto"/>
              </w:rPr>
            </w:pPr>
            <w:r>
              <w:rPr>
                <w:rFonts w:ascii="Arial" w:cs="Arial" w:eastAsia="Arial" w:hAnsi="Arial"/>
                <w:sz w:val="18"/>
                <w:szCs w:val="18"/>
                <w:color w:val="auto"/>
              </w:rPr>
              <w:t>Current portion of long-term debt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68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portion of long-term debt: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2024</w:t>
            </w:r>
          </w:p>
        </w:tc>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0" w:type="dxa"/>
            <w:vAlign w:val="bottom"/>
          </w:tcPr>
          <w:p>
            <w:pPr>
              <w:spacing w:after="0"/>
              <w:rPr>
                <w:sz w:val="1"/>
                <w:szCs w:val="1"/>
                <w:color w:val="auto"/>
              </w:rPr>
            </w:pP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2024</w:t>
            </w:r>
          </w:p>
        </w:tc>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2025</w:t>
            </w:r>
          </w:p>
        </w:tc>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2025</w:t>
            </w:r>
          </w:p>
        </w:tc>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2026</w:t>
            </w:r>
          </w:p>
        </w:tc>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2,243.2</w:t>
            </w:r>
          </w:p>
        </w:tc>
        <w:tc>
          <w:tcPr>
            <w:tcW w:w="0" w:type="dxa"/>
            <w:vAlign w:val="bottom"/>
          </w:tcPr>
          <w:p>
            <w:pPr>
              <w:spacing w:after="0"/>
              <w:rPr>
                <w:sz w:val="1"/>
                <w:szCs w:val="1"/>
                <w:color w:val="auto"/>
              </w:rPr>
            </w:pP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2027</w:t>
            </w:r>
          </w:p>
        </w:tc>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2027</w:t>
            </w:r>
          </w:p>
        </w:tc>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2028</w:t>
            </w:r>
          </w:p>
        </w:tc>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2028</w:t>
            </w:r>
          </w:p>
        </w:tc>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2030</w:t>
            </w:r>
          </w:p>
        </w:tc>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1,512.8</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2032</w:t>
            </w:r>
          </w:p>
        </w:tc>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1,444.4</w:t>
            </w:r>
          </w:p>
        </w:tc>
        <w:tc>
          <w:tcPr>
            <w:tcW w:w="0" w:type="dxa"/>
            <w:vAlign w:val="bottom"/>
          </w:tcPr>
          <w:p>
            <w:pPr>
              <w:spacing w:after="0"/>
              <w:rPr>
                <w:sz w:val="1"/>
                <w:szCs w:val="1"/>
                <w:color w:val="auto"/>
              </w:rPr>
            </w:pP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2040</w:t>
            </w:r>
          </w:p>
        </w:tc>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3.850 %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1,650.6</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2043</w:t>
            </w:r>
          </w:p>
        </w:tc>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2046</w:t>
            </w:r>
          </w:p>
        </w:tc>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5.250 %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2048</w:t>
            </w:r>
          </w:p>
        </w:tc>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2050</w:t>
            </w:r>
          </w:p>
        </w:tc>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2,200.8</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YEN Term Loan Facility</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Variable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30"/>
        </w:trPr>
        <w:tc>
          <w:tcPr>
            <w:tcW w:w="74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financing fees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7440" w:type="dxa"/>
            <w:vAlign w:val="bottom"/>
            <w:gridSpan w:val="2"/>
          </w:tcPr>
          <w:p>
            <w:pPr>
              <w:ind w:left="480"/>
              <w:spacing w:after="0"/>
              <w:rPr>
                <w:sz w:val="20"/>
                <w:szCs w:val="20"/>
                <w:color w:val="auto"/>
              </w:rPr>
            </w:pPr>
            <w:r>
              <w:rPr>
                <w:rFonts w:ascii="Arial" w:cs="Arial" w:eastAsia="Arial" w:hAnsi="Arial"/>
                <w:sz w:val="18"/>
                <w:szCs w:val="18"/>
                <w:color w:val="auto"/>
              </w:rPr>
              <w:t>Long-term debt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18,015.2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jc w:val="both"/>
        <w:ind w:left="660" w:hanging="328"/>
        <w:spacing w:after="0" w:line="234" w:lineRule="auto"/>
        <w:tabs>
          <w:tab w:leader="none" w:pos="647"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fair value adjustment was amortized to interest expense over the remaining term of the notes, which were repaid at maturity in the first quarter of 2023.</w:t>
      </w:r>
    </w:p>
    <w:p>
      <w:pPr>
        <w:spacing w:after="0" w:line="6" w:lineRule="exact"/>
        <w:rPr>
          <w:sz w:val="20"/>
          <w:szCs w:val="20"/>
          <w:color w:val="auto"/>
        </w:rPr>
      </w:pPr>
    </w:p>
    <w:p>
      <w:pPr>
        <w:ind w:left="500" w:hanging="168"/>
        <w:spacing w:after="0"/>
        <w:tabs>
          <w:tab w:leader="none" w:pos="50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Mylan Inc.</w:t>
      </w:r>
    </w:p>
    <w:p>
      <w:pPr>
        <w:spacing w:after="0" w:line="6" w:lineRule="exact"/>
        <w:rPr>
          <w:sz w:val="20"/>
          <w:szCs w:val="20"/>
          <w:color w:val="auto"/>
        </w:rPr>
      </w:pPr>
    </w:p>
    <w:p>
      <w:pPr>
        <w:ind w:left="560" w:hanging="228"/>
        <w:spacing w:after="0"/>
        <w:tabs>
          <w:tab w:leader="none" w:pos="56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Instrument was originally issued by Mylan N.V.; now held by Utah Acquisition Sub Inc.</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Viatris Inc.</w:t>
      </w:r>
    </w:p>
    <w:p>
      <w:pPr>
        <w:spacing w:after="0" w:line="56" w:lineRule="exact"/>
        <w:rPr>
          <w:rFonts w:ascii="Arial" w:cs="Arial" w:eastAsia="Arial" w:hAnsi="Arial"/>
          <w:sz w:val="23"/>
          <w:szCs w:val="23"/>
          <w:color w:val="auto"/>
          <w:vertAlign w:val="superscript"/>
        </w:rPr>
      </w:pPr>
    </w:p>
    <w:p>
      <w:pPr>
        <w:ind w:left="720" w:hanging="388"/>
        <w:spacing w:after="0" w:line="194" w:lineRule="auto"/>
        <w:tabs>
          <w:tab w:leader="none" w:pos="7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Upjohn Finance B.V.</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At March 31, 2023 and December 31, 2022, the aggregate fair value of the Company’s outstanding notes was approximately $15.04 billion and $15.36 billion, respectively. The fair values of the outstanding notes were valued at quoted market prices from broker or dealer quotations and were classified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Mandatory minimum repayments remaining on the notional amount of outstanding long-term debt at March 31, 2023 were as follows for each of the periods ending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6"/>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r>
      <w:tr>
        <w:trPr>
          <w:trHeight w:val="229"/>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10,118</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in the condensed consolidated balance sheets, is comprised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unrealized loss on marketable securities, net of tax</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and prior service cost related to defined benefit plans,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unrecognized loss on derivatives in cash flow hedging relationships, net of tax</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on derivatives in net investment hedging relationships,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(3,385.9)</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 of accumulated other comprehensive loss, before tax, consist of the following, for the three months ended March 31,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March 31,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4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74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7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0"/>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9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190"/>
              <w:spacing w:after="0" w:line="139" w:lineRule="exact"/>
              <w:rPr>
                <w:sz w:val="20"/>
                <w:szCs w:val="20"/>
                <w:color w:val="auto"/>
              </w:rPr>
            </w:pPr>
            <w:r>
              <w:rPr>
                <w:rFonts w:ascii="Arial" w:cs="Arial" w:eastAsia="Arial" w:hAnsi="Arial"/>
                <w:sz w:val="14"/>
                <w:szCs w:val="14"/>
                <w:b w:val="1"/>
                <w:bCs w:val="1"/>
                <w:color w:val="auto"/>
                <w:w w:val="98"/>
              </w:rPr>
              <w:t>Rate</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5"/>
              </w:rPr>
              <w:t>Swaps</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2022,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377.0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center"/>
              <w:ind w:left="418"/>
              <w:spacing w:after="0"/>
              <w:rPr>
                <w:sz w:val="20"/>
                <w:szCs w:val="20"/>
                <w:color w:val="auto"/>
              </w:rPr>
            </w:pPr>
            <w:r>
              <w:rPr>
                <w:rFonts w:ascii="Arial" w:cs="Arial" w:eastAsia="Arial" w:hAnsi="Arial"/>
                <w:sz w:val="18"/>
                <w:szCs w:val="18"/>
                <w:color w:val="auto"/>
                <w:w w:val="91"/>
              </w:rPr>
              <w:t>(2.3)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(2,761.2)</w:t>
            </w:r>
          </w:p>
        </w:tc>
        <w:tc>
          <w:tcPr>
            <w:tcW w:w="0" w:type="dxa"/>
            <w:vAlign w:val="bottom"/>
          </w:tcPr>
          <w:p>
            <w:pPr>
              <w:spacing w:after="0"/>
              <w:rPr>
                <w:sz w:val="1"/>
                <w:szCs w:val="1"/>
                <w:color w:val="auto"/>
              </w:rPr>
            </w:pPr>
          </w:p>
        </w:tc>
      </w:tr>
      <w:tr>
        <w:trPr>
          <w:trHeight w:val="155"/>
        </w:trPr>
        <w:tc>
          <w:tcPr>
            <w:tcW w:w="320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w w:val="93"/>
              </w:rPr>
              <w:t>(66.2)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ind w:left="458"/>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other comprehensive (loss) earnings,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0"/>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actuarial gain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56"/>
        </w:trPr>
        <w:tc>
          <w:tcPr>
            <w:tcW w:w="32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Net other comprehensive earnings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(66.2)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left="458"/>
              <w:spacing w:after="0"/>
              <w:rPr>
                <w:sz w:val="20"/>
                <w:szCs w:val="20"/>
                <w:color w:val="auto"/>
              </w:rPr>
            </w:pPr>
            <w:r>
              <w:rPr>
                <w:rFonts w:ascii="Arial" w:cs="Arial" w:eastAsia="Arial" w:hAnsi="Arial"/>
                <w:sz w:val="18"/>
                <w:szCs w:val="18"/>
                <w:color w:val="auto"/>
                <w:w w:val="87"/>
              </w:rPr>
              <w:t>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w w:val="93"/>
              </w:rPr>
              <w:t>(14.3)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left="458"/>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325.1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center"/>
              <w:ind w:left="418"/>
              <w:spacing w:after="0"/>
              <w:rPr>
                <w:sz w:val="20"/>
                <w:szCs w:val="20"/>
                <w:color w:val="auto"/>
              </w:rPr>
            </w:pPr>
            <w:r>
              <w:rPr>
                <w:rFonts w:ascii="Arial" w:cs="Arial" w:eastAsia="Arial" w:hAnsi="Arial"/>
                <w:sz w:val="18"/>
                <w:szCs w:val="18"/>
                <w:color w:val="auto"/>
                <w:w w:val="91"/>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March 31, 2022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7"/>
        </w:trPr>
        <w:tc>
          <w:tcPr>
            <w:tcW w:w="328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960" w:type="dxa"/>
            <w:vAlign w:val="bottom"/>
            <w:tcBorders>
              <w:top w:val="single" w:sz="8" w:color="auto"/>
            </w:tcBorders>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0"/>
              </w:rPr>
              <w:t>Swaps</w:t>
            </w: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 2021,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other comprehensive (loss) earnings,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480"/>
              <w:spacing w:after="0" w:line="189" w:lineRule="exact"/>
              <w:rPr>
                <w:sz w:val="20"/>
                <w:szCs w:val="20"/>
                <w:color w:val="auto"/>
              </w:rPr>
            </w:pPr>
            <w:r>
              <w:rPr>
                <w:rFonts w:ascii="Arial" w:cs="Arial" w:eastAsia="Arial" w:hAnsi="Arial"/>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2"/>
              </w:rPr>
              <w:t>Net other comprehensive earnings (loss),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29"/>
        </w:trPr>
        <w:tc>
          <w:tcPr>
            <w:tcW w:w="3280" w:type="dxa"/>
            <w:vAlign w:val="bottom"/>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6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Company’s chief operating decision maker is the Chief Executive Officer, who evaluates the performance of its segments based on total revenues and segment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costs are not included in the measurement of segment profitability, such as costs, if any, associated with the following:</w:t>
      </w:r>
    </w:p>
    <w:p>
      <w:pPr>
        <w:spacing w:after="0" w:line="117"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Intangible asset amortization expense and impairments of goodwill and long-lived assets;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R&amp;D and acquired IPR&amp;D expense;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charges or net gains for litigation settlements and other contingencies;</w:t>
      </w:r>
    </w:p>
    <w:p>
      <w:pPr>
        <w:spacing w:after="0" w:line="117" w:lineRule="exact"/>
        <w:rPr>
          <w:rFonts w:ascii="Arial" w:cs="Arial" w:eastAsia="Arial" w:hAnsi="Arial"/>
          <w:sz w:val="18"/>
          <w:szCs w:val="18"/>
          <w:color w:val="auto"/>
        </w:rPr>
      </w:pPr>
    </w:p>
    <w:p>
      <w:pPr>
        <w:ind w:left="660" w:right="20" w:firstLine="320"/>
        <w:spacing w:after="0" w:line="296" w:lineRule="auto"/>
        <w:tabs>
          <w:tab w:leader="none" w:pos="1304"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basis. Such special items can include, but are not limited to, non-acquisition-related restructuring costs, as well as costs incurred for asset impairments and disposals of assets or businesses, including costs related to our planned divestitures and the Biocon Biologics Transaction, and, as applicable, any associated transition activities.</w:t>
      </w:r>
    </w:p>
    <w:p>
      <w:pPr>
        <w:spacing w:after="0" w:line="76" w:lineRule="exact"/>
        <w:rPr>
          <w:sz w:val="20"/>
          <w:szCs w:val="20"/>
          <w:color w:val="auto"/>
        </w:rPr>
      </w:pPr>
    </w:p>
    <w:p>
      <w:pPr>
        <w:ind w:left="660" w:right="20" w:firstLine="320"/>
        <w:spacing w:after="0" w:line="257"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does not report depreciation expense, total assets and capital expenditures by segment, as such information is not used by the chief operating decision maker.</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The accounting policies of the segments are the same as those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the 2022 Form 10-K.</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Net Sales</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Segment Profitability</w:t>
            </w:r>
          </w:p>
        </w:tc>
      </w:tr>
      <w:tr>
        <w:trPr>
          <w:trHeight w:val="210"/>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2,170.4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2,476.1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938.7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1,211.5</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Greater China</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JANZ</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reportable segments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2,148.8</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Reconciling items: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 expense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Intangible asset disposal &amp; impairment charges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Globally managed research and development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 unallocated</w:t>
            </w: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 The remaining actions under the 2020 restructuring program include the disposal or closure of certain manufacturing facilities, which are expected to be substantially completed in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w:t>
      </w:r>
    </w:p>
    <w:p>
      <w:pPr>
        <w:spacing w:after="0" w:line="184"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restructuring charges and the reserve activity for the 2020 restructuring program from December 31, 2022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Related Costs</w:t>
            </w:r>
          </w:p>
        </w:tc>
        <w:tc>
          <w:tcPr>
            <w:tcW w:w="12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
        </w:trPr>
        <w:tc>
          <w:tcPr>
            <w:tcW w:w="76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6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27" w:lineRule="auto"/>
        <w:tabs>
          <w:tab w:leader="none" w:pos="70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2023, total restructuring charges in Developed Markets, Emerging Markets, Greater China, and JANZ were approximately $7.7 million, $1.3 million, $(0.6) million, and $1.3 million, respectively.</w:t>
      </w:r>
    </w:p>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At March 31, 2023 and December 31, 2022, accrued liabilities for restructuring and other cost reduction programs were primarily included in other current liabilities and other long-term obligations in the condensed consolidated balance sheets.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Licensing and Other Partner Agreements</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Refer to Note 11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xml:space="preserve"> for further discussion of contingent consideration.</w:t>
      </w:r>
    </w:p>
    <w:p>
      <w:pPr>
        <w:spacing w:after="0" w:line="19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potential maximum development milestones not accrued for at March 31, 2023 totaled approximately $387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We estimate that the amounts that may be paid through the end of 2023 to be approximately $5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significant changes to our licensing and other partner agreements as disclosed in our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Legislative Updates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On August 16, 2022, the U.S. government enacted the Inflation Reduction Act of 2022 (the “Inflation Reduction Act”)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in our condensed consolidated balance sheet as of March 31, 2023. The share repurchase and authorization amounts disclosed in this Form 10-Q exclude the excise tax. The Company does not anticipate being subject to the 15% CAMT tax in 2023 based on enacted law and regulatory guidance; however, our CAMT status for 2023 could change in the future, depending on new regulations or regulatory guidance issued by the U.S. Department of the Treasury.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7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 is subject to ongoing IRS examinations. The years 2015 through 2019 are open years under examination. The years 2012, 2013 and 2014 have one matter open, and a Tax Court petition was filed regarding the matter and a trial was held in December 2018 and is discussed further below.</w:t>
      </w:r>
    </w:p>
    <w:p>
      <w:pPr>
        <w:spacing w:after="0" w:line="12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positions.</w:t>
      </w:r>
    </w:p>
    <w:p>
      <w:pPr>
        <w:spacing w:after="0" w:line="18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have commenced litigation in the Australian Federal Court challenging those decisions. The Company made a partial payment of $56.0 million in 2021 and $5.2 million in 2022 in order to stay potential interest and penalties resulting from this litigation.</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spacing w:after="0" w:line="1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 The Company recorded tax expense of approximately $21.6 million during the three months ended March 31, 2023 due to the terms of this agreement. The remaining issues are in the audit phase or are being challenged in the Indian tax courts.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The Company has recorded a net reserve for uncertain tax positions of $299.3 million and $298.1 million, including interest and penalties, in connection with its international audits at March 31, 2023 and December 31, 2022, respectively. In connection with our international tax audits, it is possible that we will incur material losses above the amounts reserved.</w:t>
      </w:r>
    </w:p>
    <w:p>
      <w:pPr>
        <w:spacing w:after="0" w:line="18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Company’s major U.S. state taxing jurisdictions remain open from fiscal year 2013 through 2021, with several state audits currently in progress. The Company’s major international taxing jurisdictions remain open from 2012 through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Court Proceedings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appealed, the case was heard before the Third Circuit Court of Appeals on January 12, 2023 and we are awaiting a decision.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4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Legal costs are recorded as incurred and are classified in SG&amp;A in the Company’s condensed consolidated statements of operations.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EpiPen® Auto-Injector Litigation</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w:t>
      </w:r>
    </w:p>
    <w:p>
      <w:pPr>
        <w:spacing w:after="0" w:line="16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w:t>
      </w:r>
    </w:p>
    <w:p>
      <w:pPr>
        <w:spacing w:after="0" w:line="188" w:lineRule="exact"/>
        <w:rPr>
          <w:sz w:val="20"/>
          <w:szCs w:val="20"/>
          <w:color w:val="auto"/>
        </w:rPr>
      </w:pPr>
    </w:p>
    <w:p>
      <w:pPr>
        <w:jc w:val="both"/>
        <w:ind w:right="360" w:firstLine="648"/>
        <w:spacing w:after="0" w:line="296" w:lineRule="auto"/>
        <w:rPr>
          <w:sz w:val="20"/>
          <w:szCs w:val="20"/>
          <w:color w:val="auto"/>
        </w:rPr>
      </w:pPr>
      <w:r>
        <w:rPr>
          <w:rFonts w:ascii="Arial" w:cs="Arial" w:eastAsia="Arial" w:hAnsi="Arial"/>
          <w:sz w:val="16"/>
          <w:szCs w:val="16"/>
          <w:color w:val="auto"/>
        </w:rPr>
        <w:t>On April 24, 2017, Sanofi Aventis U.S., LLC (“Sanofi”) filed a lawsuit against the Company in the U.S. District Court for the District of New Jersey. This lawsuit was transferred into a MDL in the U.S. District Court for the District of Kansas and alleged exclusive dealing and anti-competitive marketing practices in violation of the antitrust laws in connection with the sale and marketing of the EpiPen® Auto-Injector. Sanofi sought monetary damages, declaratory relief, attorneys’ fees and costs. The Court granted the Company’s motion for summary judgment and dismissed Sanofi’s claims. Sanofi’s appeal was denied. Sanofi’s petition seeking review by the U.S. Supreme Court was also denied and concludes this matter.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a total accrual of approximately $5.5 million related to these matters at March 31, 2023,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May 10, 2018, the Company received a civil investigative demand from the Civil Division of the DOJ seeking information relating to the pricing and sale of its generic drug products.</w:t>
      </w:r>
    </w:p>
    <w:p>
      <w:pPr>
        <w:spacing w:after="0" w:line="170"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We have fully cooperated with these investigations, which we believe are related to a broader industry-wide investigation of the generic pharmaceutical industry. We have not had contact from DOJ concerning the above-described subpoenas or civil investigative demand in several years.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forty-six states, the District of Columbia and the Commonwealth of Puerto Rico. The Company is alleged to have engaged in anticompetitive conduct with respect to four generic drug products. The amended complaint also includes claims asserted by attorneys general of thirty-six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forty-seven states, certain territories and the District of Columbia. The amended complaint also includes claims asserted by attorneys general of forty-two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w:t>
      </w:r>
    </w:p>
    <w:p>
      <w:pPr>
        <w:spacing w:after="0" w:line="17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forty-six states, certain territories and the District of Columbia.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 and has been ordered to proceed as a bellwether.</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Related Litigation</w:t>
      </w:r>
    </w:p>
    <w:p>
      <w:pPr>
        <w:spacing w:after="0" w:line="225" w:lineRule="exact"/>
        <w:rPr>
          <w:sz w:val="20"/>
          <w:szCs w:val="20"/>
          <w:color w:val="auto"/>
        </w:rPr>
      </w:pPr>
    </w:p>
    <w:p>
      <w:pPr>
        <w:ind w:right="120" w:firstLine="648"/>
        <w:spacing w:after="0" w:line="292" w:lineRule="auto"/>
        <w:rPr>
          <w:sz w:val="20"/>
          <w:szCs w:val="20"/>
          <w:color w:val="auto"/>
        </w:rPr>
      </w:pPr>
      <w:r>
        <w:rPr>
          <w:rFonts w:ascii="Arial" w:cs="Arial" w:eastAsia="Arial" w:hAnsi="Arial"/>
          <w:sz w:val="16"/>
          <w:szCs w:val="16"/>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w:t>
      </w:r>
    </w:p>
    <w:p>
      <w:pPr>
        <w:spacing w:after="0" w:line="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w:t>
      </w:r>
    </w:p>
    <w:p>
      <w:pPr>
        <w:ind w:right="40"/>
        <w:spacing w:after="0" w:line="273" w:lineRule="auto"/>
        <w:rPr>
          <w:sz w:val="20"/>
          <w:szCs w:val="20"/>
          <w:color w:val="auto"/>
        </w:rPr>
      </w:pPr>
      <w:r>
        <w:rPr>
          <w:rFonts w:ascii="Arial" w:cs="Arial" w:eastAsia="Arial" w:hAnsi="Arial"/>
          <w:sz w:val="17"/>
          <w:szCs w:val="17"/>
          <w:color w:val="auto"/>
        </w:rPr>
        <w:t>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On March 30, 2023, the Court dismissed all of Plaintiffs’ claims by granting Defendants’ motion for summary judgment and denying Plaintiffs’ cross-motion for partial summary judgment. Plaintiffs have filed an appeal to the U.S. Court of Appeals for the Second Circuit.</w:t>
      </w:r>
    </w:p>
    <w:p>
      <w:pPr>
        <w:spacing w:after="0" w:line="17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April 30, 2017, a similar lawsuit was filed in the Tel Aviv District Court (Economic Division) in Israel, which has been stayed pending a decision in the SDNY class action litigation.</w:t>
      </w:r>
    </w:p>
    <w:p>
      <w:pPr>
        <w:spacing w:after="0" w:line="170"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17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19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seek monetary damages, reasonable costs and expenses, and certain other equitable and injunctive relief.</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jc w:val="both"/>
        <w:ind w:right="340" w:firstLine="648"/>
        <w:spacing w:after="0" w:line="301" w:lineRule="auto"/>
        <w:rPr>
          <w:sz w:val="20"/>
          <w:szCs w:val="20"/>
          <w:color w:val="auto"/>
        </w:rPr>
      </w:pPr>
      <w:r>
        <w:rPr>
          <w:rFonts w:ascii="Arial" w:cs="Arial" w:eastAsia="Arial" w:hAnsi="Arial"/>
          <w:sz w:val="16"/>
          <w:szCs w:val="16"/>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5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52" w:lineRule="exact"/>
        <w:rPr>
          <w:sz w:val="20"/>
          <w:szCs w:val="20"/>
          <w:color w:val="auto"/>
        </w:rPr>
      </w:pPr>
    </w:p>
    <w:p>
      <w:pPr>
        <w:ind w:right="60" w:firstLine="648"/>
        <w:spacing w:after="0" w:line="324" w:lineRule="auto"/>
        <w:rPr>
          <w:sz w:val="20"/>
          <w:szCs w:val="20"/>
          <w:color w:val="auto"/>
        </w:rPr>
      </w:pPr>
      <w:r>
        <w:rPr>
          <w:rFonts w:ascii="Arial" w:cs="Arial" w:eastAsia="Arial" w:hAnsi="Arial"/>
          <w:sz w:val="16"/>
          <w:szCs w:val="16"/>
          <w:color w:val="auto"/>
        </w:rPr>
        <w:t>On January 13, 2023, the Company received a civil subpoena from the Attorney General of the State of New York seeking information relating to opioids manufactured, marketed, or sold by the Company and related subject matter. The Company is fully cooperating with this subpoena request.</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Meda Sweden Commercial Dispute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August 30, 2021, Ocular AS and other related entities (“Claimants”) initiated an arbitration in Sweden against Meda OTC AB and Meda AB (collectively, “Meda” or the “Company”) alleging breach of a 2013 sale and purchase agreement between Claimants and Meda concerning commercialization of a dental hygiene product. Claimants are seeking approximately $155 million in purported damages, plus interest and costs. The Company believes that it acted lawfully and vigorously contested all aspects of Claimants’ case – including their asserted damages – at an arbitration hearing that took place in February 2023.</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Citalopram</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2013, the European Commission issued a decision finding that Lundbeck and several generic companies, including Generics [U.K.] Limited (“GUK” or the “Company”), had violated EU competition rules relating to various settlement agreements entered into in 2002 for citalopram. After various appeals, the European Commission’s decision was upheld in March 2021. On March 28, 2023, bodies of the national health authorities in England &amp; Wales served a claim in the U.K. Competition Appeals Tribunal against parties to the citalopram investigation, including GUK, seeking monetary damages, plus interest, purportedly arising from the settlement agreements. The Company,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Company has accrued approximately €11.9 million as of March 31, 2023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6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has accrued approximately $65.1 million as of March 31, 2023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Nitrosamines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Third party payor, consumer and medical monitoring classes were certified in the valsartan MDL and a Rule 23(f) petition to appeal the certification decision was denied. The Company has also received claims and inquiries related to these products, as well as requests to indemnify purchasers of the Company’s API and/ or finished dose forms of these products. The original master complaints concerning ranitidine were dismissed on December 31, 2020. The end-payor plaintiff immediately appealed to the U.S. Court of Appeals for the</w:t>
      </w:r>
    </w:p>
    <w:p>
      <w:pPr>
        <w:ind w:right="40"/>
        <w:spacing w:after="0" w:line="259" w:lineRule="auto"/>
        <w:rPr>
          <w:sz w:val="20"/>
          <w:szCs w:val="20"/>
          <w:color w:val="auto"/>
        </w:rPr>
      </w:pPr>
      <w:r>
        <w:rPr>
          <w:rFonts w:ascii="Arial" w:cs="Arial" w:eastAsia="Arial" w:hAnsi="Arial"/>
          <w:sz w:val="18"/>
          <w:szCs w:val="18"/>
          <w:color w:val="auto"/>
        </w:rPr>
        <w:t>Eleventh Circuit, which affirmed the dismissal. The 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Lipitor</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Missouri and New York. Prior state court proceedings in California have now been terminated after the California Court previously granted motions (i) to exclude the opinions of plaintiffs’ only general causation expert in connection with his opinions involving the three lowest doses of Lipitor (10, 20 and 40 mg); (ii) for summary judgment in connection with the 10, 20, and 40 mg plaintiffs; and (iii) seeking the dismissal of the remaining cases involving the highest dose of Lipitor (80 mg).</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Company is involved in a number of patent litigation lawsuits involving the validity and/or infringement of patents held by branded</w:t>
      </w:r>
    </w:p>
    <w:p>
      <w:pPr>
        <w:spacing w:after="0" w:line="5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accrued approximately $108.8 million as of March 31, 2023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United Kingdom</w:t>
      </w:r>
    </w:p>
    <w:p>
      <w:pPr>
        <w:spacing w:after="0" w:line="225" w:lineRule="exact"/>
        <w:rPr>
          <w:sz w:val="20"/>
          <w:szCs w:val="20"/>
          <w:color w:val="auto"/>
        </w:rPr>
      </w:pPr>
    </w:p>
    <w:p>
      <w:pPr>
        <w:jc w:val="both"/>
        <w:ind w:right="100" w:firstLine="648"/>
        <w:spacing w:after="0" w:line="299" w:lineRule="auto"/>
        <w:rPr>
          <w:sz w:val="20"/>
          <w:szCs w:val="20"/>
          <w:color w:val="auto"/>
        </w:rPr>
      </w:pPr>
      <w:r>
        <w:rPr>
          <w:rFonts w:ascii="Arial" w:cs="Arial" w:eastAsia="Arial" w:hAnsi="Arial"/>
          <w:sz w:val="16"/>
          <w:szCs w:val="16"/>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w:t>
      </w:r>
    </w:p>
    <w:p>
      <w:pPr>
        <w:spacing w:after="0" w:line="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18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and Northern Ireland) filed their claims. All of the claims except for those filed by Dr. Reddy’s Laboratories and NHS Scotland have been resolved. A trial on the remaining claims has been set for November 2023.</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Yupelri</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In February 2023, we brought patent infringement actions against the generic filers in federal district courts, including the U.S. District Court for the District of New Jersey, the U.S. District Court for the District of Delaware, and the U.S. District Court for the Middle District of North Carolina, asserting infringement of the patents by the generic companies. The actions filed in Delaware and North Carolina have been dismissed and the actions will proceed in New Jersey.</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The Company is involved in various other legal proceedings including commercial, contractual, employment, or other similar matters that are considered normal to its business. The Company has approximately $8.6 million accrued related to these various other legal proceedings at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Viatris Inc. and</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subsidiaries for the periods presented. Unless context requires otherwise, the “Company,” “Viatris,” “our” or “we” refer to Viatris Inc. and its subsidiaries.</w:t>
      </w:r>
    </w:p>
    <w:p>
      <w:pPr>
        <w:spacing w:after="0" w:line="234"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2022 Form 10-K, the unaudited interim financial statements and related Notes included in Part I — ITEM 1 of this Form 10-Q and our other SEC filings and public disclosures. The interim results of operations and comprehensive earnings (loss) for the three months ended March 31, 2023, and cash flows for the three months ended March 31, 2023 are not necessarily indicative of the results to be expected for the full fiscal year or any other future period.</w:t>
      </w:r>
    </w:p>
    <w:p>
      <w:pPr>
        <w:spacing w:after="0" w:line="148"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This Form 10-Q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two-phased strategic vision and potential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6" w:lineRule="exact"/>
        <w:rPr>
          <w:sz w:val="20"/>
          <w:szCs w:val="20"/>
          <w:color w:val="auto"/>
        </w:rPr>
      </w:pPr>
    </w:p>
    <w:p>
      <w:pPr>
        <w:ind w:left="660" w:right="300" w:hanging="328"/>
        <w:spacing w:after="0" w:line="23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realize the intended benefits of, or achieve the intended goals or outlooks with respect to, its strategic initiatives;</w:t>
      </w:r>
    </w:p>
    <w:p>
      <w:pPr>
        <w:ind w:left="660" w:right="8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acquisitions, divestitures, or its global restructuring program within the expected timeframe or at all;</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charges or other losses related to the divestiture or sale of businesses or assets;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ind w:left="660" w:right="600" w:hanging="328"/>
        <w:spacing w:after="0" w:line="22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ind w:left="660" w:right="100" w:hanging="328"/>
        <w:spacing w:after="0" w:line="23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recent and potential tax reform in the U.S.);</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ind w:left="660" w:right="72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ind w:left="660" w:right="700" w:hanging="328"/>
        <w:spacing w:after="0" w:line="22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spacing w:after="0" w:line="1" w:lineRule="exact"/>
        <w:rPr>
          <w:rFonts w:ascii="Arial" w:cs="Arial" w:eastAsia="Arial" w:hAnsi="Arial"/>
          <w:sz w:val="18"/>
          <w:szCs w:val="18"/>
          <w:color w:val="auto"/>
        </w:rPr>
      </w:pPr>
    </w:p>
    <w:p>
      <w:pPr>
        <w:ind w:left="660" w:right="30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320" w:hanging="328"/>
        <w:spacing w:after="0" w:line="22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ind w:left="660" w:right="56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an acquisition or divestiture;</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ind w:left="660" w:right="40" w:hanging="328"/>
        <w:spacing w:after="0" w:line="23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inflation rates and global exchange rates; and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280" w:hanging="328"/>
        <w:spacing w:after="0" w:line="24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Part I, Item 1A in the 2022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1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18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Viatris’ seasoned management team is focused on ensuring that the Company is optimally structured and efficiently resourced to deliver sustainable value to patients, shareholders, customers and other key stakeholders. With a global workforce of approximately 38,000,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and complex generics.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1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24"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9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public health epidemics, such as the COVID-19 pandemic, inflation, geopolitical events, including the ongoing conflict between Russia and Ukraine and related trade controls, sanctions, supply chain and staffing challenges and other economic considerations, supply chain disruptions, foreign currency exchange fluctuations, changes in intellectual property legal protections and other regulatory changes.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Ophthalmology Acquisitions</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During the first quarter of 2023, the Company completed the acquisition of Oyster Point for approximately $427.4 million in cash, which included $11 per share paid to Oyster Point stockholders through a tender offer, payment for vested share-based awards, and the repayment of debt of Oyster Point. In addition to the upfront cash consideration, each Oyster Point stockholder received one non-tradeable contingent value right representing up to an additional $2 per share, or approximately $60 million in the aggregate, contingent upon Oyster Point achieving certain metrics based upon full year 2022 performance. Oyster Point did not achieve the metrics that would have triggered a contingent payment and the contingent value rights have expired. Oyster Point is focused on the discovery, development, and commercialization of first-in-class pharmaceutical therapies to treat ophthalmic diseases.</w:t>
      </w:r>
    </w:p>
    <w:p>
      <w:pPr>
        <w:spacing w:after="0" w:line="16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On November 7, 2022, the Company entered into a definitive agreement to acquire the remaining equity shares of Famy Life Sciences, a privately-owned research company with a complementary portfolio of ophthalmology therapies under development, for consideration of $281 million. The Company had previously entered into a Master Development Agreement with Famy Life Sciences on December 20, 2019 under which the Company obtained rights with respect to acquiring certain pharmaceutical products and had also acquired shares representing approximately 13.5% equity interest in Famy Life Sciences for $25.0 million at December 31, 2020. The investment was accounted for in accordance with ASC 321, </w:t>
      </w:r>
      <w:r>
        <w:rPr>
          <w:rFonts w:ascii="Arial" w:cs="Arial" w:eastAsia="Arial" w:hAnsi="Arial"/>
          <w:sz w:val="17"/>
          <w:szCs w:val="17"/>
          <w:i w:val="1"/>
          <w:iCs w:val="1"/>
          <w:color w:val="auto"/>
        </w:rPr>
        <w:t>Investments -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w:t>
      </w:r>
      <w:r>
        <w:rPr>
          <w:rFonts w:ascii="Arial" w:cs="Arial" w:eastAsia="Arial" w:hAnsi="Arial"/>
          <w:sz w:val="17"/>
          <w:szCs w:val="17"/>
          <w:color w:val="auto"/>
        </w:rPr>
        <w:t>. The transaction to acquire the remaining equity shares of Famy Life Sciences closed during the first quarter of 2023.</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Acquisitions and Other Transactions</w:t>
      </w:r>
      <w:r>
        <w:rPr>
          <w:rFonts w:ascii="Arial" w:cs="Arial" w:eastAsia="Arial" w:hAnsi="Arial"/>
          <w:sz w:val="18"/>
          <w:szCs w:val="18"/>
          <w:color w:val="auto"/>
        </w:rPr>
        <w:t xml:space="preserve"> for more information.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three months ended March 31, 2023, the Company repurchased approximately 21.2 million shares of common stock at a cost of approximately $250 million. The Company did not repurchase any shares of common stock under the share repurchase program in 2022. The share repurchase program does not obligate the Company to acquire any particular amount of common stock.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 The remaining actions under the 2020 restructuring program include the disposal or closure of certain manufacturing facilities, which are expected to be substantially completed in 2023.</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is a summary of the Company’s financial results for the three months ended March 31, 2023 compared to the prior year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4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4,191.7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EBITDA (all of which are defined below) can be found in “Item 2.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w:t>
      </w:r>
      <w:r>
        <w:rPr>
          <w:rFonts w:ascii="Arial" w:cs="Arial" w:eastAsia="Arial" w:hAnsi="Arial"/>
          <w:sz w:val="18"/>
          <w:szCs w:val="18"/>
          <w:i w:val="1"/>
          <w:iCs w:val="1"/>
          <w:color w:val="auto"/>
        </w:rPr>
        <w:t xml:space="preserve">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 -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2023 Compared to Three Months Ended March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4"/>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ind w:left="4"/>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2023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1"/>
              </w:rPr>
              <w:t>2023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15"/>
              <w:spacing w:after="0" w:line="14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7"/>
                <w:szCs w:val="17"/>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7"/>
                <w:szCs w:val="17"/>
                <w:color w:val="auto"/>
              </w:rPr>
            </w:pPr>
          </w:p>
        </w:tc>
        <w:tc>
          <w:tcPr>
            <w:tcW w:w="1340" w:type="dxa"/>
            <w:vAlign w:val="bottom"/>
          </w:tcPr>
          <w:p>
            <w:pPr>
              <w:jc w:val="right"/>
              <w:ind w:right="202"/>
              <w:spacing w:after="0" w:line="202"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2,476.1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2,243.6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3,719.1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4,178.2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3,916.2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ind w:left="100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2023, other revenues in Developed Markets, JANZ, and Emerging Markets were approximately $7.1 million, $0.2 million, and $2.7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which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For the three months ended March 31, 2023, Viatris reported total revenues of $3.73 billion, compared to $4.19 billion for the comparable prior year period, representing a decrease of $462.6 million, or 11%. Total revenues include both net sales and other revenues from third parties. Net sales for the current quarter were $3.72 billion, compared to $4.18 billion for the comparable prior year period, representing a decrease of $459.1 million, or 11%. Other revenues for the current quarter were $10.0 million, compared to $13.5 million for the comparable prior year period.</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decrease in net sales was partially driven by the unfavorable impact of foreign currency translation of approximately $197.1 million, or 5%, primarily reflecting changes in the U.S. Dollar as compared to the currencies of subsidiaries in countries within the EU, China, Japan and India. Additionally, net sales further decreased by approximately $164.8 million or 4% due to the inclusion of net sales related to the divested biosimilars business in the prior year period. On a constant currency basis, the decrease in net sales from the remaining business was approximately $103.5 million, or 3% for the three months ended March 31, 2023 compared to the prior year period. The decrease was due to base business erosion of approximately $188 million. The decrease in net sales from existing products was partially offset by approximately $85.2 million of new product sales, primarily in the U.S. and Europe. New product sales include new products launched in 2023 and the carryover impact of new products, including business development, launched within the last twelve months. Net sales from acquisitions totaled $6.3 million during the current quarter.</w:t>
      </w:r>
    </w:p>
    <w:p>
      <w:pPr>
        <w:spacing w:after="0" w:line="20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35% for the three months ended March 31, 2023 and 2022.</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Net sales from Developed Markets decreased by $305.7 million or 12% during the three months ended March 31, 2023 when compared to the prior year period. This decrease was partially due to the unfavorable impact of foreign currency translation of approximately $73.2 million, or 3%. Net sales also decreased by approximately $144.6 million or 6% due to the inclusion of net sales related to the divested biosimilars business in the prior year period. Constant currency net sales from the remaining business decreased by approximately $94.2 million, or 4% when compared to the prior year period. Net sales within North America totaled approximately $925.8 million and net sales within Europe totaled approximately $1.24 billion. The decrease in constant currency net sales was driven by anticipated lower net sales of existing products within the U.S., including cyclosporine ophthalmic emulsion and Wixela Inhub®, as a result of lower volumes and, to a lesser extent, lower pricing due to additional competition. These decreases were partially offset by new product sales, including lenalidomide in the U.S., and higher volumes of existing products in Europe. Net sales from Tyrvaya® totaled $6.3 million during the current quarter.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Net sales from Greater China decreased by $8.5 million or 1% for the three months ended March 31, 2023 when compared to the prior year period. This decrease was the result of the unfavorable impact of foreign currency translation of approximately $35.0 million, or 6%. Constant currency net sales increased by approximately $26.6 million, or 5% when compared to the prior year period, driven primarily by increased volumes of existing products. The disposition of the biosimilars business did not have a significant impact on the net sales for the current quarter.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Net sales from JANZ decreased by $81.6 million or 19% for the three months ended March 31, 2023 when compared to the prior year period. This decrease was partially the result of the unfavorable impact of foreign currency translation of approximately $33.6 million, or 8%. Constant currency net sales decreased by approximately $43.4 million, or 10% when compared to the prior year period. The decrease was due to lower net sales of existing products mainly driven by lower pricing and, to a lesser extent, volumes, in Japan as a result of government price reductions and additional competition. The disposition of the biosimilars business did not have a significant impact on the net sales for the current quarter.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Net sales from Emerging Markets decreased by $63.3 million or 9% for the three months ended March 31, 2023 when compared to the prior year period. This decrease was mainly driven by the unfavorable impact of foreign currency translation of approximately $55.3 million or 8%. In addition, net sales also decreased by approximately $15.5 million, or 2% due to the inclusion of the divested biosimilars business in the prior year period. Constant currency net sales from the remaining business increased by $7.5 million, or 1% when compared to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sales decreased from $2.42 billion for the three months ended March 31, 2022 to $2.19 billion for the three months ended March 31, 2023.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Cost of sales was primarily impacted by the decrease in net sales, including the impact of the disposition of the biosimilars business in November 2022</w:t>
      </w:r>
      <w:r>
        <w:rPr>
          <w:rFonts w:ascii="Arial" w:cs="Arial" w:eastAsia="Arial" w:hAnsi="Arial"/>
          <w:sz w:val="16"/>
          <w:szCs w:val="16"/>
          <w:i w:val="1"/>
          <w:iCs w:val="1"/>
          <w:color w:val="auto"/>
        </w:rPr>
        <w:t>.</w:t>
      </w:r>
    </w:p>
    <w:p>
      <w:pPr>
        <w:spacing w:after="0" w:line="23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Gross profit for the three months ended March 31, 2023 was $1.54 billion and gross margins were 41%. For the three months ended March 31, 2022, gross profit was $1.77 billion and gross margins were 42%. This change is primarily related to the decrease in cost of sales. Adjusted gross margins were 60% for the three months ended March 31, 2023, compared to 59%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three months ended March 31, 2023 compared to the three months ended March 31, 2022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2,186.9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2,420.5</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Deduct: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Acquisition and divestiture related items</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1,478.2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1,698.3</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2,250.9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
        </w:trPr>
        <w:tc>
          <w:tcPr>
            <w:tcW w:w="84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27" w:lineRule="auto"/>
        <w:tabs>
          <w:tab w:leader="none" w:pos="655"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R&amp;D expense for the three months ended March 31, 2023 was $182.9 million, compared to $142.3 million for the comparable prior year period, an increase of $40.6 million. This increase was primarily due to continued investment in our pipeline, including approximately $10.9 million related to the ophthalmology acquisitions.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SG&amp;A expense for the current quarter was $958.9 million, compared to $915.3 million for the comparable prior year period, an increase of $43.6 million. The increase was primarily due to expenses related to the ophthalmology acquisitions of approximately $33.5 million, higher investment in selling and promotional activities, and increased payroll-related costs. Partially offsetting these increases were lower acquisition and divestiture related costs of approximately $26.6 million as a result of transitioning certain support services from Pfizer during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losses/(gains) recognized in litigation settlements and other contingencies, net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2022,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9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adjustment (related to the Respiratory Delivery Platform)</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319"/>
              <w:spacing w:after="0"/>
              <w:rPr>
                <w:sz w:val="20"/>
                <w:szCs w:val="20"/>
                <w:color w:val="auto"/>
              </w:rPr>
            </w:pPr>
            <w:r>
              <w:rPr>
                <w:rFonts w:ascii="Arial" w:cs="Arial" w:eastAsia="Arial" w:hAnsi="Arial"/>
                <w:sz w:val="18"/>
                <w:szCs w:val="18"/>
                <w:color w:val="auto"/>
                <w:w w:val="87"/>
              </w:rPr>
              <w:t>1.5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299"/>
              <w:spacing w:after="0"/>
              <w:rPr>
                <w:sz w:val="20"/>
                <w:szCs w:val="20"/>
                <w:color w:val="auto"/>
              </w:rPr>
            </w:pPr>
            <w:r>
              <w:rPr>
                <w:rFonts w:ascii="Arial" w:cs="Arial" w:eastAsia="Arial" w:hAnsi="Arial"/>
                <w:sz w:val="18"/>
                <w:szCs w:val="18"/>
                <w:color w:val="auto"/>
                <w:w w:val="97"/>
              </w:rPr>
              <w:t>(0.9)</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8"/>
                <w:szCs w:val="18"/>
                <w:color w:val="auto"/>
                <w:w w:val="87"/>
              </w:rPr>
              <w:t>0.6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Interest expense for the three months ended March 31, 2023 totaled $147.0 million, compared to $146.2 million for the three months ended March 31, 2022, essentially flat as higher costs related to our variable rate borrowings were offset by the impact of debt repayments.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Other (income) expense, net includes gains and losses from changes in the fair value of equity securities, foreign exchange, expense (income) related to post-employment benefit plans, TSA income, and interest and dividend income. Other (income) expense, net for the three months ended March 31, 2023 totaled $69.9 million of income, compared to expense of $33.7 million for the three months ended March 31, 2022. The current quarter income was primarily driven by the reimbursement for transition services provided to Biocon Biologics of approximately $45.7 million. The costs related to the transition services are included in SG&amp;A and R&amp;D. The current quarter income was also attributed to a gain of approximately $18.9 million as a result of remeasuring our pre-existing 13.5% equity interest in Famy Life Sciences to fair value. The prior year period expense was primarily driven by higher foreign exchange costs.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three months ended March 31, 2023, the Company recognized an income tax provision of $98.0 million, compared to $128.3 million for the comparable prior year period, a decrease of $30.3 million. The current year and prior year provisions were impacted by the levels of income and the changing mix at which it is earned in jurisdictions with differing tax rates. Also impacting the tax provision for the three months ended March 31, 2023 was a tax expense of $21.6 million related to an agreement with the Indian tax authorities in March 2023 in respect of the pricing of its international transactions.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9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Adjusted net earnings is a non-GAAP financial measure and provides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impairment of long-lived assets, acquisition and divestiture related and other special items to determine adjusted EBITDA. These adjustments are generally permitted under our credit agreement in calculating adjusted EBITDA for determining compliance with our debt covenants.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EBITDA include: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intangible asset impairment charges, including for in-process research and development, and impairment of goodwill. For the acquisition of businesses accounted for under the provisions of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Adjustments, Including Contingent Consideration</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impact of changes to the fair value of assets and liabilities, including contingent and deferred consideration and accounting for the CCPS in Biocon Biologics, and the related accretion income or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Share-based compensation expense is excluded from adjusted cost of sales,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and Divestiture Related and Other Special Items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Costs related to restructuring, acquisition and divestiture related activities and other actions are excluded from adjusted cost of sales, adjusted net earnings and adjusted EBITDA, as applicable. These amounts include items such as:</w:t>
      </w:r>
    </w:p>
    <w:p>
      <w:pPr>
        <w:spacing w:after="0" w:line="62" w:lineRule="exact"/>
        <w:rPr>
          <w:sz w:val="20"/>
          <w:szCs w:val="20"/>
          <w:color w:val="auto"/>
        </w:rPr>
      </w:pPr>
    </w:p>
    <w:p>
      <w:pPr>
        <w:ind w:left="980" w:right="520" w:hanging="324"/>
        <w:spacing w:after="0" w:line="263"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21"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spacing w:after="0" w:line="25"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net earnings is the net tax effect of the entity’s activities;</w:t>
      </w:r>
    </w:p>
    <w:p>
      <w:pPr>
        <w:spacing w:after="0" w:line="8"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Gains or losses from divestitures, including impairments of held for sale assets; and</w:t>
      </w:r>
    </w:p>
    <w:p>
      <w:pPr>
        <w:spacing w:after="0" w:line="63" w:lineRule="exact"/>
        <w:rPr>
          <w:rFonts w:ascii="Arial" w:cs="Arial" w:eastAsia="Arial" w:hAnsi="Arial"/>
          <w:sz w:val="18"/>
          <w:szCs w:val="18"/>
          <w:color w:val="auto"/>
        </w:rPr>
      </w:pPr>
    </w:p>
    <w:p>
      <w:pPr>
        <w:ind w:left="980" w:right="140" w:hanging="324"/>
        <w:spacing w:after="0" w:line="316"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impact of changes related to uncertain tax positions are excluded from adjusted cost of sales and adjusted net earnings. In addition, tax adjustments to adjusted earnings are recorded to present items on an after-tax basis consistent with the presentation of adjusted net earnings.</w:t>
      </w:r>
    </w:p>
    <w:p>
      <w:pPr>
        <w:spacing w:after="0" w:line="2" w:lineRule="exact"/>
        <w:rPr>
          <w:sz w:val="20"/>
          <w:szCs w:val="20"/>
          <w:color w:val="auto"/>
        </w:rPr>
      </w:pPr>
    </w:p>
    <w:p>
      <w:pPr>
        <w:ind w:right="160" w:firstLine="648"/>
        <w:spacing w:after="0" w:line="340" w:lineRule="auto"/>
        <w:rPr>
          <w:sz w:val="20"/>
          <w:szCs w:val="20"/>
          <w:color w:val="auto"/>
        </w:rPr>
      </w:pPr>
      <w:r>
        <w:rPr>
          <w:rFonts w:ascii="Arial" w:cs="Arial" w:eastAsia="Arial" w:hAnsi="Arial"/>
          <w:sz w:val="15"/>
          <w:szCs w:val="15"/>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net earnings and adjusted EBITDA because it believes it is helpful to understanding the underlying, ongoing operational performance of the business.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 xml:space="preserve">Charges and gains related to legal matters, such as those discussed in Note 18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 Item 1 of this Form 10-Q are generally excluded from adjusted net earnings and adjusted EBITDA. Normal, ongoing defense costs of the Company made in the normal course of our business are not excluded.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to Adjusted Net Earnings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between net earnings as reported under U.S. GAAP, and adjusted net earnings for the periods shown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6"/>
        </w:trPr>
        <w:tc>
          <w:tcPr>
            <w:tcW w:w="86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U.S. GAAP net earnings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29"/>
        </w:trPr>
        <w:tc>
          <w:tcPr>
            <w:tcW w:w="8600" w:type="dxa"/>
            <w:vAlign w:val="bottom"/>
          </w:tcPr>
          <w:p>
            <w:pPr>
              <w:spacing w:after="0" w:line="230" w:lineRule="exact"/>
              <w:rPr>
                <w:sz w:val="20"/>
                <w:szCs w:val="20"/>
                <w:color w:val="auto"/>
              </w:rPr>
            </w:pPr>
            <w:r>
              <w:rPr>
                <w:rFonts w:ascii="Arial" w:cs="Arial" w:eastAsia="Arial" w:hAnsi="Arial"/>
                <w:sz w:val="18"/>
                <w:szCs w:val="18"/>
                <w:color w:val="auto"/>
              </w:rPr>
              <w:t xml:space="preserve">Purchase accounting related amortization (primarily included in cost of sales)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settlements and other contingencies,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Arial" w:cs="Arial" w:eastAsia="Arial" w:hAnsi="Arial"/>
                <w:sz w:val="18"/>
                <w:szCs w:val="18"/>
                <w:color w:val="auto"/>
              </w:rPr>
              <w:t>Interest expense (primarily amortization of premiums and discounts on long term debt)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Clean energy investments pre-tax gain</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600" w:type="dxa"/>
            <w:vAlign w:val="bottom"/>
          </w:tcPr>
          <w:p>
            <w:pPr>
              <w:spacing w:after="0" w:line="230" w:lineRule="exact"/>
              <w:rPr>
                <w:sz w:val="20"/>
                <w:szCs w:val="20"/>
                <w:color w:val="auto"/>
              </w:rPr>
            </w:pPr>
            <w:r>
              <w:rPr>
                <w:rFonts w:ascii="Arial" w:cs="Arial" w:eastAsia="Arial" w:hAnsi="Arial"/>
                <w:sz w:val="18"/>
                <w:szCs w:val="18"/>
                <w:color w:val="auto"/>
              </w:rPr>
              <w:t xml:space="preserve">Acquisition and divestiture related costs (primarily included in SG&amp;A) </w:t>
            </w:r>
            <w:r>
              <w:rPr>
                <w:rFonts w:ascii="Arial" w:cs="Arial" w:eastAsia="Arial" w:hAnsi="Arial"/>
                <w:sz w:val="23"/>
                <w:szCs w:val="23"/>
                <w:color w:val="auto"/>
                <w:vertAlign w:val="superscript"/>
              </w:rPr>
              <w:t>(b)</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special items included in: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860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 xml:space="preserve">Tax effect of the above items and other income tax related items </w:t>
            </w:r>
            <w:r>
              <w:rPr>
                <w:rFonts w:ascii="Arial" w:cs="Arial" w:eastAsia="Arial" w:hAnsi="Arial"/>
                <w:sz w:val="23"/>
                <w:szCs w:val="23"/>
                <w:color w:val="auto"/>
                <w:vertAlign w:val="superscript"/>
              </w:rPr>
              <w:t>(f)</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earnings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63" w:lineRule="exact"/>
        <w:rPr>
          <w:sz w:val="20"/>
          <w:szCs w:val="20"/>
          <w:color w:val="auto"/>
        </w:rPr>
      </w:pPr>
    </w:p>
    <w:p>
      <w:pPr>
        <w:jc w:val="both"/>
        <w:ind w:left="660" w:hanging="328"/>
        <w:spacing w:after="0" w:line="234" w:lineRule="auto"/>
        <w:tabs>
          <w:tab w:leader="none" w:pos="655"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2023, charges include an intangible asset charge of approximately $32.0 million related to the potential divestiture of the Upjohn Distributor Markets to write down the disposal group to fair value, less cost to sell. Also includes amortization of the step-up in the fair value of inventory related to the Oyster Point acquisition of approximately $7.3 million.</w:t>
      </w:r>
    </w:p>
    <w:p>
      <w:pPr>
        <w:spacing w:after="0" w:line="17"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Acquisition and divestiture related costs consist primarily of transaction costs including legal and consulting fees and integration activities.</w:t>
      </w:r>
    </w:p>
    <w:p>
      <w:pPr>
        <w:spacing w:after="0" w:line="55" w:lineRule="exact"/>
        <w:rPr>
          <w:rFonts w:ascii="Arial" w:cs="Arial" w:eastAsia="Arial" w:hAnsi="Arial"/>
          <w:sz w:val="22"/>
          <w:szCs w:val="22"/>
          <w:color w:val="auto"/>
          <w:vertAlign w:val="superscript"/>
        </w:rPr>
      </w:pPr>
    </w:p>
    <w:p>
      <w:pPr>
        <w:ind w:left="660" w:hanging="328"/>
        <w:spacing w:after="0" w:line="219" w:lineRule="auto"/>
        <w:tabs>
          <w:tab w:leader="none" w:pos="655"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 xml:space="preserve">For the three months ended March 31, 2023, charges include approximately $10.9 million in cost of sales and approximately $(1.2) million in SG&amp;A. Refer to Note 15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included in Part I, Item 1 of this Form 10-Q for additional information.</w:t>
      </w:r>
    </w:p>
    <w:p>
      <w:pPr>
        <w:spacing w:after="0" w:line="39" w:lineRule="exact"/>
        <w:rPr>
          <w:rFonts w:ascii="Arial" w:cs="Arial" w:eastAsia="Arial" w:hAnsi="Arial"/>
          <w:sz w:val="23"/>
          <w:szCs w:val="23"/>
          <w:color w:val="auto"/>
          <w:vertAlign w:val="superscript"/>
        </w:rPr>
      </w:pPr>
    </w:p>
    <w:p>
      <w:pPr>
        <w:jc w:val="both"/>
        <w:ind w:left="660" w:hanging="328"/>
        <w:spacing w:after="0" w:line="234" w:lineRule="auto"/>
        <w:tabs>
          <w:tab w:leader="none" w:pos="64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2023, charges include incremental manufacturing variances at plants in the 2020 restructuring program of approximately $22.7 million and inventory reserves related to the potential divestiture of the Upjohn Distributor Markets of approximately $9.2 million.</w:t>
      </w:r>
    </w:p>
    <w:p>
      <w:pPr>
        <w:spacing w:after="0" w:line="40" w:lineRule="exact"/>
        <w:rPr>
          <w:rFonts w:ascii="Arial" w:cs="Arial" w:eastAsia="Arial" w:hAnsi="Arial"/>
          <w:sz w:val="23"/>
          <w:szCs w:val="23"/>
          <w:color w:val="auto"/>
          <w:vertAlign w:val="superscript"/>
        </w:rPr>
      </w:pPr>
    </w:p>
    <w:p>
      <w:pPr>
        <w:ind w:left="660" w:right="20" w:hanging="328"/>
        <w:spacing w:after="0" w:line="227" w:lineRule="auto"/>
        <w:tabs>
          <w:tab w:leader="none" w:pos="655"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2023, includes a gain of approximately $18.9 million as a result of remeasuring our pre-existing 13.5% equity interest in Famy Life Sciences to fair value.</w:t>
      </w:r>
    </w:p>
    <w:p>
      <w:pPr>
        <w:spacing w:after="0" w:line="5" w:lineRule="exact"/>
        <w:rPr>
          <w:rFonts w:ascii="Arial" w:cs="Arial" w:eastAsia="Arial" w:hAnsi="Arial"/>
          <w:sz w:val="23"/>
          <w:szCs w:val="23"/>
          <w:color w:val="auto"/>
          <w:vertAlign w:val="superscript"/>
        </w:rPr>
      </w:pPr>
    </w:p>
    <w:p>
      <w:pPr>
        <w:ind w:left="660" w:hanging="328"/>
        <w:spacing w:after="0"/>
        <w:tabs>
          <w:tab w:leader="none" w:pos="66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to EBITDA and Adjusted EBITDA</w:t>
      </w:r>
    </w:p>
    <w:p>
      <w:pPr>
        <w:spacing w:after="0" w:line="1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Below is a reconciliation of U.S. GAAP net earnings to EBITDA and adjusted EBITDA for the three months ended March 31, 2023 compared to the prior year period: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6"/>
        </w:trPr>
        <w:tc>
          <w:tcPr>
            <w:tcW w:w="8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Add / (deduct) adjustments: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contribution attributable to equity method investments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640" w:type="dxa"/>
            <w:vAlign w:val="bottom"/>
          </w:tcPr>
          <w:p>
            <w:pPr>
              <w:ind w:left="2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(b)</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Arial" w:cs="Arial" w:eastAsia="Arial" w:hAnsi="Arial"/>
                <w:sz w:val="18"/>
                <w:szCs w:val="18"/>
                <w:color w:val="auto"/>
              </w:rPr>
              <w:t>Add adjustments: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8640" w:type="dxa"/>
            <w:vAlign w:val="bottom"/>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Restructuring, acquisition and divestiture related and other special items </w:t>
            </w:r>
            <w:r>
              <w:rPr>
                <w:rFonts w:ascii="Arial" w:cs="Arial" w:eastAsia="Arial" w:hAnsi="Arial"/>
                <w:sz w:val="23"/>
                <w:szCs w:val="23"/>
                <w:color w:val="auto"/>
                <w:vertAlign w:val="superscript"/>
              </w:rPr>
              <w:t>(c)</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580" w:hanging="248"/>
        <w:spacing w:after="0"/>
        <w:tabs>
          <w:tab w:leader="none" w:pos="58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55"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56"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Earnings to Adjusted Net Earnings.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primary source of liquidity is net cash provided by operating activities, which was $971.2 million for the three months ended March 31, 2023.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Net cash provided by operating activities decreased by $167.3 million to $971.2 million for the three months ended March 31, 2023, as compared to net cash provided by operating activities of $1.14 billion for the three months ended March 31, 2022. Net cash provided by operating activities is derived from net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net cash provided by operating activities was principally due to lower operating earnings, including as a result of the disposition of the biosimilars business in November 2022, and the timing of cash payments and collections.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Net cash used in investing activities was $749.5 million for the three months ended March 31, 2023, as compared to $66.9 million for the three months ended March 31, 2022, an increase of $682.6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2023, significant items in investing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paid for acquisitions, net of cash acquired, of $667.7 million.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hanging="324"/>
        <w:spacing w:after="0" w:line="342" w:lineRule="auto"/>
        <w:tabs>
          <w:tab w:leader="none" w:pos="9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capital expenditures, primarily for equipment and facilities, totaling approximately $47.8 million. While there can be no assurance that current expectations will be realized, capital expenditures for the 2023 calendar year are expected to be approximately $400 million to $500 million.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investing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$64.5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Net cash used in financing activities was $974.7 million for the three months ended March 31, 2023, as compared to $1.01 billion for the three months ended March 31, 2022, a decrease of $34.3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2023,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repayment of the 3.125% Senior Notes at maturity of approximately $750.0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 repurchases of $250.0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short-term borrowings of $204.6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dividends paid of $143.8 million;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cash of $12.1 million collected on behalf of Biocon Biologics, which is included in Other items, net.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repayments of short-term borrowings of $837.9 million;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dividends paid of $145.1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cash and cash equivalents totaled $506.6 million at March 31, 2023, and the majority of these funds are held by our non-U.S. subsidiaries. In order to support our global operations, the majority of our cash and cash equivalents are held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20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Company has access to $4.0 billion under the Revolving Facility which matures in July 2026. Effective April 28, 2023, we executed an amendment to the Revolving Facility to convert the benchmark interest rate from LIBOR to an adjusted SOFR, with no change in the applicable interest rate margins. Up to $1.65 billion of the Revolving Facility may be used to support borrowings under our Commercial Paper Program. As of March 31, 2023, the Company did not have any borrowings outstanding under the Commercial Paper Program and the Revolving Facility.</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has a $400 million Receivables Facility which expires in April 2025, and a $200 million Note Securitization Facility which expires in August 2023. As of March 31, 2023, the Company had $197.0 million outstanding under the Receivables Facility and did not have any borrowings outstanding under the Note Securitization Facility.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either facility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6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agreements transfer effective control over and risk related to the receivables to the buyers. Our factoring agreements do not allow for recourse in the event of uncollectibility, and we do not retain any interest in the underlying accounts receivable once sold. We derecognized $76.3 million and $34.7 million of accounts receivable as of March 31, 2023 and December 31, 2022 under these factoring arrangements, respectively.</w:t>
      </w:r>
    </w:p>
    <w:p>
      <w:pPr>
        <w:spacing w:after="0" w:line="14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March 31, 2023 and December 31, 2022 were $55.5 million and $33.4 million, respectively. These amounts are included within </w:t>
      </w:r>
      <w:r>
        <w:rPr>
          <w:rFonts w:ascii="Arial" w:cs="Arial" w:eastAsia="Arial" w:hAnsi="Arial"/>
          <w:sz w:val="16"/>
          <w:szCs w:val="16"/>
          <w:i w:val="1"/>
          <w:iCs w:val="1"/>
          <w:color w:val="auto"/>
        </w:rPr>
        <w:t>Accounts payable</w:t>
      </w:r>
      <w:r>
        <w:rPr>
          <w:rFonts w:ascii="Arial" w:cs="Arial" w:eastAsia="Arial" w:hAnsi="Arial"/>
          <w:sz w:val="16"/>
          <w:szCs w:val="16"/>
          <w:color w:val="auto"/>
        </w:rPr>
        <w:t xml:space="preserve"> in the condensed consolidated balance sheets.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information regarding our dividends paid and declared, refer to Note 9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in Part I, Item 1 of this Form 10-Q.</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November 2022, the Company provided an update on the strategic priorities announced in February 2022, including identifying the following businesses no longer considered core to its future strategy that the Company intends to divest:</w:t>
      </w:r>
    </w:p>
    <w:p>
      <w:pPr>
        <w:spacing w:after="0" w:line="6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API (while retaining some selective development API capabilities);</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Women’s health care, primarily related to our oral and injectable contraceptives. This does not include all of our women’s health care related products; as an example, our Xulane® product in the U.S. is excluded; and</w:t>
      </w:r>
    </w:p>
    <w:p>
      <w:pPr>
        <w:spacing w:after="0" w:line="75" w:lineRule="exact"/>
        <w:rPr>
          <w:rFonts w:ascii="Arial" w:cs="Arial" w:eastAsia="Arial" w:hAnsi="Arial"/>
          <w:sz w:val="18"/>
          <w:szCs w:val="18"/>
          <w:color w:val="auto"/>
        </w:rPr>
      </w:pPr>
    </w:p>
    <w:p>
      <w:pPr>
        <w:ind w:left="640" w:hanging="308"/>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18"/>
          <w:szCs w:val="18"/>
          <w:color w:val="auto"/>
        </w:rPr>
        <w:t>Upjohn Distributor Markets.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For information regarding our debt agreements and mandatory minimum repayments remaining on the outstanding notional amount of long-term debt at March 31, 2023,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YEN Term Loan Facility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for the quarter ended March 31, 2023 and each quarter ending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in compliance with its covenants at March 31, 2023 and expects to remain in compliance for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Viatris Inc. is the issuer of the Registered Upjohn Notes, which are fully and unconditionally guaranteed on a senior unsecured basis by Mylan Inc., Mylan II B.V. and Utah Acquisition Sub Inc.</w:t>
      </w:r>
    </w:p>
    <w:p>
      <w:pPr>
        <w:spacing w:after="0" w:line="11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Mylan Inc. is the issuer of the Mylan Inc. U.S. Dollar Notes, which are fully and unconditionally guaranteed on a senior unsecured basis by Mylan II B.V., Viatris Inc. and Utah Acquisition Sub Inc.</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table presents unaudited summarized financial information of Viatris Inc., Mylan Inc., Utah Acquisition Sub Inc., and Mylan II B.V. on a combined basis as of and for the three months ended March 31, 2023 and as of and for the year ended December 31, 2022. All intercompany balances have been eliminated in consolidation. This unaudited combined summarized financial information is presented utilizing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12"/>
              <w:spacing w:after="0"/>
              <w:rPr>
                <w:sz w:val="20"/>
                <w:szCs w:val="20"/>
                <w:color w:val="auto"/>
              </w:rPr>
            </w:pPr>
            <w:r>
              <w:rPr>
                <w:rFonts w:ascii="Arial" w:cs="Arial" w:eastAsia="Arial" w:hAnsi="Arial"/>
                <w:sz w:val="14"/>
                <w:szCs w:val="14"/>
                <w:b w:val="1"/>
                <w:bCs w:val="1"/>
                <w:color w:val="auto"/>
                <w:w w:val="93"/>
              </w:rPr>
              <w:t>Combined Summarized Balance Sheet Information of</w:t>
            </w:r>
          </w:p>
        </w:tc>
        <w:tc>
          <w:tcPr>
            <w:tcW w:w="0" w:type="dxa"/>
            <w:vAlign w:val="bottom"/>
          </w:tcPr>
          <w:p>
            <w:pPr>
              <w:spacing w:after="0"/>
              <w:rPr>
                <w:sz w:val="1"/>
                <w:szCs w:val="1"/>
                <w:color w:val="auto"/>
              </w:rPr>
            </w:pPr>
          </w:p>
        </w:tc>
      </w:tr>
      <w:tr>
        <w:trPr>
          <w:trHeight w:val="176"/>
        </w:trPr>
        <w:tc>
          <w:tcPr>
            <w:tcW w:w="7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5"/>
              </w:rPr>
              <w:t>Viatris Inc., Mylan Inc., Utah Acquisition Sub Inc. and</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left="918"/>
              <w:spacing w:after="0"/>
              <w:rPr>
                <w:sz w:val="20"/>
                <w:szCs w:val="20"/>
                <w:color w:val="auto"/>
              </w:rPr>
            </w:pPr>
            <w:r>
              <w:rPr>
                <w:rFonts w:ascii="Arial" w:cs="Arial" w:eastAsia="Arial" w:hAnsi="Arial"/>
                <w:sz w:val="14"/>
                <w:szCs w:val="14"/>
                <w:b w:val="1"/>
                <w:bCs w:val="1"/>
                <w:color w:val="auto"/>
              </w:rPr>
              <w:t>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tcPr>
          <w:p>
            <w:pPr>
              <w:ind w:left="260"/>
              <w:spacing w:after="0"/>
              <w:rPr>
                <w:sz w:val="20"/>
                <w:szCs w:val="20"/>
                <w:color w:val="auto"/>
              </w:rPr>
            </w:pPr>
            <w:r>
              <w:rPr>
                <w:rFonts w:ascii="Arial" w:cs="Arial" w:eastAsia="Arial" w:hAnsi="Arial"/>
                <w:sz w:val="14"/>
                <w:szCs w:val="14"/>
                <w:b w:val="1"/>
                <w:bCs w:val="1"/>
                <w:color w:val="auto"/>
              </w:rPr>
              <w:t>March 31, 2023</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61,641.8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61,972.6</w:t>
            </w:r>
          </w:p>
        </w:tc>
        <w:tc>
          <w:tcPr>
            <w:tcW w:w="0" w:type="dxa"/>
            <w:vAlign w:val="bottom"/>
          </w:tcPr>
          <w:p>
            <w:pPr>
              <w:spacing w:after="0"/>
              <w:rPr>
                <w:sz w:val="1"/>
                <w:szCs w:val="1"/>
                <w:color w:val="auto"/>
              </w:rPr>
            </w:pPr>
          </w:p>
        </w:tc>
      </w:tr>
      <w:tr>
        <w:trPr>
          <w:trHeight w:val="270"/>
        </w:trPr>
        <w:tc>
          <w:tcPr>
            <w:tcW w:w="7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26,631.5</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15,259.4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15,265.2</w:t>
            </w:r>
          </w:p>
        </w:tc>
        <w:tc>
          <w:tcPr>
            <w:tcW w:w="0" w:type="dxa"/>
            <w:vAlign w:val="bottom"/>
          </w:tcPr>
          <w:p>
            <w:pPr>
              <w:spacing w:after="0"/>
              <w:rPr>
                <w:sz w:val="1"/>
                <w:szCs w:val="1"/>
                <w:color w:val="auto"/>
              </w:rPr>
            </w:pPr>
          </w:p>
        </w:tc>
      </w:tr>
      <w:tr>
        <w:trPr>
          <w:trHeight w:val="287"/>
        </w:trPr>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Combined Summarized Income Statement Information</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52"/>
              <w:spacing w:after="0"/>
              <w:rPr>
                <w:sz w:val="20"/>
                <w:szCs w:val="20"/>
                <w:color w:val="auto"/>
              </w:rPr>
            </w:pPr>
            <w:r>
              <w:rPr>
                <w:rFonts w:ascii="Arial" w:cs="Arial" w:eastAsia="Arial" w:hAnsi="Arial"/>
                <w:sz w:val="14"/>
                <w:szCs w:val="14"/>
                <w:b w:val="1"/>
                <w:bCs w:val="1"/>
                <w:color w:val="auto"/>
                <w:w w:val="95"/>
              </w:rPr>
              <w:t>of Viatris Inc., Mylan Inc., Utah Acquisition Sub Inc.</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left="898"/>
              <w:spacing w:after="0"/>
              <w:rPr>
                <w:sz w:val="20"/>
                <w:szCs w:val="20"/>
                <w:color w:val="auto"/>
              </w:rPr>
            </w:pPr>
            <w:r>
              <w:rPr>
                <w:rFonts w:ascii="Arial" w:cs="Arial" w:eastAsia="Arial" w:hAnsi="Arial"/>
                <w:sz w:val="14"/>
                <w:szCs w:val="14"/>
                <w:b w:val="1"/>
                <w:bCs w:val="1"/>
                <w:color w:val="auto"/>
                <w:w w:val="98"/>
              </w:rPr>
              <w:t>and 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4"/>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Three Months Ended</w:t>
            </w:r>
          </w:p>
        </w:tc>
        <w:tc>
          <w:tcPr>
            <w:tcW w:w="1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March 31, 2023</w:t>
            </w:r>
          </w:p>
        </w:tc>
        <w:tc>
          <w:tcPr>
            <w:tcW w:w="580" w:type="dxa"/>
            <w:vAlign w:val="bottom"/>
          </w:tcPr>
          <w:p>
            <w:pPr>
              <w:spacing w:after="0"/>
              <w:rPr>
                <w:sz w:val="17"/>
                <w:szCs w:val="17"/>
                <w:color w:val="auto"/>
              </w:rPr>
            </w:pPr>
          </w:p>
        </w:tc>
        <w:tc>
          <w:tcPr>
            <w:tcW w:w="1120" w:type="dxa"/>
            <w:vAlign w:val="bottom"/>
          </w:tcPr>
          <w:p>
            <w:pPr>
              <w:jc w:val="center"/>
              <w:ind w:right="51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(1,132.4)</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$200.9 million accrued for legal contingencies at March 31, 2023.</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conjunction with the Combination, Viatris entered into a TSA with Pfizer pursuant to which each party will provide certain limited transition services to the other party generally for an initial period of 24 months from the closing date of the Combination. In addition to the monthly service fees under the TSA, Viatris agreed to reimburse Pfizer for fifty percent of the costs, up to the first $380 million incurred, to establish and wind down the TSA services. Viatris will be required to fully reimburse Pfizer for total costs in excess of $380 million. The Company incurred approximately $3.7 million related to this provision of the TSA during the three months ended March 31, 2023 and approximately $141.7 million during the period beginning on the closing date of the Combination and ended March 31, 2023. We expect to incur future costs related to the completion of the services. As of December 31, 2022, the Company has exited substantially all transition services with Pfizer.</w:t>
      </w:r>
    </w:p>
    <w:p>
      <w:pPr>
        <w:spacing w:after="0" w:line="177"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In conjunction with the Biocon Biologics Transaction, 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right="540" w:firstLine="648"/>
        <w:spacing w:after="0" w:line="277" w:lineRule="auto"/>
        <w:rPr>
          <w:sz w:val="20"/>
          <w:szCs w:val="20"/>
          <w:color w:val="auto"/>
        </w:rPr>
      </w:pPr>
      <w:r>
        <w:rPr>
          <w:rFonts w:ascii="Arial" w:cs="Arial" w:eastAsia="Arial" w:hAnsi="Arial"/>
          <w:sz w:val="18"/>
          <w:szCs w:val="18"/>
          <w:color w:val="auto"/>
        </w:rPr>
        <w:t>For a discussion of the Company’s market risk, see “Item 7A. Quantitative and Qualitative Disclosures about Market Risk” in Viatris’ 2022 Form 10-K.</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March 31, 2023.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Management has not identified any changes in the Company’s internal control over financial reporting (“ICFR”) that occurred during the first quarter of 2023 that have materially affected, or are reasonably likely to materially affect, the Company’s ICFR.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information regarding legal proceedings, refer to Note 18 </w:t>
      </w:r>
      <w:r>
        <w:rPr>
          <w:rFonts w:ascii="Arial" w:cs="Arial" w:eastAsia="Arial" w:hAnsi="Arial"/>
          <w:sz w:val="16"/>
          <w:szCs w:val="16"/>
          <w:i w:val="1"/>
          <w:iCs w:val="1"/>
          <w:color w:val="auto"/>
        </w:rPr>
        <w:t>Litigation</w:t>
      </w:r>
      <w:r>
        <w:rPr>
          <w:rFonts w:ascii="Arial" w:cs="Arial" w:eastAsia="Arial" w:hAnsi="Arial"/>
          <w:sz w:val="16"/>
          <w:szCs w:val="16"/>
          <w:color w:val="auto"/>
        </w:rPr>
        <w:t>, in the accompanying Notes to interim financial statements in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Company’s risk factors from those disclosed in Viatris’ 2022 Form 10-K.</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jc w:val="center"/>
        <w:ind w:left="640"/>
        <w:spacing w:after="0"/>
        <w:rPr>
          <w:sz w:val="20"/>
          <w:szCs w:val="20"/>
          <w:color w:val="auto"/>
        </w:rPr>
      </w:pPr>
      <w:r>
        <w:rPr>
          <w:rFonts w:ascii="Arial" w:cs="Arial" w:eastAsia="Arial" w:hAnsi="Arial"/>
          <w:sz w:val="18"/>
          <w:szCs w:val="18"/>
          <w:u w:val="single" w:color="auto"/>
          <w:color w:val="auto"/>
        </w:rPr>
        <w:t>Viatris Inc.</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u w:val="single" w:color="auto"/>
          <w:color w:val="auto"/>
        </w:rPr>
        <w:t>Issuer purchases of equity securities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440" w:type="dxa"/>
            <w:vAlign w:val="bottom"/>
          </w:tcPr>
          <w:p>
            <w:pPr>
              <w:jc w:val="center"/>
              <w:ind w:left="628"/>
              <w:spacing w:after="0"/>
              <w:rPr>
                <w:sz w:val="20"/>
                <w:szCs w:val="20"/>
                <w:color w:val="auto"/>
              </w:rPr>
            </w:pPr>
            <w:r>
              <w:rPr>
                <w:rFonts w:ascii="Arial" w:cs="Arial" w:eastAsia="Arial" w:hAnsi="Arial"/>
                <w:sz w:val="14"/>
                <w:szCs w:val="14"/>
                <w:b w:val="1"/>
                <w:bCs w:val="1"/>
                <w:color w:val="auto"/>
                <w:w w:val="92"/>
              </w:rPr>
              <w:t>Total Number of Shares</w:t>
            </w:r>
          </w:p>
        </w:tc>
        <w:tc>
          <w:tcPr>
            <w:tcW w:w="156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Average Price Paid per</w:t>
            </w:r>
          </w:p>
        </w:tc>
        <w:tc>
          <w:tcPr>
            <w:tcW w:w="0" w:type="dxa"/>
            <w:vAlign w:val="bottom"/>
          </w:tcPr>
          <w:p>
            <w:pPr>
              <w:spacing w:after="0"/>
              <w:rPr>
                <w:sz w:val="1"/>
                <w:szCs w:val="1"/>
                <w:color w:val="auto"/>
              </w:rPr>
            </w:pPr>
          </w:p>
        </w:tc>
      </w:tr>
      <w:tr>
        <w:trPr>
          <w:trHeight w:val="201"/>
        </w:trPr>
        <w:tc>
          <w:tcPr>
            <w:tcW w:w="1240" w:type="dxa"/>
            <w:vAlign w:val="bottom"/>
            <w:vMerge w:val="continue"/>
          </w:tcPr>
          <w:p>
            <w:pPr>
              <w:spacing w:after="0"/>
              <w:rPr>
                <w:sz w:val="17"/>
                <w:szCs w:val="17"/>
                <w:color w:val="auto"/>
              </w:rPr>
            </w:pPr>
          </w:p>
        </w:tc>
        <w:tc>
          <w:tcPr>
            <w:tcW w:w="2440" w:type="dxa"/>
            <w:vAlign w:val="bottom"/>
          </w:tcPr>
          <w:p>
            <w:pPr>
              <w:jc w:val="center"/>
              <w:ind w:left="628"/>
              <w:spacing w:after="0" w:line="201" w:lineRule="exact"/>
              <w:rPr>
                <w:sz w:val="20"/>
                <w:szCs w:val="20"/>
                <w:color w:val="auto"/>
              </w:rPr>
            </w:pPr>
            <w:r>
              <w:rPr>
                <w:rFonts w:ascii="Arial" w:cs="Arial" w:eastAsia="Arial" w:hAnsi="Arial"/>
                <w:sz w:val="14"/>
                <w:szCs w:val="14"/>
                <w:b w:val="1"/>
                <w:bCs w:val="1"/>
                <w:color w:val="auto"/>
                <w:w w:val="82"/>
              </w:rPr>
              <w:t xml:space="preserve">Purchased </w:t>
            </w:r>
            <w:r>
              <w:rPr>
                <w:rFonts w:ascii="Arial" w:cs="Arial" w:eastAsia="Arial" w:hAnsi="Arial"/>
                <w:sz w:val="18"/>
                <w:szCs w:val="18"/>
                <w:b w:val="1"/>
                <w:bCs w:val="1"/>
                <w:color w:val="auto"/>
                <w:w w:val="82"/>
                <w:vertAlign w:val="superscript"/>
              </w:rPr>
              <w:t>(a) (b)</w:t>
            </w:r>
          </w:p>
        </w:tc>
        <w:tc>
          <w:tcPr>
            <w:tcW w:w="1560" w:type="dxa"/>
            <w:vAlign w:val="bottom"/>
          </w:tcPr>
          <w:p>
            <w:pPr>
              <w:jc w:val="center"/>
              <w:ind w:left="68"/>
              <w:spacing w:after="0" w:line="201" w:lineRule="exact"/>
              <w:rPr>
                <w:sz w:val="20"/>
                <w:szCs w:val="20"/>
                <w:color w:val="auto"/>
              </w:rPr>
            </w:pPr>
            <w:r>
              <w:rPr>
                <w:rFonts w:ascii="Arial" w:cs="Arial" w:eastAsia="Arial" w:hAnsi="Arial"/>
                <w:sz w:val="14"/>
                <w:szCs w:val="14"/>
                <w:b w:val="1"/>
                <w:bCs w:val="1"/>
                <w:color w:val="auto"/>
                <w:w w:val="86"/>
              </w:rPr>
              <w:t xml:space="preserve">Share </w:t>
            </w:r>
            <w:r>
              <w:rPr>
                <w:rFonts w:ascii="Arial" w:cs="Arial" w:eastAsia="Arial" w:hAnsi="Arial"/>
                <w:sz w:val="18"/>
                <w:szCs w:val="18"/>
                <w:b w:val="1"/>
                <w:bCs w:val="1"/>
                <w:color w:val="auto"/>
                <w:w w:val="86"/>
                <w:vertAlign w:val="superscript"/>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Total Number of Shares</w:t>
      </w:r>
    </w:p>
    <w:p>
      <w:pPr>
        <w:spacing w:after="0" w:line="4" w:lineRule="exact"/>
        <w:rPr>
          <w:sz w:val="20"/>
          <w:szCs w:val="20"/>
          <w:color w:val="auto"/>
        </w:rPr>
      </w:pPr>
    </w:p>
    <w:p>
      <w:pPr>
        <w:ind w:firstLine="38"/>
        <w:spacing w:after="0" w:line="203" w:lineRule="auto"/>
        <w:rPr>
          <w:sz w:val="20"/>
          <w:szCs w:val="20"/>
          <w:color w:val="auto"/>
        </w:rPr>
      </w:pPr>
      <w:r>
        <w:rPr>
          <w:rFonts w:ascii="Arial" w:cs="Arial" w:eastAsia="Arial" w:hAnsi="Arial"/>
          <w:sz w:val="12"/>
          <w:szCs w:val="12"/>
          <w:b w:val="1"/>
          <w:bCs w:val="1"/>
          <w:color w:val="auto"/>
        </w:rPr>
        <w:t>Purchased as Part of Publicly Announced Plans or Programs</w:t>
      </w:r>
    </w:p>
    <w:p>
      <w:pPr>
        <w:jc w:val="center"/>
        <w:spacing w:after="0"/>
        <w:rPr>
          <w:sz w:val="20"/>
          <w:szCs w:val="20"/>
          <w:color w:val="auto"/>
        </w:rPr>
      </w:pPr>
      <w:r>
        <w:rPr>
          <w:rFonts w:ascii="Arial" w:cs="Arial" w:eastAsia="Arial" w:hAnsi="Arial"/>
          <w:sz w:val="9"/>
          <w:szCs w:val="9"/>
          <w:b w:val="1"/>
          <w:bCs w:val="1"/>
          <w:color w:val="auto"/>
        </w:rPr>
        <w:t>(a) (b)</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Approximate Dollar Value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Shares that May Yet Be Purchased</w:t>
      </w:r>
    </w:p>
    <w:p>
      <w:pPr>
        <w:ind w:left="160"/>
        <w:spacing w:after="0"/>
        <w:rPr>
          <w:sz w:val="20"/>
          <w:szCs w:val="20"/>
          <w:color w:val="auto"/>
        </w:rPr>
      </w:pPr>
      <w:r>
        <w:rPr>
          <w:rFonts w:ascii="Arial" w:cs="Arial" w:eastAsia="Arial" w:hAnsi="Arial"/>
          <w:sz w:val="14"/>
          <w:szCs w:val="14"/>
          <w:b w:val="1"/>
          <w:bCs w:val="1"/>
          <w:color w:val="auto"/>
        </w:rPr>
        <w:t>Under the Plans or Programs</w:t>
      </w:r>
    </w:p>
    <w:p>
      <w:pPr>
        <w:spacing w:after="0" w:line="35" w:lineRule="exact"/>
        <w:rPr>
          <w:sz w:val="20"/>
          <w:szCs w:val="20"/>
          <w:color w:val="auto"/>
        </w:rPr>
      </w:pPr>
    </w:p>
    <w:p>
      <w:pPr>
        <w:sectPr>
          <w:pgSz w:w="11900" w:h="16838" w:orient="portrait"/>
          <w:cols w:equalWidth="0" w:num="3">
            <w:col w:w="6740" w:space="240"/>
            <w:col w:w="1880" w:space="200"/>
            <w:col w:w="21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January 31, 2023</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9,509,707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9,509,707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888,085,194</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February 1 - February 28, 2023</w:t>
            </w:r>
          </w:p>
        </w:tc>
        <w:tc>
          <w:tcPr>
            <w:tcW w:w="1620" w:type="dxa"/>
            <w:vAlign w:val="bottom"/>
          </w:tcPr>
          <w:p>
            <w:pPr>
              <w:jc w:val="right"/>
              <w:spacing w:after="0"/>
              <w:rPr>
                <w:sz w:val="20"/>
                <w:szCs w:val="20"/>
                <w:color w:val="auto"/>
              </w:rPr>
            </w:pPr>
            <w:r>
              <w:rPr>
                <w:rFonts w:ascii="Arial" w:cs="Arial" w:eastAsia="Arial" w:hAnsi="Arial"/>
                <w:sz w:val="18"/>
                <w:szCs w:val="18"/>
                <w:color w:val="auto"/>
              </w:rPr>
              <w:t>11,729,814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11,729,814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750,013,515</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 March 31, 2023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Pr>
          <w:p>
            <w:pPr>
              <w:ind w:left="4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21,239,521</w:t>
            </w: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21,239,521</w:t>
            </w: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750,013,515</w:t>
            </w:r>
          </w:p>
        </w:tc>
      </w:tr>
      <w:tr>
        <w:trPr>
          <w:trHeight w:val="21"/>
        </w:trPr>
        <w:tc>
          <w:tcPr>
            <w:tcW w:w="35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660" w:right="80" w:hanging="328"/>
        <w:spacing w:after="0" w:line="225" w:lineRule="auto"/>
        <w:tabs>
          <w:tab w:leader="none" w:pos="655"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 xml:space="preserve">Refer to Part I, Item 2.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 Operations – 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w:t>
      </w:r>
      <w:r>
        <w:rPr>
          <w:rFonts w:ascii="Arial" w:cs="Arial" w:eastAsia="Arial" w:hAnsi="Arial"/>
          <w:sz w:val="18"/>
          <w:szCs w:val="18"/>
          <w:color w:val="auto"/>
        </w:rPr>
        <w:t>” of this Form 10-Q for additional information regarding the Company’s authorized share repurchase program.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2023, the Company repurchased approximately 21.2 million shares of common stock at a cost of approximately $250 million under this program.</w:t>
      </w:r>
    </w:p>
    <w:p>
      <w:pPr>
        <w:spacing w:after="0" w:line="8"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The number of shares purchased is based on the purchase date and not the settlement date.</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Average price per share includes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r:id="rId8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840" w:type="dxa"/>
            <w:vAlign w:val="bottom"/>
          </w:tcPr>
          <w:p>
            <w:pPr>
              <w:ind w:left="780"/>
              <w:spacing w:after="0"/>
              <w:rPr>
                <w:sz w:val="20"/>
                <w:szCs w:val="20"/>
                <w:color w:val="auto"/>
              </w:rPr>
            </w:pPr>
            <w:r>
              <w:rPr>
                <w:rFonts w:ascii="Arial" w:cs="Arial" w:eastAsia="Arial" w:hAnsi="Arial"/>
                <w:sz w:val="18"/>
                <w:szCs w:val="18"/>
                <w:color w:val="auto"/>
                <w:w w:val="95"/>
              </w:rPr>
              <w:t>Offer Letter with Scott A. Smith, dated February 24, 2023, filed as Exhibit 10.1 to the Report on Form 8-K filed by Viatris Inc. with the</w:t>
            </w:r>
          </w:p>
        </w:tc>
      </w:tr>
      <w:tr>
        <w:trPr>
          <w:trHeight w:val="223"/>
        </w:trPr>
        <w:tc>
          <w:tcPr>
            <w:tcW w:w="320" w:type="dxa"/>
            <w:vAlign w:val="bottom"/>
          </w:tcPr>
          <w:p>
            <w:pPr>
              <w:spacing w:after="0"/>
              <w:rPr>
                <w:sz w:val="19"/>
                <w:szCs w:val="19"/>
                <w:color w:val="auto"/>
              </w:rPr>
            </w:pPr>
          </w:p>
        </w:tc>
        <w:tc>
          <w:tcPr>
            <w:tcW w:w="10840" w:type="dxa"/>
            <w:vAlign w:val="bottom"/>
          </w:tcPr>
          <w:p>
            <w:pPr>
              <w:ind w:left="780"/>
              <w:spacing w:after="0"/>
              <w:rPr>
                <w:sz w:val="20"/>
                <w:szCs w:val="20"/>
                <w:color w:val="auto"/>
              </w:rPr>
            </w:pPr>
            <w:r>
              <w:rPr>
                <w:rFonts w:ascii="Arial" w:cs="Arial" w:eastAsia="Arial" w:hAnsi="Arial"/>
                <w:sz w:val="18"/>
                <w:szCs w:val="18"/>
                <w:color w:val="auto"/>
              </w:rPr>
              <w:t>SEC on February 27, 2023, and incorporated herein by reference.*</w:t>
            </w:r>
          </w:p>
        </w:tc>
      </w:tr>
      <w:tr>
        <w:trPr>
          <w:trHeight w:val="418"/>
        </w:trPr>
        <w:tc>
          <w:tcPr>
            <w:tcW w:w="320" w:type="dxa"/>
            <w:vAlign w:val="bottom"/>
          </w:tcPr>
          <w:p>
            <w:pPr>
              <w:spacing w:after="0"/>
              <w:rPr>
                <w:sz w:val="24"/>
                <w:szCs w:val="24"/>
                <w:color w:val="auto"/>
              </w:rPr>
            </w:pPr>
          </w:p>
        </w:tc>
        <w:tc>
          <w:tcPr>
            <w:tcW w:w="10840" w:type="dxa"/>
            <w:vAlign w:val="bottom"/>
          </w:tcPr>
          <w:p>
            <w:pPr>
              <w:ind w:left="780"/>
              <w:spacing w:after="0"/>
              <w:rPr>
                <w:sz w:val="20"/>
                <w:szCs w:val="20"/>
                <w:color w:val="auto"/>
              </w:rPr>
            </w:pPr>
            <w:r>
              <w:rPr>
                <w:rFonts w:ascii="Arial" w:cs="Arial" w:eastAsia="Arial" w:hAnsi="Arial"/>
                <w:sz w:val="18"/>
                <w:szCs w:val="18"/>
                <w:color w:val="auto"/>
                <w:w w:val="91"/>
              </w:rPr>
              <w:t>Separation Agreement with Michael Goettler, dated February 24, 2023, filed as Exhibit 10.2 to the Report on Form 8-K filed by Viatris Inc.</w:t>
            </w:r>
          </w:p>
        </w:tc>
      </w:tr>
      <w:tr>
        <w:trPr>
          <w:trHeight w:val="203"/>
        </w:trPr>
        <w:tc>
          <w:tcPr>
            <w:tcW w:w="320" w:type="dxa"/>
            <w:vAlign w:val="bottom"/>
            <w:tcBorders>
              <w:bottom w:val="single" w:sz="8" w:color="0000FF"/>
            </w:tcBorders>
          </w:tcPr>
          <w:p>
            <w:pPr>
              <w:jc w:val="right"/>
              <w:spacing w:after="0" w:line="202" w:lineRule="exact"/>
              <w:rPr>
                <w:rFonts w:ascii="Arial" w:cs="Arial" w:eastAsia="Arial" w:hAnsi="Arial"/>
                <w:sz w:val="18"/>
                <w:szCs w:val="18"/>
                <w:color w:val="0000FF"/>
                <w:w w:val="85"/>
              </w:rPr>
            </w:pPr>
            <w:hyperlink r:id="rId9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0840" w:type="dxa"/>
            <w:vAlign w:val="bottom"/>
          </w:tcPr>
          <w:p>
            <w:pPr>
              <w:ind w:left="780"/>
              <w:spacing w:after="0" w:line="202" w:lineRule="exact"/>
              <w:rPr>
                <w:sz w:val="20"/>
                <w:szCs w:val="20"/>
                <w:color w:val="auto"/>
              </w:rPr>
            </w:pPr>
            <w:r>
              <w:rPr>
                <w:rFonts w:ascii="Arial" w:cs="Arial" w:eastAsia="Arial" w:hAnsi="Arial"/>
                <w:sz w:val="18"/>
                <w:szCs w:val="18"/>
                <w:color w:val="auto"/>
              </w:rPr>
              <w:t>with the SEC on February 27, 2023, and incorporated herein by reference.*</w:t>
            </w:r>
          </w:p>
        </w:tc>
      </w:tr>
      <w:tr>
        <w:trPr>
          <w:trHeight w:val="412"/>
        </w:trPr>
        <w:tc>
          <w:tcPr>
            <w:tcW w:w="320" w:type="dxa"/>
            <w:vAlign w:val="bottom"/>
          </w:tcPr>
          <w:p>
            <w:pPr>
              <w:spacing w:after="0"/>
              <w:rPr>
                <w:sz w:val="24"/>
                <w:szCs w:val="24"/>
                <w:color w:val="auto"/>
              </w:rPr>
            </w:pPr>
          </w:p>
        </w:tc>
        <w:tc>
          <w:tcPr>
            <w:tcW w:w="10840" w:type="dxa"/>
            <w:vAlign w:val="bottom"/>
          </w:tcPr>
          <w:p>
            <w:pPr>
              <w:ind w:left="780"/>
              <w:spacing w:after="0"/>
              <w:rPr>
                <w:sz w:val="20"/>
                <w:szCs w:val="20"/>
                <w:color w:val="auto"/>
              </w:rPr>
            </w:pPr>
            <w:r>
              <w:rPr>
                <w:rFonts w:ascii="Arial" w:cs="Arial" w:eastAsia="Arial" w:hAnsi="Arial"/>
                <w:sz w:val="18"/>
                <w:szCs w:val="18"/>
                <w:color w:val="auto"/>
                <w:w w:val="92"/>
              </w:rPr>
              <w:t>Form of Performance-Based Restricted Stock Unit Award Agreement under the Viatris Inc. 2020 Stock Incentive Plan for awards granted</w:t>
            </w:r>
          </w:p>
        </w:tc>
      </w:tr>
      <w:tr>
        <w:trPr>
          <w:trHeight w:val="203"/>
        </w:trPr>
        <w:tc>
          <w:tcPr>
            <w:tcW w:w="320" w:type="dxa"/>
            <w:vAlign w:val="bottom"/>
            <w:tcBorders>
              <w:bottom w:val="single" w:sz="8" w:color="0000FF"/>
            </w:tcBorders>
          </w:tcPr>
          <w:p>
            <w:pPr>
              <w:jc w:val="right"/>
              <w:spacing w:after="0" w:line="202" w:lineRule="exact"/>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p>
        </w:tc>
        <w:tc>
          <w:tcPr>
            <w:tcW w:w="10840" w:type="dxa"/>
            <w:vAlign w:val="bottom"/>
          </w:tcPr>
          <w:p>
            <w:pPr>
              <w:ind w:left="780"/>
              <w:spacing w:after="0" w:line="202" w:lineRule="exact"/>
              <w:rPr>
                <w:sz w:val="20"/>
                <w:szCs w:val="20"/>
                <w:color w:val="auto"/>
              </w:rPr>
            </w:pPr>
            <w:r>
              <w:rPr>
                <w:rFonts w:ascii="Arial" w:cs="Arial" w:eastAsia="Arial" w:hAnsi="Arial"/>
                <w:sz w:val="18"/>
                <w:szCs w:val="18"/>
                <w:color w:val="auto"/>
              </w:rPr>
              <w:t>on or after March 3, 2023.*</w:t>
            </w:r>
          </w:p>
        </w:tc>
      </w:tr>
      <w:tr>
        <w:trPr>
          <w:trHeight w:val="412"/>
        </w:trPr>
        <w:tc>
          <w:tcPr>
            <w:tcW w:w="320" w:type="dxa"/>
            <w:vAlign w:val="bottom"/>
          </w:tcPr>
          <w:p>
            <w:pPr>
              <w:spacing w:after="0"/>
              <w:rPr>
                <w:sz w:val="24"/>
                <w:szCs w:val="24"/>
                <w:color w:val="auto"/>
              </w:rPr>
            </w:pPr>
          </w:p>
        </w:tc>
        <w:tc>
          <w:tcPr>
            <w:tcW w:w="10840" w:type="dxa"/>
            <w:vAlign w:val="bottom"/>
          </w:tcPr>
          <w:p>
            <w:pPr>
              <w:ind w:left="780"/>
              <w:spacing w:after="0"/>
              <w:rPr>
                <w:sz w:val="20"/>
                <w:szCs w:val="20"/>
                <w:color w:val="auto"/>
              </w:rPr>
            </w:pPr>
            <w:r>
              <w:rPr>
                <w:rFonts w:ascii="Arial" w:cs="Arial" w:eastAsia="Arial" w:hAnsi="Arial"/>
                <w:sz w:val="18"/>
                <w:szCs w:val="18"/>
                <w:color w:val="auto"/>
                <w:w w:val="92"/>
              </w:rPr>
              <w:t>LIBOR Transition Amendment, dated as of April 28, 2023, to the Amended and Restated Revolving Credit Agreement, dated as of July 1,</w:t>
            </w:r>
          </w:p>
        </w:tc>
      </w:tr>
      <w:tr>
        <w:trPr>
          <w:trHeight w:val="188"/>
        </w:trPr>
        <w:tc>
          <w:tcPr>
            <w:tcW w:w="320" w:type="dxa"/>
            <w:vAlign w:val="bottom"/>
          </w:tcPr>
          <w:p>
            <w:pPr>
              <w:spacing w:after="0"/>
              <w:rPr>
                <w:sz w:val="16"/>
                <w:szCs w:val="16"/>
                <w:color w:val="auto"/>
              </w:rPr>
            </w:pPr>
          </w:p>
        </w:tc>
        <w:tc>
          <w:tcPr>
            <w:tcW w:w="10840" w:type="dxa"/>
            <w:vAlign w:val="bottom"/>
          </w:tcPr>
          <w:p>
            <w:pPr>
              <w:ind w:left="780"/>
              <w:spacing w:after="0" w:line="189" w:lineRule="exact"/>
              <w:rPr>
                <w:sz w:val="20"/>
                <w:szCs w:val="20"/>
                <w:color w:val="auto"/>
              </w:rPr>
            </w:pPr>
            <w:r>
              <w:rPr>
                <w:rFonts w:ascii="Arial" w:cs="Arial" w:eastAsia="Arial" w:hAnsi="Arial"/>
                <w:sz w:val="18"/>
                <w:szCs w:val="18"/>
                <w:color w:val="auto"/>
                <w:w w:val="90"/>
              </w:rPr>
              <w:t>2021, among Viatris, the guarantors from time to time party thereto, the lenders and issuing banks from time to time party thereto and Bank</w:t>
            </w:r>
          </w:p>
        </w:tc>
      </w:tr>
      <w:tr>
        <w:trPr>
          <w:trHeight w:val="190"/>
        </w:trPr>
        <w:tc>
          <w:tcPr>
            <w:tcW w:w="32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p>
        </w:tc>
        <w:tc>
          <w:tcPr>
            <w:tcW w:w="10840" w:type="dxa"/>
            <w:vAlign w:val="bottom"/>
          </w:tcPr>
          <w:p>
            <w:pPr>
              <w:ind w:left="780"/>
              <w:spacing w:after="0" w:line="190" w:lineRule="exact"/>
              <w:rPr>
                <w:sz w:val="20"/>
                <w:szCs w:val="20"/>
                <w:color w:val="auto"/>
              </w:rPr>
            </w:pPr>
            <w:r>
              <w:rPr>
                <w:rFonts w:ascii="Arial" w:cs="Arial" w:eastAsia="Arial" w:hAnsi="Arial"/>
                <w:sz w:val="18"/>
                <w:szCs w:val="18"/>
                <w:color w:val="auto"/>
              </w:rPr>
              <w:t>of America, N.A., as administrative agent.^</w:t>
            </w:r>
          </w:p>
        </w:tc>
      </w:tr>
    </w:tbl>
    <w:p>
      <w:pPr>
        <w:spacing w:after="0" w:line="242" w:lineRule="exact"/>
        <w:rPr>
          <w:sz w:val="20"/>
          <w:szCs w:val="20"/>
          <w:color w:val="auto"/>
        </w:rPr>
      </w:pPr>
    </w:p>
    <w:p>
      <w:pPr>
        <w:ind w:left="1120" w:hanging="1094"/>
        <w:spacing w:after="0"/>
        <w:tabs>
          <w:tab w:leader="none" w:pos="1120" w:val="left"/>
        </w:tabs>
        <w:numPr>
          <w:ilvl w:val="0"/>
          <w:numId w:val="47"/>
        </w:numPr>
        <w:rPr>
          <w:rFonts w:ascii="Arial" w:cs="Arial" w:eastAsia="Arial" w:hAnsi="Arial"/>
          <w:sz w:val="18"/>
          <w:szCs w:val="18"/>
          <w:u w:val="single" w:color="auto"/>
          <w:color w:val="0000FF"/>
        </w:rPr>
      </w:pPr>
      <w:r>
        <w:rPr>
          <w:rFonts w:ascii="Arial" w:cs="Arial" w:eastAsia="Arial" w:hAnsi="Arial"/>
          <w:sz w:val="18"/>
          <w:szCs w:val="18"/>
          <w:color w:val="auto"/>
        </w:rPr>
        <w:t>List of subsidiary guarantors and issuers of guaranteed securities.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426"/>
        </w:trPr>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242" w:lineRule="exact"/>
        <w:rPr>
          <w:sz w:val="20"/>
          <w:szCs w:val="20"/>
          <w:color w:val="auto"/>
        </w:rPr>
      </w:pPr>
    </w:p>
    <w:p>
      <w:pPr>
        <w:ind w:left="1120" w:hanging="1094"/>
        <w:spacing w:after="0"/>
        <w:tabs>
          <w:tab w:leader="none" w:pos="1120" w:val="left"/>
        </w:tabs>
        <w:numPr>
          <w:ilvl w:val="0"/>
          <w:numId w:val="48"/>
        </w:numPr>
        <w:rPr>
          <w:rFonts w:ascii="Arial" w:cs="Arial" w:eastAsia="Arial" w:hAnsi="Arial"/>
          <w:sz w:val="17"/>
          <w:szCs w:val="17"/>
          <w:u w:val="single" w:color="auto"/>
          <w:color w:val="0000FF"/>
        </w:rPr>
      </w:pPr>
      <w:r>
        <w:rPr>
          <w:rFonts w:ascii="Arial" w:cs="Arial" w:eastAsia="Arial" w:hAnsi="Arial"/>
          <w:sz w:val="17"/>
          <w:szCs w:val="17"/>
          <w:color w:val="auto"/>
        </w:rPr>
        <w:t>Certification of Principal Executive Officer and Principal Financial Officer pursuant to Section 906 of the Sarbanes-Oxley Act of 2002.</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Schema</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360" w:type="dxa"/>
            <w:vAlign w:val="bottom"/>
          </w:tcPr>
          <w:p>
            <w:pPr>
              <w:ind w:left="2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Definition Linkbase</w:t>
            </w: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360" w:type="dxa"/>
            <w:vAlign w:val="bottom"/>
          </w:tcPr>
          <w:p>
            <w:pPr>
              <w:ind w:left="200"/>
              <w:spacing w:after="0"/>
              <w:rPr>
                <w:sz w:val="20"/>
                <w:szCs w:val="20"/>
                <w:color w:val="auto"/>
              </w:rPr>
            </w:pPr>
            <w:r>
              <w:rPr>
                <w:rFonts w:ascii="Arial" w:cs="Arial" w:eastAsia="Arial" w:hAnsi="Arial"/>
                <w:sz w:val="18"/>
                <w:szCs w:val="18"/>
                <w:color w:val="auto"/>
                <w:w w:val="91"/>
              </w:rPr>
              <w:t>Inline XBRL Taxonomy Extension Presentation Linkbase</w:t>
            </w:r>
          </w:p>
        </w:tc>
      </w:tr>
    </w:tbl>
    <w:p>
      <w:pPr>
        <w:spacing w:after="0" w:line="269" w:lineRule="exact"/>
        <w:rPr>
          <w:sz w:val="20"/>
          <w:szCs w:val="20"/>
          <w:color w:val="auto"/>
        </w:rPr>
      </w:pPr>
    </w:p>
    <w:p>
      <w:pPr>
        <w:ind w:left="1120" w:hanging="1094"/>
        <w:spacing w:after="0" w:line="235"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83" w:lineRule="exact"/>
        <w:rPr>
          <w:sz w:val="20"/>
          <w:szCs w:val="20"/>
          <w:color w:val="auto"/>
        </w:rPr>
      </w:pPr>
    </w:p>
    <w:p>
      <w:pPr>
        <w:ind w:left="1120" w:hanging="1094"/>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3" w:lineRule="exact"/>
        <w:rPr>
          <w:sz w:val="20"/>
          <w:szCs w:val="20"/>
          <w:color w:val="auto"/>
        </w:rPr>
      </w:pPr>
    </w:p>
    <w:p>
      <w:pPr>
        <w:ind w:left="1120" w:right="1080" w:hanging="1094"/>
        <w:spacing w:after="0" w:line="290" w:lineRule="auto"/>
        <w:tabs>
          <w:tab w:leader="none" w:pos="11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Annexes, schedules and/or exhibits have been omitted pursuant to Item 601(a)(5) of Regulation S-K. Viatris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Scott A. Smith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8, 2023</w:t>
      </w:r>
    </w:p>
    <w:p>
      <w:pPr>
        <w:spacing w:after="0" w:line="26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May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20"/>
          </w:cols>
          <w:pgMar w:left="320" w:top="118" w:right="85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VIATRIS INC.</w:t>
      </w:r>
    </w:p>
    <w:p>
      <w:pPr>
        <w:jc w:val="center"/>
        <w:ind w:right="60"/>
        <w:spacing w:after="0" w:line="204" w:lineRule="auto"/>
        <w:rPr>
          <w:sz w:val="20"/>
          <w:szCs w:val="20"/>
          <w:color w:val="auto"/>
        </w:rPr>
      </w:pPr>
      <w:r>
        <w:rPr>
          <w:rFonts w:ascii="Arial" w:cs="Arial" w:eastAsia="Arial" w:hAnsi="Arial"/>
          <w:sz w:val="22"/>
          <w:szCs w:val="22"/>
          <w:b w:val="1"/>
          <w:bCs w:val="1"/>
          <w:color w:val="auto"/>
        </w:rPr>
        <w:t>PERFORMANCE-BASED RESTRICTED STOCK UNIT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THIS PERFORMANCE-BASED RESTRICTED STOCK UNIT AWARD AGREEMENT </w:t>
      </w:r>
      <w:r>
        <w:rPr>
          <w:rFonts w:ascii="Arial" w:cs="Arial" w:eastAsia="Arial" w:hAnsi="Arial"/>
          <w:sz w:val="22"/>
          <w:szCs w:val="22"/>
          <w:color w:val="auto"/>
        </w:rPr>
        <w:t>(this</w:t>
      </w:r>
    </w:p>
    <w:p>
      <w:pPr>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[______] (the “</w:t>
      </w:r>
      <w:r>
        <w:rPr>
          <w:rFonts w:ascii="Arial" w:cs="Arial" w:eastAsia="Arial" w:hAnsi="Arial"/>
          <w:sz w:val="19"/>
          <w:szCs w:val="19"/>
          <w:u w:val="single" w:color="auto"/>
          <w:color w:val="auto"/>
        </w:rPr>
        <w:t>Date of Grant</w:t>
      </w:r>
      <w:r>
        <w:rPr>
          <w:rFonts w:ascii="Arial" w:cs="Arial" w:eastAsia="Arial" w:hAnsi="Arial"/>
          <w:sz w:val="19"/>
          <w:szCs w:val="19"/>
          <w:color w:val="auto"/>
        </w:rPr>
        <w:t>”), is made by and between Viatris Inc., a Delaware corporation (the</w:t>
      </w: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and [______]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5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Performance-Based Restricted Stock Units.</w:t>
      </w:r>
    </w:p>
    <w:p>
      <w:pPr>
        <w:spacing w:after="0" w:line="212" w:lineRule="exact"/>
        <w:rPr>
          <w:rFonts w:ascii="Arial" w:cs="Arial" w:eastAsia="Arial" w:hAnsi="Arial"/>
          <w:sz w:val="22"/>
          <w:szCs w:val="22"/>
          <w:b w:val="1"/>
          <w:bCs w:val="1"/>
          <w:color w:val="auto"/>
        </w:rPr>
      </w:pPr>
    </w:p>
    <w:p>
      <w:pPr>
        <w:ind w:right="80" w:firstLine="656"/>
        <w:spacing w:after="0" w:line="212" w:lineRule="auto"/>
        <w:tabs>
          <w:tab w:leader="none" w:pos="1293"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Participant a total of [______] target performance-based restricted stock units (“</w:t>
      </w:r>
      <w:r>
        <w:rPr>
          <w:rFonts w:ascii="Arial" w:cs="Arial" w:eastAsia="Arial" w:hAnsi="Arial"/>
          <w:sz w:val="22"/>
          <w:szCs w:val="22"/>
          <w:u w:val="single" w:color="auto"/>
          <w:color w:val="auto"/>
        </w:rPr>
        <w:t>PSUs</w:t>
      </w:r>
      <w:r>
        <w:rPr>
          <w:rFonts w:ascii="Arial" w:cs="Arial" w:eastAsia="Arial" w:hAnsi="Arial"/>
          <w:sz w:val="22"/>
          <w:szCs w:val="22"/>
          <w:color w:val="auto"/>
        </w:rPr>
        <w:t>”), on the terms and conditions set forth in this Agreement and as otherwise provided in the Viatris Inc. 2020 Stock Incentive Plan (as may be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The final number of PSUs actually awarded at the end of the Vesting Period (defined below), if any, shall be based on the attainment of specified levels of the performance measures set forth on Exhibit A. Each PSU represents the right to receive one share of the Company’s common stock, par value $0.01 per share (“</w:t>
      </w:r>
      <w:r>
        <w:rPr>
          <w:rFonts w:ascii="Arial" w:cs="Arial" w:eastAsia="Arial" w:hAnsi="Arial"/>
          <w:sz w:val="22"/>
          <w:szCs w:val="22"/>
          <w:u w:val="single" w:color="auto"/>
          <w:color w:val="auto"/>
        </w:rPr>
        <w:t>Share</w:t>
      </w:r>
      <w:r>
        <w:rPr>
          <w:rFonts w:ascii="Arial" w:cs="Arial" w:eastAsia="Arial" w:hAnsi="Arial"/>
          <w:sz w:val="22"/>
          <w:szCs w:val="22"/>
          <w:color w:val="auto"/>
        </w:rPr>
        <w:t>”). The PSUs shall be credited to a separate book-entry account maintained for the Participant on the books of the Company.</w:t>
      </w:r>
    </w:p>
    <w:p>
      <w:pPr>
        <w:spacing w:after="0" w:line="190" w:lineRule="exact"/>
        <w:rPr>
          <w:rFonts w:ascii="Arial" w:cs="Arial" w:eastAsia="Arial" w:hAnsi="Arial"/>
          <w:sz w:val="22"/>
          <w:szCs w:val="22"/>
          <w:color w:val="auto"/>
        </w:rPr>
      </w:pPr>
    </w:p>
    <w:p>
      <w:pPr>
        <w:ind w:right="20" w:firstLine="656"/>
        <w:spacing w:after="0" w:line="243" w:lineRule="auto"/>
        <w:tabs>
          <w:tab w:leader="none" w:pos="1291"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xml:space="preserve"> The provisions of the Plan are hereby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or her legal representative in respect of any questions arising under the Plan or this Agreement. The Participant acknowledges that the Participant has received a copy of the Plan and has had an opportunity to review the Plan and agrees to be bound by all the terms and provisions of the Plan. Without limiting the foregoing, the Participant acknowledges that the PSUs and any Shares acquired upon settlement of the PSUs are subject to provisions of the Plan under which, in certain circumstances, an adjustment may be made to the number of the PSUs and any Shares acquired upon settlement of the PSUs.</w:t>
      </w:r>
    </w:p>
    <w:p>
      <w:pPr>
        <w:spacing w:after="0" w:line="179" w:lineRule="exact"/>
        <w:rPr>
          <w:rFonts w:ascii="Arial" w:cs="Arial" w:eastAsia="Arial" w:hAnsi="Arial"/>
          <w:sz w:val="19"/>
          <w:szCs w:val="19"/>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Vesting; Settlement.</w:t>
      </w:r>
    </w:p>
    <w:p>
      <w:pPr>
        <w:spacing w:after="0" w:line="212" w:lineRule="exact"/>
        <w:rPr>
          <w:rFonts w:ascii="Arial" w:cs="Arial" w:eastAsia="Arial" w:hAnsi="Arial"/>
          <w:sz w:val="22"/>
          <w:szCs w:val="22"/>
          <w:b w:val="1"/>
          <w:bCs w:val="1"/>
          <w:color w:val="auto"/>
        </w:rPr>
      </w:pPr>
    </w:p>
    <w:p>
      <w:pPr>
        <w:ind w:right="20" w:firstLine="656"/>
        <w:spacing w:after="0" w:line="252" w:lineRule="auto"/>
        <w:tabs>
          <w:tab w:leader="none" w:pos="1293"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The number of earned PSUs shall be determined based on the attainment of specified levels of the performance measures during the period beginning on January 1, 2023 and ending on December 31, 2025 (the “</w:t>
      </w:r>
      <w:r>
        <w:rPr>
          <w:rFonts w:ascii="Arial" w:cs="Arial" w:eastAsia="Arial" w:hAnsi="Arial"/>
          <w:sz w:val="19"/>
          <w:szCs w:val="19"/>
          <w:u w:val="single" w:color="auto"/>
          <w:color w:val="auto"/>
        </w:rPr>
        <w:t>Performance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as set forth on Exhibit A. The number of earned PSUs may range between the levels specified on Exhibit A. Earned PSUs will cliff-vest on the third anniversary of the Date of Grant (the “</w:t>
      </w:r>
      <w:r>
        <w:rPr>
          <w:rFonts w:ascii="Arial" w:cs="Arial" w:eastAsia="Arial" w:hAnsi="Arial"/>
          <w:sz w:val="19"/>
          <w:szCs w:val="19"/>
          <w:u w:val="single" w:color="auto"/>
          <w:color w:val="auto"/>
        </w:rPr>
        <w:t>Vesting Date</w:t>
      </w:r>
      <w:r>
        <w:rPr>
          <w:rFonts w:ascii="Arial" w:cs="Arial" w:eastAsia="Arial" w:hAnsi="Arial"/>
          <w:sz w:val="19"/>
          <w:szCs w:val="19"/>
          <w:color w:val="auto"/>
        </w:rPr>
        <w:t>”), subject to the Participant remaining continuously employed in active service by the Company or one of its Affiliates from the Date of Grant through the Vesting Date.</w:t>
      </w:r>
    </w:p>
    <w:p>
      <w:pPr>
        <w:spacing w:after="0" w:line="175" w:lineRule="exact"/>
        <w:rPr>
          <w:rFonts w:ascii="Arial" w:cs="Arial" w:eastAsia="Arial" w:hAnsi="Arial"/>
          <w:sz w:val="19"/>
          <w:szCs w:val="19"/>
          <w:color w:val="auto"/>
        </w:rPr>
      </w:pPr>
    </w:p>
    <w:p>
      <w:pPr>
        <w:ind w:left="1300" w:hanging="644"/>
        <w:spacing w:after="0"/>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Performance Measures</w:t>
      </w:r>
      <w:r>
        <w:rPr>
          <w:rFonts w:ascii="Arial" w:cs="Arial" w:eastAsia="Arial" w:hAnsi="Arial"/>
          <w:sz w:val="19"/>
          <w:szCs w:val="19"/>
          <w:color w:val="auto"/>
        </w:rPr>
        <w:t>. The performance measures under this Agreement shall be as set forth on Exhibit A.</w:t>
      </w:r>
    </w:p>
    <w:p>
      <w:pPr>
        <w:spacing w:after="0" w:line="15" w:lineRule="exact"/>
        <w:rPr>
          <w:rFonts w:ascii="Arial" w:cs="Arial" w:eastAsia="Arial" w:hAnsi="Arial"/>
          <w:sz w:val="19"/>
          <w:szCs w:val="19"/>
          <w:color w:val="auto"/>
        </w:rPr>
      </w:pPr>
    </w:p>
    <w:p>
      <w:pPr>
        <w:ind w:right="200" w:firstLine="656"/>
        <w:spacing w:after="0" w:line="228" w:lineRule="auto"/>
        <w:tabs>
          <w:tab w:leader="none" w:pos="1293" w:val="left"/>
        </w:tabs>
        <w:numPr>
          <w:ilvl w:val="1"/>
          <w:numId w:val="52"/>
        </w:numPr>
        <w:rPr>
          <w:rFonts w:ascii="Arial" w:cs="Arial" w:eastAsia="Arial" w:hAnsi="Arial"/>
          <w:sz w:val="21"/>
          <w:szCs w:val="21"/>
          <w:color w:val="auto"/>
        </w:rPr>
      </w:pPr>
      <w:r>
        <w:rPr>
          <w:rFonts w:ascii="Arial" w:cs="Arial" w:eastAsia="Arial" w:hAnsi="Arial"/>
          <w:sz w:val="21"/>
          <w:szCs w:val="21"/>
          <w:u w:val="single" w:color="auto"/>
          <w:color w:val="auto"/>
        </w:rPr>
        <w:t>Committee Determination</w:t>
      </w:r>
      <w:r>
        <w:rPr>
          <w:rFonts w:ascii="Arial" w:cs="Arial" w:eastAsia="Arial" w:hAnsi="Arial"/>
          <w:sz w:val="21"/>
          <w:szCs w:val="21"/>
          <w:color w:val="auto"/>
        </w:rPr>
        <w:t>. As soon as administratively practicable after the end of the Performance Period, the Committee shall determine the level attained for each performance measure in accordance with Exhibit A. The Participant shall be awarded the final number of PSUs in accordance with the level of performance achieved.</w:t>
      </w:r>
    </w:p>
    <w:p>
      <w:pPr>
        <w:sectPr>
          <w:pgSz w:w="11900" w:h="16838" w:orient="portrait"/>
          <w:cols w:equalWidth="0" w:num="1">
            <w:col w:w="11240"/>
          </w:cols>
          <w:pgMar w:left="320" w:top="747" w:right="339" w:bottom="1440" w:gutter="0" w:footer="0" w:header="0"/>
        </w:sectPr>
      </w:pPr>
    </w:p>
    <w:bookmarkStart w:id="65" w:name="page66"/>
    <w:bookmarkEnd w:id="65"/>
    <w:p>
      <w:pPr>
        <w:ind w:left="-8" w:right="140" w:firstLine="656"/>
        <w:spacing w:after="0" w:line="232" w:lineRule="auto"/>
        <w:tabs>
          <w:tab w:leader="none" w:pos="1283"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Except as otherwise provided herein, each vested and earned PSU shall be settled in Shares within 30 days following the Vesting Date.</w:t>
      </w:r>
    </w:p>
    <w:p>
      <w:pPr>
        <w:spacing w:after="0" w:line="179" w:lineRule="exact"/>
        <w:rPr>
          <w:rFonts w:ascii="Arial" w:cs="Arial" w:eastAsia="Arial" w:hAnsi="Arial"/>
          <w:sz w:val="22"/>
          <w:szCs w:val="22"/>
          <w:color w:val="auto"/>
        </w:rPr>
      </w:pPr>
    </w:p>
    <w:p>
      <w:pPr>
        <w:ind w:left="-8" w:right="60" w:firstLine="8"/>
        <w:spacing w:after="0" w:line="248" w:lineRule="auto"/>
        <w:tabs>
          <w:tab w:leader="none" w:pos="640"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Each PSU shall be credited with Dividend Equivalents, which shall be withheld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credited to the Participant’s account (either in cash or additional Restricted Stock Units in the discretion of the Committee). Dividend Equivalents credited to the Participant’s account and attributable to a PSU shall be distributed (without interest) to the Participant at the same time as the underlying Share is delivered upon settlement of such PSU and, if such PSU is forfeited, the Participant shall have no right to such Dividend Equivalents. Any adjustments for Dividend Equivalents shall be in the sole discretion of the Committee and Dividend Equivalents shall be paid either in cash or Shares in the discretion of the Committee. It is the current intention of the Company that Dividend Equivalents will accrue in additional PSUs.</w:t>
      </w:r>
    </w:p>
    <w:p>
      <w:pPr>
        <w:spacing w:after="0" w:line="174" w:lineRule="exact"/>
        <w:rPr>
          <w:rFonts w:ascii="Arial" w:cs="Arial" w:eastAsia="Arial" w:hAnsi="Arial"/>
          <w:sz w:val="19"/>
          <w:szCs w:val="19"/>
          <w:b w:val="1"/>
          <w:bCs w:val="1"/>
          <w:color w:val="auto"/>
        </w:rPr>
      </w:pPr>
    </w:p>
    <w:p>
      <w:pPr>
        <w:ind w:left="-8" w:right="100" w:firstLine="8"/>
        <w:spacing w:after="0" w:line="244" w:lineRule="auto"/>
        <w:tabs>
          <w:tab w:leader="none" w:pos="640"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Withholding. </w:t>
      </w:r>
      <w:r>
        <w:rPr>
          <w:rFonts w:ascii="Arial" w:cs="Arial" w:eastAsia="Arial" w:hAnsi="Arial"/>
          <w:sz w:val="19"/>
          <w:szCs w:val="19"/>
          <w:color w:val="auto"/>
        </w:rPr>
        <w:t>Vesting and settlement of the PSUs shall be subject to the Participant satisfying any applicable U.S.</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and local tax withholding obligations and non-U.S. tax withholding obligations. The Company shall be entitled, if the Committee deems it necessary or desirable, to withhold (or secure payment from the Participant in lieu of withholding) the maximum amount of any withholding or other tax permitted by law to be withheld. The Company shall have the right and is hereby authorized to withhold from any amounts payable to the Participant in connection with the PSUs or otherwise the amount of any required withholding taxes in respect of the PSUs, its settlement or any payment or transfer of the PSUs or under the Plan and to take any such other action as the Committee or the Company deem necessary to satisfy all obligations for the payment of such withholding taxes. The Participant may satisfy, in whole or in part, the tax obligations by authorizing the Company to withhold Shares that would otherwise be deliverable to the Participant upon settlement of the PSUs with a Fair Market Value equal to such withholding liability.</w:t>
      </w:r>
    </w:p>
    <w:p>
      <w:pPr>
        <w:spacing w:after="0" w:line="200" w:lineRule="exact"/>
        <w:rPr>
          <w:rFonts w:ascii="Arial" w:cs="Arial" w:eastAsia="Arial" w:hAnsi="Arial"/>
          <w:sz w:val="19"/>
          <w:szCs w:val="19"/>
          <w:b w:val="1"/>
          <w:bCs w:val="1"/>
          <w:color w:val="auto"/>
        </w:rPr>
      </w:pPr>
    </w:p>
    <w:p>
      <w:pPr>
        <w:spacing w:after="0" w:line="203" w:lineRule="exact"/>
        <w:rPr>
          <w:rFonts w:ascii="Arial" w:cs="Arial" w:eastAsia="Arial" w:hAnsi="Arial"/>
          <w:sz w:val="19"/>
          <w:szCs w:val="19"/>
          <w:b w:val="1"/>
          <w:bCs w:val="1"/>
          <w:color w:val="auto"/>
        </w:rPr>
      </w:pPr>
    </w:p>
    <w:p>
      <w:pPr>
        <w:ind w:left="652" w:hanging="652"/>
        <w:spacing w:after="0"/>
        <w:tabs>
          <w:tab w:leader="none" w:pos="652"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12" w:lineRule="exact"/>
        <w:rPr>
          <w:rFonts w:ascii="Arial" w:cs="Arial" w:eastAsia="Arial" w:hAnsi="Arial"/>
          <w:sz w:val="22"/>
          <w:szCs w:val="22"/>
          <w:b w:val="1"/>
          <w:bCs w:val="1"/>
          <w:color w:val="auto"/>
        </w:rPr>
      </w:pPr>
    </w:p>
    <w:p>
      <w:pPr>
        <w:ind w:left="-8" w:right="40" w:firstLine="656"/>
        <w:spacing w:after="0" w:line="249" w:lineRule="auto"/>
        <w:tabs>
          <w:tab w:leader="none" w:pos="1285"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due to Death or Disability</w:t>
      </w:r>
      <w:r>
        <w:rPr>
          <w:rFonts w:ascii="Arial" w:cs="Arial" w:eastAsia="Arial" w:hAnsi="Arial"/>
          <w:sz w:val="19"/>
          <w:szCs w:val="19"/>
          <w:color w:val="auto"/>
        </w:rPr>
        <w:t>. If, prior to the Vesting Date, the Participant’s employment with the Company and its Affiliates is terminated (1) by the Company or one of its Affiliates due to the Participant’s Disability (as defined below), or (2) due to the Participant’s death, then the PSUs, to the extent unvested, shall become fully vested as of the date of termination of employment (based on target level performance). Such vested PSUs shall be settled in Shares within 30 days following such termination date. For the avoidance of doubt, this Section 5(a) shall not apply to any death or Disability of the Participant occurring after the date of termination of the Participant’s employment for any reason.</w:t>
      </w:r>
    </w:p>
    <w:p>
      <w:pPr>
        <w:spacing w:after="0" w:line="178" w:lineRule="exact"/>
        <w:rPr>
          <w:rFonts w:ascii="Arial" w:cs="Arial" w:eastAsia="Arial" w:hAnsi="Arial"/>
          <w:sz w:val="19"/>
          <w:szCs w:val="19"/>
          <w:color w:val="auto"/>
        </w:rPr>
      </w:pPr>
    </w:p>
    <w:p>
      <w:pPr>
        <w:ind w:left="-8" w:firstLine="656"/>
        <w:spacing w:after="0" w:line="221" w:lineRule="auto"/>
        <w:tabs>
          <w:tab w:leader="none" w:pos="1283"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without Cause</w:t>
      </w:r>
      <w:r>
        <w:rPr>
          <w:rFonts w:ascii="Arial" w:cs="Arial" w:eastAsia="Arial" w:hAnsi="Arial"/>
          <w:sz w:val="21"/>
          <w:szCs w:val="21"/>
          <w:color w:val="auto"/>
        </w:rPr>
        <w:t>. If, on or prior to the Vesting Date, the Participant’s employment with the Company and its Affiliates is terminated by the Company without Cause, then a prorated number of PSUs shall continue to be eligible to vest and be settled in accordance with Section 2, as if the Participant had remained continuously employed in active service by the Company or one of its Affiliates through the Vesting Date. Such prorated number of PSUs shall be calculated by multiplying (x) the number of earned PSUs, as determined by the Committee following the end of the Performance Period (or in connection with a Change in Control under Section 6), by (y) a fraction, the numerator of which is the number of completed months in the Performance Period through the effective date of the Participant’s termination, and denominator of which is the total number of months in the Performance Period.</w:t>
      </w:r>
    </w:p>
    <w:p>
      <w:pPr>
        <w:spacing w:after="0" w:line="192" w:lineRule="exact"/>
        <w:rPr>
          <w:rFonts w:ascii="Arial" w:cs="Arial" w:eastAsia="Arial" w:hAnsi="Arial"/>
          <w:sz w:val="21"/>
          <w:szCs w:val="21"/>
          <w:color w:val="auto"/>
        </w:rPr>
      </w:pPr>
    </w:p>
    <w:p>
      <w:pPr>
        <w:ind w:left="-8" w:right="160" w:firstLine="656"/>
        <w:spacing w:after="0" w:line="268" w:lineRule="auto"/>
        <w:tabs>
          <w:tab w:leader="none" w:pos="1285"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Other Termination of Employment</w:t>
      </w:r>
      <w:r>
        <w:rPr>
          <w:rFonts w:ascii="Arial" w:cs="Arial" w:eastAsia="Arial" w:hAnsi="Arial"/>
          <w:sz w:val="19"/>
          <w:szCs w:val="19"/>
          <w:color w:val="auto"/>
        </w:rPr>
        <w:t>. If, prior to the Vesting Date, the Participant’s employment with the Company and its Affiliates terminates for any reason other than as set forth in Section 5(a) or 5(b) above (including any termination of employment by the Participant for any reason, or by the Company for Cause), then all unvested PSUs shall be cancelled</w:t>
      </w:r>
    </w:p>
    <w:p>
      <w:pPr>
        <w:sectPr>
          <w:pgSz w:w="11900" w:h="16838" w:orient="portrait"/>
          <w:cols w:equalWidth="0" w:num="1">
            <w:col w:w="11232"/>
          </w:cols>
          <w:pgMar w:left="328" w:top="996"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immediately and the Participant shall not be entitled to receive any payments with respect thereto.</w:t>
      </w:r>
    </w:p>
    <w:p>
      <w:pPr>
        <w:spacing w:after="0" w:line="200"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12" w:lineRule="exact"/>
        <w:rPr>
          <w:rFonts w:ascii="Arial" w:cs="Arial" w:eastAsia="Arial" w:hAnsi="Arial"/>
          <w:sz w:val="22"/>
          <w:szCs w:val="22"/>
          <w:b w:val="1"/>
          <w:bCs w:val="1"/>
          <w:color w:val="auto"/>
        </w:rPr>
      </w:pPr>
    </w:p>
    <w:p>
      <w:pPr>
        <w:ind w:right="60" w:firstLine="656"/>
        <w:spacing w:after="0" w:line="221" w:lineRule="auto"/>
        <w:tabs>
          <w:tab w:leader="none" w:pos="1293" w:val="left"/>
        </w:tabs>
        <w:numPr>
          <w:ilvl w:val="1"/>
          <w:numId w:val="55"/>
        </w:numPr>
        <w:rPr>
          <w:rFonts w:ascii="Arial" w:cs="Arial" w:eastAsia="Arial" w:hAnsi="Arial"/>
          <w:sz w:val="21"/>
          <w:szCs w:val="21"/>
          <w:color w:val="auto"/>
        </w:rPr>
      </w:pPr>
      <w:r>
        <w:rPr>
          <w:rFonts w:ascii="Arial" w:cs="Arial" w:eastAsia="Arial" w:hAnsi="Arial"/>
          <w:sz w:val="21"/>
          <w:szCs w:val="21"/>
          <w:color w:val="auto"/>
        </w:rPr>
        <w:t>In the event of a Change in Control in which no provision is made for assumption or substitution of the PSUs granted hereby in the manner contemplated by Section 11(c) of the Plan, the PSUs, to the extent then unvested, shall automatically be deemed vested, with the number of PSUs deemed vested determined by the Committee in its sole discretion, as of immediately prior to such Change in Control, and the PSUs shall be settled within 30 days following such Change in Control (or, to the extent the PSUs are deferred compensation subject to Section 409A of the Code, within 30 days following a payment event permissible under Section 409A of the Code), in Shares, in cash in an amount equal to the number of vested PSUs multiplied by the Fair Market Value of a Share (as of a date specified by the Committee), or in a combination of cash and Shares, as determined by the Committee.</w:t>
      </w:r>
    </w:p>
    <w:p>
      <w:pPr>
        <w:spacing w:after="0" w:line="192" w:lineRule="exact"/>
        <w:rPr>
          <w:rFonts w:ascii="Arial" w:cs="Arial" w:eastAsia="Arial" w:hAnsi="Arial"/>
          <w:sz w:val="21"/>
          <w:szCs w:val="21"/>
          <w:color w:val="auto"/>
        </w:rPr>
      </w:pPr>
    </w:p>
    <w:p>
      <w:pPr>
        <w:ind w:right="60" w:firstLine="656"/>
        <w:spacing w:after="0" w:line="257" w:lineRule="auto"/>
        <w:tabs>
          <w:tab w:leader="none" w:pos="1291" w:val="left"/>
        </w:tabs>
        <w:numPr>
          <w:ilvl w:val="1"/>
          <w:numId w:val="55"/>
        </w:numPr>
        <w:rPr>
          <w:rFonts w:ascii="Arial" w:cs="Arial" w:eastAsia="Arial" w:hAnsi="Arial"/>
          <w:sz w:val="19"/>
          <w:szCs w:val="19"/>
          <w:color w:val="auto"/>
        </w:rPr>
      </w:pPr>
      <w:r>
        <w:rPr>
          <w:rFonts w:ascii="Arial" w:cs="Arial" w:eastAsia="Arial" w:hAnsi="Arial"/>
          <w:sz w:val="19"/>
          <w:szCs w:val="19"/>
          <w:color w:val="auto"/>
        </w:rPr>
        <w:t>If a Change in Control occurs in which the acquirer assumes or substitutes the PSUs granted hereby in the manner contemplated by Section 11 of the Plan, then the performance-vesting conditions of the PSUs shall be deemed waived, and the number of PSUs as determined by the Committee, in its sole discretion, shall remain eligible to vest so long as the Participant remains continuously employed in active service by the Company or one of its Affiliates through the Vesting Date.</w:t>
      </w:r>
    </w:p>
    <w:p>
      <w:pPr>
        <w:spacing w:after="0" w:line="171" w:lineRule="exact"/>
        <w:rPr>
          <w:rFonts w:ascii="Arial" w:cs="Arial" w:eastAsia="Arial" w:hAnsi="Arial"/>
          <w:sz w:val="19"/>
          <w:szCs w:val="19"/>
          <w:color w:val="auto"/>
        </w:rPr>
      </w:pPr>
    </w:p>
    <w:p>
      <w:pPr>
        <w:jc w:val="both"/>
        <w:ind w:left="660" w:firstLine="644"/>
        <w:spacing w:after="0" w:line="243" w:lineRule="auto"/>
        <w:tabs>
          <w:tab w:leader="none" w:pos="1944" w:val="left"/>
        </w:tabs>
        <w:numPr>
          <w:ilvl w:val="2"/>
          <w:numId w:val="55"/>
        </w:numPr>
        <w:rPr>
          <w:rFonts w:ascii="Arial" w:cs="Arial" w:eastAsia="Arial" w:hAnsi="Arial"/>
          <w:sz w:val="19"/>
          <w:szCs w:val="19"/>
          <w:color w:val="auto"/>
        </w:rPr>
      </w:pPr>
      <w:r>
        <w:rPr>
          <w:rFonts w:ascii="Arial" w:cs="Arial" w:eastAsia="Arial" w:hAnsi="Arial"/>
          <w:sz w:val="19"/>
          <w:szCs w:val="19"/>
          <w:color w:val="auto"/>
        </w:rPr>
        <w:t>Notwithstanding anything to the contrary herein, if, within the 24-month period following such Change in Control, the Participant’s employment with the Company and its Affiliates is terminated (i) by the Company or one of its Affiliates without Cause (other than due to death or Disability), (ii) by the Participant for Good Reason (defined below) or</w:t>
      </w:r>
    </w:p>
    <w:p>
      <w:pPr>
        <w:spacing w:after="0" w:line="2" w:lineRule="exact"/>
        <w:rPr>
          <w:rFonts w:ascii="Arial" w:cs="Arial" w:eastAsia="Arial" w:hAnsi="Arial"/>
          <w:sz w:val="19"/>
          <w:szCs w:val="19"/>
          <w:color w:val="auto"/>
        </w:rPr>
      </w:pPr>
    </w:p>
    <w:p>
      <w:pPr>
        <w:ind w:left="660" w:right="520" w:hanging="4"/>
        <w:spacing w:after="0" w:line="217" w:lineRule="auto"/>
        <w:tabs>
          <w:tab w:leader="none" w:pos="1038" w:val="left"/>
        </w:tabs>
        <w:numPr>
          <w:ilvl w:val="1"/>
          <w:numId w:val="56"/>
        </w:numPr>
        <w:rPr>
          <w:rFonts w:ascii="Arial" w:cs="Arial" w:eastAsia="Arial" w:hAnsi="Arial"/>
          <w:sz w:val="22"/>
          <w:szCs w:val="22"/>
          <w:color w:val="auto"/>
        </w:rPr>
      </w:pPr>
      <w:r>
        <w:rPr>
          <w:rFonts w:ascii="Arial" w:cs="Arial" w:eastAsia="Arial" w:hAnsi="Arial"/>
          <w:sz w:val="22"/>
          <w:szCs w:val="22"/>
          <w:color w:val="auto"/>
        </w:rPr>
        <w:t>due to the Participant’s death or Disability, then the number of PSUs determined pursuant to Section 6(b), to the extent unvested, shall become fully vested as of the date of termination of employment, and promptly settled upon vesting, in a manner consistent with Section 2(d).</w:t>
      </w:r>
    </w:p>
    <w:p>
      <w:pPr>
        <w:spacing w:after="0" w:line="186" w:lineRule="exact"/>
        <w:rPr>
          <w:rFonts w:ascii="Arial" w:cs="Arial" w:eastAsia="Arial" w:hAnsi="Arial"/>
          <w:sz w:val="22"/>
          <w:szCs w:val="22"/>
          <w:color w:val="auto"/>
        </w:rPr>
      </w:pPr>
    </w:p>
    <w:p>
      <w:pPr>
        <w:ind w:left="660" w:right="60" w:firstLine="644"/>
        <w:spacing w:after="0" w:line="218" w:lineRule="auto"/>
        <w:tabs>
          <w:tab w:leader="none" w:pos="1950" w:val="left"/>
        </w:tabs>
        <w:numPr>
          <w:ilvl w:val="2"/>
          <w:numId w:val="56"/>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Good Reason</w:t>
      </w:r>
      <w:r>
        <w:rPr>
          <w:rFonts w:ascii="Arial" w:cs="Arial" w:eastAsia="Arial" w:hAnsi="Arial"/>
          <w:sz w:val="22"/>
          <w:szCs w:val="22"/>
          <w:color w:val="auto"/>
        </w:rPr>
        <w:t>”, “</w:t>
      </w:r>
      <w:r>
        <w:rPr>
          <w:rFonts w:ascii="Arial" w:cs="Arial" w:eastAsia="Arial" w:hAnsi="Arial"/>
          <w:sz w:val="22"/>
          <w:szCs w:val="22"/>
          <w:u w:val="single" w:color="auto"/>
          <w:color w:val="auto"/>
        </w:rPr>
        <w:t>Cause</w:t>
      </w:r>
      <w:r>
        <w:rPr>
          <w:rFonts w:ascii="Arial" w:cs="Arial" w:eastAsia="Arial" w:hAnsi="Arial"/>
          <w:sz w:val="22"/>
          <w:szCs w:val="22"/>
          <w:color w:val="auto"/>
        </w:rPr>
        <w:t>” and “</w:t>
      </w:r>
      <w:r>
        <w:rPr>
          <w:rFonts w:ascii="Arial" w:cs="Arial" w:eastAsia="Arial" w:hAnsi="Arial"/>
          <w:sz w:val="22"/>
          <w:szCs w:val="22"/>
          <w:u w:val="single" w:color="auto"/>
          <w:color w:val="auto"/>
        </w:rPr>
        <w:t>Disability</w:t>
      </w:r>
      <w:r>
        <w:rPr>
          <w:rFonts w:ascii="Arial" w:cs="Arial" w:eastAsia="Arial" w:hAnsi="Arial"/>
          <w:sz w:val="22"/>
          <w:szCs w:val="22"/>
          <w:color w:val="auto"/>
        </w:rPr>
        <w:t>” shall have the meanings ascribed to them in (i) the Participant’s employment agreement with the Company or one of its subsidiaries, if applicable, or (ii) the Mylan N.V. Severance Plan and Global Guidelines, adopted July 29, 2019, as may be amended or superseded from time to time.</w:t>
      </w:r>
    </w:p>
    <w:p>
      <w:pPr>
        <w:spacing w:after="0" w:line="181" w:lineRule="exact"/>
        <w:rPr>
          <w:rFonts w:ascii="Arial" w:cs="Arial" w:eastAsia="Arial" w:hAnsi="Arial"/>
          <w:sz w:val="22"/>
          <w:szCs w:val="22"/>
          <w:color w:val="auto"/>
        </w:rPr>
      </w:pPr>
    </w:p>
    <w:p>
      <w:pPr>
        <w:ind w:right="20" w:firstLine="8"/>
        <w:spacing w:after="0" w:line="225" w:lineRule="auto"/>
        <w:tabs>
          <w:tab w:leader="none" w:pos="648"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Rights as a Stockholder. </w:t>
      </w:r>
      <w:r>
        <w:rPr>
          <w:rFonts w:ascii="Arial" w:cs="Arial" w:eastAsia="Arial" w:hAnsi="Arial"/>
          <w:sz w:val="21"/>
          <w:szCs w:val="21"/>
          <w:color w:val="auto"/>
        </w:rPr>
        <w:t>The Participant shall not be deemed for any purpose, nor have any of the rights or privileges of,</w:t>
      </w:r>
      <w:r>
        <w:rPr>
          <w:rFonts w:ascii="Arial" w:cs="Arial" w:eastAsia="Arial" w:hAnsi="Arial"/>
          <w:sz w:val="21"/>
          <w:szCs w:val="21"/>
          <w:b w:val="1"/>
          <w:bCs w:val="1"/>
          <w:color w:val="auto"/>
        </w:rPr>
        <w:t xml:space="preserve"> </w:t>
      </w:r>
      <w:r>
        <w:rPr>
          <w:rFonts w:ascii="Arial" w:cs="Arial" w:eastAsia="Arial" w:hAnsi="Arial"/>
          <w:sz w:val="21"/>
          <w:szCs w:val="21"/>
          <w:color w:val="auto"/>
        </w:rPr>
        <w:t>a stockholder of the Company in respect of any Shares underlying the PSUs unless, until and to the extent that (i) the Company shall have issued and delivered to the Participant the Shares underlying the vested PSUs and (ii) the Participant’s name shall have been entered as a stockholder of record with respect to such Shares on the books of the Company. The Company shall cause the actions described in clauses (i) and (ii) of the preceding sentence to occur promptly following settlement as contemplated by this Agreement, subject to compliance with applicable laws.</w:t>
      </w:r>
    </w:p>
    <w:p>
      <w:pPr>
        <w:spacing w:after="0" w:line="180" w:lineRule="exact"/>
        <w:rPr>
          <w:rFonts w:ascii="Arial" w:cs="Arial" w:eastAsia="Arial" w:hAnsi="Arial"/>
          <w:sz w:val="21"/>
          <w:szCs w:val="21"/>
          <w:b w:val="1"/>
          <w:bCs w:val="1"/>
          <w:color w:val="auto"/>
        </w:rPr>
      </w:pPr>
    </w:p>
    <w:p>
      <w:pPr>
        <w:ind w:right="40" w:firstLine="8"/>
        <w:spacing w:after="0" w:line="222" w:lineRule="auto"/>
        <w:tabs>
          <w:tab w:leader="none" w:pos="648"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Legal Requirements. </w:t>
      </w:r>
      <w:r>
        <w:rPr>
          <w:rFonts w:ascii="Arial" w:cs="Arial" w:eastAsia="Arial" w:hAnsi="Arial"/>
          <w:sz w:val="21"/>
          <w:szCs w:val="21"/>
          <w:color w:val="auto"/>
        </w:rPr>
        <w:t>The granting and settlement of the PSUs, and any other obligations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under this Agreement, shall be subject to all applicable Federal, provincial, state, local and foreign laws, rules and regulations and to such approvals by any regulatory or governmental agency as may be required. The Committee shall have the right to impose such restrictions on the PSUs as it deems reasonably necessary or advisable under applicable Federal securities laws, the rules and regulations of any stock exchange or market upon which Shares are then listed or traded, and/or any blue sky or state securities laws applicable to such Shares. It is expressly understood that the Committee is authorized to administer, construe, and make all determinations necessary or appropriate to the administration of the Plan and this Agreement, all of which shall be binding upon the Participant. The</w:t>
      </w:r>
    </w:p>
    <w:p>
      <w:pPr>
        <w:sectPr>
          <w:pgSz w:w="11900" w:h="16838" w:orient="portrait"/>
          <w:cols w:equalWidth="0" w:num="1">
            <w:col w:w="11220"/>
          </w:cols>
          <w:pgMar w:left="320" w:top="753" w:right="359" w:bottom="1440" w:gutter="0" w:footer="0" w:header="0"/>
        </w:sectPr>
      </w:pPr>
    </w:p>
    <w:bookmarkStart w:id="67" w:name="page68"/>
    <w:bookmarkEnd w:id="67"/>
    <w:p>
      <w:pPr>
        <w:ind w:right="640"/>
        <w:spacing w:after="0" w:line="298" w:lineRule="auto"/>
        <w:rPr>
          <w:sz w:val="20"/>
          <w:szCs w:val="20"/>
          <w:color w:val="auto"/>
        </w:rPr>
      </w:pPr>
      <w:r>
        <w:rPr>
          <w:rFonts w:ascii="Arial" w:cs="Arial" w:eastAsia="Arial" w:hAnsi="Arial"/>
          <w:sz w:val="19"/>
          <w:szCs w:val="19"/>
          <w:color w:val="auto"/>
        </w:rPr>
        <w:t>Participant agrees to take all steps the Committee or the Company determines are reasonably necessary to comply with all applicable provisions of Federal and state securities law in exercising his or her rights under this Agreement.</w:t>
      </w:r>
    </w:p>
    <w:p>
      <w:pPr>
        <w:spacing w:after="0" w:line="126" w:lineRule="exact"/>
        <w:rPr>
          <w:sz w:val="20"/>
          <w:szCs w:val="20"/>
          <w:color w:val="auto"/>
        </w:rPr>
      </w:pPr>
    </w:p>
    <w:p>
      <w:pPr>
        <w:ind w:right="20" w:firstLine="8"/>
        <w:spacing w:after="0" w:line="250" w:lineRule="auto"/>
        <w:tabs>
          <w:tab w:leader="none" w:pos="648"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Clawback. </w:t>
      </w:r>
      <w:r>
        <w:rPr>
          <w:rFonts w:ascii="Arial" w:cs="Arial" w:eastAsia="Arial" w:hAnsi="Arial"/>
          <w:sz w:val="19"/>
          <w:szCs w:val="19"/>
          <w:color w:val="auto"/>
        </w:rPr>
        <w:t>The PSUs and/or the Shares acquired upon settlement of the PSUs shall be subject (including on a retroactive</w:t>
      </w:r>
      <w:r>
        <w:rPr>
          <w:rFonts w:ascii="Arial" w:cs="Arial" w:eastAsia="Arial" w:hAnsi="Arial"/>
          <w:sz w:val="19"/>
          <w:szCs w:val="19"/>
          <w:b w:val="1"/>
          <w:bCs w:val="1"/>
          <w:color w:val="auto"/>
        </w:rPr>
        <w:t xml:space="preserve"> </w:t>
      </w:r>
      <w:r>
        <w:rPr>
          <w:rFonts w:ascii="Arial" w:cs="Arial" w:eastAsia="Arial" w:hAnsi="Arial"/>
          <w:sz w:val="19"/>
          <w:szCs w:val="19"/>
          <w:color w:val="auto"/>
        </w:rPr>
        <w:t>basis) to clawback, forfeiture or similar requirements (and such requirements shall be deemed incorporated by reference into this Agreement) to the extent required by applicable law (including, without limitation, Section 304 of the Sarbanes-Oxley Act and Section 954 of the Dodd-Frank Wall Street Reform and Consumer Protection Act) if such requirement is in effect at the relevant time, the rules and regulations of any applicable securities exchange or inter-dealer quotation system on which the Shares may be listed or quoted or if so required pursuant to a written policy adopted by the Company.</w:t>
      </w:r>
    </w:p>
    <w:p>
      <w:pPr>
        <w:spacing w:after="0" w:line="173" w:lineRule="exact"/>
        <w:rPr>
          <w:rFonts w:ascii="Arial" w:cs="Arial" w:eastAsia="Arial" w:hAnsi="Arial"/>
          <w:sz w:val="19"/>
          <w:szCs w:val="19"/>
          <w:b w:val="1"/>
          <w:bCs w:val="1"/>
          <w:color w:val="auto"/>
        </w:rPr>
      </w:pPr>
    </w:p>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2" w:lineRule="exact"/>
        <w:rPr>
          <w:rFonts w:ascii="Arial" w:cs="Arial" w:eastAsia="Arial" w:hAnsi="Arial"/>
          <w:sz w:val="22"/>
          <w:szCs w:val="22"/>
          <w:b w:val="1"/>
          <w:bCs w:val="1"/>
          <w:color w:val="auto"/>
        </w:rPr>
      </w:pPr>
    </w:p>
    <w:p>
      <w:pPr>
        <w:ind w:right="40" w:firstLine="656"/>
        <w:spacing w:after="0" w:line="257" w:lineRule="auto"/>
        <w:tabs>
          <w:tab w:leader="none" w:pos="1293"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PSUs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the Plan. Any attempted Transfer of the PSUs contrary to the provisions hereof, and the levy of any execution, attachment or similar process upon the PSUs, shall be null and void and without effect.</w:t>
      </w:r>
    </w:p>
    <w:p>
      <w:pPr>
        <w:spacing w:after="0" w:line="171" w:lineRule="exact"/>
        <w:rPr>
          <w:rFonts w:ascii="Arial" w:cs="Arial" w:eastAsia="Arial" w:hAnsi="Arial"/>
          <w:sz w:val="19"/>
          <w:szCs w:val="19"/>
          <w:color w:val="auto"/>
        </w:rPr>
      </w:pPr>
    </w:p>
    <w:p>
      <w:pPr>
        <w:ind w:right="300" w:firstLine="656"/>
        <w:spacing w:after="0" w:line="223" w:lineRule="auto"/>
        <w:tabs>
          <w:tab w:leader="none" w:pos="1291"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The Committee at any time, and from time to time, may amend the terms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rights of the Participant shall not be materially adversely affected without the Participant’s written consent.</w:t>
      </w:r>
    </w:p>
    <w:p>
      <w:pPr>
        <w:spacing w:after="0" w:line="185" w:lineRule="exact"/>
        <w:rPr>
          <w:rFonts w:ascii="Arial" w:cs="Arial" w:eastAsia="Arial" w:hAnsi="Arial"/>
          <w:sz w:val="22"/>
          <w:szCs w:val="22"/>
          <w:color w:val="auto"/>
        </w:rPr>
      </w:pPr>
    </w:p>
    <w:p>
      <w:pPr>
        <w:ind w:right="60" w:firstLine="656"/>
        <w:spacing w:after="0" w:line="257" w:lineRule="auto"/>
        <w:tabs>
          <w:tab w:leader="none" w:pos="1293"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1" w:lineRule="exact"/>
        <w:rPr>
          <w:rFonts w:ascii="Arial" w:cs="Arial" w:eastAsia="Arial" w:hAnsi="Arial"/>
          <w:sz w:val="19"/>
          <w:szCs w:val="19"/>
          <w:color w:val="auto"/>
        </w:rPr>
      </w:pPr>
    </w:p>
    <w:p>
      <w:pPr>
        <w:ind w:firstLine="656"/>
        <w:spacing w:after="0" w:line="219" w:lineRule="auto"/>
        <w:tabs>
          <w:tab w:leader="none" w:pos="1291"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xml:space="preserve"> By accepting this grant of PSUs, the Participant hereby agrees that he or she shall be bound by, and shall comply with, (i) the Agreement Relating To Patents, Copyrights, Inventions, Confidentiality and Proprietary Information, in the form provided by the Company (if applicable) and (ii) all other agreements relating to confidentiality that the Participant has executed during the course of employment with the Company and its Affiliates as in effect from time to time (collectively, the “</w:t>
      </w:r>
      <w:r>
        <w:rPr>
          <w:rFonts w:ascii="Arial" w:cs="Arial" w:eastAsia="Arial" w:hAnsi="Arial"/>
          <w:sz w:val="21"/>
          <w:szCs w:val="21"/>
          <w:u w:val="single" w:color="auto"/>
          <w:color w:val="auto"/>
        </w:rPr>
        <w:t>Executed Confidentiality Agreements</w:t>
      </w:r>
      <w:r>
        <w:rPr>
          <w:rFonts w:ascii="Arial" w:cs="Arial" w:eastAsia="Arial" w:hAnsi="Arial"/>
          <w:sz w:val="21"/>
          <w:szCs w:val="21"/>
          <w:color w:val="auto"/>
        </w:rPr>
        <w:t>”). Participant also agrees that, in addition to any Executed Confidentiality Agreements, Participant shall not use and/or communicate or disclose, in any manner, any confidential, proprietary or privileged Viatris company information or knowledge, which he or she may have had access to while employed with a Viatris company, relating to intellectual property, trade secrets, business plans and strategies, customer plans and strategies and relationships, pricing, research and development plans and strategies, personnel, organization, strategic plans, or the commercialization of the products of Viatris or any of its subsidiaries, consistent with applicable law, including investigations by government agencies.</w:t>
      </w:r>
    </w:p>
    <w:p>
      <w:pPr>
        <w:spacing w:after="0" w:line="195" w:lineRule="exact"/>
        <w:rPr>
          <w:rFonts w:ascii="Arial" w:cs="Arial" w:eastAsia="Arial" w:hAnsi="Arial"/>
          <w:sz w:val="21"/>
          <w:szCs w:val="21"/>
          <w:color w:val="auto"/>
        </w:rPr>
      </w:pPr>
    </w:p>
    <w:p>
      <w:pPr>
        <w:ind w:firstLine="656"/>
        <w:spacing w:after="0" w:line="247" w:lineRule="auto"/>
        <w:tabs>
          <w:tab w:leader="none" w:pos="1293"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PSUs are intended to be exempt from, or compliant with, Section 409A of the Code and shall be interpreted accordingly.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reasonable discretion and with the Participant’s consent, modify such provision to (i) comply with, or avoid being subject to, Section 409A of the Code, or to avoid the incurrence of taxes, interest and penalties under Section 409A of the Code, and (ii) maintain, to the maximum extent practicable, the original intent and economic benefit to the Participant of the applicable provision without</w:t>
      </w:r>
    </w:p>
    <w:p>
      <w:pPr>
        <w:sectPr>
          <w:pgSz w:w="11900" w:h="16838" w:orient="portrait"/>
          <w:cols w:equalWidth="0" w:num="1">
            <w:col w:w="11200"/>
          </w:cols>
          <w:pgMar w:left="320" w:top="753" w:right="379" w:bottom="1440" w:gutter="0" w:footer="0" w:header="0"/>
        </w:sectPr>
      </w:pPr>
    </w:p>
    <w:bookmarkStart w:id="68" w:name="page69"/>
    <w:bookmarkEnd w:id="68"/>
    <w:p>
      <w:pPr>
        <w:spacing w:after="0" w:line="221" w:lineRule="auto"/>
        <w:rPr>
          <w:sz w:val="20"/>
          <w:szCs w:val="20"/>
          <w:color w:val="auto"/>
        </w:rPr>
      </w:pPr>
      <w:r>
        <w:rPr>
          <w:rFonts w:ascii="Arial" w:cs="Arial" w:eastAsia="Arial" w:hAnsi="Arial"/>
          <w:sz w:val="21"/>
          <w:szCs w:val="21"/>
          <w:color w:val="auto"/>
        </w:rPr>
        <w:t>materially increasing the cost to the Company or contravening the provisions of Section 409A of the Code. This Section does not create an obligation on the part of the Company to modify the Plan or this Agreement and does not guarantee that the PSUs or the Shares underlying the PSUs will not be subject to interest and penalties under Section 409A of the Code. Notwithstanding anything to the contrary in the Plan or this Agreement, to the extent that the Participant is a “specified employee” (within the meaning of the Committee’s established methodology for determining “specified employees” for purposes of Section 409A of the Code), payment or distribution of any amounts with respect to the PSUs that are subject to Section 409A of the Code will be made as soon as practicable following the first business day of the seventh month following the Participant’s “separation from service” (within the meaning of Section 409A of the Code) from the Company and its Affiliates, or, if earlier, the date of the Participant’s death.</w:t>
      </w:r>
    </w:p>
    <w:p>
      <w:pPr>
        <w:spacing w:after="0" w:line="186" w:lineRule="exact"/>
        <w:rPr>
          <w:sz w:val="20"/>
          <w:szCs w:val="20"/>
          <w:color w:val="auto"/>
        </w:rPr>
      </w:pPr>
    </w:p>
    <w:p>
      <w:pPr>
        <w:jc w:val="both"/>
        <w:ind w:firstLine="656"/>
        <w:spacing w:after="0" w:line="223" w:lineRule="auto"/>
        <w:tabs>
          <w:tab w:leader="none" w:pos="1296"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General Assets</w:t>
      </w:r>
      <w:r>
        <w:rPr>
          <w:rFonts w:ascii="Arial" w:cs="Arial" w:eastAsia="Arial" w:hAnsi="Arial"/>
          <w:sz w:val="22"/>
          <w:szCs w:val="22"/>
          <w:color w:val="auto"/>
        </w:rPr>
        <w:t>. All amounts credited in respect of the PSUs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5" w:lineRule="exact"/>
        <w:rPr>
          <w:rFonts w:ascii="Arial" w:cs="Arial" w:eastAsia="Arial" w:hAnsi="Arial"/>
          <w:sz w:val="22"/>
          <w:szCs w:val="22"/>
          <w:color w:val="auto"/>
        </w:rPr>
      </w:pPr>
    </w:p>
    <w:p>
      <w:pPr>
        <w:ind w:right="440" w:firstLine="656"/>
        <w:spacing w:after="0" w:line="216" w:lineRule="auto"/>
        <w:tabs>
          <w:tab w:leader="none" w:pos="129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and other communications to be given hereunder to any party shall be deemed to be sufficient if contained in a written instrument and shall be deemed to have been duly given when delivered in person, by telecopy, by nationally recognized overnight courier, or by first-class registered or certified mail, postage prepaid, addressed to such party at the address set forth below or such other address as may hereafter be designated in writing by the addressee to the addresser:</w:t>
      </w:r>
    </w:p>
    <w:p>
      <w:pPr>
        <w:spacing w:after="0" w:line="184" w:lineRule="exact"/>
        <w:rPr>
          <w:rFonts w:ascii="Arial" w:cs="Arial" w:eastAsia="Arial" w:hAnsi="Arial"/>
          <w:sz w:val="22"/>
          <w:szCs w:val="22"/>
          <w:color w:val="auto"/>
        </w:rPr>
      </w:pPr>
    </w:p>
    <w:p>
      <w:pPr>
        <w:ind w:left="1940" w:hanging="636"/>
        <w:spacing w:after="0"/>
        <w:tabs>
          <w:tab w:leader="none" w:pos="1940"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16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Viatris Inc.</w:t>
      </w:r>
    </w:p>
    <w:p>
      <w:pPr>
        <w:ind w:left="1960" w:right="6960"/>
        <w:spacing w:after="0" w:line="237" w:lineRule="auto"/>
        <w:rPr>
          <w:rFonts w:ascii="Arial" w:cs="Arial" w:eastAsia="Arial" w:hAnsi="Arial"/>
          <w:sz w:val="22"/>
          <w:szCs w:val="22"/>
          <w:color w:val="auto"/>
        </w:rPr>
      </w:pPr>
      <w:r>
        <w:rPr>
          <w:rFonts w:ascii="Arial" w:cs="Arial" w:eastAsia="Arial" w:hAnsi="Arial"/>
          <w:sz w:val="19"/>
          <w:szCs w:val="19"/>
          <w:color w:val="auto"/>
        </w:rPr>
        <w:t>1000 Mylan Boulevard Canonsburg, PA 15317 Facsimile: (724) 514-1533</w:t>
      </w:r>
    </w:p>
    <w:p>
      <w:pPr>
        <w:ind w:left="1960"/>
        <w:spacing w:after="0"/>
        <w:rPr>
          <w:rFonts w:ascii="Arial" w:cs="Arial" w:eastAsia="Arial" w:hAnsi="Arial"/>
          <w:sz w:val="22"/>
          <w:szCs w:val="22"/>
          <w:color w:val="auto"/>
        </w:rPr>
      </w:pPr>
      <w:r>
        <w:rPr>
          <w:rFonts w:ascii="Arial" w:cs="Arial" w:eastAsia="Arial" w:hAnsi="Arial"/>
          <w:sz w:val="22"/>
          <w:szCs w:val="22"/>
          <w:color w:val="auto"/>
        </w:rPr>
        <w:t>Attention: Chief Human Resources Officer</w:t>
      </w:r>
    </w:p>
    <w:p>
      <w:pPr>
        <w:spacing w:after="0" w:line="188" w:lineRule="exact"/>
        <w:rPr>
          <w:rFonts w:ascii="Arial" w:cs="Arial" w:eastAsia="Arial" w:hAnsi="Arial"/>
          <w:sz w:val="22"/>
          <w:szCs w:val="22"/>
          <w:color w:val="auto"/>
        </w:rPr>
      </w:pPr>
    </w:p>
    <w:p>
      <w:pPr>
        <w:ind w:left="1940" w:hanging="636"/>
        <w:spacing w:after="0"/>
        <w:tabs>
          <w:tab w:leader="none" w:pos="1940"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to the Participant, to the Participant’s home address on file with the Company.</w:t>
      </w:r>
    </w:p>
    <w:p>
      <w:pPr>
        <w:spacing w:after="0" w:line="179" w:lineRule="exact"/>
        <w:rPr>
          <w:sz w:val="20"/>
          <w:szCs w:val="20"/>
          <w:color w:val="auto"/>
        </w:rPr>
      </w:pPr>
    </w:p>
    <w:p>
      <w:pPr>
        <w:ind w:right="140"/>
        <w:spacing w:after="0" w:line="218" w:lineRule="auto"/>
        <w:rPr>
          <w:sz w:val="20"/>
          <w:szCs w:val="20"/>
          <w:color w:val="auto"/>
        </w:rPr>
      </w:pPr>
      <w:r>
        <w:rPr>
          <w:rFonts w:ascii="Arial" w:cs="Arial" w:eastAsia="Arial" w:hAnsi="Arial"/>
          <w:sz w:val="22"/>
          <w:szCs w:val="22"/>
          <w:color w:val="auto"/>
        </w:rPr>
        <w:t>All such notices, requests, consents and other communications shall be deemed to have been delivered in the case of personal delivery or delivery by telecopy, on the date of such delivery, in the case of nationally recognized overnight courier, on the next business day, and in the case of mailing, on the third business day following such mailing if sent by certified mail, return receipt requested.</w:t>
      </w:r>
    </w:p>
    <w:p>
      <w:pPr>
        <w:spacing w:after="0" w:line="161" w:lineRule="exact"/>
        <w:rPr>
          <w:sz w:val="20"/>
          <w:szCs w:val="20"/>
          <w:color w:val="auto"/>
        </w:rPr>
      </w:pPr>
    </w:p>
    <w:p>
      <w:pPr>
        <w:ind w:right="160" w:firstLine="656"/>
        <w:spacing w:after="0" w:line="223" w:lineRule="auto"/>
        <w:tabs>
          <w:tab w:leader="none" w:pos="1291"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5" w:lineRule="exact"/>
        <w:rPr>
          <w:rFonts w:ascii="Arial" w:cs="Arial" w:eastAsia="Arial" w:hAnsi="Arial"/>
          <w:sz w:val="22"/>
          <w:szCs w:val="22"/>
          <w:color w:val="auto"/>
        </w:rPr>
      </w:pPr>
    </w:p>
    <w:p>
      <w:pPr>
        <w:ind w:right="60" w:firstLine="656"/>
        <w:spacing w:after="0" w:line="218" w:lineRule="auto"/>
        <w:tabs>
          <w:tab w:leader="none" w:pos="128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 Rights to Employment</w:t>
      </w:r>
      <w:r>
        <w:rPr>
          <w:rFonts w:ascii="Arial" w:cs="Arial" w:eastAsia="Arial" w:hAnsi="Arial"/>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87" w:lineRule="exact"/>
        <w:rPr>
          <w:rFonts w:ascii="Arial" w:cs="Arial" w:eastAsia="Arial" w:hAnsi="Arial"/>
          <w:sz w:val="22"/>
          <w:szCs w:val="22"/>
          <w:color w:val="auto"/>
        </w:rPr>
      </w:pPr>
    </w:p>
    <w:p>
      <w:pPr>
        <w:ind w:right="140" w:firstLine="656"/>
        <w:spacing w:after="0" w:line="223" w:lineRule="auto"/>
        <w:tabs>
          <w:tab w:leader="none" w:pos="128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In lieu of issuing a fraction of a Share resulting from an adjustment of the PSUs pursuant to Section 4(c) of the Plan or otherwise, the Company shall be entitled to pay to the Participant an amount equal to the Fair Market Value of such fractional share.</w:t>
      </w:r>
    </w:p>
    <w:p>
      <w:pPr>
        <w:sectPr>
          <w:pgSz w:w="11900" w:h="16838" w:orient="portrait"/>
          <w:cols w:equalWidth="0" w:num="1">
            <w:col w:w="11220"/>
          </w:cols>
          <w:pgMar w:left="320" w:top="753" w:right="359" w:bottom="1440" w:gutter="0" w:footer="0" w:header="0"/>
        </w:sectPr>
      </w:pPr>
    </w:p>
    <w:bookmarkStart w:id="69" w:name="page70"/>
    <w:bookmarkEnd w:id="69"/>
    <w:p>
      <w:pPr>
        <w:ind w:left="-656" w:right="20" w:firstLine="656"/>
        <w:spacing w:after="0" w:line="249" w:lineRule="auto"/>
        <w:tabs>
          <w:tab w:leader="none" w:pos="635"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 If no beneficiary is designated, if the designation is ineffective, or if the beneficiary dies before the balance of a Participant’s benefit is paid, the balance shall be paid to the Participant’s estate. Notwithstanding the foregoing, however, a Participant’s beneficiary shall be determined under applicable state law if such state law does not recognize beneficiary designations under Awards of this type and is not preempted by laws which recognize the provisions of this Section 10(k).</w:t>
      </w:r>
    </w:p>
    <w:p>
      <w:pPr>
        <w:spacing w:after="0" w:line="178" w:lineRule="exact"/>
        <w:rPr>
          <w:rFonts w:ascii="Arial" w:cs="Arial" w:eastAsia="Arial" w:hAnsi="Arial"/>
          <w:sz w:val="19"/>
          <w:szCs w:val="19"/>
          <w:color w:val="auto"/>
        </w:rPr>
      </w:pPr>
    </w:p>
    <w:p>
      <w:pPr>
        <w:ind w:left="-656" w:right="360" w:firstLine="656"/>
        <w:spacing w:after="0" w:line="223" w:lineRule="auto"/>
        <w:tabs>
          <w:tab w:leader="none" w:pos="62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5" w:lineRule="exact"/>
        <w:rPr>
          <w:rFonts w:ascii="Arial" w:cs="Arial" w:eastAsia="Arial" w:hAnsi="Arial"/>
          <w:sz w:val="22"/>
          <w:szCs w:val="22"/>
          <w:color w:val="auto"/>
        </w:rPr>
      </w:pPr>
    </w:p>
    <w:p>
      <w:pPr>
        <w:ind w:left="-656" w:right="280" w:firstLine="656"/>
        <w:spacing w:after="0" w:line="223" w:lineRule="auto"/>
        <w:tabs>
          <w:tab w:leader="none" w:pos="62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Exhibit A) and the Plan contain the entire agreement and understanding of the parties hereto with respect to the subject matter contained herein and supersede all prior communications, representations and negotiations in respect thereto.</w:t>
      </w:r>
    </w:p>
    <w:p>
      <w:pPr>
        <w:spacing w:after="0" w:line="193" w:lineRule="exact"/>
        <w:rPr>
          <w:rFonts w:ascii="Arial" w:cs="Arial" w:eastAsia="Arial" w:hAnsi="Arial"/>
          <w:sz w:val="22"/>
          <w:szCs w:val="22"/>
          <w:color w:val="auto"/>
        </w:rPr>
      </w:pPr>
    </w:p>
    <w:p>
      <w:pPr>
        <w:ind w:left="-656" w:right="480" w:firstLine="656"/>
        <w:spacing w:after="0" w:line="227" w:lineRule="auto"/>
        <w:tabs>
          <w:tab w:leader="none" w:pos="635" w:val="left"/>
        </w:tabs>
        <w:numPr>
          <w:ilvl w:val="0"/>
          <w:numId w:val="61"/>
        </w:numPr>
        <w:rPr>
          <w:rFonts w:ascii="Arial" w:cs="Arial" w:eastAsia="Arial" w:hAnsi="Arial"/>
          <w:sz w:val="22"/>
          <w:szCs w:val="22"/>
          <w:color w:val="auto"/>
        </w:rPr>
      </w:pPr>
      <w:r>
        <w:rPr>
          <w:rFonts w:ascii="Arial" w:cs="Arial" w:eastAsia="Arial" w:hAnsi="Arial"/>
          <w:sz w:val="21"/>
          <w:szCs w:val="21"/>
          <w:u w:val="single" w:color="auto"/>
          <w:color w:val="auto"/>
        </w:rPr>
        <w:t>Limitation Of Liability</w:t>
      </w:r>
      <w:r>
        <w:rPr>
          <w:rFonts w:ascii="Arial" w:cs="Arial" w:eastAsia="Arial" w:hAnsi="Arial"/>
          <w:sz w:val="21"/>
          <w:szCs w:val="21"/>
          <w:color w:val="auto"/>
        </w:rPr>
        <w:t>. The Participant agrees that any liability of the officers, the Committee, and the Board of Directors of the Company to the Participant under this Agreement shall be limited to those actions or failure to take actions which constitute self-dealing, willful misconduct or recklessness.</w:t>
      </w:r>
    </w:p>
    <w:p>
      <w:pPr>
        <w:spacing w:after="0" w:line="173" w:lineRule="exact"/>
        <w:rPr>
          <w:rFonts w:ascii="Arial" w:cs="Arial" w:eastAsia="Arial" w:hAnsi="Arial"/>
          <w:sz w:val="22"/>
          <w:szCs w:val="22"/>
          <w:color w:val="auto"/>
        </w:rPr>
      </w:pPr>
    </w:p>
    <w:p>
      <w:pPr>
        <w:ind w:left="-656" w:right="160" w:firstLine="656"/>
        <w:spacing w:after="0" w:line="218" w:lineRule="auto"/>
        <w:tabs>
          <w:tab w:leader="none" w:pos="635"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interpreted in accordance with the laws of the Commonwealth of Pennsylvania without regard to principles of conflicts of law thereof, or principles of conflicts of laws of any other jurisdiction which could cause the application of the laws of any jurisdiction other than the Commonwealth of Pennsylvania.</w:t>
      </w:r>
    </w:p>
    <w:p>
      <w:pPr>
        <w:spacing w:after="0" w:line="187" w:lineRule="exact"/>
        <w:rPr>
          <w:rFonts w:ascii="Arial" w:cs="Arial" w:eastAsia="Arial" w:hAnsi="Arial"/>
          <w:sz w:val="22"/>
          <w:szCs w:val="22"/>
          <w:color w:val="auto"/>
        </w:rPr>
      </w:pPr>
    </w:p>
    <w:p>
      <w:pPr>
        <w:ind w:left="-656" w:firstLine="656"/>
        <w:spacing w:after="0" w:line="247" w:lineRule="auto"/>
        <w:tabs>
          <w:tab w:leader="none" w:pos="635"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Consent to Jurisdiction; Waiver of Jury Trial</w:t>
      </w:r>
      <w:r>
        <w:rPr>
          <w:rFonts w:ascii="Arial" w:cs="Arial" w:eastAsia="Arial" w:hAnsi="Arial"/>
          <w:sz w:val="19"/>
          <w:szCs w:val="19"/>
          <w:color w:val="auto"/>
        </w:rPr>
        <w:t>. The Participant and the Company (on behalf of itself and its Affiliates) each consents to jurisdiction in the United States District Court for the Western District of Pennsylvania, or if that court is unable to exercise jurisdiction for any reason, the Court of Common Pleas of Washington County, Pennsylvania, and each waives any other requirement (whether imposed by statute, rule of court or otherwise) with respect to personal jurisdiction or service of process and waives any objection to jurisdiction based on improper venue or improper jurisdiction. EACH OF THE PARTIES HERETO HEREBY IRREVOCABLY WAIVES ALL RIGHT TO TRIAL BY JURY, IN ANY ACTION, PROCEEDING OR COUNTERCLAIM ARISING OUT OF OR RELATING TO THE PLAN OR THIS AGREEMENT.</w:t>
      </w:r>
    </w:p>
    <w:p>
      <w:pPr>
        <w:spacing w:after="0" w:line="180" w:lineRule="exact"/>
        <w:rPr>
          <w:rFonts w:ascii="Arial" w:cs="Arial" w:eastAsia="Arial" w:hAnsi="Arial"/>
          <w:sz w:val="19"/>
          <w:szCs w:val="19"/>
          <w:color w:val="auto"/>
        </w:rPr>
      </w:pPr>
    </w:p>
    <w:p>
      <w:pPr>
        <w:ind w:left="-656" w:right="280" w:firstLine="656"/>
        <w:spacing w:after="0" w:line="232" w:lineRule="auto"/>
        <w:tabs>
          <w:tab w:leader="none" w:pos="635"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provided for convenience only and are not to serve as a basis for interpretation or construction, and shall not constitute a part, of this Agreement.</w:t>
      </w:r>
    </w:p>
    <w:p>
      <w:pPr>
        <w:spacing w:after="0" w:line="185" w:lineRule="exact"/>
        <w:rPr>
          <w:rFonts w:ascii="Arial" w:cs="Arial" w:eastAsia="Arial" w:hAnsi="Arial"/>
          <w:sz w:val="22"/>
          <w:szCs w:val="22"/>
          <w:color w:val="auto"/>
        </w:rPr>
      </w:pPr>
    </w:p>
    <w:p>
      <w:pPr>
        <w:ind w:left="-656" w:right="100" w:firstLine="656"/>
        <w:spacing w:after="0" w:line="229" w:lineRule="auto"/>
        <w:tabs>
          <w:tab w:leader="none" w:pos="64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(including via facsimile, electronic image scan (pdf) and electronic signature on the Merrill Lynch intranet system), each of which shall be deemed to be an original, but all of which together shall constitute one and the same instrument and shall become effective when one or more counterparts have been signed by each of the parties and delivered to the other parties.</w:t>
      </w:r>
    </w:p>
    <w:p>
      <w:pPr>
        <w:sectPr>
          <w:pgSz w:w="11900" w:h="16838" w:orient="portrait"/>
          <w:cols w:equalWidth="0" w:num="1">
            <w:col w:w="10584"/>
          </w:cols>
          <w:pgMar w:left="976" w:top="75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A</w:t>
      </w:r>
    </w:p>
    <w:p>
      <w:pPr>
        <w:spacing w:after="0" w:line="18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[______]</w:t>
      </w:r>
    </w:p>
    <w:p>
      <w:pPr>
        <w:sectPr>
          <w:pgSz w:w="11900" w:h="16838" w:orient="portrait"/>
          <w:cols w:equalWidth="0" w:num="1">
            <w:col w:w="10120"/>
          </w:cols>
          <w:pgMar w:left="1440" w:top="99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10.4</w:t>
      </w: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LIBOR TRANSITION AMENDMENT TO AMENDED AND RESTATED REVOLVING CREDIT AGREEMENT</w:t>
      </w:r>
    </w:p>
    <w:p>
      <w:pPr>
        <w:spacing w:after="0" w:line="195" w:lineRule="exact"/>
        <w:rPr>
          <w:sz w:val="20"/>
          <w:szCs w:val="20"/>
          <w:color w:val="auto"/>
        </w:rPr>
      </w:pPr>
    </w:p>
    <w:p>
      <w:pPr>
        <w:ind w:firstLine="1296"/>
        <w:spacing w:after="0" w:line="223" w:lineRule="auto"/>
        <w:rPr>
          <w:sz w:val="20"/>
          <w:szCs w:val="20"/>
          <w:color w:val="auto"/>
        </w:rPr>
      </w:pPr>
      <w:r>
        <w:rPr>
          <w:rFonts w:ascii="Arial" w:cs="Arial" w:eastAsia="Arial" w:hAnsi="Arial"/>
          <w:sz w:val="19"/>
          <w:szCs w:val="19"/>
          <w:color w:val="auto"/>
        </w:rPr>
        <w:t>This LIBOR TRANSITION AMENDMENT TO AMENDED AND RESTATED REVOLVING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April 28, 2023, is among VIATRIS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certain Affiliates and</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Subsidiaries of the Borrower from time to time party hereto as Guarantors, each Lender and Issuing Bank from time to time party hereto and BANK OF AMERICA,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STATEMENTS</w:t>
      </w:r>
    </w:p>
    <w:p>
      <w:pPr>
        <w:spacing w:after="0" w:line="195" w:lineRule="exact"/>
        <w:rPr>
          <w:sz w:val="20"/>
          <w:szCs w:val="20"/>
          <w:color w:val="auto"/>
        </w:rPr>
      </w:pPr>
    </w:p>
    <w:p>
      <w:pPr>
        <w:jc w:val="both"/>
        <w:ind w:firstLine="1304"/>
        <w:spacing w:after="0" w:line="246" w:lineRule="auto"/>
        <w:tabs>
          <w:tab w:leader="none" w:pos="17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the Guarantors, the certain banks party thereto and the Administrative Agent are parties to that certain Amended and Restated Revolving Credit Agreement, dated as of July 1, 2021, as amended, restated, amended and restated, supplemented or otherwise modified from time to time prior to the date hereof (such Amended and Restated Revolving Credit Agreement as in effect immediately prior to giving effect to this Amendment, the “</w:t>
      </w:r>
      <w:r>
        <w:rPr>
          <w:rFonts w:ascii="Arial" w:cs="Arial" w:eastAsia="Arial" w:hAnsi="Arial"/>
          <w:sz w:val="18"/>
          <w:szCs w:val="18"/>
          <w:u w:val="single" w:color="auto"/>
          <w:color w:val="auto"/>
        </w:rPr>
        <w:t>Existing Agreement</w:t>
      </w:r>
      <w:r>
        <w:rPr>
          <w:rFonts w:ascii="Arial" w:cs="Arial" w:eastAsia="Arial" w:hAnsi="Arial"/>
          <w:sz w:val="18"/>
          <w:szCs w:val="18"/>
          <w:color w:val="auto"/>
        </w:rPr>
        <w:t>” and as amended hereby, the “</w:t>
      </w:r>
      <w:r>
        <w:rPr>
          <w:rFonts w:ascii="Arial" w:cs="Arial" w:eastAsia="Arial" w:hAnsi="Arial"/>
          <w:sz w:val="18"/>
          <w:szCs w:val="18"/>
          <w:u w:val="single" w:color="auto"/>
          <w:color w:val="auto"/>
        </w:rPr>
        <w:t>Amended Agreement</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jc w:val="both"/>
        <w:ind w:firstLine="1304"/>
        <w:spacing w:after="0" w:line="223" w:lineRule="auto"/>
        <w:tabs>
          <w:tab w:leader="none" w:pos="1950" w:val="left"/>
        </w:tabs>
        <w:numPr>
          <w:ilvl w:val="0"/>
          <w:numId w:val="62"/>
        </w:numPr>
        <w:rPr>
          <w:rFonts w:ascii="Arial" w:cs="Arial" w:eastAsia="Arial" w:hAnsi="Arial"/>
          <w:sz w:val="20"/>
          <w:szCs w:val="20"/>
          <w:color w:val="auto"/>
        </w:rPr>
      </w:pPr>
      <w:r>
        <w:rPr>
          <w:rFonts w:ascii="Arial" w:cs="Arial" w:eastAsia="Arial" w:hAnsi="Arial"/>
          <w:sz w:val="20"/>
          <w:szCs w:val="20"/>
          <w:color w:val="auto"/>
        </w:rPr>
        <w:t>Certain loans, disbursements and/or extensions of credit under the Existing Agreement denominated in Dollars, Sterling, Yen and Euros incur or are permitted to incur interest, fees, commissions or other amounts based on LIBOR (as defined in the Existing Agreement) in accordance with the terms of the Existing Agreement;</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889"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Borrower, the Lenders party hereto, being all the Lenders, and the Administrative Agent have determined, in accordance with Section 9.02(b) of the Existing Agreement, to replace LIBOR and implement customary benchmark replacement provisions; and</w:t>
      </w:r>
    </w:p>
    <w:p>
      <w:pPr>
        <w:spacing w:after="0" w:line="166" w:lineRule="exact"/>
        <w:rPr>
          <w:rFonts w:ascii="Arial" w:cs="Arial" w:eastAsia="Arial" w:hAnsi="Arial"/>
          <w:sz w:val="20"/>
          <w:szCs w:val="20"/>
          <w:color w:val="auto"/>
        </w:rPr>
      </w:pPr>
    </w:p>
    <w:p>
      <w:pPr>
        <w:ind w:left="1760" w:hanging="456"/>
        <w:spacing w:after="0"/>
        <w:tabs>
          <w:tab w:leader="none" w:pos="1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the Lenders and the Administrative Agent have agreed to amend the Existing Agreement as hereinafter</w:t>
      </w:r>
    </w:p>
    <w:p>
      <w:pPr>
        <w:spacing w:after="0"/>
        <w:rPr>
          <w:rFonts w:ascii="Arial" w:cs="Arial" w:eastAsia="Arial" w:hAnsi="Arial"/>
          <w:sz w:val="18"/>
          <w:szCs w:val="18"/>
          <w:color w:val="auto"/>
        </w:rPr>
      </w:pPr>
      <w:r>
        <w:rPr>
          <w:rFonts w:ascii="Arial" w:cs="Arial" w:eastAsia="Arial" w:hAnsi="Arial"/>
          <w:sz w:val="20"/>
          <w:szCs w:val="20"/>
          <w:color w:val="auto"/>
        </w:rPr>
        <w:t>set forth herein.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17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Amendments to the Existing Agreement</w:t>
      </w:r>
      <w:r>
        <w:rPr>
          <w:rFonts w:ascii="Arial" w:cs="Arial" w:eastAsia="Arial" w:hAnsi="Arial"/>
          <w:sz w:val="16"/>
          <w:szCs w:val="16"/>
          <w:color w:val="auto"/>
        </w:rPr>
        <w:t xml:space="preserve">. The Borrower, the Lenders and the Administrative Agent agree that, subject to the satisfaction of the conditions precedent set forth in Section 2, (a) the Existing Agreement is hereby amended to read as set forth in </w:t>
      </w:r>
      <w:r>
        <w:rPr>
          <w:rFonts w:ascii="Arial" w:cs="Arial" w:eastAsia="Arial" w:hAnsi="Arial"/>
          <w:sz w:val="16"/>
          <w:szCs w:val="16"/>
          <w:u w:val="single" w:color="auto"/>
          <w:color w:val="auto"/>
        </w:rPr>
        <w:t>Appendix I</w:t>
      </w:r>
      <w:r>
        <w:rPr>
          <w:rFonts w:ascii="Arial" w:cs="Arial" w:eastAsia="Arial" w:hAnsi="Arial"/>
          <w:sz w:val="16"/>
          <w:szCs w:val="16"/>
          <w:color w:val="auto"/>
        </w:rPr>
        <w:t xml:space="preserve"> hereto to delete the stricken text (indicated textually in the same manner as the following example: </w:t>
      </w:r>
      <w:r>
        <w:rPr>
          <w:rFonts w:ascii="Arial" w:cs="Arial" w:eastAsia="Arial" w:hAnsi="Arial"/>
          <w:sz w:val="16"/>
          <w:szCs w:val="16"/>
          <w:color w:val="EE2724"/>
          <w:strike w:val="1"/>
        </w:rPr>
        <w:t>stricken text</w:t>
      </w:r>
      <w:r>
        <w:rPr>
          <w:rFonts w:ascii="Arial" w:cs="Arial" w:eastAsia="Arial" w:hAnsi="Arial"/>
          <w:sz w:val="16"/>
          <w:szCs w:val="16"/>
          <w:color w:val="auto"/>
        </w:rPr>
        <w:t>) and insert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added text (indicated textually in the same manner as the following example: </w:t>
      </w:r>
      <w:r>
        <w:rPr>
          <w:rFonts w:ascii="Arial" w:cs="Arial" w:eastAsia="Arial" w:hAnsi="Arial"/>
          <w:sz w:val="20"/>
          <w:szCs w:val="20"/>
          <w:u w:val="single" w:color="auto"/>
          <w:color w:val="0000FF"/>
        </w:rPr>
        <w:t>added text</w:t>
      </w:r>
      <w:r>
        <w:rPr>
          <w:rFonts w:ascii="Arial" w:cs="Arial" w:eastAsia="Arial" w:hAnsi="Arial"/>
          <w:sz w:val="20"/>
          <w:szCs w:val="20"/>
          <w:color w:val="auto"/>
        </w:rPr>
        <w:t xml:space="preserve">) as shown therein and (b) Exhibit C to the Existing Credit Agreement is deleted in its entirety and </w:t>
      </w:r>
      <w:r>
        <w:rPr>
          <w:rFonts w:ascii="Arial" w:cs="Arial" w:eastAsia="Arial" w:hAnsi="Arial"/>
          <w:sz w:val="20"/>
          <w:szCs w:val="20"/>
          <w:u w:val="single" w:color="auto"/>
          <w:color w:val="auto"/>
        </w:rPr>
        <w:t>Appendix II</w:t>
      </w:r>
      <w:r>
        <w:rPr>
          <w:rFonts w:ascii="Arial" w:cs="Arial" w:eastAsia="Arial" w:hAnsi="Arial"/>
          <w:sz w:val="20"/>
          <w:szCs w:val="20"/>
          <w:color w:val="auto"/>
        </w:rPr>
        <w:t xml:space="preserve"> attached hereto is substituted therefor.</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of Amendment Effectiveness</w:t>
      </w:r>
      <w:r>
        <w:rPr>
          <w:rFonts w:ascii="Arial" w:cs="Arial" w:eastAsia="Arial" w:hAnsi="Arial"/>
          <w:sz w:val="18"/>
          <w:szCs w:val="18"/>
          <w:color w:val="auto"/>
        </w:rPr>
        <w:t>. This Amendment shall become effective as of the date on which the Administrative Agent shall have received a counterpart of this Amendment executed by the Borrower, the Guarantors and each Lender (such</w:t>
      </w:r>
    </w:p>
    <w:p>
      <w:pPr>
        <w:spacing w:after="0"/>
        <w:rPr>
          <w:sz w:val="20"/>
          <w:szCs w:val="20"/>
          <w:color w:val="auto"/>
        </w:rPr>
      </w:pPr>
      <w:r>
        <w:rPr>
          <w:rFonts w:ascii="Arial" w:cs="Arial" w:eastAsia="Arial" w:hAnsi="Arial"/>
          <w:sz w:val="20"/>
          <w:szCs w:val="20"/>
          <w:color w:val="auto"/>
        </w:rPr>
        <w:t>date,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Reference to and Effect on the Existing Agreement</w:t>
      </w:r>
      <w:r>
        <w:rPr>
          <w:rFonts w:ascii="Arial" w:cs="Arial" w:eastAsia="Arial" w:hAnsi="Arial"/>
          <w:sz w:val="18"/>
          <w:szCs w:val="18"/>
          <w:color w:val="auto"/>
        </w:rPr>
        <w:t>. On and after the effectiveness of this Amendment, each reference in the Existing Agreement to “this Agreement”, “hereunder”, “hereof” or words of like import referring to the Existing Agreement</w:t>
      </w:r>
    </w:p>
    <w:p>
      <w:pPr>
        <w:spacing w:after="0" w:line="235" w:lineRule="auto"/>
        <w:rPr>
          <w:sz w:val="20"/>
          <w:szCs w:val="20"/>
          <w:color w:val="auto"/>
        </w:rPr>
      </w:pPr>
      <w:r>
        <w:rPr>
          <w:rFonts w:ascii="Arial" w:cs="Arial" w:eastAsia="Arial" w:hAnsi="Arial"/>
          <w:sz w:val="18"/>
          <w:szCs w:val="18"/>
          <w:color w:val="auto"/>
        </w:rPr>
        <w:t>and each reference in each other Loan Document to “the Credit Agreement”, “thereunder”, “thereof” or words of like import referring to the</w:t>
      </w:r>
    </w:p>
    <w:p>
      <w:pPr>
        <w:spacing w:after="0" w:line="226" w:lineRule="auto"/>
        <w:rPr>
          <w:sz w:val="20"/>
          <w:szCs w:val="20"/>
          <w:color w:val="auto"/>
        </w:rPr>
      </w:pPr>
      <w:r>
        <w:rPr>
          <w:rFonts w:ascii="Arial" w:cs="Arial" w:eastAsia="Arial" w:hAnsi="Arial"/>
          <w:sz w:val="18"/>
          <w:szCs w:val="18"/>
          <w:color w:val="auto"/>
        </w:rPr>
        <w:t>Existing Agreement shall mean and be a reference to the Amended Agreement. The Existing Agreement, as specifically amended by this Amendment, is and shall continue to be in full force and effect and is hereby in all respects ratified and confirmed. The execution, delivery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effectiveness of this Amendment shall not, except as expressly provided herein, operate as a waiver of any right, power or remedy of any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 or the Administrative Agent under the Existing Agreement, nor constitute a waiver of any provision of the Existing Agreement. This Amendment shall be deemed to constitute a Loan Document. The Borrower and each Guarantor hereby acknowledges that it has read this</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Amendment and consents to the terms hereof and further hereby affirms, confirms, represents, warrants and agrees that notwithstanding the effectiveness of this Amendment, the obligations of the Borrower and</w:t>
      </w:r>
    </w:p>
    <w:p>
      <w:pPr>
        <w:sectPr>
          <w:pgSz w:w="11900" w:h="16838" w:orient="portrait"/>
          <w:cols w:equalWidth="0" w:num="1">
            <w:col w:w="11240"/>
          </w:cols>
          <w:pgMar w:left="320" w:top="98"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such Guarantors under each of the Loan Documents to which it is a party shall not be impaired and each of the Loan Documents to which the</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Borrower and such Guarantors are a party is, and shall continue to be, in full force and effect and are hereby confirmed and ratified in all respects, in each case, as amended hereby.</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u w:val="single" w:color="auto"/>
          <w:color w:val="auto"/>
        </w:rPr>
        <w:t>Representation and Warranty of the Borrower</w:t>
      </w:r>
      <w:r>
        <w:rPr>
          <w:rFonts w:ascii="Arial" w:cs="Arial" w:eastAsia="Arial" w:hAnsi="Arial"/>
          <w:sz w:val="19"/>
          <w:szCs w:val="19"/>
          <w:color w:val="auto"/>
        </w:rPr>
        <w:t>. To induce the Administrative Agent to enter into this</w:t>
      </w:r>
    </w:p>
    <w:p>
      <w:pPr>
        <w:spacing w:after="0"/>
        <w:rPr>
          <w:sz w:val="20"/>
          <w:szCs w:val="20"/>
          <w:color w:val="auto"/>
        </w:rPr>
      </w:pPr>
      <w:r>
        <w:rPr>
          <w:rFonts w:ascii="Arial" w:cs="Arial" w:eastAsia="Arial" w:hAnsi="Arial"/>
          <w:sz w:val="20"/>
          <w:szCs w:val="20"/>
          <w:color w:val="auto"/>
        </w:rPr>
        <w:t>Amendment, the Borrower represents and warrants that, as of the effectiveness of this Amendment:</w:t>
      </w:r>
    </w:p>
    <w:p>
      <w:pPr>
        <w:spacing w:after="0" w:line="159" w:lineRule="exact"/>
        <w:rPr>
          <w:sz w:val="20"/>
          <w:szCs w:val="20"/>
          <w:color w:val="auto"/>
        </w:rPr>
      </w:pPr>
    </w:p>
    <w:p>
      <w:pPr>
        <w:jc w:val="both"/>
        <w:ind w:left="660" w:firstLine="644"/>
        <w:spacing w:after="0" w:line="220" w:lineRule="auto"/>
        <w:tabs>
          <w:tab w:leader="none" w:pos="1765"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representations and warranties contained in the Amended Agreement and the other Loan Documents are true and correct in all material respects (except for any representation and warranty that is qualified by materiality, which is true and correct in all respects); provided that any representation or warranty expressly made as of a specific earlier date is true in all material respects as of such earlier date, and</w:t>
      </w:r>
    </w:p>
    <w:p>
      <w:pPr>
        <w:spacing w:after="0" w:line="169" w:lineRule="exact"/>
        <w:rPr>
          <w:rFonts w:ascii="Arial" w:cs="Arial" w:eastAsia="Arial" w:hAnsi="Arial"/>
          <w:sz w:val="20"/>
          <w:szCs w:val="20"/>
          <w:color w:val="auto"/>
        </w:rPr>
      </w:pPr>
    </w:p>
    <w:p>
      <w:pPr>
        <w:ind w:left="1740" w:hanging="436"/>
        <w:spacing w:after="0"/>
        <w:tabs>
          <w:tab w:leader="none" w:pos="17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No Default has occurred and is continuing.</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agrees to pay on demand all reasonable and documented out-of-pocket costs and expenses of the Administrative Agent in connection with the preparation, execution, delivery and administration, modification and</w:t>
      </w:r>
    </w:p>
    <w:p>
      <w:pPr>
        <w:spacing w:after="0" w:line="235" w:lineRule="auto"/>
        <w:rPr>
          <w:sz w:val="20"/>
          <w:szCs w:val="20"/>
          <w:color w:val="auto"/>
        </w:rPr>
      </w:pPr>
      <w:r>
        <w:rPr>
          <w:rFonts w:ascii="Arial" w:cs="Arial" w:eastAsia="Arial" w:hAnsi="Arial"/>
          <w:sz w:val="18"/>
          <w:szCs w:val="18"/>
          <w:color w:val="auto"/>
        </w:rPr>
        <w:t>amendment of this Amendment and the other documents to be delivered hereunder (including the reasonable and documented fees and</w:t>
      </w:r>
    </w:p>
    <w:p>
      <w:pPr>
        <w:spacing w:after="0" w:line="220" w:lineRule="auto"/>
        <w:rPr>
          <w:sz w:val="20"/>
          <w:szCs w:val="20"/>
          <w:color w:val="auto"/>
        </w:rPr>
      </w:pPr>
      <w:r>
        <w:rPr>
          <w:rFonts w:ascii="Arial" w:cs="Arial" w:eastAsia="Arial" w:hAnsi="Arial"/>
          <w:sz w:val="20"/>
          <w:szCs w:val="20"/>
          <w:color w:val="auto"/>
        </w:rPr>
        <w:t>expenses of one counsel for the Administrative Agent with respect hereto and thereto) in accordance with the terms of the Amended Agreement.</w:t>
      </w:r>
    </w:p>
    <w:p>
      <w:pPr>
        <w:spacing w:after="0" w:line="158"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may be executed in counterparts (and by different parties hereto</w:t>
      </w:r>
    </w:p>
    <w:p>
      <w:pPr>
        <w:spacing w:after="0" w:line="226" w:lineRule="auto"/>
        <w:rPr>
          <w:sz w:val="20"/>
          <w:szCs w:val="20"/>
          <w:color w:val="auto"/>
        </w:rPr>
      </w:pPr>
      <w:r>
        <w:rPr>
          <w:rFonts w:ascii="Arial" w:cs="Arial" w:eastAsia="Arial" w:hAnsi="Arial"/>
          <w:sz w:val="18"/>
          <w:szCs w:val="18"/>
          <w:color w:val="auto"/>
        </w:rPr>
        <w:t>on different counterparts), each of which shall constitute an original, but all of which when taken together shall constitute a single contract. This Amendment constitutes the entire contract among the parties relating to the subject matter hereof and supersede any and all previous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agreements and understandings, oral or written, relating to the subject matter hereof. The words “execute,” “execution,” “signed,” “signature,” and words of like import in or related to any document to be signed in connection with this Amendment and the transactions</w:t>
      </w:r>
    </w:p>
    <w:p>
      <w:pPr>
        <w:spacing w:after="0" w:line="236" w:lineRule="auto"/>
        <w:rPr>
          <w:sz w:val="20"/>
          <w:szCs w:val="20"/>
          <w:color w:val="auto"/>
        </w:rPr>
      </w:pPr>
      <w:r>
        <w:rPr>
          <w:rFonts w:ascii="Arial" w:cs="Arial" w:eastAsia="Arial" w:hAnsi="Arial"/>
          <w:sz w:val="18"/>
          <w:szCs w:val="18"/>
          <w:color w:val="auto"/>
        </w:rPr>
        <w:t>contemplated hereby shall be deemed to include electronic signatures, the electronic matching of assignment terms and contract formations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electronic platforms approved by the Administrative Agent, or the keeping of records in electronic form, each of which shall be of the same legal effect, validity or enforceability as a manually executed signature or the use of a paper-based recordkeeping system, as the case</w:t>
      </w:r>
    </w:p>
    <w:p>
      <w:pPr>
        <w:spacing w:after="0" w:line="224" w:lineRule="auto"/>
        <w:rPr>
          <w:sz w:val="20"/>
          <w:szCs w:val="20"/>
          <w:color w:val="auto"/>
        </w:rPr>
      </w:pPr>
      <w:r>
        <w:rPr>
          <w:rFonts w:ascii="Arial" w:cs="Arial" w:eastAsia="Arial" w:hAnsi="Arial"/>
          <w:sz w:val="19"/>
          <w:szCs w:val="19"/>
          <w:color w:val="auto"/>
        </w:rPr>
        <w:t>may be, to the extent and as provided for in any applicable law, including the Federal Electronic Signatures in Global and National</w:t>
      </w:r>
    </w:p>
    <w:p>
      <w:pPr>
        <w:spacing w:after="0" w:line="220" w:lineRule="auto"/>
        <w:rPr>
          <w:sz w:val="20"/>
          <w:szCs w:val="20"/>
          <w:color w:val="auto"/>
        </w:rPr>
      </w:pPr>
      <w:r>
        <w:rPr>
          <w:rFonts w:ascii="Arial" w:cs="Arial" w:eastAsia="Arial" w:hAnsi="Arial"/>
          <w:sz w:val="20"/>
          <w:szCs w:val="20"/>
          <w:color w:val="auto"/>
        </w:rPr>
        <w:t>Commerce Act, the New York State Electronic Signatures and Records Act, or any other similar state laws based on the Uniform Electronic Transactions Act.</w:t>
      </w:r>
    </w:p>
    <w:p>
      <w:pPr>
        <w:spacing w:after="0" w:line="158"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construed in accordance with and governed by the law of the State</w:t>
      </w:r>
    </w:p>
    <w:p>
      <w:pPr>
        <w:spacing w:after="0" w:line="220" w:lineRule="auto"/>
        <w:rPr>
          <w:sz w:val="20"/>
          <w:szCs w:val="20"/>
          <w:color w:val="auto"/>
        </w:rPr>
      </w:pPr>
      <w:r>
        <w:rPr>
          <w:rFonts w:ascii="Arial" w:cs="Arial" w:eastAsia="Arial" w:hAnsi="Arial"/>
          <w:sz w:val="20"/>
          <w:szCs w:val="20"/>
          <w:color w:val="auto"/>
        </w:rPr>
        <w:t>of New York (without regard to the conflict of law principles thereof to the extent that the application of the laws of another jurisdiction would be required thereby).</w:t>
      </w:r>
    </w:p>
    <w:p>
      <w:pPr>
        <w:spacing w:after="0" w:line="158"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8"/>
          <w:szCs w:val="18"/>
          <w:u w:val="single" w:color="auto"/>
          <w:color w:val="auto"/>
        </w:rPr>
        <w:t xml:space="preserve">Incorporation of Terms. </w:t>
      </w:r>
      <w:r>
        <w:rPr>
          <w:rFonts w:ascii="Arial" w:cs="Arial" w:eastAsia="Arial" w:hAnsi="Arial"/>
          <w:sz w:val="18"/>
          <w:szCs w:val="18"/>
          <w:color w:val="auto"/>
        </w:rPr>
        <w:t>The provisions of Sections 9.03, 9.09, 9.10 and 9.12 of the Existing Agreement shall</w:t>
      </w:r>
    </w:p>
    <w:p>
      <w:pPr>
        <w:spacing w:after="0" w:line="220" w:lineRule="auto"/>
        <w:rPr>
          <w:sz w:val="20"/>
          <w:szCs w:val="20"/>
          <w:color w:val="auto"/>
        </w:rPr>
      </w:pPr>
      <w:r>
        <w:rPr>
          <w:rFonts w:ascii="Arial" w:cs="Arial" w:eastAsia="Arial" w:hAnsi="Arial"/>
          <w:sz w:val="20"/>
          <w:szCs w:val="20"/>
          <w:color w:val="auto"/>
        </w:rPr>
        <w:t>be incorporated into this Amendment as if set out in full in this Amendment and as if references in those sections to “this Agreement” were references to this Amendment.</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xml:space="preserve"> This Amendment may not be amended, modified or waived except as permitted by Section 9.02 of the Amended Agreement.</w:t>
      </w:r>
    </w:p>
    <w:p>
      <w:pPr>
        <w:spacing w:after="0" w:line="15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Defined Terms</w:t>
      </w:r>
      <w:r>
        <w:rPr>
          <w:rFonts w:ascii="Arial" w:cs="Arial" w:eastAsia="Arial" w:hAnsi="Arial"/>
          <w:sz w:val="20"/>
          <w:szCs w:val="20"/>
          <w:color w:val="auto"/>
        </w:rPr>
        <w:t>. Except as provided in Section 2, capitalized terms not otherwise defined in this Amendment shall have the same meanings as specified in the Amended Agreement.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Viatris – LIBOR Transition Amendment</w:t>
      </w:r>
    </w:p>
    <w:p>
      <w:pPr>
        <w:sectPr>
          <w:pgSz w:w="11900" w:h="16838" w:orient="portrait"/>
          <w:cols w:equalWidth="0" w:num="1">
            <w:col w:w="11240"/>
          </w:cols>
          <w:pgMar w:left="320" w:top="1405" w:right="339" w:bottom="1440" w:gutter="0" w:footer="0" w:header="0"/>
        </w:sectPr>
      </w:pPr>
    </w:p>
    <w:bookmarkStart w:id="73" w:name="page74"/>
    <w:bookmarkEnd w:id="73"/>
    <w:p>
      <w:pPr>
        <w:ind w:firstLine="1296"/>
        <w:spacing w:after="0" w:line="23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Amendment to be executed by their respective officers</w:t>
      </w:r>
      <w:r>
        <w:rPr>
          <w:rFonts w:ascii="Arial" w:cs="Arial" w:eastAsia="Arial" w:hAnsi="Arial"/>
          <w:sz w:val="20"/>
          <w:szCs w:val="20"/>
          <w:b w:val="1"/>
          <w:bCs w:val="1"/>
          <w:color w:val="auto"/>
        </w:rPr>
        <w:t xml:space="preserve"> </w:t>
      </w:r>
      <w:r>
        <w:rPr>
          <w:rFonts w:ascii="Arial" w:cs="Arial" w:eastAsia="Arial" w:hAnsi="Arial"/>
          <w:sz w:val="20"/>
          <w:szCs w:val="20"/>
          <w:color w:val="auto"/>
        </w:rPr>
        <w:t>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VIATRIS INC.</w:t>
      </w:r>
    </w:p>
    <w:p>
      <w:pPr>
        <w:spacing w:after="0" w:line="39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w:t>
      </w:r>
      <w:r>
        <w:rPr>
          <w:rFonts w:ascii="Arial" w:cs="Arial" w:eastAsia="Arial" w:hAnsi="Arial"/>
          <w:sz w:val="20"/>
          <w:szCs w:val="20"/>
          <w:color w:val="auto"/>
        </w:rPr>
        <w:t>_</w:t>
      </w:r>
      <w:r>
        <w:rPr>
          <w:rFonts w:ascii="Arial" w:cs="Arial" w:eastAsia="Arial" w:hAnsi="Arial"/>
          <w:sz w:val="20"/>
          <w:szCs w:val="20"/>
          <w:u w:val="single" w:color="auto"/>
          <w:color w:val="auto"/>
        </w:rPr>
        <w:t>John Miraglia</w:t>
      </w:r>
      <w:r>
        <w:rPr>
          <w:rFonts w:ascii="Arial" w:cs="Arial" w:eastAsia="Arial" w:hAnsi="Arial"/>
          <w:sz w:val="20"/>
          <w:szCs w:val="20"/>
          <w:color w:val="auto"/>
        </w:rPr>
        <w:t>________________</w:t>
      </w:r>
    </w:p>
    <w:p>
      <w:pPr>
        <w:ind w:left="4860"/>
        <w:spacing w:after="0" w:line="219" w:lineRule="auto"/>
        <w:tabs>
          <w:tab w:leader="none" w:pos="55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John Miraglia</w:t>
      </w:r>
    </w:p>
    <w:p>
      <w:pPr>
        <w:ind w:left="4860"/>
        <w:spacing w:after="0"/>
        <w:tabs>
          <w:tab w:leader="none" w:pos="54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LIBOR Transition Amendment</w:t>
      </w:r>
    </w:p>
    <w:p>
      <w:pPr>
        <w:sectPr>
          <w:pgSz w:w="11900" w:h="16838" w:orient="portrait"/>
          <w:cols w:equalWidth="0" w:num="1">
            <w:col w:w="11240"/>
          </w:cols>
          <w:pgMar w:left="320" w:top="1399" w:right="339" w:bottom="1440" w:gutter="0" w:footer="0" w:header="0"/>
        </w:sectPr>
      </w:pPr>
    </w:p>
    <w:bookmarkStart w:id="74" w:name="page75"/>
    <w:bookmarkEnd w:id="74"/>
    <w:p>
      <w:pPr>
        <w:spacing w:after="0" w:line="200" w:lineRule="exact"/>
        <w:rPr>
          <w:sz w:val="20"/>
          <w:szCs w:val="20"/>
          <w:color w:val="auto"/>
        </w:rPr>
      </w:pPr>
    </w:p>
    <w:p>
      <w:pPr>
        <w:spacing w:after="0" w:line="219"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MYLAN INC.</w:t>
      </w:r>
    </w:p>
    <w:p>
      <w:pPr>
        <w:spacing w:after="0" w:line="200" w:lineRule="exact"/>
        <w:rPr>
          <w:sz w:val="20"/>
          <w:szCs w:val="20"/>
          <w:color w:val="auto"/>
        </w:rPr>
      </w:pPr>
    </w:p>
    <w:p>
      <w:pPr>
        <w:spacing w:after="0" w:line="20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w:t>
      </w:r>
      <w:r>
        <w:rPr>
          <w:rFonts w:ascii="Arial" w:cs="Arial" w:eastAsia="Arial" w:hAnsi="Arial"/>
          <w:sz w:val="18"/>
          <w:szCs w:val="18"/>
          <w:color w:val="auto"/>
        </w:rPr>
        <w:t>_</w:t>
      </w:r>
      <w:r>
        <w:rPr>
          <w:rFonts w:ascii="Arial" w:cs="Arial" w:eastAsia="Arial" w:hAnsi="Arial"/>
          <w:sz w:val="18"/>
          <w:szCs w:val="18"/>
          <w:u w:val="single" w:color="auto"/>
          <w:color w:val="auto"/>
        </w:rPr>
        <w:t>John Miraglia</w:t>
      </w:r>
      <w:r>
        <w:rPr>
          <w:rFonts w:ascii="Arial" w:cs="Arial" w:eastAsia="Arial" w:hAnsi="Arial"/>
          <w:sz w:val="18"/>
          <w:szCs w:val="18"/>
          <w:color w:val="auto"/>
        </w:rPr>
        <w:t>________________</w:t>
      </w:r>
    </w:p>
    <w:p>
      <w:pPr>
        <w:ind w:left="3740"/>
        <w:spacing w:after="0" w:line="234" w:lineRule="auto"/>
        <w:tabs>
          <w:tab w:leader="none" w:pos="44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John Miraglia</w:t>
      </w:r>
    </w:p>
    <w:p>
      <w:pPr>
        <w:ind w:left="3740"/>
        <w:spacing w:after="0"/>
        <w:tabs>
          <w:tab w:leader="none" w:pos="4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UTAH ACQUISITION SUB INC.</w:t>
      </w:r>
    </w:p>
    <w:p>
      <w:pPr>
        <w:spacing w:after="0" w:line="39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w:t>
      </w:r>
      <w:r>
        <w:rPr>
          <w:rFonts w:ascii="Arial" w:cs="Arial" w:eastAsia="Arial" w:hAnsi="Arial"/>
          <w:sz w:val="18"/>
          <w:szCs w:val="18"/>
          <w:color w:val="auto"/>
        </w:rPr>
        <w:t>_</w:t>
      </w:r>
      <w:r>
        <w:rPr>
          <w:rFonts w:ascii="Arial" w:cs="Arial" w:eastAsia="Arial" w:hAnsi="Arial"/>
          <w:sz w:val="18"/>
          <w:szCs w:val="18"/>
          <w:u w:val="single" w:color="auto"/>
          <w:color w:val="auto"/>
        </w:rPr>
        <w:t>John Miraglia</w:t>
      </w:r>
      <w:r>
        <w:rPr>
          <w:rFonts w:ascii="Arial" w:cs="Arial" w:eastAsia="Arial" w:hAnsi="Arial"/>
          <w:sz w:val="18"/>
          <w:szCs w:val="18"/>
          <w:color w:val="auto"/>
        </w:rPr>
        <w:t>________________</w:t>
      </w:r>
    </w:p>
    <w:p>
      <w:pPr>
        <w:ind w:left="3740"/>
        <w:spacing w:after="0"/>
        <w:tabs>
          <w:tab w:leader="none" w:pos="44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John Miraglia</w:t>
      </w:r>
    </w:p>
    <w:p>
      <w:pPr>
        <w:ind w:left="3740"/>
        <w:spacing w:after="0"/>
        <w:tabs>
          <w:tab w:leader="none" w:pos="4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MYLAN II B.V.</w:t>
      </w:r>
    </w:p>
    <w:p>
      <w:pPr>
        <w:spacing w:after="0" w:line="200" w:lineRule="exact"/>
        <w:rPr>
          <w:sz w:val="20"/>
          <w:szCs w:val="20"/>
          <w:color w:val="auto"/>
        </w:rPr>
      </w:pPr>
    </w:p>
    <w:p>
      <w:pPr>
        <w:spacing w:after="0" w:line="21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w:t>
      </w:r>
      <w:r>
        <w:rPr>
          <w:rFonts w:ascii="Arial" w:cs="Arial" w:eastAsia="Arial" w:hAnsi="Arial"/>
          <w:sz w:val="18"/>
          <w:szCs w:val="18"/>
          <w:color w:val="auto"/>
        </w:rPr>
        <w:t>_</w:t>
      </w:r>
      <w:r>
        <w:rPr>
          <w:rFonts w:ascii="Arial" w:cs="Arial" w:eastAsia="Arial" w:hAnsi="Arial"/>
          <w:sz w:val="18"/>
          <w:szCs w:val="18"/>
          <w:u w:val="single" w:color="auto"/>
          <w:color w:val="auto"/>
        </w:rPr>
        <w:t>John Miraglia</w:t>
      </w:r>
      <w:r>
        <w:rPr>
          <w:rFonts w:ascii="Arial" w:cs="Arial" w:eastAsia="Arial" w:hAnsi="Arial"/>
          <w:sz w:val="18"/>
          <w:szCs w:val="18"/>
          <w:color w:val="auto"/>
        </w:rPr>
        <w:t>________________</w:t>
      </w:r>
    </w:p>
    <w:p>
      <w:pPr>
        <w:ind w:left="3740"/>
        <w:spacing w:after="0" w:line="232" w:lineRule="auto"/>
        <w:tabs>
          <w:tab w:leader="none" w:pos="44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John Miraglia</w:t>
      </w:r>
    </w:p>
    <w:p>
      <w:pPr>
        <w:ind w:left="3740"/>
        <w:spacing w:after="0"/>
        <w:tabs>
          <w:tab w:leader="none" w:pos="4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75" w:name="page76"/>
    <w:bookmarkEnd w:id="75"/>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BANK OF AMERICA, N.A.</w:t>
      </w:r>
    </w:p>
    <w:p>
      <w:pPr>
        <w:ind w:left="2840"/>
        <w:spacing w:after="0"/>
        <w:rPr>
          <w:sz w:val="20"/>
          <w:szCs w:val="20"/>
          <w:color w:val="auto"/>
        </w:rPr>
      </w:pPr>
      <w:r>
        <w:rPr>
          <w:rFonts w:ascii="Arial" w:cs="Arial" w:eastAsia="Arial" w:hAnsi="Arial"/>
          <w:sz w:val="20"/>
          <w:szCs w:val="20"/>
          <w:color w:val="auto"/>
        </w:rPr>
        <w:t>as Administrative Agent</w:t>
      </w:r>
    </w:p>
    <w:p>
      <w:pPr>
        <w:spacing w:after="0" w:line="364"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By: /s/ Michelle D. Diggs_________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-7620</wp:posOffset>
            </wp:positionV>
            <wp:extent cx="1678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678305" cy="8255"/>
                    </a:xfrm>
                    <a:prstGeom prst="rect">
                      <a:avLst/>
                    </a:prstGeom>
                    <a:noFill/>
                  </pic:spPr>
                </pic:pic>
              </a:graphicData>
            </a:graphic>
          </wp:anchor>
        </w:drawing>
      </w:r>
    </w:p>
    <w:p>
      <w:pPr>
        <w:ind w:left="2840"/>
        <w:spacing w:after="0" w:line="211" w:lineRule="auto"/>
        <w:rPr>
          <w:sz w:val="20"/>
          <w:szCs w:val="20"/>
          <w:color w:val="auto"/>
        </w:rPr>
      </w:pPr>
      <w:r>
        <w:rPr>
          <w:rFonts w:ascii="Arial" w:cs="Arial" w:eastAsia="Arial" w:hAnsi="Arial"/>
          <w:sz w:val="20"/>
          <w:szCs w:val="20"/>
          <w:color w:val="auto"/>
        </w:rPr>
        <w:t>Name: Michelle D. Diggs</w:t>
      </w:r>
    </w:p>
    <w:p>
      <w:pPr>
        <w:ind w:left="2840"/>
        <w:spacing w:after="0"/>
        <w:rPr>
          <w:sz w:val="20"/>
          <w:szCs w:val="20"/>
          <w:color w:val="auto"/>
        </w:rPr>
      </w:pPr>
      <w:r>
        <w:rPr>
          <w:rFonts w:ascii="Arial" w:cs="Arial" w:eastAsia="Arial" w:hAnsi="Arial"/>
          <w:sz w:val="20"/>
          <w:szCs w:val="20"/>
          <w:color w:val="auto"/>
        </w:rPr>
        <w:t>Title: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BANK OF AMERICA, N.A.</w:t>
      </w:r>
    </w:p>
    <w:p>
      <w:pPr>
        <w:ind w:left="2840"/>
        <w:spacing w:after="0"/>
        <w:rPr>
          <w:sz w:val="20"/>
          <w:szCs w:val="20"/>
          <w:color w:val="auto"/>
        </w:rPr>
      </w:pPr>
      <w:r>
        <w:rPr>
          <w:rFonts w:ascii="Arial" w:cs="Arial" w:eastAsia="Arial" w:hAnsi="Arial"/>
          <w:sz w:val="20"/>
          <w:szCs w:val="20"/>
          <w:color w:val="auto"/>
        </w:rPr>
        <w:t>as a Lender</w:t>
      </w:r>
    </w:p>
    <w:p>
      <w:pPr>
        <w:spacing w:after="0" w:line="364"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By: /s/ Joseph L. Corah_________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-7620</wp:posOffset>
            </wp:positionV>
            <wp:extent cx="1567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ind w:left="2840"/>
        <w:spacing w:after="0" w:line="211" w:lineRule="auto"/>
        <w:rPr>
          <w:sz w:val="20"/>
          <w:szCs w:val="20"/>
          <w:color w:val="auto"/>
        </w:rPr>
      </w:pPr>
      <w:r>
        <w:rPr>
          <w:rFonts w:ascii="Arial" w:cs="Arial" w:eastAsia="Arial" w:hAnsi="Arial"/>
          <w:sz w:val="20"/>
          <w:szCs w:val="20"/>
          <w:color w:val="auto"/>
        </w:rPr>
        <w:t>Name: Joseph L. Corah</w:t>
      </w:r>
    </w:p>
    <w:p>
      <w:pPr>
        <w:ind w:left="284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BARCLAYS BANK PLC, as a Lender</w:t>
      </w:r>
    </w:p>
    <w:p>
      <w:pPr>
        <w:spacing w:after="0" w:line="26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Warren Veech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Warren Veech III</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BNP PARIBAS, as a Lender</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Michael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Michael Pearce</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BNP PARIBAS, as a Lender</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/s/ John Bosco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19050</wp:posOffset>
            </wp:positionV>
            <wp:extent cx="2040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 w:lineRule="exact"/>
        <w:rPr>
          <w:sz w:val="20"/>
          <w:szCs w:val="20"/>
          <w:color w:val="auto"/>
        </w:rPr>
      </w:pPr>
    </w:p>
    <w:p>
      <w:pPr>
        <w:ind w:left="3520"/>
        <w:spacing w:after="0"/>
        <w:tabs>
          <w:tab w:leader="none" w:pos="42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John Bosco</w:t>
      </w:r>
    </w:p>
    <w:p>
      <w:pPr>
        <w:spacing w:after="0" w:line="27" w:lineRule="exact"/>
        <w:rPr>
          <w:sz w:val="20"/>
          <w:szCs w:val="20"/>
          <w:color w:val="auto"/>
        </w:rPr>
      </w:pPr>
    </w:p>
    <w:p>
      <w:pPr>
        <w:ind w:left="3520"/>
        <w:spacing w:after="0"/>
        <w:tabs>
          <w:tab w:leader="none" w:pos="4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79" w:name="page80"/>
    <w:bookmarkEnd w:id="79"/>
    <w:p>
      <w:pPr>
        <w:spacing w:after="0" w:line="26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Citibank, N.A., as a Lender</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Eugene Yermash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Eugene Yermash</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0" w:name="page81"/>
    <w:bookmarkEnd w:id="80"/>
    <w:p>
      <w:pPr>
        <w:spacing w:after="0" w:line="251"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DEUTSCHE BANK AG NEW YORK</w:t>
      </w:r>
    </w:p>
    <w:p>
      <w:pPr>
        <w:ind w:left="2840"/>
        <w:spacing w:after="0"/>
        <w:rPr>
          <w:sz w:val="20"/>
          <w:szCs w:val="20"/>
          <w:color w:val="auto"/>
        </w:rPr>
      </w:pPr>
      <w:r>
        <w:rPr>
          <w:rFonts w:ascii="Arial" w:cs="Arial" w:eastAsia="Arial" w:hAnsi="Arial"/>
          <w:sz w:val="20"/>
          <w:szCs w:val="20"/>
          <w:color w:val="auto"/>
        </w:rPr>
        <w:t>BRANCH, as a Lender</w:t>
      </w:r>
    </w:p>
    <w:p>
      <w:pPr>
        <w:spacing w:after="0" w:line="21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Ming K. Chu</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391"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19050</wp:posOffset>
            </wp:positionV>
            <wp:extent cx="2057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3440"/>
        <w:spacing w:after="0"/>
        <w:tabs>
          <w:tab w:leader="none" w:pos="41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Douglas Darman</w:t>
      </w:r>
    </w:p>
    <w:p>
      <w:pPr>
        <w:spacing w:after="0" w:line="27" w:lineRule="exact"/>
        <w:rPr>
          <w:sz w:val="20"/>
          <w:szCs w:val="20"/>
          <w:color w:val="auto"/>
        </w:rPr>
      </w:pPr>
    </w:p>
    <w:p>
      <w:pPr>
        <w:ind w:left="3440"/>
        <w:spacing w:after="0"/>
        <w:tabs>
          <w:tab w:leader="none" w:pos="40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1" w:name="page82"/>
    <w:bookmarkEnd w:id="81"/>
    <w:p>
      <w:pPr>
        <w:spacing w:after="0" w:line="26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DNB Capital LLC, as a Lender</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 Dania Hinedi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19050</wp:posOffset>
            </wp:positionV>
            <wp:extent cx="2066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066290" cy="8255"/>
                    </a:xfrm>
                    <a:prstGeom prst="rect">
                      <a:avLst/>
                    </a:prstGeom>
                    <a:noFill/>
                  </pic:spPr>
                </pic:pic>
              </a:graphicData>
            </a:graphic>
          </wp:anchor>
        </w:drawing>
      </w:r>
    </w:p>
    <w:p>
      <w:pPr>
        <w:spacing w:after="0" w:line="20" w:lineRule="exact"/>
        <w:rPr>
          <w:sz w:val="20"/>
          <w:szCs w:val="20"/>
          <w:color w:val="auto"/>
        </w:rPr>
      </w:pPr>
    </w:p>
    <w:p>
      <w:pPr>
        <w:ind w:left="3440"/>
        <w:spacing w:after="0"/>
        <w:tabs>
          <w:tab w:leader="none" w:pos="41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Dania Hinedi</w:t>
      </w:r>
    </w:p>
    <w:p>
      <w:pPr>
        <w:spacing w:after="0" w:line="27" w:lineRule="exact"/>
        <w:rPr>
          <w:sz w:val="20"/>
          <w:szCs w:val="20"/>
          <w:color w:val="auto"/>
        </w:rPr>
      </w:pPr>
    </w:p>
    <w:p>
      <w:pPr>
        <w:ind w:left="3440"/>
        <w:spacing w:after="0"/>
        <w:tabs>
          <w:tab w:leader="none" w:pos="4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367"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 Kristie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19050</wp:posOffset>
            </wp:positionV>
            <wp:extent cx="2066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066290" cy="8890"/>
                    </a:xfrm>
                    <a:prstGeom prst="rect">
                      <a:avLst/>
                    </a:prstGeom>
                    <a:noFill/>
                  </pic:spPr>
                </pic:pic>
              </a:graphicData>
            </a:graphic>
          </wp:anchor>
        </w:drawing>
      </w:r>
    </w:p>
    <w:p>
      <w:pPr>
        <w:spacing w:after="0" w:line="20" w:lineRule="exact"/>
        <w:rPr>
          <w:sz w:val="20"/>
          <w:szCs w:val="20"/>
          <w:color w:val="auto"/>
        </w:rPr>
      </w:pPr>
    </w:p>
    <w:p>
      <w:pPr>
        <w:ind w:left="3440"/>
        <w:spacing w:after="0"/>
        <w:tabs>
          <w:tab w:leader="none" w:pos="41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Kristie Li</w:t>
      </w:r>
    </w:p>
    <w:p>
      <w:pPr>
        <w:spacing w:after="0" w:line="27" w:lineRule="exact"/>
        <w:rPr>
          <w:sz w:val="20"/>
          <w:szCs w:val="20"/>
          <w:color w:val="auto"/>
        </w:rPr>
      </w:pPr>
    </w:p>
    <w:p>
      <w:pPr>
        <w:ind w:left="3440"/>
        <w:spacing w:after="0"/>
        <w:tabs>
          <w:tab w:leader="none" w:pos="4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Goldman Sachs Bank USA, as a Lender</w:t>
      </w:r>
    </w:p>
    <w:p>
      <w:pPr>
        <w:spacing w:after="0" w:line="289"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Keshia Leday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Keshia Leday</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3" w:name="page84"/>
    <w:bookmarkEnd w:id="83"/>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ING Bank N.V., Dublin Branch, as a Lender</w:t>
      </w:r>
    </w:p>
    <w:p>
      <w:pPr>
        <w:spacing w:after="0" w:line="26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Cormac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Cormac Langford</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391"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19050</wp:posOffset>
            </wp:positionV>
            <wp:extent cx="2066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066290" cy="8255"/>
                    </a:xfrm>
                    <a:prstGeom prst="rect">
                      <a:avLst/>
                    </a:prstGeom>
                    <a:noFill/>
                  </pic:spPr>
                </pic:pic>
              </a:graphicData>
            </a:graphic>
          </wp:anchor>
        </w:drawing>
      </w:r>
    </w:p>
    <w:p>
      <w:pPr>
        <w:spacing w:after="0" w:line="20" w:lineRule="exact"/>
        <w:rPr>
          <w:sz w:val="20"/>
          <w:szCs w:val="20"/>
          <w:color w:val="auto"/>
        </w:rPr>
      </w:pPr>
    </w:p>
    <w:p>
      <w:pPr>
        <w:ind w:left="3440"/>
        <w:spacing w:after="0"/>
        <w:tabs>
          <w:tab w:leader="none" w:pos="41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Sean Hassett</w:t>
      </w:r>
    </w:p>
    <w:p>
      <w:pPr>
        <w:spacing w:after="0" w:line="27" w:lineRule="exact"/>
        <w:rPr>
          <w:sz w:val="20"/>
          <w:szCs w:val="20"/>
          <w:color w:val="auto"/>
        </w:rPr>
      </w:pPr>
    </w:p>
    <w:p>
      <w:pPr>
        <w:ind w:left="3440"/>
        <w:spacing w:after="0"/>
        <w:tabs>
          <w:tab w:leader="none" w:pos="4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4" w:name="page85"/>
    <w:bookmarkEnd w:id="84"/>
    <w:p>
      <w:pPr>
        <w:spacing w:after="0" w:line="26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JPMORGAN CHASE BANK, N.A., as a Lender</w:t>
      </w:r>
    </w:p>
    <w:p>
      <w:pPr>
        <w:spacing w:after="0" w:line="26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James Kyle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James Kyle O’Donnell</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5" w:name="page86"/>
    <w:bookmarkEnd w:id="85"/>
    <w:p>
      <w:pPr>
        <w:spacing w:after="0" w:line="26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MIZUHO BANK, LTD., as a Lender</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Tracy Rahn</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6" w:name="page87"/>
    <w:bookmarkEnd w:id="86"/>
    <w:p>
      <w:pPr>
        <w:spacing w:after="0" w:line="26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PNC Bank, National Association, as a Lender</w:t>
      </w:r>
    </w:p>
    <w:p>
      <w:pPr>
        <w:spacing w:after="0" w:line="26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Kathryn M. Hutterer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Kathryn M. Hutterer</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7" w:name="page88"/>
    <w:bookmarkEnd w:id="87"/>
    <w:p>
      <w:pPr>
        <w:spacing w:after="0" w:line="26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ROYAL BANK OF CANADA, as a Lender</w:t>
      </w:r>
    </w:p>
    <w:p>
      <w:pPr>
        <w:spacing w:after="0" w:line="26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Scott MacVicar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Scott MacVicar</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8" w:name="page89"/>
    <w:bookmarkEnd w:id="88"/>
    <w:p>
      <w:pPr>
        <w:spacing w:after="0" w:line="263"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MORGAN STANLEY BANK, N.A., as a</w:t>
      </w:r>
    </w:p>
    <w:p>
      <w:pPr>
        <w:ind w:left="2840"/>
        <w:spacing w:after="0"/>
        <w:rPr>
          <w:sz w:val="20"/>
          <w:szCs w:val="20"/>
          <w:color w:val="auto"/>
        </w:rPr>
      </w:pPr>
      <w:r>
        <w:rPr>
          <w:rFonts w:ascii="Arial" w:cs="Arial" w:eastAsia="Arial" w:hAnsi="Arial"/>
          <w:sz w:val="20"/>
          <w:szCs w:val="20"/>
          <w:color w:val="auto"/>
        </w:rPr>
        <w:t>Lender</w:t>
      </w:r>
    </w:p>
    <w:p>
      <w:pPr>
        <w:spacing w:after="0" w:line="21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 Tim Kok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19050</wp:posOffset>
            </wp:positionV>
            <wp:extent cx="2066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066290" cy="8255"/>
                    </a:xfrm>
                    <a:prstGeom prst="rect">
                      <a:avLst/>
                    </a:prstGeom>
                    <a:noFill/>
                  </pic:spPr>
                </pic:pic>
              </a:graphicData>
            </a:graphic>
          </wp:anchor>
        </w:drawing>
      </w:r>
    </w:p>
    <w:p>
      <w:pPr>
        <w:spacing w:after="0" w:line="20" w:lineRule="exact"/>
        <w:rPr>
          <w:sz w:val="20"/>
          <w:szCs w:val="20"/>
          <w:color w:val="auto"/>
        </w:rPr>
      </w:pPr>
    </w:p>
    <w:p>
      <w:pPr>
        <w:ind w:left="3440"/>
        <w:spacing w:after="0"/>
        <w:tabs>
          <w:tab w:leader="none" w:pos="41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Tim Kok</w:t>
      </w:r>
    </w:p>
    <w:p>
      <w:pPr>
        <w:spacing w:after="0" w:line="27" w:lineRule="exact"/>
        <w:rPr>
          <w:sz w:val="20"/>
          <w:szCs w:val="20"/>
          <w:color w:val="auto"/>
        </w:rPr>
      </w:pPr>
    </w:p>
    <w:p>
      <w:pPr>
        <w:ind w:left="3440"/>
        <w:spacing w:after="0"/>
        <w:tabs>
          <w:tab w:leader="none" w:pos="4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89" w:name="page90"/>
    <w:bookmarkEnd w:id="89"/>
    <w:p>
      <w:pPr>
        <w:spacing w:after="0" w:line="26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MUFG BANK, LTD., as a Lender</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19050</wp:posOffset>
            </wp:positionV>
            <wp:extent cx="20662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066290" cy="8890"/>
                    </a:xfrm>
                    <a:prstGeom prst="rect">
                      <a:avLst/>
                    </a:prstGeom>
                    <a:noFill/>
                  </pic:spPr>
                </pic:pic>
              </a:graphicData>
            </a:graphic>
          </wp:anchor>
        </w:drawing>
      </w:r>
    </w:p>
    <w:p>
      <w:pPr>
        <w:spacing w:after="0" w:line="20" w:lineRule="exact"/>
        <w:rPr>
          <w:sz w:val="20"/>
          <w:szCs w:val="20"/>
          <w:color w:val="auto"/>
        </w:rPr>
      </w:pPr>
    </w:p>
    <w:p>
      <w:pPr>
        <w:ind w:left="3440"/>
        <w:spacing w:after="0"/>
        <w:tabs>
          <w:tab w:leader="none" w:pos="41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Jack Lonker</w:t>
      </w:r>
    </w:p>
    <w:p>
      <w:pPr>
        <w:spacing w:after="0" w:line="27" w:lineRule="exact"/>
        <w:rPr>
          <w:sz w:val="20"/>
          <w:szCs w:val="20"/>
          <w:color w:val="auto"/>
        </w:rPr>
      </w:pPr>
    </w:p>
    <w:p>
      <w:pPr>
        <w:ind w:left="3440"/>
        <w:spacing w:after="0"/>
        <w:tabs>
          <w:tab w:leader="none" w:pos="4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90" w:name="page91"/>
    <w:bookmarkEnd w:id="90"/>
    <w:p>
      <w:pPr>
        <w:spacing w:after="0" w:line="26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DBS BANK LTD., as a Lender</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Kate Khoo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Kate Khoo</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91" w:name="page92"/>
    <w:bookmarkEnd w:id="91"/>
    <w:p>
      <w:pPr>
        <w:spacing w:after="0" w:line="26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Skandinaviska Enskilda Banken AB (PUBL), as</w:t>
      </w:r>
    </w:p>
    <w:p>
      <w:pPr>
        <w:spacing w:after="0" w:line="12"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a Lender</w:t>
      </w:r>
    </w:p>
    <w:p>
      <w:pPr>
        <w:spacing w:after="0" w:line="21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Alison Butt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19050</wp:posOffset>
            </wp:positionV>
            <wp:extent cx="21513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Alison Butt</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Authorised Signatory</w:t>
      </w:r>
    </w:p>
    <w:p>
      <w:pPr>
        <w:spacing w:after="0" w:line="391"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 Andrew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19050</wp:posOffset>
            </wp:positionV>
            <wp:extent cx="2066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066290" cy="8255"/>
                    </a:xfrm>
                    <a:prstGeom prst="rect">
                      <a:avLst/>
                    </a:prstGeom>
                    <a:noFill/>
                  </pic:spPr>
                </pic:pic>
              </a:graphicData>
            </a:graphic>
          </wp:anchor>
        </w:drawing>
      </w:r>
    </w:p>
    <w:p>
      <w:pPr>
        <w:spacing w:after="0" w:line="20" w:lineRule="exact"/>
        <w:rPr>
          <w:sz w:val="20"/>
          <w:szCs w:val="20"/>
          <w:color w:val="auto"/>
        </w:rPr>
      </w:pPr>
    </w:p>
    <w:p>
      <w:pPr>
        <w:ind w:left="3440"/>
        <w:spacing w:after="0"/>
        <w:tabs>
          <w:tab w:leader="none" w:pos="41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Andrew Moore</w:t>
      </w:r>
    </w:p>
    <w:p>
      <w:pPr>
        <w:spacing w:after="0" w:line="27" w:lineRule="exact"/>
        <w:rPr>
          <w:sz w:val="20"/>
          <w:szCs w:val="20"/>
          <w:color w:val="auto"/>
        </w:rPr>
      </w:pPr>
    </w:p>
    <w:p>
      <w:pPr>
        <w:ind w:left="3440"/>
        <w:spacing w:after="0"/>
        <w:tabs>
          <w:tab w:leader="none" w:pos="4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92" w:name="page93"/>
    <w:bookmarkEnd w:id="92"/>
    <w:p>
      <w:pPr>
        <w:spacing w:after="0" w:line="26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SOCIETE GENERALE, as a Lender</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19050</wp:posOffset>
            </wp:positionV>
            <wp:extent cx="21513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Kimberly Metzger</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93" w:name="page94"/>
    <w:bookmarkEnd w:id="93"/>
    <w:p>
      <w:pPr>
        <w:spacing w:after="0" w:line="2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Standard Chartered Bank, as a Lender</w:t>
      </w:r>
    </w:p>
    <w:p>
      <w:pPr>
        <w:spacing w:after="0" w:line="289"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19050</wp:posOffset>
            </wp:positionV>
            <wp:extent cx="21170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 w:lineRule="exact"/>
        <w:rPr>
          <w:sz w:val="20"/>
          <w:szCs w:val="20"/>
          <w:color w:val="auto"/>
        </w:rPr>
      </w:pPr>
    </w:p>
    <w:p>
      <w:pPr>
        <w:ind w:left="3480"/>
        <w:spacing w:after="0"/>
        <w:tabs>
          <w:tab w:leader="none" w:pos="4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Kristopher Tracy</w:t>
      </w:r>
    </w:p>
    <w:p>
      <w:pPr>
        <w:spacing w:after="0" w:line="27" w:lineRule="exact"/>
        <w:rPr>
          <w:sz w:val="20"/>
          <w:szCs w:val="20"/>
          <w:color w:val="auto"/>
        </w:rPr>
      </w:pPr>
    </w:p>
    <w:p>
      <w:pPr>
        <w:ind w:left="3480"/>
        <w:spacing w:after="0"/>
        <w:tabs>
          <w:tab w:leader="none" w:pos="4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 – Financing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LIBOR Transition Amendment</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Appendix I</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Agreement</w:t>
      </w:r>
    </w:p>
    <w:p>
      <w:pPr>
        <w:sectPr>
          <w:pgSz w:w="11900" w:h="16838" w:orient="portrait"/>
          <w:cols w:equalWidth="0" w:num="1">
            <w:col w:w="9019"/>
          </w:cols>
          <w:pgMar w:left="1440" w:top="1440" w:right="1440" w:bottom="1440" w:gutter="0" w:footer="0" w:header="0"/>
        </w:sectPr>
      </w:pPr>
    </w:p>
    <w:bookmarkStart w:id="95" w:name="page96"/>
    <w:bookmarkEnd w:id="95"/>
    <w:p>
      <w:pPr>
        <w:ind w:left="460" w:right="220" w:firstLine="3987"/>
        <w:spacing w:after="0" w:line="235" w:lineRule="auto"/>
        <w:rPr>
          <w:sz w:val="20"/>
          <w:szCs w:val="20"/>
          <w:color w:val="auto"/>
        </w:rPr>
      </w:pPr>
      <w:r>
        <w:rPr>
          <w:rFonts w:ascii="Arial" w:cs="Arial" w:eastAsia="Arial" w:hAnsi="Arial"/>
          <w:sz w:val="22"/>
          <w:szCs w:val="22"/>
          <w:b w:val="1"/>
          <w:bCs w:val="1"/>
          <w:color w:val="FF0000"/>
          <w:strike w:val="1"/>
        </w:rPr>
        <w:t>EXECUTION VERSION</w:t>
      </w:r>
      <w:r>
        <w:rPr>
          <w:rFonts w:ascii="Arial" w:cs="Arial" w:eastAsia="Arial" w:hAnsi="Arial"/>
          <w:sz w:val="22"/>
          <w:szCs w:val="22"/>
          <w:u w:val="single" w:color="auto"/>
          <w:color w:val="0000FF"/>
          <w:strike w:val="1"/>
        </w:rPr>
        <w:t>Appendix I to LIBOR Transition</w:t>
      </w:r>
      <w:r>
        <w:rPr>
          <w:rFonts w:ascii="Arial" w:cs="Arial" w:eastAsia="Arial" w:hAnsi="Arial"/>
          <w:sz w:val="22"/>
          <w:szCs w:val="22"/>
          <w:b w:val="1"/>
          <w:bCs w:val="1"/>
          <w:color w:val="FF0000"/>
          <w:strike w:val="1"/>
        </w:rPr>
        <w:t xml:space="preserve"> </w:t>
      </w:r>
      <w:r>
        <w:rPr>
          <w:rFonts w:ascii="Arial" w:cs="Arial" w:eastAsia="Arial" w:hAnsi="Arial"/>
          <w:sz w:val="22"/>
          <w:szCs w:val="22"/>
          <w:u w:val="single" w:color="auto"/>
          <w:color w:val="0000FF"/>
          <w:strike w:val="1"/>
        </w:rPr>
        <w:t>Amendment to Amended and Restated Revolving Credit Agreement</w:t>
      </w:r>
    </w:p>
    <w:p>
      <w:pPr>
        <w:spacing w:after="0" w:line="375"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Deal CUSIP Number: 92557HAA4 Facility CUSIP Number:</w:t>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92557HAB2</w:t>
      </w:r>
    </w:p>
    <w:p>
      <w:pPr>
        <w:spacing w:after="0" w:line="39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AMENDED AND RESTATED REVOLVING CREDIT AGREEMENT</w:t>
      </w:r>
    </w:p>
    <w:p>
      <w:pPr>
        <w:spacing w:after="0" w:line="355" w:lineRule="exact"/>
        <w:rPr>
          <w:sz w:val="20"/>
          <w:szCs w:val="20"/>
          <w:color w:val="auto"/>
        </w:rPr>
      </w:pPr>
    </w:p>
    <w:p>
      <w:pPr>
        <w:jc w:val="center"/>
        <w:ind w:right="840"/>
        <w:spacing w:after="0"/>
        <w:rPr>
          <w:sz w:val="20"/>
          <w:szCs w:val="20"/>
          <w:color w:val="auto"/>
        </w:rPr>
      </w:pPr>
      <w:r>
        <w:rPr>
          <w:rFonts w:ascii="Arial" w:cs="Arial" w:eastAsia="Arial" w:hAnsi="Arial"/>
          <w:sz w:val="22"/>
          <w:szCs w:val="22"/>
          <w:color w:val="auto"/>
        </w:rPr>
        <w:t>dated as of JULY 1, 2021</w:t>
      </w:r>
      <w:r>
        <w:rPr>
          <w:rFonts w:ascii="Arial" w:cs="Arial" w:eastAsia="Arial" w:hAnsi="Arial"/>
          <w:sz w:val="22"/>
          <w:szCs w:val="22"/>
          <w:color w:val="0000FF"/>
        </w:rPr>
        <w:t>,</w:t>
      </w:r>
    </w:p>
    <w:p>
      <w:pPr>
        <w:spacing w:after="0" w:line="98" w:lineRule="exact"/>
        <w:rPr>
          <w:sz w:val="20"/>
          <w:szCs w:val="20"/>
          <w:color w:val="auto"/>
        </w:rPr>
      </w:pPr>
    </w:p>
    <w:p>
      <w:pPr>
        <w:jc w:val="center"/>
        <w:ind w:left="360" w:right="1200"/>
        <w:spacing w:after="0" w:line="232" w:lineRule="auto"/>
        <w:rPr>
          <w:sz w:val="20"/>
          <w:szCs w:val="20"/>
          <w:color w:val="auto"/>
        </w:rPr>
      </w:pPr>
      <w:r>
        <w:rPr>
          <w:rFonts w:ascii="Arial" w:cs="Arial" w:eastAsia="Arial" w:hAnsi="Arial"/>
          <w:sz w:val="22"/>
          <w:szCs w:val="22"/>
          <w:u w:val="single" w:color="auto"/>
          <w:color w:val="0000FF"/>
        </w:rPr>
        <w:t>as amended by that certain LIBOR Transition Amendment to Amended and Restated Revolving Credit Agreement, dated as of April 28, 2023,</w:t>
      </w:r>
    </w:p>
    <w:p>
      <w:pPr>
        <w:spacing w:after="0" w:line="280" w:lineRule="exact"/>
        <w:rPr>
          <w:sz w:val="20"/>
          <w:szCs w:val="20"/>
          <w:color w:val="auto"/>
        </w:rPr>
      </w:pPr>
    </w:p>
    <w:p>
      <w:pPr>
        <w:jc w:val="center"/>
        <w:ind w:right="840"/>
        <w:spacing w:after="0"/>
        <w:rPr>
          <w:sz w:val="20"/>
          <w:szCs w:val="20"/>
          <w:color w:val="auto"/>
        </w:rPr>
      </w:pPr>
      <w:r>
        <w:rPr>
          <w:rFonts w:ascii="Arial" w:cs="Arial" w:eastAsia="Arial" w:hAnsi="Arial"/>
          <w:sz w:val="22"/>
          <w:szCs w:val="22"/>
          <w:color w:val="auto"/>
        </w:rPr>
        <w:t>among</w:t>
      </w:r>
    </w:p>
    <w:p>
      <w:pPr>
        <w:spacing w:after="0" w:line="206"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VIATRIS INC.</w:t>
      </w:r>
    </w:p>
    <w:p>
      <w:pPr>
        <w:spacing w:after="0" w:line="85"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Borrower and</w:t>
      </w:r>
    </w:p>
    <w:p>
      <w:pPr>
        <w:spacing w:after="0" w:line="220"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the Guarantors from time to time party hereto and</w:t>
      </w:r>
    </w:p>
    <w:p>
      <w:pPr>
        <w:spacing w:after="0" w:line="120"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BANK OF AMERICA, N.A.,</w:t>
      </w:r>
    </w:p>
    <w:p>
      <w:pPr>
        <w:jc w:val="center"/>
        <w:ind w:right="840"/>
        <w:spacing w:after="0"/>
        <w:rPr>
          <w:sz w:val="20"/>
          <w:szCs w:val="20"/>
          <w:color w:val="auto"/>
        </w:rPr>
      </w:pPr>
      <w:r>
        <w:rPr>
          <w:rFonts w:ascii="Arial" w:cs="Arial" w:eastAsia="Arial" w:hAnsi="Arial"/>
          <w:sz w:val="22"/>
          <w:szCs w:val="22"/>
          <w:color w:val="auto"/>
        </w:rPr>
        <w:t>as Administrative Agent</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22"/>
          <w:szCs w:val="22"/>
          <w:color w:val="auto"/>
        </w:rPr>
        <w:t>and the Lenders and the Issuing Banks from time to time party hereto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840"/>
        <w:spacing w:after="0"/>
        <w:rPr>
          <w:sz w:val="20"/>
          <w:szCs w:val="20"/>
          <w:color w:val="auto"/>
        </w:rPr>
      </w:pPr>
      <w:r>
        <w:rPr>
          <w:rFonts w:ascii="Arial" w:cs="Arial" w:eastAsia="Arial" w:hAnsi="Arial"/>
          <w:sz w:val="22"/>
          <w:szCs w:val="22"/>
          <w:color w:val="auto"/>
        </w:rPr>
        <w:t>BofA SECURITIES, INC., BARCLAYS BANK PLC,</w:t>
      </w:r>
    </w:p>
    <w:p>
      <w:pPr>
        <w:jc w:val="center"/>
        <w:ind w:right="840"/>
        <w:spacing w:after="0" w:line="204" w:lineRule="auto"/>
        <w:rPr>
          <w:sz w:val="20"/>
          <w:szCs w:val="20"/>
          <w:color w:val="auto"/>
        </w:rPr>
      </w:pPr>
      <w:r>
        <w:rPr>
          <w:rFonts w:ascii="Arial" w:cs="Arial" w:eastAsia="Arial" w:hAnsi="Arial"/>
          <w:sz w:val="22"/>
          <w:szCs w:val="22"/>
          <w:color w:val="auto"/>
        </w:rPr>
        <w:t>BNP PARIBAS SECURITIES CORP., CITIBANK, N.A.,</w:t>
      </w:r>
    </w:p>
    <w:p>
      <w:pPr>
        <w:jc w:val="center"/>
        <w:ind w:right="840"/>
        <w:spacing w:after="0" w:line="205" w:lineRule="auto"/>
        <w:rPr>
          <w:sz w:val="20"/>
          <w:szCs w:val="20"/>
          <w:color w:val="auto"/>
        </w:rPr>
      </w:pPr>
      <w:r>
        <w:rPr>
          <w:rFonts w:ascii="Arial" w:cs="Arial" w:eastAsia="Arial" w:hAnsi="Arial"/>
          <w:sz w:val="22"/>
          <w:szCs w:val="22"/>
          <w:color w:val="auto"/>
        </w:rPr>
        <w:t>DEUTSCHE BANK SECURITIES INC., DNB MARKETS, INC.,</w:t>
      </w:r>
    </w:p>
    <w:p>
      <w:pPr>
        <w:jc w:val="center"/>
        <w:ind w:right="840"/>
        <w:spacing w:after="0" w:line="205" w:lineRule="auto"/>
        <w:rPr>
          <w:sz w:val="20"/>
          <w:szCs w:val="20"/>
          <w:color w:val="auto"/>
        </w:rPr>
      </w:pPr>
      <w:r>
        <w:rPr>
          <w:rFonts w:ascii="Arial" w:cs="Arial" w:eastAsia="Arial" w:hAnsi="Arial"/>
          <w:sz w:val="22"/>
          <w:szCs w:val="22"/>
          <w:color w:val="auto"/>
        </w:rPr>
        <w:t>GOLDMAN SACHS BANK USA, ING BANK N.V.,</w:t>
      </w:r>
    </w:p>
    <w:p>
      <w:pPr>
        <w:jc w:val="center"/>
        <w:ind w:right="840"/>
        <w:spacing w:after="0" w:line="205" w:lineRule="auto"/>
        <w:rPr>
          <w:sz w:val="20"/>
          <w:szCs w:val="20"/>
          <w:color w:val="auto"/>
        </w:rPr>
      </w:pPr>
      <w:r>
        <w:rPr>
          <w:rFonts w:ascii="Arial" w:cs="Arial" w:eastAsia="Arial" w:hAnsi="Arial"/>
          <w:sz w:val="22"/>
          <w:szCs w:val="22"/>
          <w:color w:val="auto"/>
        </w:rPr>
        <w:t>DUBLIN BRANCH, JPMORGAN CHASE BANK, N.A.,</w:t>
      </w:r>
    </w:p>
    <w:p>
      <w:pPr>
        <w:jc w:val="center"/>
        <w:ind w:right="840"/>
        <w:spacing w:after="0" w:line="205" w:lineRule="auto"/>
        <w:rPr>
          <w:sz w:val="20"/>
          <w:szCs w:val="20"/>
          <w:color w:val="auto"/>
        </w:rPr>
      </w:pPr>
      <w:r>
        <w:rPr>
          <w:rFonts w:ascii="Arial" w:cs="Arial" w:eastAsia="Arial" w:hAnsi="Arial"/>
          <w:sz w:val="22"/>
          <w:szCs w:val="22"/>
          <w:color w:val="auto"/>
        </w:rPr>
        <w:t>MIZUHO BANK, LTD.,</w:t>
      </w:r>
    </w:p>
    <w:p>
      <w:pPr>
        <w:jc w:val="center"/>
        <w:ind w:right="840"/>
        <w:spacing w:after="0" w:line="205" w:lineRule="auto"/>
        <w:rPr>
          <w:sz w:val="20"/>
          <w:szCs w:val="20"/>
          <w:color w:val="auto"/>
        </w:rPr>
      </w:pPr>
      <w:r>
        <w:rPr>
          <w:rFonts w:ascii="Arial" w:cs="Arial" w:eastAsia="Arial" w:hAnsi="Arial"/>
          <w:sz w:val="22"/>
          <w:szCs w:val="22"/>
          <w:color w:val="auto"/>
        </w:rPr>
        <w:t>MORGAN STANLEY MUFG LOAN PARTNERS, LLC, PNC CAPITAL</w:t>
      </w:r>
    </w:p>
    <w:p>
      <w:pPr>
        <w:jc w:val="center"/>
        <w:ind w:right="840"/>
        <w:spacing w:after="0" w:line="205" w:lineRule="auto"/>
        <w:rPr>
          <w:sz w:val="20"/>
          <w:szCs w:val="20"/>
          <w:color w:val="auto"/>
        </w:rPr>
      </w:pPr>
      <w:r>
        <w:rPr>
          <w:rFonts w:ascii="Arial" w:cs="Arial" w:eastAsia="Arial" w:hAnsi="Arial"/>
          <w:sz w:val="22"/>
          <w:szCs w:val="22"/>
          <w:color w:val="auto"/>
        </w:rPr>
        <w:t>MARKETS LLC,</w:t>
      </w:r>
    </w:p>
    <w:p>
      <w:pPr>
        <w:jc w:val="center"/>
        <w:ind w:right="840"/>
        <w:spacing w:after="0" w:line="205" w:lineRule="auto"/>
        <w:rPr>
          <w:sz w:val="20"/>
          <w:szCs w:val="20"/>
          <w:color w:val="auto"/>
        </w:rPr>
      </w:pPr>
      <w:r>
        <w:rPr>
          <w:rFonts w:ascii="Arial" w:cs="Arial" w:eastAsia="Arial" w:hAnsi="Arial"/>
          <w:sz w:val="22"/>
          <w:szCs w:val="22"/>
          <w:color w:val="auto"/>
        </w:rPr>
        <w:t>and</w:t>
      </w:r>
    </w:p>
    <w:p>
      <w:pPr>
        <w:jc w:val="center"/>
        <w:ind w:right="840"/>
        <w:spacing w:after="0" w:line="205" w:lineRule="auto"/>
        <w:rPr>
          <w:sz w:val="20"/>
          <w:szCs w:val="20"/>
          <w:color w:val="auto"/>
        </w:rPr>
      </w:pPr>
      <w:r>
        <w:rPr>
          <w:rFonts w:ascii="Arial" w:cs="Arial" w:eastAsia="Arial" w:hAnsi="Arial"/>
          <w:sz w:val="22"/>
          <w:szCs w:val="22"/>
          <w:color w:val="auto"/>
        </w:rPr>
        <w:t>RBC CAPITAL MARKETS, LLC,</w:t>
      </w:r>
    </w:p>
    <w:p>
      <w:pPr>
        <w:jc w:val="center"/>
        <w:ind w:right="840"/>
        <w:spacing w:after="0"/>
        <w:rPr>
          <w:sz w:val="20"/>
          <w:szCs w:val="20"/>
          <w:color w:val="auto"/>
        </w:rPr>
      </w:pPr>
      <w:r>
        <w:rPr>
          <w:rFonts w:ascii="Arial" w:cs="Arial" w:eastAsia="Arial" w:hAnsi="Arial"/>
          <w:sz w:val="22"/>
          <w:szCs w:val="22"/>
          <w:color w:val="auto"/>
        </w:rPr>
        <w:t>as Lead Arrangers and Bookrunners</w:t>
      </w:r>
    </w:p>
    <w:p>
      <w:pPr>
        <w:sectPr>
          <w:pgSz w:w="11900" w:h="16838" w:orient="portrait"/>
          <w:cols w:equalWidth="0" w:num="1">
            <w:col w:w="9860"/>
          </w:cols>
          <w:pgMar w:left="1440" w:top="747" w:right="599" w:bottom="1440" w:gutter="0" w:footer="0" w:header="0"/>
        </w:sectPr>
      </w:pPr>
    </w:p>
    <w:bookmarkStart w:id="96" w:name="page97"/>
    <w:bookmarkEnd w:id="96"/>
    <w:p>
      <w:pPr>
        <w:ind w:left="3860"/>
        <w:spacing w:after="0"/>
        <w:rPr>
          <w:sz w:val="20"/>
          <w:szCs w:val="20"/>
          <w:color w:val="auto"/>
        </w:rPr>
      </w:pPr>
      <w:r>
        <w:rPr>
          <w:rFonts w:ascii="Arial" w:cs="Arial" w:eastAsia="Arial" w:hAnsi="Arial"/>
          <w:sz w:val="22"/>
          <w:szCs w:val="22"/>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80" w:type="dxa"/>
            <w:vAlign w:val="bottom"/>
            <w:gridSpan w:val="6"/>
          </w:tcPr>
          <w:p>
            <w:pPr>
              <w:ind w:left="40"/>
              <w:spacing w:after="0"/>
              <w:rPr>
                <w:sz w:val="20"/>
                <w:szCs w:val="20"/>
                <w:color w:val="auto"/>
              </w:rPr>
            </w:pPr>
            <w:r>
              <w:rPr>
                <w:rFonts w:ascii="Arial" w:cs="Arial" w:eastAsia="Arial" w:hAnsi="Arial"/>
                <w:sz w:val="22"/>
                <w:szCs w:val="22"/>
                <w:color w:val="auto"/>
              </w:rPr>
              <w:t>ARTICLE I Definitions</w:t>
            </w:r>
          </w:p>
        </w:tc>
        <w:tc>
          <w:tcPr>
            <w:tcW w:w="220" w:type="dxa"/>
            <w:vAlign w:val="bottom"/>
            <w:gridSpan w:val="3"/>
          </w:tcPr>
          <w:p>
            <w:pPr>
              <w:ind w:left="20"/>
              <w:spacing w:after="0"/>
              <w:rPr>
                <w:sz w:val="20"/>
                <w:szCs w:val="20"/>
                <w:color w:val="auto"/>
              </w:rPr>
            </w:pPr>
            <w:r>
              <w:rPr>
                <w:rFonts w:ascii="Arial" w:cs="Arial" w:eastAsia="Arial" w:hAnsi="Arial"/>
                <w:sz w:val="22"/>
                <w:szCs w:val="22"/>
                <w:color w:val="auto"/>
              </w:rPr>
              <w:t>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1"/>
        </w:trPr>
        <w:tc>
          <w:tcPr>
            <w:tcW w:w="2720" w:type="dxa"/>
            <w:vAlign w:val="bottom"/>
            <w:gridSpan w:val="12"/>
          </w:tcPr>
          <w:p>
            <w:pPr>
              <w:ind w:left="40"/>
              <w:spacing w:after="0"/>
              <w:rPr>
                <w:sz w:val="20"/>
                <w:szCs w:val="20"/>
                <w:color w:val="auto"/>
              </w:rPr>
            </w:pPr>
            <w:r>
              <w:rPr>
                <w:rFonts w:ascii="Arial" w:cs="Arial" w:eastAsia="Arial" w:hAnsi="Arial"/>
                <w:sz w:val="22"/>
                <w:szCs w:val="22"/>
                <w:color w:val="auto"/>
                <w:w w:val="89"/>
              </w:rPr>
              <w:t>SECTION 1.01 Defined Terms</w:t>
            </w:r>
          </w:p>
        </w:tc>
        <w:tc>
          <w:tcPr>
            <w:tcW w:w="16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gridSpan w:val="3"/>
          </w:tcPr>
          <w:p>
            <w:pPr>
              <w:spacing w:after="0"/>
              <w:rPr>
                <w:sz w:val="24"/>
                <w:szCs w:val="24"/>
                <w:color w:val="auto"/>
              </w:rPr>
            </w:pPr>
          </w:p>
        </w:tc>
        <w:tc>
          <w:tcPr>
            <w:tcW w:w="160" w:type="dxa"/>
            <w:vAlign w:val="bottom"/>
            <w:gridSpan w:val="4"/>
          </w:tcPr>
          <w:p>
            <w:pPr>
              <w:jc w:val="right"/>
              <w:ind w:right="40"/>
              <w:spacing w:after="0"/>
              <w:rPr>
                <w:sz w:val="20"/>
                <w:szCs w:val="20"/>
                <w:color w:val="auto"/>
              </w:rPr>
            </w:pPr>
            <w:r>
              <w:rPr>
                <w:rFonts w:ascii="Arial" w:cs="Arial" w:eastAsia="Arial" w:hAnsi="Arial"/>
                <w:sz w:val="22"/>
                <w:szCs w:val="22"/>
                <w:color w:val="auto"/>
                <w:w w:val="81"/>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4"/>
            <w:vMerge w:val="restart"/>
          </w:tcPr>
          <w:p>
            <w:pPr>
              <w:ind w:left="100"/>
              <w:spacing w:after="0"/>
              <w:rPr>
                <w:sz w:val="20"/>
                <w:szCs w:val="20"/>
                <w:color w:val="auto"/>
              </w:rPr>
            </w:pPr>
            <w:r>
              <w:rPr>
                <w:rFonts w:ascii="Arial" w:cs="Arial" w:eastAsia="Arial" w:hAnsi="Arial"/>
                <w:sz w:val="22"/>
                <w:szCs w:val="22"/>
                <w:color w:val="auto"/>
              </w:rPr>
              <w:t>44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0" w:type="dxa"/>
            <w:vAlign w:val="bottom"/>
            <w:gridSpan w:val="47"/>
          </w:tcPr>
          <w:p>
            <w:pPr>
              <w:spacing w:after="0" w:line="195" w:lineRule="exact"/>
              <w:rPr>
                <w:sz w:val="20"/>
                <w:szCs w:val="20"/>
                <w:color w:val="auto"/>
              </w:rPr>
            </w:pPr>
            <w:r>
              <w:rPr>
                <w:rFonts w:ascii="Arial" w:cs="Arial" w:eastAsia="Arial" w:hAnsi="Arial"/>
                <w:sz w:val="22"/>
                <w:szCs w:val="22"/>
                <w:color w:val="auto"/>
                <w:w w:val="93"/>
              </w:rPr>
              <w:t>SECTION 1.02 Classification of Loans and Borrowings</w:t>
            </w:r>
          </w:p>
        </w:tc>
        <w:tc>
          <w:tcPr>
            <w:tcW w:w="54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gridSpan w:val="14"/>
          </w:tcPr>
          <w:p>
            <w:pPr>
              <w:spacing w:after="0" w:line="195" w:lineRule="exact"/>
              <w:rPr>
                <w:sz w:val="20"/>
                <w:szCs w:val="20"/>
                <w:color w:val="auto"/>
              </w:rPr>
            </w:pPr>
            <w:r>
              <w:rPr>
                <w:rFonts w:ascii="Arial" w:cs="Arial" w:eastAsia="Arial" w:hAnsi="Arial"/>
                <w:sz w:val="22"/>
                <w:szCs w:val="22"/>
                <w:color w:val="auto"/>
                <w:w w:val="90"/>
              </w:rPr>
              <w:t>SECTION 1.03 Terms Generally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7"/>
          </w:tcPr>
          <w:p>
            <w:pPr>
              <w:jc w:val="right"/>
              <w:ind w:right="40"/>
              <w:spacing w:after="0" w:line="195" w:lineRule="exact"/>
              <w:rPr>
                <w:sz w:val="20"/>
                <w:szCs w:val="20"/>
                <w:color w:val="auto"/>
              </w:rPr>
            </w:pPr>
            <w:r>
              <w:rPr>
                <w:rFonts w:ascii="Arial" w:cs="Arial" w:eastAsia="Arial" w:hAnsi="Arial"/>
                <w:sz w:val="22"/>
                <w:szCs w:val="22"/>
                <w:color w:val="auto"/>
                <w:w w:val="81"/>
              </w:rPr>
              <w:t>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gridSpan w:val="14"/>
            <w:vMerge w:val="restart"/>
          </w:tcPr>
          <w:p>
            <w:pPr>
              <w:jc w:val="center"/>
              <w:spacing w:after="0" w:line="216" w:lineRule="exact"/>
              <w:rPr>
                <w:sz w:val="20"/>
                <w:szCs w:val="20"/>
                <w:color w:val="auto"/>
              </w:rPr>
            </w:pPr>
            <w:r>
              <w:rPr>
                <w:rFonts w:ascii="Arial" w:cs="Arial" w:eastAsia="Arial" w:hAnsi="Arial"/>
                <w:sz w:val="22"/>
                <w:szCs w:val="22"/>
                <w:color w:val="auto"/>
                <w:w w:val="94"/>
              </w:rPr>
              <w:t>GAAP</w:t>
            </w:r>
          </w:p>
        </w:tc>
        <w:tc>
          <w:tcPr>
            <w:tcW w:w="120" w:type="dxa"/>
            <w:vAlign w:val="bottom"/>
            <w:gridSpan w:val="2"/>
            <w:vMerge w:val="restart"/>
          </w:tcPr>
          <w:p>
            <w:pPr>
              <w:spacing w:after="0" w:line="20" w:lineRule="exact"/>
              <w:rPr>
                <w:sz w:val="1"/>
                <w:szCs w:val="1"/>
                <w:color w:val="auto"/>
              </w:rPr>
            </w:pPr>
          </w:p>
        </w:tc>
        <w:tc>
          <w:tcPr>
            <w:tcW w:w="180" w:type="dxa"/>
            <w:vAlign w:val="bottom"/>
            <w:gridSpan w:val="3"/>
            <w:vMerge w:val="restart"/>
          </w:tcPr>
          <w:p>
            <w:pPr>
              <w:spacing w:after="0" w:line="20" w:lineRule="exact"/>
              <w:rPr>
                <w:sz w:val="1"/>
                <w:szCs w:val="1"/>
                <w:color w:val="auto"/>
              </w:rPr>
            </w:pPr>
          </w:p>
        </w:tc>
        <w:tc>
          <w:tcPr>
            <w:tcW w:w="340" w:type="dxa"/>
            <w:vAlign w:val="bottom"/>
            <w:gridSpan w:val="2"/>
            <w:vMerge w:val="restart"/>
          </w:tcPr>
          <w:p>
            <w:pPr>
              <w:jc w:val="right"/>
              <w:ind w:right="160"/>
              <w:spacing w:after="0" w:line="216" w:lineRule="exact"/>
              <w:rPr>
                <w:sz w:val="20"/>
                <w:szCs w:val="20"/>
                <w:color w:val="auto"/>
              </w:rPr>
            </w:pPr>
            <w:r>
              <w:rPr>
                <w:rFonts w:ascii="Arial" w:cs="Arial" w:eastAsia="Arial" w:hAnsi="Arial"/>
                <w:sz w:val="19"/>
                <w:szCs w:val="19"/>
                <w:color w:val="auto"/>
                <w:w w:val="75"/>
              </w:rPr>
              <w:t>45</w:t>
            </w: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120" w:type="dxa"/>
            <w:vAlign w:val="bottom"/>
            <w:gridSpan w:val="19"/>
          </w:tcPr>
          <w:p>
            <w:pPr>
              <w:spacing w:after="0" w:line="195" w:lineRule="exact"/>
              <w:rPr>
                <w:sz w:val="20"/>
                <w:szCs w:val="20"/>
                <w:color w:val="auto"/>
              </w:rPr>
            </w:pPr>
            <w:r>
              <w:rPr>
                <w:rFonts w:ascii="Arial" w:cs="Arial" w:eastAsia="Arial" w:hAnsi="Arial"/>
                <w:sz w:val="22"/>
                <w:szCs w:val="22"/>
                <w:color w:val="auto"/>
                <w:w w:val="92"/>
              </w:rPr>
              <w:t>SECTION 1.04 Accounting Terms;</w:t>
            </w:r>
          </w:p>
        </w:tc>
        <w:tc>
          <w:tcPr>
            <w:tcW w:w="580" w:type="dxa"/>
            <w:vAlign w:val="bottom"/>
            <w:gridSpan w:val="14"/>
            <w:vMerge w:val="continue"/>
          </w:tcPr>
          <w:p>
            <w:pPr>
              <w:spacing w:after="0"/>
              <w:rPr>
                <w:sz w:val="17"/>
                <w:szCs w:val="17"/>
                <w:color w:val="auto"/>
              </w:rPr>
            </w:pPr>
          </w:p>
        </w:tc>
        <w:tc>
          <w:tcPr>
            <w:tcW w:w="1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gridSpan w:val="3"/>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gridSpan w:val="35"/>
          </w:tcPr>
          <w:p>
            <w:pPr>
              <w:spacing w:after="0" w:line="195" w:lineRule="exact"/>
              <w:rPr>
                <w:sz w:val="20"/>
                <w:szCs w:val="20"/>
                <w:color w:val="auto"/>
              </w:rPr>
            </w:pPr>
            <w:r>
              <w:rPr>
                <w:rFonts w:ascii="Arial" w:cs="Arial" w:eastAsia="Arial" w:hAnsi="Arial"/>
                <w:sz w:val="22"/>
                <w:szCs w:val="22"/>
                <w:color w:val="auto"/>
                <w:w w:val="87"/>
              </w:rPr>
              <w:t>SECTION 1.05 Payments on Business Days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40"/>
              <w:spacing w:after="0" w:line="195" w:lineRule="exact"/>
              <w:rPr>
                <w:sz w:val="20"/>
                <w:szCs w:val="20"/>
                <w:color w:val="auto"/>
              </w:rPr>
            </w:pPr>
            <w:r>
              <w:rPr>
                <w:rFonts w:ascii="Arial" w:cs="Arial" w:eastAsia="Arial" w:hAnsi="Arial"/>
                <w:sz w:val="22"/>
                <w:szCs w:val="22"/>
                <w:color w:val="auto"/>
              </w:rPr>
              <w:t>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gridSpan w:val="6"/>
          </w:tcPr>
          <w:p>
            <w:pPr>
              <w:spacing w:after="0" w:line="195" w:lineRule="exact"/>
              <w:rPr>
                <w:sz w:val="20"/>
                <w:szCs w:val="20"/>
                <w:color w:val="auto"/>
              </w:rPr>
            </w:pPr>
            <w:r>
              <w:rPr>
                <w:rFonts w:ascii="Arial" w:cs="Arial" w:eastAsia="Arial" w:hAnsi="Arial"/>
                <w:sz w:val="22"/>
                <w:szCs w:val="22"/>
                <w:color w:val="auto"/>
                <w:w w:val="93"/>
              </w:rPr>
              <w:t>SECTION 1.06 Divisions</w:t>
            </w:r>
          </w:p>
        </w:tc>
        <w:tc>
          <w:tcPr>
            <w:tcW w:w="440" w:type="dxa"/>
            <w:vAlign w:val="bottom"/>
            <w:gridSpan w:val="6"/>
          </w:tcPr>
          <w:p>
            <w:pPr>
              <w:ind w:left="220"/>
              <w:spacing w:after="0" w:line="195" w:lineRule="exact"/>
              <w:rPr>
                <w:sz w:val="20"/>
                <w:szCs w:val="20"/>
                <w:color w:val="auto"/>
              </w:rPr>
            </w:pPr>
            <w:r>
              <w:rPr>
                <w:rFonts w:ascii="Arial" w:cs="Arial" w:eastAsia="Arial" w:hAnsi="Arial"/>
                <w:sz w:val="22"/>
                <w:szCs w:val="22"/>
                <w:color w:val="auto"/>
                <w:w w:val="81"/>
              </w:rPr>
              <w:t>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20" w:type="dxa"/>
            <w:vAlign w:val="bottom"/>
            <w:gridSpan w:val="5"/>
          </w:tcPr>
          <w:p>
            <w:pPr>
              <w:spacing w:after="0" w:line="188" w:lineRule="exact"/>
              <w:rPr>
                <w:sz w:val="20"/>
                <w:szCs w:val="20"/>
                <w:color w:val="auto"/>
              </w:rPr>
            </w:pPr>
            <w:r>
              <w:rPr>
                <w:rFonts w:ascii="Arial" w:cs="Arial" w:eastAsia="Arial" w:hAnsi="Arial"/>
                <w:sz w:val="21"/>
                <w:szCs w:val="21"/>
                <w:color w:val="auto"/>
                <w:w w:val="93"/>
              </w:rPr>
              <w:t>SECTION 1.07 Rounding</w:t>
            </w:r>
          </w:p>
        </w:tc>
        <w:tc>
          <w:tcPr>
            <w:tcW w:w="100" w:type="dxa"/>
            <w:vAlign w:val="bottom"/>
            <w:tcBorders>
              <w:top w:val="single" w:sz="8" w:color="auto"/>
            </w:tcBorders>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0" w:type="dxa"/>
            <w:vAlign w:val="bottom"/>
            <w:gridSpan w:val="52"/>
          </w:tcPr>
          <w:p>
            <w:pPr>
              <w:spacing w:after="0" w:line="188" w:lineRule="exact"/>
              <w:rPr>
                <w:sz w:val="20"/>
                <w:szCs w:val="20"/>
                <w:color w:val="auto"/>
              </w:rPr>
            </w:pPr>
            <w:r>
              <w:rPr>
                <w:rFonts w:ascii="Arial" w:cs="Arial" w:eastAsia="Arial" w:hAnsi="Arial"/>
                <w:sz w:val="21"/>
                <w:szCs w:val="21"/>
                <w:color w:val="auto"/>
                <w:w w:val="89"/>
              </w:rPr>
              <w:t>_______________________________________________________</w:t>
            </w:r>
          </w:p>
        </w:tc>
        <w:tc>
          <w:tcPr>
            <w:tcW w:w="340" w:type="dxa"/>
            <w:vAlign w:val="bottom"/>
          </w:tcPr>
          <w:p>
            <w:pPr>
              <w:jc w:val="right"/>
              <w:spacing w:after="0" w:line="188" w:lineRule="exact"/>
              <w:rPr>
                <w:sz w:val="20"/>
                <w:szCs w:val="20"/>
                <w:color w:val="auto"/>
              </w:rPr>
            </w:pPr>
            <w:r>
              <w:rPr>
                <w:rFonts w:ascii="Arial" w:cs="Arial" w:eastAsia="Arial" w:hAnsi="Arial"/>
                <w:sz w:val="21"/>
                <w:szCs w:val="21"/>
                <w:color w:val="auto"/>
              </w:rPr>
              <w:t>46</w:t>
            </w:r>
          </w:p>
        </w:tc>
        <w:tc>
          <w:tcPr>
            <w:tcW w:w="0" w:type="dxa"/>
            <w:vAlign w:val="bottom"/>
          </w:tcPr>
          <w:p>
            <w:pPr>
              <w:spacing w:after="0"/>
              <w:rPr>
                <w:sz w:val="1"/>
                <w:szCs w:val="1"/>
                <w:color w:val="auto"/>
              </w:rPr>
            </w:pPr>
          </w:p>
        </w:tc>
      </w:tr>
      <w:tr>
        <w:trPr>
          <w:trHeight w:val="224"/>
        </w:trPr>
        <w:tc>
          <w:tcPr>
            <w:tcW w:w="4520" w:type="dxa"/>
            <w:vAlign w:val="bottom"/>
            <w:gridSpan w:val="42"/>
          </w:tcPr>
          <w:p>
            <w:pPr>
              <w:spacing w:after="0" w:line="224" w:lineRule="exact"/>
              <w:rPr>
                <w:sz w:val="20"/>
                <w:szCs w:val="20"/>
                <w:color w:val="auto"/>
              </w:rPr>
            </w:pPr>
            <w:r>
              <w:rPr>
                <w:rFonts w:ascii="Arial" w:cs="Arial" w:eastAsia="Arial" w:hAnsi="Arial"/>
                <w:sz w:val="22"/>
                <w:szCs w:val="22"/>
                <w:color w:val="auto"/>
                <w:w w:val="95"/>
              </w:rPr>
              <w:t>SECTION 1.08 Additional Alternative Currencies</w:t>
            </w:r>
          </w:p>
        </w:tc>
        <w:tc>
          <w:tcPr>
            <w:tcW w:w="320" w:type="dxa"/>
            <w:vAlign w:val="bottom"/>
            <w:gridSpan w:val="4"/>
          </w:tcPr>
          <w:p>
            <w:pPr>
              <w:jc w:val="right"/>
              <w:ind w:right="20"/>
              <w:spacing w:after="0" w:line="224" w:lineRule="exact"/>
              <w:rPr>
                <w:sz w:val="20"/>
                <w:szCs w:val="20"/>
                <w:color w:val="auto"/>
              </w:rPr>
            </w:pPr>
            <w:r>
              <w:rPr>
                <w:rFonts w:ascii="Arial" w:cs="Arial" w:eastAsia="Arial" w:hAnsi="Arial"/>
                <w:sz w:val="22"/>
                <w:szCs w:val="22"/>
                <w:color w:val="auto"/>
              </w:rPr>
              <w:t>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20" w:type="dxa"/>
            <w:vAlign w:val="bottom"/>
            <w:gridSpan w:val="35"/>
          </w:tcPr>
          <w:p>
            <w:pPr>
              <w:spacing w:after="0" w:line="195" w:lineRule="exact"/>
              <w:rPr>
                <w:sz w:val="20"/>
                <w:szCs w:val="20"/>
                <w:color w:val="auto"/>
              </w:rPr>
            </w:pPr>
            <w:r>
              <w:rPr>
                <w:rFonts w:ascii="Arial" w:cs="Arial" w:eastAsia="Arial" w:hAnsi="Arial"/>
                <w:sz w:val="22"/>
                <w:szCs w:val="22"/>
                <w:color w:val="auto"/>
                <w:w w:val="96"/>
              </w:rPr>
              <w:t>SECTION 1.09 Change of Currency   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gridSpan w:val="10"/>
          </w:tcPr>
          <w:p>
            <w:pPr>
              <w:spacing w:after="0" w:line="195" w:lineRule="exact"/>
              <w:rPr>
                <w:sz w:val="20"/>
                <w:szCs w:val="20"/>
                <w:color w:val="auto"/>
              </w:rPr>
            </w:pPr>
            <w:r>
              <w:rPr>
                <w:rFonts w:ascii="Arial" w:cs="Arial" w:eastAsia="Arial" w:hAnsi="Arial"/>
                <w:sz w:val="22"/>
                <w:szCs w:val="22"/>
                <w:color w:val="auto"/>
                <w:w w:val="90"/>
              </w:rPr>
              <w:t>SECTION 1.10 Times of Day</w:t>
            </w:r>
          </w:p>
        </w:tc>
        <w:tc>
          <w:tcPr>
            <w:tcW w:w="300" w:type="dxa"/>
            <w:vAlign w:val="bottom"/>
            <w:tcBorders>
              <w:bottom w:val="single" w:sz="8" w:color="auto"/>
            </w:tcBorders>
            <w:gridSpan w:val="4"/>
          </w:tcPr>
          <w:p>
            <w:pPr>
              <w:spacing w:after="0"/>
              <w:rPr>
                <w:sz w:val="17"/>
                <w:szCs w:val="17"/>
                <w:color w:val="auto"/>
              </w:rPr>
            </w:pPr>
          </w:p>
        </w:tc>
        <w:tc>
          <w:tcPr>
            <w:tcW w:w="220" w:type="dxa"/>
            <w:vAlign w:val="bottom"/>
            <w:gridSpan w:val="4"/>
          </w:tcPr>
          <w:p>
            <w:pPr>
              <w:jc w:val="right"/>
              <w:spacing w:after="0" w:line="196" w:lineRule="exact"/>
              <w:rPr>
                <w:sz w:val="20"/>
                <w:szCs w:val="20"/>
                <w:color w:val="auto"/>
              </w:rPr>
            </w:pPr>
            <w:r>
              <w:rPr>
                <w:rFonts w:ascii="Arial" w:cs="Arial" w:eastAsia="Arial" w:hAnsi="Arial"/>
                <w:sz w:val="19"/>
                <w:szCs w:val="19"/>
                <w:color w:val="auto"/>
                <w:w w:val="75"/>
              </w:rPr>
              <w:t>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gridSpan w:val="14"/>
          </w:tcPr>
          <w:p>
            <w:pPr>
              <w:spacing w:after="0" w:line="195" w:lineRule="exact"/>
              <w:rPr>
                <w:sz w:val="20"/>
                <w:szCs w:val="20"/>
                <w:color w:val="auto"/>
              </w:rPr>
            </w:pPr>
            <w:r>
              <w:rPr>
                <w:rFonts w:ascii="Arial" w:cs="Arial" w:eastAsia="Arial" w:hAnsi="Arial"/>
                <w:sz w:val="22"/>
                <w:szCs w:val="22"/>
                <w:color w:val="auto"/>
                <w:w w:val="95"/>
              </w:rPr>
              <w:t>SECTION 1.11 Letter of Credit</w:t>
            </w:r>
          </w:p>
        </w:tc>
        <w:tc>
          <w:tcPr>
            <w:tcW w:w="940" w:type="dxa"/>
            <w:vAlign w:val="bottom"/>
            <w:gridSpan w:val="21"/>
          </w:tcPr>
          <w:p>
            <w:pPr>
              <w:jc w:val="right"/>
              <w:ind w:right="240"/>
              <w:spacing w:after="0" w:line="195" w:lineRule="exact"/>
              <w:rPr>
                <w:sz w:val="20"/>
                <w:szCs w:val="20"/>
                <w:color w:val="auto"/>
              </w:rPr>
            </w:pPr>
            <w:r>
              <w:rPr>
                <w:rFonts w:ascii="Arial" w:cs="Arial" w:eastAsia="Arial" w:hAnsi="Arial"/>
                <w:sz w:val="22"/>
                <w:szCs w:val="22"/>
                <w:color w:val="auto"/>
                <w:w w:val="78"/>
              </w:rPr>
              <w:t>Amounts</w:t>
            </w:r>
          </w:p>
        </w:tc>
        <w:tc>
          <w:tcPr>
            <w:tcW w:w="280" w:type="dxa"/>
            <w:vAlign w:val="bottom"/>
            <w:gridSpan w:val="4"/>
          </w:tcPr>
          <w:p>
            <w:pPr>
              <w:ind w:left="20"/>
              <w:spacing w:after="0" w:line="195" w:lineRule="exact"/>
              <w:rPr>
                <w:sz w:val="20"/>
                <w:szCs w:val="20"/>
                <w:color w:val="auto"/>
              </w:rPr>
            </w:pPr>
            <w:r>
              <w:rPr>
                <w:rFonts w:ascii="Arial" w:cs="Arial" w:eastAsia="Arial" w:hAnsi="Arial"/>
                <w:sz w:val="22"/>
                <w:szCs w:val="22"/>
                <w:color w:val="auto"/>
                <w:w w:val="97"/>
              </w:rPr>
              <w:t>48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31"/>
          </w:tcPr>
          <w:p>
            <w:pPr>
              <w:spacing w:after="0" w:line="195" w:lineRule="exact"/>
              <w:rPr>
                <w:sz w:val="20"/>
                <w:szCs w:val="20"/>
                <w:color w:val="auto"/>
              </w:rPr>
            </w:pPr>
            <w:r>
              <w:rPr>
                <w:rFonts w:ascii="Arial" w:cs="Arial" w:eastAsia="Arial" w:hAnsi="Arial"/>
                <w:sz w:val="22"/>
                <w:szCs w:val="22"/>
                <w:color w:val="auto"/>
                <w:w w:val="85"/>
              </w:rPr>
              <w:t>SECTION 1.12 Exchange Rates; Currency</w:t>
            </w: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60" w:type="dxa"/>
            <w:vAlign w:val="bottom"/>
            <w:gridSpan w:val="25"/>
          </w:tcPr>
          <w:p>
            <w:pPr>
              <w:spacing w:after="0" w:line="195" w:lineRule="exact"/>
              <w:rPr>
                <w:sz w:val="20"/>
                <w:szCs w:val="20"/>
                <w:color w:val="auto"/>
              </w:rPr>
            </w:pPr>
            <w:r>
              <w:rPr>
                <w:rFonts w:ascii="Arial" w:cs="Arial" w:eastAsia="Arial" w:hAnsi="Arial"/>
                <w:sz w:val="22"/>
                <w:szCs w:val="22"/>
                <w:color w:val="auto"/>
              </w:rPr>
              <w:t>Equivalents; Interest Rates   48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300" w:type="dxa"/>
            <w:vAlign w:val="bottom"/>
            <w:gridSpan w:val="61"/>
          </w:tcPr>
          <w:p>
            <w:pPr>
              <w:spacing w:after="0"/>
              <w:rPr>
                <w:sz w:val="20"/>
                <w:szCs w:val="20"/>
                <w:color w:val="auto"/>
              </w:rPr>
            </w:pPr>
            <w:r>
              <w:rPr>
                <w:rFonts w:ascii="Arial" w:cs="Arial" w:eastAsia="Arial" w:hAnsi="Arial"/>
                <w:sz w:val="22"/>
                <w:szCs w:val="22"/>
                <w:color w:val="auto"/>
                <w:w w:val="90"/>
              </w:rPr>
              <w:t>ARTICLE II The Credits________________________________________________________</w:t>
            </w:r>
          </w:p>
        </w:tc>
        <w:tc>
          <w:tcPr>
            <w:tcW w:w="34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24"/>
        </w:trPr>
        <w:tc>
          <w:tcPr>
            <w:tcW w:w="2620" w:type="dxa"/>
            <w:vAlign w:val="bottom"/>
            <w:gridSpan w:val="11"/>
          </w:tcPr>
          <w:p>
            <w:pPr>
              <w:spacing w:after="0" w:line="224" w:lineRule="exact"/>
              <w:rPr>
                <w:sz w:val="20"/>
                <w:szCs w:val="20"/>
                <w:color w:val="auto"/>
              </w:rPr>
            </w:pPr>
            <w:r>
              <w:rPr>
                <w:rFonts w:ascii="Arial" w:cs="Arial" w:eastAsia="Arial" w:hAnsi="Arial"/>
                <w:sz w:val="22"/>
                <w:szCs w:val="22"/>
                <w:color w:val="auto"/>
                <w:w w:val="90"/>
              </w:rPr>
              <w:t>SECTION 2.01 Commitments</w:t>
            </w:r>
          </w:p>
        </w:tc>
        <w:tc>
          <w:tcPr>
            <w:tcW w:w="260" w:type="dxa"/>
            <w:vAlign w:val="bottom"/>
            <w:tcBorders>
              <w:bottom w:val="single" w:sz="8" w:color="auto"/>
            </w:tcBorders>
            <w:gridSpan w:val="3"/>
          </w:tcPr>
          <w:p>
            <w:pPr>
              <w:spacing w:after="0"/>
              <w:rPr>
                <w:sz w:val="19"/>
                <w:szCs w:val="19"/>
                <w:color w:val="auto"/>
              </w:rPr>
            </w:pPr>
          </w:p>
        </w:tc>
        <w:tc>
          <w:tcPr>
            <w:tcW w:w="240" w:type="dxa"/>
            <w:vAlign w:val="bottom"/>
            <w:gridSpan w:val="5"/>
          </w:tcPr>
          <w:p>
            <w:pPr>
              <w:jc w:val="right"/>
              <w:spacing w:after="0" w:line="224" w:lineRule="exact"/>
              <w:rPr>
                <w:sz w:val="20"/>
                <w:szCs w:val="20"/>
                <w:color w:val="auto"/>
              </w:rPr>
            </w:pPr>
            <w:r>
              <w:rPr>
                <w:rFonts w:ascii="Arial" w:cs="Arial" w:eastAsia="Arial" w:hAnsi="Arial"/>
                <w:sz w:val="22"/>
                <w:szCs w:val="22"/>
                <w:color w:val="auto"/>
                <w:w w:val="81"/>
              </w:rPr>
              <w:t>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10"/>
            <w:vMerge w:val="restart"/>
          </w:tcPr>
          <w:p>
            <w:pPr>
              <w:jc w:val="right"/>
              <w:ind w:right="52"/>
              <w:spacing w:after="0"/>
              <w:rPr>
                <w:sz w:val="20"/>
                <w:szCs w:val="20"/>
                <w:color w:val="auto"/>
              </w:rPr>
            </w:pPr>
            <w:r>
              <w:rPr>
                <w:rFonts w:ascii="Arial" w:cs="Arial" w:eastAsia="Arial" w:hAnsi="Arial"/>
                <w:sz w:val="22"/>
                <w:szCs w:val="22"/>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80" w:type="dxa"/>
            <w:vAlign w:val="bottom"/>
            <w:gridSpan w:val="28"/>
          </w:tcPr>
          <w:p>
            <w:pPr>
              <w:spacing w:after="0" w:line="195" w:lineRule="exact"/>
              <w:rPr>
                <w:sz w:val="20"/>
                <w:szCs w:val="20"/>
                <w:color w:val="auto"/>
              </w:rPr>
            </w:pPr>
            <w:r>
              <w:rPr>
                <w:rFonts w:ascii="Arial" w:cs="Arial" w:eastAsia="Arial" w:hAnsi="Arial"/>
                <w:sz w:val="22"/>
                <w:szCs w:val="22"/>
                <w:color w:val="auto"/>
                <w:w w:val="93"/>
              </w:rPr>
              <w:t>SECTION 2.02 Loans and Borrowings</w:t>
            </w:r>
          </w:p>
        </w:tc>
        <w:tc>
          <w:tcPr>
            <w:tcW w:w="520" w:type="dxa"/>
            <w:vAlign w:val="bottom"/>
            <w:gridSpan w:val="10"/>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26"/>
          </w:tcPr>
          <w:p>
            <w:pPr>
              <w:spacing w:after="0" w:line="195" w:lineRule="exact"/>
              <w:rPr>
                <w:sz w:val="20"/>
                <w:szCs w:val="20"/>
                <w:color w:val="auto"/>
              </w:rPr>
            </w:pPr>
            <w:r>
              <w:rPr>
                <w:rFonts w:ascii="Arial" w:cs="Arial" w:eastAsia="Arial" w:hAnsi="Arial"/>
                <w:sz w:val="22"/>
                <w:szCs w:val="22"/>
                <w:color w:val="auto"/>
                <w:w w:val="85"/>
              </w:rPr>
              <w:t>SECTION 2.03 Requests for Borrowings</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gridSpan w:val="2"/>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gridSpan w:val="4"/>
          </w:tcPr>
          <w:p>
            <w:pPr>
              <w:spacing w:after="0" w:line="195" w:lineRule="exact"/>
              <w:rPr>
                <w:sz w:val="20"/>
                <w:szCs w:val="20"/>
                <w:color w:val="auto"/>
              </w:rPr>
            </w:pPr>
            <w:r>
              <w:rPr>
                <w:rFonts w:ascii="Arial" w:cs="Arial" w:eastAsia="Arial" w:hAnsi="Arial"/>
                <w:sz w:val="22"/>
                <w:szCs w:val="22"/>
                <w:color w:val="auto"/>
              </w:rPr>
              <w:t>50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gridSpan w:val="18"/>
          </w:tcPr>
          <w:p>
            <w:pPr>
              <w:spacing w:after="0" w:line="195" w:lineRule="exact"/>
              <w:rPr>
                <w:sz w:val="20"/>
                <w:szCs w:val="20"/>
                <w:color w:val="auto"/>
              </w:rPr>
            </w:pPr>
            <w:r>
              <w:rPr>
                <w:rFonts w:ascii="Arial" w:cs="Arial" w:eastAsia="Arial" w:hAnsi="Arial"/>
                <w:sz w:val="22"/>
                <w:szCs w:val="22"/>
                <w:color w:val="auto"/>
                <w:w w:val="98"/>
              </w:rPr>
              <w:t>SECTION 2.04 Swingline Loans</w:t>
            </w:r>
          </w:p>
        </w:tc>
        <w:tc>
          <w:tcPr>
            <w:tcW w:w="260" w:type="dxa"/>
            <w:vAlign w:val="bottom"/>
            <w:gridSpan w:val="7"/>
          </w:tcPr>
          <w:p>
            <w:pPr>
              <w:jc w:val="right"/>
              <w:ind w:right="20"/>
              <w:spacing w:after="0" w:line="195" w:lineRule="exact"/>
              <w:rPr>
                <w:sz w:val="20"/>
                <w:szCs w:val="20"/>
                <w:color w:val="auto"/>
              </w:rPr>
            </w:pPr>
            <w:r>
              <w:rPr>
                <w:rFonts w:ascii="Arial" w:cs="Arial" w:eastAsia="Arial" w:hAnsi="Arial"/>
                <w:sz w:val="22"/>
                <w:szCs w:val="22"/>
                <w:color w:val="auto"/>
                <w:w w:val="89"/>
              </w:rPr>
              <w:t>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gridSpan w:val="14"/>
          </w:tcPr>
          <w:p>
            <w:pPr>
              <w:spacing w:after="0" w:line="195" w:lineRule="exact"/>
              <w:rPr>
                <w:sz w:val="20"/>
                <w:szCs w:val="20"/>
                <w:color w:val="auto"/>
              </w:rPr>
            </w:pPr>
            <w:r>
              <w:rPr>
                <w:rFonts w:ascii="Arial" w:cs="Arial" w:eastAsia="Arial" w:hAnsi="Arial"/>
                <w:sz w:val="22"/>
                <w:szCs w:val="22"/>
                <w:color w:val="auto"/>
                <w:w w:val="91"/>
              </w:rPr>
              <w:t>SECTION 2.05 Letters of Credit</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gridSpan w:val="2"/>
          </w:tcPr>
          <w:p>
            <w:pPr>
              <w:spacing w:after="0"/>
              <w:rPr>
                <w:sz w:val="17"/>
                <w:szCs w:val="17"/>
                <w:color w:val="auto"/>
              </w:rPr>
            </w:pPr>
          </w:p>
        </w:tc>
        <w:tc>
          <w:tcPr>
            <w:tcW w:w="220" w:type="dxa"/>
            <w:vAlign w:val="bottom"/>
            <w:gridSpan w:val="5"/>
          </w:tcPr>
          <w:p>
            <w:pPr>
              <w:jc w:val="right"/>
              <w:ind w:right="60"/>
              <w:spacing w:after="0"/>
              <w:rPr>
                <w:sz w:val="20"/>
                <w:szCs w:val="20"/>
                <w:color w:val="auto"/>
              </w:rPr>
            </w:pPr>
            <w:r>
              <w:rPr>
                <w:rFonts w:ascii="Arial" w:cs="Arial" w:eastAsia="Arial" w:hAnsi="Arial"/>
                <w:sz w:val="17"/>
                <w:szCs w:val="17"/>
                <w:color w:val="auto"/>
                <w:w w:val="73"/>
              </w:rPr>
              <w:t>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10"/>
            <w:vMerge w:val="restart"/>
          </w:tcPr>
          <w:p>
            <w:pPr>
              <w:jc w:val="right"/>
              <w:spacing w:after="0"/>
              <w:rPr>
                <w:sz w:val="20"/>
                <w:szCs w:val="20"/>
                <w:color w:val="auto"/>
              </w:rPr>
            </w:pPr>
            <w:r>
              <w:rPr>
                <w:rFonts w:ascii="Arial" w:cs="Arial" w:eastAsia="Arial" w:hAnsi="Arial"/>
                <w:sz w:val="22"/>
                <w:szCs w:val="22"/>
                <w:color w:val="auto"/>
              </w:rPr>
              <w:t>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10"/>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gridSpan w:val="28"/>
          </w:tcPr>
          <w:p>
            <w:pPr>
              <w:spacing w:after="0" w:line="195" w:lineRule="exact"/>
              <w:rPr>
                <w:sz w:val="20"/>
                <w:szCs w:val="20"/>
                <w:color w:val="auto"/>
              </w:rPr>
            </w:pPr>
            <w:r>
              <w:rPr>
                <w:rFonts w:ascii="Arial" w:cs="Arial" w:eastAsia="Arial" w:hAnsi="Arial"/>
                <w:sz w:val="22"/>
                <w:szCs w:val="22"/>
                <w:color w:val="auto"/>
                <w:w w:val="92"/>
              </w:rPr>
              <w:t>SECTION 2.06 Funding of Borrowings</w:t>
            </w:r>
          </w:p>
        </w:tc>
        <w:tc>
          <w:tcPr>
            <w:tcW w:w="520" w:type="dxa"/>
            <w:vAlign w:val="bottom"/>
            <w:gridSpan w:val="10"/>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940" w:type="dxa"/>
            <w:vAlign w:val="bottom"/>
            <w:gridSpan w:val="17"/>
            <w:vMerge w:val="restart"/>
          </w:tcPr>
          <w:p>
            <w:pPr>
              <w:jc w:val="center"/>
              <w:ind w:right="200"/>
              <w:spacing w:after="0" w:line="216" w:lineRule="exact"/>
              <w:rPr>
                <w:sz w:val="20"/>
                <w:szCs w:val="20"/>
                <w:color w:val="auto"/>
              </w:rPr>
            </w:pPr>
            <w:r>
              <w:rPr>
                <w:rFonts w:ascii="Arial" w:cs="Arial" w:eastAsia="Arial" w:hAnsi="Arial"/>
                <w:sz w:val="22"/>
                <w:szCs w:val="22"/>
                <w:color w:val="auto"/>
                <w:w w:val="87"/>
              </w:rPr>
              <w:t>to Determine Rates</w:t>
            </w:r>
          </w:p>
        </w:tc>
        <w:tc>
          <w:tcPr>
            <w:tcW w:w="260" w:type="dxa"/>
            <w:vAlign w:val="bottom"/>
            <w:gridSpan w:val="3"/>
            <w:vMerge w:val="restart"/>
          </w:tcPr>
          <w:p>
            <w:pPr>
              <w:jc w:val="right"/>
              <w:ind w:right="20"/>
              <w:spacing w:after="0" w:line="216" w:lineRule="exact"/>
              <w:rPr>
                <w:sz w:val="20"/>
                <w:szCs w:val="20"/>
                <w:color w:val="auto"/>
              </w:rPr>
            </w:pPr>
            <w:r>
              <w:rPr>
                <w:rFonts w:ascii="Arial" w:cs="Arial" w:eastAsia="Arial" w:hAnsi="Arial"/>
                <w:sz w:val="22"/>
                <w:szCs w:val="22"/>
                <w:color w:val="auto"/>
                <w:w w:val="89"/>
              </w:rPr>
              <w:t>64</w:t>
            </w: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33"/>
          </w:tcPr>
          <w:p>
            <w:pPr>
              <w:spacing w:after="0" w:line="195" w:lineRule="exact"/>
              <w:rPr>
                <w:sz w:val="20"/>
                <w:szCs w:val="20"/>
                <w:color w:val="auto"/>
              </w:rPr>
            </w:pPr>
            <w:r>
              <w:rPr>
                <w:rFonts w:ascii="Arial" w:cs="Arial" w:eastAsia="Arial" w:hAnsi="Arial"/>
                <w:sz w:val="22"/>
                <w:szCs w:val="22"/>
                <w:color w:val="auto"/>
                <w:w w:val="89"/>
              </w:rPr>
              <w:t>SECTION 2.07 Market Disruption; Inability</w:t>
            </w:r>
          </w:p>
        </w:tc>
        <w:tc>
          <w:tcPr>
            <w:tcW w:w="20" w:type="dxa"/>
            <w:vAlign w:val="bottom"/>
            <w:vMerge w:val="continue"/>
          </w:tcPr>
          <w:p>
            <w:pPr>
              <w:spacing w:after="0"/>
              <w:rPr>
                <w:sz w:val="17"/>
                <w:szCs w:val="17"/>
                <w:color w:val="auto"/>
              </w:rPr>
            </w:pPr>
          </w:p>
        </w:tc>
        <w:tc>
          <w:tcPr>
            <w:tcW w:w="140" w:type="dxa"/>
            <w:vAlign w:val="bottom"/>
            <w:gridSpan w:val="3"/>
            <w:vMerge w:val="continue"/>
          </w:tcPr>
          <w:p>
            <w:pPr>
              <w:spacing w:after="0"/>
              <w:rPr>
                <w:sz w:val="17"/>
                <w:szCs w:val="17"/>
                <w:color w:val="auto"/>
              </w:rPr>
            </w:pPr>
          </w:p>
        </w:tc>
        <w:tc>
          <w:tcPr>
            <w:tcW w:w="1940" w:type="dxa"/>
            <w:vAlign w:val="bottom"/>
            <w:gridSpan w:val="17"/>
            <w:vMerge w:val="continue"/>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gridSpan w:val="52"/>
          </w:tcPr>
          <w:p>
            <w:pPr>
              <w:spacing w:after="0" w:line="195" w:lineRule="exact"/>
              <w:rPr>
                <w:sz w:val="20"/>
                <w:szCs w:val="20"/>
                <w:color w:val="auto"/>
              </w:rPr>
            </w:pPr>
            <w:r>
              <w:rPr>
                <w:rFonts w:ascii="Arial" w:cs="Arial" w:eastAsia="Arial" w:hAnsi="Arial"/>
                <w:sz w:val="22"/>
                <w:szCs w:val="22"/>
                <w:color w:val="auto"/>
                <w:w w:val="94"/>
              </w:rPr>
              <w:t>SECTION 2.08 Termination and Reduction of Commitments</w:t>
            </w:r>
          </w:p>
        </w:tc>
        <w:tc>
          <w:tcPr>
            <w:tcW w:w="240" w:type="dxa"/>
            <w:vAlign w:val="bottom"/>
            <w:tcBorders>
              <w:top w:val="single" w:sz="8" w:color="auto"/>
            </w:tcBorders>
            <w:gridSpan w:val="2"/>
          </w:tcPr>
          <w:p>
            <w:pPr>
              <w:jc w:val="right"/>
              <w:ind w:right="40"/>
              <w:spacing w:after="0" w:line="195" w:lineRule="exact"/>
              <w:rPr>
                <w:sz w:val="20"/>
                <w:szCs w:val="20"/>
                <w:color w:val="auto"/>
              </w:rPr>
            </w:pPr>
            <w:r>
              <w:rPr>
                <w:rFonts w:ascii="Arial" w:cs="Arial" w:eastAsia="Arial" w:hAnsi="Arial"/>
                <w:sz w:val="22"/>
                <w:szCs w:val="22"/>
                <w:color w:val="auto"/>
                <w:w w:val="73"/>
              </w:rPr>
              <w:t>68</w:t>
            </w: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gridSpan w:val="47"/>
          </w:tcPr>
          <w:p>
            <w:pPr>
              <w:spacing w:after="0" w:line="195" w:lineRule="exact"/>
              <w:rPr>
                <w:sz w:val="20"/>
                <w:szCs w:val="20"/>
                <w:color w:val="auto"/>
              </w:rPr>
            </w:pPr>
            <w:r>
              <w:rPr>
                <w:rFonts w:ascii="Arial" w:cs="Arial" w:eastAsia="Arial" w:hAnsi="Arial"/>
                <w:sz w:val="22"/>
                <w:szCs w:val="22"/>
                <w:color w:val="auto"/>
                <w:w w:val="92"/>
              </w:rPr>
              <w:t>SECTION 2.09 Repayment of Loans; Evidence of Debt</w:t>
            </w:r>
          </w:p>
        </w:tc>
        <w:tc>
          <w:tcPr>
            <w:tcW w:w="260" w:type="dxa"/>
            <w:vAlign w:val="bottom"/>
            <w:gridSpan w:val="3"/>
          </w:tcPr>
          <w:p>
            <w:pPr>
              <w:ind w:left="80"/>
              <w:spacing w:after="0" w:line="196" w:lineRule="exact"/>
              <w:rPr>
                <w:sz w:val="20"/>
                <w:szCs w:val="20"/>
                <w:color w:val="auto"/>
              </w:rPr>
            </w:pPr>
            <w:r>
              <w:rPr>
                <w:rFonts w:ascii="Arial" w:cs="Arial" w:eastAsia="Arial" w:hAnsi="Arial"/>
                <w:sz w:val="19"/>
                <w:szCs w:val="19"/>
                <w:color w:val="auto"/>
                <w:w w:val="75"/>
              </w:rPr>
              <w:t>69</w:t>
            </w: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80" w:type="dxa"/>
            <w:vAlign w:val="bottom"/>
            <w:gridSpan w:val="28"/>
          </w:tcPr>
          <w:p>
            <w:pPr>
              <w:spacing w:after="0" w:line="195" w:lineRule="exact"/>
              <w:rPr>
                <w:sz w:val="20"/>
                <w:szCs w:val="20"/>
                <w:color w:val="auto"/>
              </w:rPr>
            </w:pPr>
            <w:r>
              <w:rPr>
                <w:rFonts w:ascii="Arial" w:cs="Arial" w:eastAsia="Arial" w:hAnsi="Arial"/>
                <w:sz w:val="22"/>
                <w:szCs w:val="22"/>
                <w:color w:val="auto"/>
                <w:w w:val="95"/>
              </w:rPr>
              <w:t>SECTION 2.10 Prepayment of Loans</w:t>
            </w:r>
          </w:p>
        </w:tc>
        <w:tc>
          <w:tcPr>
            <w:tcW w:w="240" w:type="dxa"/>
            <w:vAlign w:val="bottom"/>
            <w:gridSpan w:val="6"/>
          </w:tcPr>
          <w:p>
            <w:pPr>
              <w:jc w:val="right"/>
              <w:spacing w:after="0" w:line="195" w:lineRule="exact"/>
              <w:rPr>
                <w:sz w:val="20"/>
                <w:szCs w:val="20"/>
                <w:color w:val="auto"/>
              </w:rPr>
            </w:pPr>
            <w:r>
              <w:rPr>
                <w:rFonts w:ascii="Arial" w:cs="Arial" w:eastAsia="Arial" w:hAnsi="Arial"/>
                <w:sz w:val="22"/>
                <w:szCs w:val="22"/>
                <w:color w:val="auto"/>
                <w:w w:val="89"/>
              </w:rPr>
              <w:t>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gridSpan w:val="3"/>
          </w:tcPr>
          <w:p>
            <w:pPr>
              <w:spacing w:after="0" w:line="195" w:lineRule="exact"/>
              <w:rPr>
                <w:sz w:val="20"/>
                <w:szCs w:val="20"/>
                <w:color w:val="auto"/>
              </w:rPr>
            </w:pPr>
            <w:r>
              <w:rPr>
                <w:rFonts w:ascii="Arial" w:cs="Arial" w:eastAsia="Arial" w:hAnsi="Arial"/>
                <w:sz w:val="22"/>
                <w:szCs w:val="22"/>
                <w:color w:val="auto"/>
              </w:rPr>
              <w:t>SECTION 2.11 Fees</w:t>
            </w: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22"/>
                <w:szCs w:val="22"/>
                <w:color w:val="auto"/>
                <w:w w:val="73"/>
              </w:rPr>
              <w:t>71</w:t>
            </w:r>
          </w:p>
        </w:tc>
        <w:tc>
          <w:tcPr>
            <w:tcW w:w="300" w:type="dxa"/>
            <w:vAlign w:val="bottom"/>
            <w:gridSpan w:val="4"/>
            <w:vMerge w:val="restart"/>
          </w:tcPr>
          <w:p>
            <w:pPr>
              <w:ind w:left="40"/>
              <w:spacing w:after="0"/>
              <w:rPr>
                <w:sz w:val="20"/>
                <w:szCs w:val="20"/>
                <w:color w:val="auto"/>
              </w:rPr>
            </w:pPr>
            <w:r>
              <w:rPr>
                <w:rFonts w:ascii="Arial" w:cs="Arial" w:eastAsia="Arial" w:hAnsi="Arial"/>
                <w:sz w:val="22"/>
                <w:szCs w:val="22"/>
                <w:color w:val="auto"/>
                <w:w w:val="97"/>
              </w:rPr>
              <w:t>72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Borders>
              <w:right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6060" w:type="dxa"/>
            <w:vAlign w:val="bottom"/>
            <w:gridSpan w:val="5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gridSpan w:val="6"/>
          </w:tcPr>
          <w:p>
            <w:pPr>
              <w:spacing w:after="0" w:line="195" w:lineRule="exact"/>
              <w:rPr>
                <w:sz w:val="20"/>
                <w:szCs w:val="20"/>
                <w:color w:val="auto"/>
              </w:rPr>
            </w:pPr>
            <w:r>
              <w:rPr>
                <w:rFonts w:ascii="Arial" w:cs="Arial" w:eastAsia="Arial" w:hAnsi="Arial"/>
                <w:sz w:val="22"/>
                <w:szCs w:val="22"/>
                <w:color w:val="auto"/>
                <w:w w:val="89"/>
              </w:rPr>
              <w:t>SECTION 2.12 Interest</w:t>
            </w:r>
          </w:p>
        </w:tc>
        <w:tc>
          <w:tcPr>
            <w:tcW w:w="300" w:type="dxa"/>
            <w:vAlign w:val="bottom"/>
            <w:gridSpan w:val="4"/>
            <w:vMerge w:val="continue"/>
          </w:tcPr>
          <w:p>
            <w:pPr>
              <w:spacing w:after="0"/>
              <w:rPr>
                <w:sz w:val="17"/>
                <w:szCs w:val="17"/>
                <w:color w:val="auto"/>
              </w:rPr>
            </w:pPr>
          </w:p>
        </w:tc>
        <w:tc>
          <w:tcPr>
            <w:tcW w:w="6060" w:type="dxa"/>
            <w:vAlign w:val="bottom"/>
            <w:gridSpan w:val="5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gridSpan w:val="6"/>
            <w:vMerge w:val="restart"/>
          </w:tcPr>
          <w:p>
            <w:pPr>
              <w:jc w:val="right"/>
              <w:spacing w:after="0" w:line="216" w:lineRule="exact"/>
              <w:rPr>
                <w:sz w:val="20"/>
                <w:szCs w:val="20"/>
                <w:color w:val="auto"/>
              </w:rPr>
            </w:pPr>
            <w:r>
              <w:rPr>
                <w:rFonts w:ascii="Arial" w:cs="Arial" w:eastAsia="Arial" w:hAnsi="Arial"/>
                <w:sz w:val="22"/>
                <w:szCs w:val="22"/>
                <w:color w:val="auto"/>
              </w:rPr>
              <w:t>73</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gridSpan w:val="7"/>
          </w:tcPr>
          <w:p>
            <w:pPr>
              <w:spacing w:after="0" w:line="195" w:lineRule="exact"/>
              <w:rPr>
                <w:sz w:val="20"/>
                <w:szCs w:val="20"/>
                <w:color w:val="auto"/>
              </w:rPr>
            </w:pPr>
            <w:r>
              <w:rPr>
                <w:rFonts w:ascii="Arial" w:cs="Arial" w:eastAsia="Arial" w:hAnsi="Arial"/>
                <w:sz w:val="22"/>
                <w:szCs w:val="22"/>
                <w:color w:val="auto"/>
                <w:w w:val="88"/>
              </w:rPr>
              <w:t>SECTION 2.13 [Reserved]</w:t>
            </w:r>
          </w:p>
        </w:tc>
        <w:tc>
          <w:tcPr>
            <w:tcW w:w="20" w:type="dxa"/>
            <w:vAlign w:val="bottom"/>
            <w:vMerge w:val="continue"/>
          </w:tcPr>
          <w:p>
            <w:pPr>
              <w:spacing w:after="0"/>
              <w:rPr>
                <w:sz w:val="17"/>
                <w:szCs w:val="17"/>
                <w:color w:val="auto"/>
              </w:rPr>
            </w:pPr>
          </w:p>
        </w:tc>
        <w:tc>
          <w:tcPr>
            <w:tcW w:w="54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gridSpan w:val="8"/>
            <w:vMerge w:val="restart"/>
          </w:tcPr>
          <w:p>
            <w:pPr>
              <w:spacing w:after="0" w:line="216" w:lineRule="exact"/>
              <w:rPr>
                <w:sz w:val="20"/>
                <w:szCs w:val="20"/>
                <w:color w:val="auto"/>
              </w:rPr>
            </w:pPr>
            <w:r>
              <w:rPr>
                <w:rFonts w:ascii="Arial" w:cs="Arial" w:eastAsia="Arial" w:hAnsi="Arial"/>
                <w:sz w:val="22"/>
                <w:szCs w:val="22"/>
                <w:color w:val="auto"/>
                <w:w w:val="92"/>
              </w:rPr>
              <w:t>SECTION 2.14 Increased</w:t>
            </w:r>
          </w:p>
        </w:tc>
        <w:tc>
          <w:tcPr>
            <w:tcW w:w="28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220" w:type="dxa"/>
            <w:vAlign w:val="bottom"/>
            <w:gridSpan w:val="6"/>
            <w:vMerge w:val="restart"/>
          </w:tcPr>
          <w:p>
            <w:pPr>
              <w:jc w:val="right"/>
              <w:spacing w:after="0" w:line="216" w:lineRule="exact"/>
              <w:rPr>
                <w:sz w:val="20"/>
                <w:szCs w:val="20"/>
                <w:color w:val="auto"/>
              </w:rPr>
            </w:pPr>
            <w:r>
              <w:rPr>
                <w:rFonts w:ascii="Arial" w:cs="Arial" w:eastAsia="Arial" w:hAnsi="Arial"/>
                <w:sz w:val="22"/>
                <w:szCs w:val="22"/>
                <w:color w:val="auto"/>
                <w:w w:val="81"/>
              </w:rPr>
              <w:t>73</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gridSpan w:val="8"/>
            <w:vMerge w:val="continue"/>
          </w:tcPr>
          <w:p>
            <w:pPr>
              <w:spacing w:after="0"/>
              <w:rPr>
                <w:sz w:val="17"/>
                <w:szCs w:val="17"/>
                <w:color w:val="auto"/>
              </w:rPr>
            </w:pPr>
          </w:p>
        </w:tc>
        <w:tc>
          <w:tcPr>
            <w:tcW w:w="420" w:type="dxa"/>
            <w:vAlign w:val="bottom"/>
            <w:gridSpan w:val="5"/>
          </w:tcPr>
          <w:p>
            <w:pPr>
              <w:spacing w:after="0" w:line="195" w:lineRule="exact"/>
              <w:rPr>
                <w:sz w:val="20"/>
                <w:szCs w:val="20"/>
                <w:color w:val="auto"/>
              </w:rPr>
            </w:pPr>
            <w:r>
              <w:rPr>
                <w:rFonts w:ascii="Arial" w:cs="Arial" w:eastAsia="Arial" w:hAnsi="Arial"/>
                <w:sz w:val="22"/>
                <w:szCs w:val="22"/>
                <w:color w:val="auto"/>
                <w:w w:val="71"/>
              </w:rPr>
              <w:t>Costs</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gridSpan w:val="3"/>
            <w:vMerge w:val="continue"/>
          </w:tcPr>
          <w:p>
            <w:pPr>
              <w:spacing w:after="0"/>
              <w:rPr>
                <w:sz w:val="17"/>
                <w:szCs w:val="17"/>
                <w:color w:val="auto"/>
              </w:rPr>
            </w:pPr>
          </w:p>
        </w:tc>
        <w:tc>
          <w:tcPr>
            <w:tcW w:w="22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gridSpan w:val="13"/>
          </w:tcPr>
          <w:p>
            <w:pPr>
              <w:spacing w:after="0" w:line="195" w:lineRule="exact"/>
              <w:rPr>
                <w:sz w:val="20"/>
                <w:szCs w:val="20"/>
                <w:color w:val="auto"/>
              </w:rPr>
            </w:pPr>
            <w:r>
              <w:rPr>
                <w:rFonts w:ascii="Arial" w:cs="Arial" w:eastAsia="Arial" w:hAnsi="Arial"/>
                <w:sz w:val="22"/>
                <w:szCs w:val="22"/>
                <w:color w:val="auto"/>
                <w:w w:val="92"/>
              </w:rPr>
              <w:t>SECTION 2.15 Break Funding</w:t>
            </w:r>
          </w:p>
        </w:tc>
        <w:tc>
          <w:tcPr>
            <w:tcW w:w="1060" w:type="dxa"/>
            <w:vAlign w:val="bottom"/>
            <w:gridSpan w:val="22"/>
          </w:tcPr>
          <w:p>
            <w:pPr>
              <w:jc w:val="right"/>
              <w:ind w:right="240"/>
              <w:spacing w:after="0" w:line="195" w:lineRule="exact"/>
              <w:rPr>
                <w:sz w:val="20"/>
                <w:szCs w:val="20"/>
                <w:color w:val="auto"/>
              </w:rPr>
            </w:pPr>
            <w:r>
              <w:rPr>
                <w:rFonts w:ascii="Arial" w:cs="Arial" w:eastAsia="Arial" w:hAnsi="Arial"/>
                <w:sz w:val="22"/>
                <w:szCs w:val="22"/>
                <w:color w:val="auto"/>
                <w:w w:val="81"/>
              </w:rPr>
              <w:t>Payments</w:t>
            </w:r>
          </w:p>
        </w:tc>
        <w:tc>
          <w:tcPr>
            <w:tcW w:w="280" w:type="dxa"/>
            <w:vAlign w:val="bottom"/>
            <w:gridSpan w:val="4"/>
          </w:tcPr>
          <w:p>
            <w:pPr>
              <w:ind w:left="20"/>
              <w:spacing w:after="0" w:line="195" w:lineRule="exact"/>
              <w:rPr>
                <w:sz w:val="20"/>
                <w:szCs w:val="20"/>
                <w:color w:val="auto"/>
              </w:rPr>
            </w:pPr>
            <w:r>
              <w:rPr>
                <w:rFonts w:ascii="Arial" w:cs="Arial" w:eastAsia="Arial" w:hAnsi="Arial"/>
                <w:sz w:val="22"/>
                <w:szCs w:val="22"/>
                <w:color w:val="auto"/>
                <w:w w:val="97"/>
              </w:rPr>
              <w:t>75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gridSpan w:val="2"/>
          </w:tcPr>
          <w:p>
            <w:pPr>
              <w:spacing w:after="0" w:line="195" w:lineRule="exact"/>
              <w:rPr>
                <w:sz w:val="20"/>
                <w:szCs w:val="20"/>
                <w:color w:val="auto"/>
              </w:rPr>
            </w:pPr>
            <w:r>
              <w:rPr>
                <w:rFonts w:ascii="Arial" w:cs="Arial" w:eastAsia="Arial" w:hAnsi="Arial"/>
                <w:sz w:val="22"/>
                <w:szCs w:val="22"/>
                <w:color w:val="auto"/>
                <w:w w:val="88"/>
              </w:rPr>
              <w:t>SECTION 2.16 Taxes</w:t>
            </w:r>
          </w:p>
        </w:tc>
        <w:tc>
          <w:tcPr>
            <w:tcW w:w="260" w:type="dxa"/>
            <w:vAlign w:val="bottom"/>
            <w:tcBorders>
              <w:bottom w:val="single" w:sz="8" w:color="auto"/>
            </w:tcBorders>
            <w:gridSpan w:val="2"/>
          </w:tcPr>
          <w:p>
            <w:pPr>
              <w:spacing w:after="0"/>
              <w:rPr>
                <w:sz w:val="17"/>
                <w:szCs w:val="17"/>
                <w:color w:val="auto"/>
              </w:rPr>
            </w:pPr>
          </w:p>
        </w:tc>
        <w:tc>
          <w:tcPr>
            <w:tcW w:w="1420" w:type="dxa"/>
            <w:vAlign w:val="bottom"/>
            <w:gridSpan w:val="27"/>
          </w:tcPr>
          <w:p>
            <w:pPr>
              <w:jc w:val="right"/>
              <w:ind w:right="1200"/>
              <w:spacing w:after="0" w:line="195" w:lineRule="exact"/>
              <w:rPr>
                <w:sz w:val="20"/>
                <w:szCs w:val="20"/>
                <w:color w:val="auto"/>
              </w:rPr>
            </w:pPr>
            <w:r>
              <w:rPr>
                <w:rFonts w:ascii="Arial" w:cs="Arial" w:eastAsia="Arial" w:hAnsi="Arial"/>
                <w:sz w:val="22"/>
                <w:szCs w:val="22"/>
                <w:color w:val="auto"/>
                <w:w w:val="81"/>
              </w:rPr>
              <w:t>75</w:t>
            </w:r>
          </w:p>
        </w:tc>
        <w:tc>
          <w:tcPr>
            <w:tcW w:w="280" w:type="dxa"/>
            <w:vAlign w:val="bottom"/>
            <w:tcBorders>
              <w:top w:val="single" w:sz="8" w:color="auto"/>
            </w:tcBorders>
            <w:gridSpan w:val="6"/>
          </w:tcPr>
          <w:p>
            <w:pPr>
              <w:spacing w:after="0"/>
              <w:rPr>
                <w:sz w:val="17"/>
                <w:szCs w:val="17"/>
                <w:color w:val="auto"/>
              </w:rPr>
            </w:pPr>
          </w:p>
        </w:tc>
        <w:tc>
          <w:tcPr>
            <w:tcW w:w="47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gridSpan w:val="4"/>
          </w:tcPr>
          <w:p>
            <w:pPr>
              <w:spacing w:after="0" w:line="195" w:lineRule="exact"/>
              <w:rPr>
                <w:sz w:val="20"/>
                <w:szCs w:val="20"/>
                <w:color w:val="auto"/>
              </w:rPr>
            </w:pPr>
            <w:r>
              <w:rPr>
                <w:rFonts w:ascii="Arial" w:cs="Arial" w:eastAsia="Arial" w:hAnsi="Arial"/>
                <w:sz w:val="22"/>
                <w:szCs w:val="22"/>
                <w:color w:val="auto"/>
                <w:w w:val="85"/>
              </w:rPr>
              <w:t>SECTION 2.17 Payments</w:t>
            </w:r>
          </w:p>
        </w:tc>
        <w:tc>
          <w:tcPr>
            <w:tcW w:w="6140" w:type="dxa"/>
            <w:vAlign w:val="bottom"/>
            <w:gridSpan w:val="57"/>
          </w:tcPr>
          <w:p>
            <w:pPr>
              <w:ind w:left="120"/>
              <w:spacing w:after="0" w:line="195" w:lineRule="exact"/>
              <w:rPr>
                <w:sz w:val="20"/>
                <w:szCs w:val="20"/>
                <w:color w:val="auto"/>
              </w:rPr>
            </w:pPr>
            <w:r>
              <w:rPr>
                <w:rFonts w:ascii="Arial" w:cs="Arial" w:eastAsia="Arial" w:hAnsi="Arial"/>
                <w:sz w:val="22"/>
                <w:szCs w:val="22"/>
                <w:color w:val="auto"/>
              </w:rPr>
              <w:t>Generally; Pro Rata Treatment; Sharing of Setoffs   80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gridSpan w:val="54"/>
          </w:tcPr>
          <w:p>
            <w:pPr>
              <w:spacing w:after="0" w:line="195" w:lineRule="exact"/>
              <w:rPr>
                <w:sz w:val="20"/>
                <w:szCs w:val="20"/>
                <w:color w:val="auto"/>
              </w:rPr>
            </w:pPr>
            <w:r>
              <w:rPr>
                <w:rFonts w:ascii="Arial" w:cs="Arial" w:eastAsia="Arial" w:hAnsi="Arial"/>
                <w:sz w:val="22"/>
                <w:szCs w:val="22"/>
                <w:color w:val="auto"/>
                <w:w w:val="93"/>
              </w:rPr>
              <w:t>SECTION 2.18 Mitigation Obligations; Replacement of Lenders</w:t>
            </w:r>
          </w:p>
        </w:tc>
        <w:tc>
          <w:tcPr>
            <w:tcW w:w="540" w:type="dxa"/>
            <w:vAlign w:val="bottom"/>
            <w:gridSpan w:val="4"/>
          </w:tcPr>
          <w:p>
            <w:pPr>
              <w:jc w:val="right"/>
              <w:ind w:right="260"/>
              <w:spacing w:after="0" w:line="195" w:lineRule="exact"/>
              <w:rPr>
                <w:sz w:val="20"/>
                <w:szCs w:val="20"/>
                <w:color w:val="auto"/>
              </w:rPr>
            </w:pPr>
            <w:r>
              <w:rPr>
                <w:rFonts w:ascii="Arial" w:cs="Arial" w:eastAsia="Arial" w:hAnsi="Arial"/>
                <w:sz w:val="22"/>
                <w:szCs w:val="22"/>
                <w:color w:val="auto"/>
              </w:rPr>
              <w:t>82</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gridSpan w:val="18"/>
          </w:tcPr>
          <w:p>
            <w:pPr>
              <w:spacing w:after="0" w:line="195" w:lineRule="exact"/>
              <w:rPr>
                <w:sz w:val="20"/>
                <w:szCs w:val="20"/>
                <w:color w:val="auto"/>
              </w:rPr>
            </w:pPr>
            <w:r>
              <w:rPr>
                <w:rFonts w:ascii="Arial" w:cs="Arial" w:eastAsia="Arial" w:hAnsi="Arial"/>
                <w:sz w:val="22"/>
                <w:szCs w:val="22"/>
                <w:color w:val="auto"/>
                <w:w w:val="94"/>
              </w:rPr>
              <w:t>SECTION 2.19 Expansion Option</w:t>
            </w:r>
          </w:p>
        </w:tc>
        <w:tc>
          <w:tcPr>
            <w:tcW w:w="380" w:type="dxa"/>
            <w:vAlign w:val="bottom"/>
            <w:gridSpan w:val="10"/>
          </w:tcPr>
          <w:p>
            <w:pPr>
              <w:jc w:val="right"/>
              <w:ind w:right="40"/>
              <w:spacing w:after="0" w:line="195" w:lineRule="exact"/>
              <w:rPr>
                <w:sz w:val="20"/>
                <w:szCs w:val="20"/>
                <w:color w:val="auto"/>
              </w:rPr>
            </w:pPr>
            <w:r>
              <w:rPr>
                <w:rFonts w:ascii="Arial" w:cs="Arial" w:eastAsia="Arial" w:hAnsi="Arial"/>
                <w:sz w:val="22"/>
                <w:szCs w:val="22"/>
                <w:color w:val="auto"/>
              </w:rPr>
              <w:t>84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gridSpan w:val="15"/>
          </w:tcPr>
          <w:p>
            <w:pPr>
              <w:spacing w:after="0" w:line="195" w:lineRule="exact"/>
              <w:rPr>
                <w:sz w:val="20"/>
                <w:szCs w:val="20"/>
                <w:color w:val="auto"/>
              </w:rPr>
            </w:pPr>
            <w:r>
              <w:rPr>
                <w:rFonts w:ascii="Arial" w:cs="Arial" w:eastAsia="Arial" w:hAnsi="Arial"/>
                <w:sz w:val="22"/>
                <w:szCs w:val="22"/>
                <w:color w:val="auto"/>
                <w:w w:val="85"/>
              </w:rPr>
              <w:t>SECTION 2.20 Judgment Currency</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gridSpan w:val="2"/>
          </w:tcPr>
          <w:p>
            <w:pPr>
              <w:spacing w:after="0"/>
              <w:rPr>
                <w:sz w:val="17"/>
                <w:szCs w:val="17"/>
                <w:color w:val="auto"/>
              </w:rPr>
            </w:pPr>
          </w:p>
        </w:tc>
        <w:tc>
          <w:tcPr>
            <w:tcW w:w="120" w:type="dxa"/>
            <w:vAlign w:val="bottom"/>
            <w:tcBorders>
              <w:top w:val="single" w:sz="8" w:color="auto"/>
            </w:tcBorders>
            <w:gridSpan w:val="4"/>
          </w:tcPr>
          <w:p>
            <w:pPr>
              <w:spacing w:after="0"/>
              <w:rPr>
                <w:sz w:val="17"/>
                <w:szCs w:val="17"/>
                <w:color w:val="auto"/>
              </w:rPr>
            </w:pPr>
          </w:p>
        </w:tc>
        <w:tc>
          <w:tcPr>
            <w:tcW w:w="360" w:type="dxa"/>
            <w:vAlign w:val="bottom"/>
            <w:gridSpan w:val="9"/>
          </w:tcPr>
          <w:p>
            <w:pPr>
              <w:jc w:val="right"/>
              <w:spacing w:after="0" w:line="195" w:lineRule="exact"/>
              <w:rPr>
                <w:sz w:val="20"/>
                <w:szCs w:val="20"/>
                <w:color w:val="auto"/>
              </w:rPr>
            </w:pPr>
            <w:r>
              <w:rPr>
                <w:rFonts w:ascii="Arial" w:cs="Arial" w:eastAsia="Arial" w:hAnsi="Arial"/>
                <w:sz w:val="22"/>
                <w:szCs w:val="22"/>
                <w:color w:val="auto"/>
              </w:rPr>
              <w:t>85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gridSpan w:val="18"/>
          </w:tcPr>
          <w:p>
            <w:pPr>
              <w:spacing w:after="0" w:line="195" w:lineRule="exact"/>
              <w:rPr>
                <w:sz w:val="20"/>
                <w:szCs w:val="20"/>
                <w:color w:val="auto"/>
              </w:rPr>
            </w:pPr>
            <w:r>
              <w:rPr>
                <w:rFonts w:ascii="Arial" w:cs="Arial" w:eastAsia="Arial" w:hAnsi="Arial"/>
                <w:sz w:val="22"/>
                <w:szCs w:val="22"/>
                <w:color w:val="auto"/>
                <w:w w:val="88"/>
              </w:rPr>
              <w:t>SECTION 2.21 Extended Revolving</w:t>
            </w:r>
          </w:p>
        </w:tc>
        <w:tc>
          <w:tcPr>
            <w:tcW w:w="200" w:type="dxa"/>
            <w:vAlign w:val="bottom"/>
            <w:tcBorders>
              <w:top w:val="single" w:sz="8" w:color="auto"/>
            </w:tcBorders>
            <w:gridSpan w:val="6"/>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60" w:type="dxa"/>
            <w:vAlign w:val="bottom"/>
            <w:gridSpan w:val="17"/>
          </w:tcPr>
          <w:p>
            <w:pPr>
              <w:spacing w:after="0" w:line="195" w:lineRule="exact"/>
              <w:rPr>
                <w:sz w:val="20"/>
                <w:szCs w:val="20"/>
                <w:color w:val="auto"/>
              </w:rPr>
            </w:pPr>
            <w:r>
              <w:rPr>
                <w:rFonts w:ascii="Arial" w:cs="Arial" w:eastAsia="Arial" w:hAnsi="Arial"/>
                <w:sz w:val="22"/>
                <w:szCs w:val="22"/>
                <w:color w:val="auto"/>
                <w:w w:val="83"/>
              </w:rPr>
              <w:t>Commitments</w:t>
            </w:r>
          </w:p>
        </w:tc>
        <w:tc>
          <w:tcPr>
            <w:tcW w:w="480" w:type="dxa"/>
            <w:vAlign w:val="bottom"/>
            <w:gridSpan w:val="5"/>
          </w:tcPr>
          <w:p>
            <w:pPr>
              <w:jc w:val="right"/>
              <w:ind w:right="80"/>
              <w:spacing w:after="0" w:line="195" w:lineRule="exact"/>
              <w:rPr>
                <w:sz w:val="20"/>
                <w:szCs w:val="20"/>
                <w:color w:val="auto"/>
              </w:rPr>
            </w:pPr>
            <w:r>
              <w:rPr>
                <w:rFonts w:ascii="Arial" w:cs="Arial" w:eastAsia="Arial" w:hAnsi="Arial"/>
                <w:sz w:val="22"/>
                <w:szCs w:val="22"/>
                <w:color w:val="auto"/>
              </w:rPr>
              <w:t>86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gridSpan w:val="18"/>
          </w:tcPr>
          <w:p>
            <w:pPr>
              <w:spacing w:after="0" w:line="195" w:lineRule="exact"/>
              <w:rPr>
                <w:sz w:val="20"/>
                <w:szCs w:val="20"/>
                <w:color w:val="auto"/>
              </w:rPr>
            </w:pPr>
            <w:r>
              <w:rPr>
                <w:rFonts w:ascii="Arial" w:cs="Arial" w:eastAsia="Arial" w:hAnsi="Arial"/>
                <w:sz w:val="22"/>
                <w:szCs w:val="22"/>
                <w:color w:val="auto"/>
                <w:w w:val="94"/>
              </w:rPr>
              <w:t>SECTION 2.22 Defaulting Lender</w:t>
            </w:r>
          </w:p>
        </w:tc>
        <w:tc>
          <w:tcPr>
            <w:tcW w:w="460" w:type="dxa"/>
            <w:vAlign w:val="bottom"/>
            <w:gridSpan w:val="12"/>
          </w:tcPr>
          <w:p>
            <w:pPr>
              <w:jc w:val="right"/>
              <w:ind w:right="40"/>
              <w:spacing w:after="0" w:line="195" w:lineRule="exact"/>
              <w:rPr>
                <w:sz w:val="20"/>
                <w:szCs w:val="20"/>
                <w:color w:val="auto"/>
              </w:rPr>
            </w:pPr>
            <w:r>
              <w:rPr>
                <w:rFonts w:ascii="Arial" w:cs="Arial" w:eastAsia="Arial" w:hAnsi="Arial"/>
                <w:sz w:val="22"/>
                <w:szCs w:val="22"/>
                <w:color w:val="auto"/>
              </w:rPr>
              <w:t>88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5"/>
            <w:vMerge w:val="restart"/>
          </w:tcPr>
          <w:p>
            <w:pPr>
              <w:jc w:val="right"/>
              <w:ind w:right="120"/>
              <w:spacing w:after="0"/>
              <w:rPr>
                <w:sz w:val="20"/>
                <w:szCs w:val="20"/>
                <w:color w:val="auto"/>
              </w:rPr>
            </w:pPr>
            <w:r>
              <w:rPr>
                <w:rFonts w:ascii="Arial" w:cs="Arial" w:eastAsia="Arial" w:hAnsi="Arial"/>
                <w:sz w:val="22"/>
                <w:szCs w:val="22"/>
                <w:color w:val="auto"/>
              </w:rPr>
              <w:t>90</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16"/>
          </w:tcPr>
          <w:p>
            <w:pPr>
              <w:spacing w:after="0" w:line="20" w:lineRule="exact"/>
              <w:rPr>
                <w:sz w:val="1"/>
                <w:szCs w:val="1"/>
                <w:color w:val="auto"/>
              </w:rPr>
            </w:pPr>
          </w:p>
        </w:tc>
        <w:tc>
          <w:tcPr>
            <w:tcW w:w="320" w:type="dxa"/>
            <w:vAlign w:val="bottom"/>
            <w:gridSpan w:val="8"/>
            <w:shd w:val="clear" w:color="auto" w:fill="000000"/>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35"/>
          </w:tcPr>
          <w:p>
            <w:pPr>
              <w:spacing w:after="0" w:line="195" w:lineRule="exact"/>
              <w:rPr>
                <w:sz w:val="20"/>
                <w:szCs w:val="20"/>
                <w:color w:val="auto"/>
              </w:rPr>
            </w:pPr>
            <w:r>
              <w:rPr>
                <w:rFonts w:ascii="Arial" w:cs="Arial" w:eastAsia="Arial" w:hAnsi="Arial"/>
                <w:sz w:val="22"/>
                <w:szCs w:val="22"/>
                <w:color w:val="auto"/>
                <w:w w:val="92"/>
              </w:rPr>
              <w:t>SECTION 2.23 Sustainability Adjustments</w:t>
            </w:r>
          </w:p>
        </w:tc>
        <w:tc>
          <w:tcPr>
            <w:tcW w:w="5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Borders>
              <w:right w:val="single" w:sz="8" w:color="auto"/>
            </w:tcBorders>
            <w:gridSpan w:val="38"/>
          </w:tcPr>
          <w:p>
            <w:pPr>
              <w:spacing w:after="0" w:line="20" w:lineRule="exact"/>
              <w:rPr>
                <w:sz w:val="1"/>
                <w:szCs w:val="1"/>
                <w:color w:val="auto"/>
              </w:rPr>
            </w:pPr>
          </w:p>
        </w:tc>
        <w:tc>
          <w:tcPr>
            <w:tcW w:w="464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80"/>
          </w:cols>
          <w:pgMar w:left="980" w:top="753" w:right="439" w:bottom="1440" w:gutter="0" w:footer="0" w:header="0"/>
        </w:sectPr>
      </w:pPr>
    </w:p>
    <w:bookmarkStart w:id="97" w:name="page98"/>
    <w:bookmarkEnd w:id="97"/>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240" w:type="dxa"/>
            <w:vAlign w:val="bottom"/>
            <w:gridSpan w:val="62"/>
          </w:tcPr>
          <w:p>
            <w:pPr>
              <w:ind w:left="40"/>
              <w:spacing w:after="0"/>
              <w:rPr>
                <w:sz w:val="20"/>
                <w:szCs w:val="20"/>
                <w:color w:val="auto"/>
              </w:rPr>
            </w:pPr>
            <w:r>
              <w:rPr>
                <w:rFonts w:ascii="Arial" w:cs="Arial" w:eastAsia="Arial" w:hAnsi="Arial"/>
                <w:sz w:val="22"/>
                <w:szCs w:val="22"/>
                <w:color w:val="auto"/>
                <w:w w:val="89"/>
              </w:rPr>
              <w:t>ARTICLE III Representations and Warranties_______________________________________</w:t>
            </w:r>
          </w:p>
        </w:tc>
        <w:tc>
          <w:tcPr>
            <w:tcW w:w="380" w:type="dxa"/>
            <w:vAlign w:val="bottom"/>
          </w:tcPr>
          <w:p>
            <w:pPr>
              <w:jc w:val="right"/>
              <w:spacing w:after="0"/>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r>
        <w:trPr>
          <w:trHeight w:val="381"/>
        </w:trPr>
        <w:tc>
          <w:tcPr>
            <w:tcW w:w="4680" w:type="dxa"/>
            <w:vAlign w:val="bottom"/>
            <w:gridSpan w:val="49"/>
          </w:tcPr>
          <w:p>
            <w:pPr>
              <w:ind w:left="40"/>
              <w:spacing w:after="0"/>
              <w:rPr>
                <w:sz w:val="20"/>
                <w:szCs w:val="20"/>
                <w:color w:val="auto"/>
              </w:rPr>
            </w:pPr>
            <w:r>
              <w:rPr>
                <w:rFonts w:ascii="Arial" w:cs="Arial" w:eastAsia="Arial" w:hAnsi="Arial"/>
                <w:sz w:val="22"/>
                <w:szCs w:val="22"/>
                <w:color w:val="auto"/>
                <w:w w:val="93"/>
              </w:rPr>
              <w:t>SECTION 3.01 Organization; Powers; Subsidiaries</w:t>
            </w:r>
          </w:p>
        </w:tc>
        <w:tc>
          <w:tcPr>
            <w:tcW w:w="360" w:type="dxa"/>
            <w:vAlign w:val="bottom"/>
            <w:gridSpan w:val="8"/>
          </w:tcPr>
          <w:p>
            <w:pPr>
              <w:jc w:val="right"/>
              <w:spacing w:after="0"/>
              <w:rPr>
                <w:sz w:val="20"/>
                <w:szCs w:val="20"/>
                <w:color w:val="auto"/>
              </w:rPr>
            </w:pPr>
            <w:r>
              <w:rPr>
                <w:rFonts w:ascii="Arial" w:cs="Arial" w:eastAsia="Arial" w:hAnsi="Arial"/>
                <w:sz w:val="22"/>
                <w:szCs w:val="22"/>
                <w:color w:val="auto"/>
              </w:rPr>
              <w:t>91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60" w:type="dxa"/>
            <w:vAlign w:val="bottom"/>
            <w:gridSpan w:val="37"/>
          </w:tcPr>
          <w:p>
            <w:pPr>
              <w:spacing w:after="0" w:line="195" w:lineRule="exact"/>
              <w:rPr>
                <w:sz w:val="20"/>
                <w:szCs w:val="20"/>
                <w:color w:val="auto"/>
              </w:rPr>
            </w:pPr>
            <w:r>
              <w:rPr>
                <w:rFonts w:ascii="Arial" w:cs="Arial" w:eastAsia="Arial" w:hAnsi="Arial"/>
                <w:sz w:val="22"/>
                <w:szCs w:val="22"/>
                <w:color w:val="auto"/>
                <w:w w:val="92"/>
              </w:rPr>
              <w:t>SECTION 3.02 Authorization; Enforceability</w:t>
            </w:r>
          </w:p>
        </w:tc>
        <w:tc>
          <w:tcPr>
            <w:tcW w:w="520" w:type="dxa"/>
            <w:vAlign w:val="bottom"/>
            <w:gridSpan w:val="8"/>
          </w:tcPr>
          <w:p>
            <w:pPr>
              <w:jc w:val="right"/>
              <w:ind w:right="60"/>
              <w:spacing w:after="0" w:line="195" w:lineRule="exact"/>
              <w:rPr>
                <w:sz w:val="20"/>
                <w:szCs w:val="20"/>
                <w:color w:val="auto"/>
              </w:rPr>
            </w:pPr>
            <w:r>
              <w:rPr>
                <w:rFonts w:ascii="Arial" w:cs="Arial" w:eastAsia="Arial" w:hAnsi="Arial"/>
                <w:sz w:val="22"/>
                <w:szCs w:val="22"/>
                <w:color w:val="auto"/>
              </w:rPr>
              <w:t>92</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gridSpan w:val="36"/>
          </w:tcPr>
          <w:p>
            <w:pPr>
              <w:spacing w:after="0" w:line="195" w:lineRule="exact"/>
              <w:rPr>
                <w:sz w:val="20"/>
                <w:szCs w:val="20"/>
                <w:color w:val="auto"/>
              </w:rPr>
            </w:pPr>
            <w:r>
              <w:rPr>
                <w:rFonts w:ascii="Arial" w:cs="Arial" w:eastAsia="Arial" w:hAnsi="Arial"/>
                <w:sz w:val="22"/>
                <w:szCs w:val="22"/>
                <w:color w:val="auto"/>
                <w:w w:val="90"/>
              </w:rPr>
              <w:t>SECTION 3.03 Governmental Approvals; No</w:t>
            </w:r>
          </w:p>
        </w:tc>
        <w:tc>
          <w:tcPr>
            <w:tcW w:w="40" w:type="dxa"/>
            <w:vAlign w:val="bottom"/>
            <w:tcBorders>
              <w:top w:val="single" w:sz="8" w:color="auto"/>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80" w:type="dxa"/>
            <w:vAlign w:val="bottom"/>
            <w:gridSpan w:val="12"/>
          </w:tcPr>
          <w:p>
            <w:pPr>
              <w:spacing w:after="0" w:line="195" w:lineRule="exact"/>
              <w:rPr>
                <w:sz w:val="20"/>
                <w:szCs w:val="20"/>
                <w:color w:val="auto"/>
              </w:rPr>
            </w:pPr>
            <w:r>
              <w:rPr>
                <w:rFonts w:ascii="Arial" w:cs="Arial" w:eastAsia="Arial" w:hAnsi="Arial"/>
                <w:sz w:val="22"/>
                <w:szCs w:val="22"/>
                <w:color w:val="auto"/>
                <w:w w:val="78"/>
              </w:rPr>
              <w:t>Conflicts</w:t>
            </w:r>
          </w:p>
        </w:tc>
        <w:tc>
          <w:tcPr>
            <w:tcW w:w="560" w:type="dxa"/>
            <w:vAlign w:val="bottom"/>
            <w:gridSpan w:val="7"/>
          </w:tcPr>
          <w:p>
            <w:pPr>
              <w:jc w:val="right"/>
              <w:ind w:right="160"/>
              <w:spacing w:after="0" w:line="195" w:lineRule="exact"/>
              <w:rPr>
                <w:sz w:val="20"/>
                <w:szCs w:val="20"/>
                <w:color w:val="auto"/>
              </w:rPr>
            </w:pPr>
            <w:r>
              <w:rPr>
                <w:rFonts w:ascii="Arial" w:cs="Arial" w:eastAsia="Arial" w:hAnsi="Arial"/>
                <w:sz w:val="22"/>
                <w:szCs w:val="22"/>
                <w:color w:val="auto"/>
              </w:rPr>
              <w:t>92</w:t>
            </w: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100" w:type="dxa"/>
            <w:vAlign w:val="bottom"/>
            <w:gridSpan w:val="3"/>
            <w:vMerge w:val="restart"/>
          </w:tcPr>
          <w:p>
            <w:pPr>
              <w:ind w:left="20"/>
              <w:spacing w:after="0" w:line="208" w:lineRule="exact"/>
              <w:rPr>
                <w:sz w:val="20"/>
                <w:szCs w:val="20"/>
                <w:color w:val="auto"/>
              </w:rPr>
            </w:pPr>
            <w:r>
              <w:rPr>
                <w:rFonts w:ascii="Arial" w:cs="Arial" w:eastAsia="Arial" w:hAnsi="Arial"/>
                <w:sz w:val="22"/>
                <w:szCs w:val="22"/>
                <w:color w:val="auto"/>
                <w:w w:val="92"/>
              </w:rPr>
              <w:t>No Material Adverse Change____</w:t>
            </w:r>
          </w:p>
        </w:tc>
        <w:tc>
          <w:tcPr>
            <w:tcW w:w="380" w:type="dxa"/>
            <w:vAlign w:val="bottom"/>
            <w:vMerge w:val="restart"/>
          </w:tcPr>
          <w:p>
            <w:pPr>
              <w:jc w:val="right"/>
              <w:spacing w:after="0" w:line="208" w:lineRule="exact"/>
              <w:rPr>
                <w:sz w:val="20"/>
                <w:szCs w:val="20"/>
                <w:color w:val="auto"/>
              </w:rPr>
            </w:pPr>
            <w:r>
              <w:rPr>
                <w:rFonts w:ascii="Arial" w:cs="Arial" w:eastAsia="Arial" w:hAnsi="Arial"/>
                <w:sz w:val="22"/>
                <w:szCs w:val="22"/>
                <w:color w:val="auto"/>
              </w:rPr>
              <w:t>92</w:t>
            </w:r>
          </w:p>
        </w:tc>
        <w:tc>
          <w:tcPr>
            <w:tcW w:w="0" w:type="dxa"/>
            <w:vAlign w:val="bottom"/>
          </w:tcPr>
          <w:p>
            <w:pPr>
              <w:spacing w:after="0" w:line="20" w:lineRule="exact"/>
              <w:rPr>
                <w:sz w:val="1"/>
                <w:szCs w:val="1"/>
                <w:color w:val="auto"/>
              </w:rPr>
            </w:pPr>
          </w:p>
        </w:tc>
      </w:tr>
      <w:tr>
        <w:trPr>
          <w:trHeight w:val="188"/>
        </w:trPr>
        <w:tc>
          <w:tcPr>
            <w:tcW w:w="5080" w:type="dxa"/>
            <w:vAlign w:val="bottom"/>
            <w:gridSpan w:val="58"/>
          </w:tcPr>
          <w:p>
            <w:pPr>
              <w:spacing w:after="0" w:line="188" w:lineRule="exact"/>
              <w:rPr>
                <w:sz w:val="20"/>
                <w:szCs w:val="20"/>
                <w:color w:val="auto"/>
              </w:rPr>
            </w:pPr>
            <w:r>
              <w:rPr>
                <w:rFonts w:ascii="Arial" w:cs="Arial" w:eastAsia="Arial" w:hAnsi="Arial"/>
                <w:sz w:val="21"/>
                <w:szCs w:val="21"/>
                <w:color w:val="auto"/>
                <w:w w:val="94"/>
              </w:rPr>
              <w:t>SECTION 3.04 Financial Statements; Financial Condition;</w:t>
            </w:r>
          </w:p>
        </w:tc>
        <w:tc>
          <w:tcPr>
            <w:tcW w:w="60" w:type="dxa"/>
            <w:vAlign w:val="bottom"/>
            <w:vMerge w:val="continue"/>
          </w:tcPr>
          <w:p>
            <w:pPr>
              <w:spacing w:after="0"/>
              <w:rPr>
                <w:sz w:val="16"/>
                <w:szCs w:val="16"/>
                <w:color w:val="auto"/>
              </w:rPr>
            </w:pPr>
          </w:p>
        </w:tc>
        <w:tc>
          <w:tcPr>
            <w:tcW w:w="3100" w:type="dxa"/>
            <w:vAlign w:val="bottom"/>
            <w:gridSpan w:val="3"/>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40" w:type="dxa"/>
            <w:vAlign w:val="bottom"/>
            <w:gridSpan w:val="15"/>
          </w:tcPr>
          <w:p>
            <w:pPr>
              <w:spacing w:after="0" w:line="224" w:lineRule="exact"/>
              <w:rPr>
                <w:sz w:val="20"/>
                <w:szCs w:val="20"/>
                <w:color w:val="auto"/>
              </w:rPr>
            </w:pPr>
            <w:r>
              <w:rPr>
                <w:rFonts w:ascii="Arial" w:cs="Arial" w:eastAsia="Arial" w:hAnsi="Arial"/>
                <w:sz w:val="22"/>
                <w:szCs w:val="22"/>
                <w:color w:val="auto"/>
                <w:w w:val="99"/>
              </w:rPr>
              <w:t>SECTION 3.05 Properties</w:t>
            </w:r>
          </w:p>
        </w:tc>
        <w:tc>
          <w:tcPr>
            <w:tcW w:w="260" w:type="dxa"/>
            <w:vAlign w:val="bottom"/>
            <w:gridSpan w:val="6"/>
          </w:tcPr>
          <w:p>
            <w:pPr>
              <w:jc w:val="right"/>
              <w:spacing w:after="0" w:line="224" w:lineRule="exact"/>
              <w:rPr>
                <w:sz w:val="20"/>
                <w:szCs w:val="20"/>
                <w:color w:val="auto"/>
              </w:rPr>
            </w:pPr>
            <w:r>
              <w:rPr>
                <w:rFonts w:ascii="Arial" w:cs="Arial" w:eastAsia="Arial" w:hAnsi="Arial"/>
                <w:sz w:val="22"/>
                <w:szCs w:val="22"/>
                <w:color w:val="auto"/>
                <w:w w:val="81"/>
              </w:rPr>
              <w:t>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260" w:type="dxa"/>
            <w:vAlign w:val="bottom"/>
            <w:gridSpan w:val="8"/>
          </w:tcPr>
          <w:p>
            <w:pPr>
              <w:spacing w:after="0" w:line="195" w:lineRule="exact"/>
              <w:rPr>
                <w:sz w:val="20"/>
                <w:szCs w:val="20"/>
                <w:color w:val="auto"/>
              </w:rPr>
            </w:pPr>
            <w:r>
              <w:rPr>
                <w:rFonts w:ascii="Arial" w:cs="Arial" w:eastAsia="Arial" w:hAnsi="Arial"/>
                <w:sz w:val="22"/>
                <w:szCs w:val="22"/>
                <w:color w:val="auto"/>
                <w:w w:val="92"/>
              </w:rPr>
              <w:t>SECTION 3.06 Litigation</w:t>
            </w:r>
          </w:p>
        </w:tc>
        <w:tc>
          <w:tcPr>
            <w:tcW w:w="280" w:type="dxa"/>
            <w:vAlign w:val="bottom"/>
            <w:tcBorders>
              <w:top w:val="single" w:sz="8" w:color="auto"/>
            </w:tcBorders>
            <w:gridSpan w:val="7"/>
          </w:tcPr>
          <w:p>
            <w:pPr>
              <w:ind w:left="40"/>
              <w:spacing w:after="0" w:line="196" w:lineRule="exact"/>
              <w:rPr>
                <w:sz w:val="20"/>
                <w:szCs w:val="20"/>
                <w:color w:val="auto"/>
              </w:rPr>
            </w:pPr>
            <w:r>
              <w:rPr>
                <w:rFonts w:ascii="Arial" w:cs="Arial" w:eastAsia="Arial" w:hAnsi="Arial"/>
                <w:sz w:val="18"/>
                <w:szCs w:val="18"/>
                <w:color w:val="auto"/>
                <w:w w:val="73"/>
              </w:rPr>
              <w:t>and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30"/>
          </w:tcPr>
          <w:p>
            <w:pPr>
              <w:ind w:left="20"/>
              <w:spacing w:after="0" w:line="195" w:lineRule="exact"/>
              <w:rPr>
                <w:sz w:val="20"/>
                <w:szCs w:val="20"/>
                <w:color w:val="auto"/>
              </w:rPr>
            </w:pPr>
            <w:r>
              <w:rPr>
                <w:rFonts w:ascii="Arial" w:cs="Arial" w:eastAsia="Arial" w:hAnsi="Arial"/>
                <w:sz w:val="22"/>
                <w:szCs w:val="22"/>
                <w:color w:val="auto"/>
                <w:w w:val="90"/>
              </w:rPr>
              <w:t>Environmental Matters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6"/>
          </w:tcPr>
          <w:p>
            <w:pPr>
              <w:jc w:val="right"/>
              <w:spacing w:after="0" w:line="195" w:lineRule="exact"/>
              <w:rPr>
                <w:sz w:val="20"/>
                <w:szCs w:val="20"/>
                <w:color w:val="auto"/>
              </w:rPr>
            </w:pPr>
            <w:r>
              <w:rPr>
                <w:rFonts w:ascii="Arial" w:cs="Arial" w:eastAsia="Arial" w:hAnsi="Arial"/>
                <w:sz w:val="22"/>
                <w:szCs w:val="22"/>
                <w:color w:val="auto"/>
                <w:w w:val="89"/>
              </w:rPr>
              <w:t>93</w:t>
            </w: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gridSpan w:val="48"/>
          </w:tcPr>
          <w:p>
            <w:pPr>
              <w:spacing w:after="0" w:line="195" w:lineRule="exact"/>
              <w:rPr>
                <w:sz w:val="20"/>
                <w:szCs w:val="20"/>
                <w:color w:val="auto"/>
              </w:rPr>
            </w:pPr>
            <w:r>
              <w:rPr>
                <w:rFonts w:ascii="Arial" w:cs="Arial" w:eastAsia="Arial" w:hAnsi="Arial"/>
                <w:sz w:val="22"/>
                <w:szCs w:val="22"/>
                <w:color w:val="auto"/>
                <w:w w:val="86"/>
              </w:rPr>
              <w:t>SECTION 3.07 Compliance with Laws and Agreements</w:t>
            </w:r>
          </w:p>
        </w:tc>
        <w:tc>
          <w:tcPr>
            <w:tcW w:w="40" w:type="dxa"/>
            <w:vAlign w:val="bottom"/>
            <w:tcBorders>
              <w:top w:val="single" w:sz="8" w:color="auto"/>
            </w:tcBorders>
            <w:gridSpan w:val="2"/>
          </w:tcPr>
          <w:p>
            <w:pPr>
              <w:spacing w:after="0"/>
              <w:rPr>
                <w:sz w:val="17"/>
                <w:szCs w:val="17"/>
                <w:color w:val="auto"/>
              </w:rPr>
            </w:pPr>
          </w:p>
        </w:tc>
        <w:tc>
          <w:tcPr>
            <w:tcW w:w="6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gridSpan w:val="5"/>
          </w:tcPr>
          <w:p>
            <w:pPr>
              <w:jc w:val="right"/>
              <w:ind w:right="120"/>
              <w:spacing w:after="0" w:line="195" w:lineRule="exact"/>
              <w:rPr>
                <w:sz w:val="20"/>
                <w:szCs w:val="20"/>
                <w:color w:val="auto"/>
              </w:rPr>
            </w:pPr>
            <w:r>
              <w:rPr>
                <w:rFonts w:ascii="Arial" w:cs="Arial" w:eastAsia="Arial" w:hAnsi="Arial"/>
                <w:sz w:val="22"/>
                <w:szCs w:val="22"/>
                <w:color w:val="auto"/>
              </w:rPr>
              <w:t>93</w:t>
            </w: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gridSpan w:val="37"/>
          </w:tcPr>
          <w:p>
            <w:pPr>
              <w:spacing w:after="0" w:line="195" w:lineRule="exact"/>
              <w:rPr>
                <w:sz w:val="20"/>
                <w:szCs w:val="20"/>
                <w:color w:val="auto"/>
              </w:rPr>
            </w:pPr>
            <w:r>
              <w:rPr>
                <w:rFonts w:ascii="Arial" w:cs="Arial" w:eastAsia="Arial" w:hAnsi="Arial"/>
                <w:sz w:val="22"/>
                <w:szCs w:val="22"/>
                <w:color w:val="auto"/>
                <w:w w:val="91"/>
              </w:rPr>
              <w:t>SECTION 3.08 Investment Company Status</w:t>
            </w:r>
          </w:p>
        </w:tc>
        <w:tc>
          <w:tcPr>
            <w:tcW w:w="440" w:type="dxa"/>
            <w:vAlign w:val="bottom"/>
            <w:gridSpan w:val="6"/>
          </w:tcPr>
          <w:p>
            <w:pPr>
              <w:jc w:val="right"/>
              <w:spacing w:after="0" w:line="195" w:lineRule="exact"/>
              <w:rPr>
                <w:sz w:val="20"/>
                <w:szCs w:val="20"/>
                <w:color w:val="auto"/>
              </w:rPr>
            </w:pPr>
            <w:r>
              <w:rPr>
                <w:rFonts w:ascii="Arial" w:cs="Arial" w:eastAsia="Arial" w:hAnsi="Arial"/>
                <w:sz w:val="22"/>
                <w:szCs w:val="22"/>
                <w:color w:val="auto"/>
              </w:rPr>
              <w:t>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gridSpan w:val="2"/>
          </w:tcPr>
          <w:p>
            <w:pPr>
              <w:spacing w:after="0" w:line="195" w:lineRule="exact"/>
              <w:rPr>
                <w:sz w:val="20"/>
                <w:szCs w:val="20"/>
                <w:color w:val="auto"/>
              </w:rPr>
            </w:pPr>
            <w:r>
              <w:rPr>
                <w:rFonts w:ascii="Arial" w:cs="Arial" w:eastAsia="Arial" w:hAnsi="Arial"/>
                <w:sz w:val="22"/>
                <w:szCs w:val="22"/>
                <w:color w:val="auto"/>
                <w:w w:val="88"/>
              </w:rPr>
              <w:t>SECTION 3.09 Taxes</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spacing w:after="0"/>
              <w:rPr>
                <w:sz w:val="17"/>
                <w:szCs w:val="17"/>
                <w:color w:val="auto"/>
              </w:rPr>
            </w:pPr>
          </w:p>
        </w:tc>
        <w:tc>
          <w:tcPr>
            <w:tcW w:w="280" w:type="dxa"/>
            <w:vAlign w:val="bottom"/>
            <w:gridSpan w:val="7"/>
          </w:tcPr>
          <w:p>
            <w:pPr>
              <w:jc w:val="right"/>
              <w:ind w:right="60"/>
              <w:spacing w:after="0" w:line="195" w:lineRule="exact"/>
              <w:rPr>
                <w:sz w:val="20"/>
                <w:szCs w:val="20"/>
                <w:color w:val="auto"/>
              </w:rPr>
            </w:pPr>
            <w:r>
              <w:rPr>
                <w:rFonts w:ascii="Arial" w:cs="Arial" w:eastAsia="Arial" w:hAnsi="Arial"/>
                <w:sz w:val="22"/>
                <w:szCs w:val="22"/>
                <w:color w:val="auto"/>
                <w:w w:val="81"/>
              </w:rPr>
              <w:t>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gridSpan w:val="5"/>
          </w:tcPr>
          <w:p>
            <w:pPr>
              <w:spacing w:after="0" w:line="195" w:lineRule="exact"/>
              <w:rPr>
                <w:sz w:val="20"/>
                <w:szCs w:val="20"/>
                <w:color w:val="auto"/>
              </w:rPr>
            </w:pPr>
            <w:r>
              <w:rPr>
                <w:rFonts w:ascii="Arial" w:cs="Arial" w:eastAsia="Arial" w:hAnsi="Arial"/>
                <w:sz w:val="22"/>
                <w:szCs w:val="22"/>
                <w:color w:val="auto"/>
                <w:w w:val="88"/>
              </w:rPr>
              <w:t>SECTION 3.10 Solvency</w:t>
            </w:r>
          </w:p>
        </w:tc>
        <w:tc>
          <w:tcPr>
            <w:tcW w:w="540" w:type="dxa"/>
            <w:vAlign w:val="bottom"/>
            <w:gridSpan w:val="15"/>
          </w:tcPr>
          <w:p>
            <w:pPr>
              <w:jc w:val="right"/>
              <w:spacing w:after="0" w:line="195" w:lineRule="exact"/>
              <w:rPr>
                <w:sz w:val="20"/>
                <w:szCs w:val="20"/>
                <w:color w:val="auto"/>
              </w:rPr>
            </w:pPr>
            <w:r>
              <w:rPr>
                <w:rFonts w:ascii="Arial" w:cs="Arial" w:eastAsia="Arial" w:hAnsi="Arial"/>
                <w:sz w:val="22"/>
                <w:szCs w:val="22"/>
                <w:color w:val="auto"/>
              </w:rPr>
              <w:t>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gridSpan w:val="6"/>
          </w:tcPr>
          <w:p>
            <w:pPr>
              <w:spacing w:after="0" w:line="195" w:lineRule="exact"/>
              <w:rPr>
                <w:sz w:val="20"/>
                <w:szCs w:val="20"/>
                <w:color w:val="auto"/>
              </w:rPr>
            </w:pPr>
            <w:r>
              <w:rPr>
                <w:rFonts w:ascii="Arial" w:cs="Arial" w:eastAsia="Arial" w:hAnsi="Arial"/>
                <w:sz w:val="22"/>
                <w:szCs w:val="22"/>
                <w:color w:val="auto"/>
                <w:w w:val="84"/>
              </w:rPr>
              <w:t>SECTION 3.11 [Reserved]</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7"/>
          </w:tcPr>
          <w:p>
            <w:pPr>
              <w:ind w:left="60"/>
              <w:spacing w:after="0" w:line="195" w:lineRule="exact"/>
              <w:rPr>
                <w:sz w:val="20"/>
                <w:szCs w:val="20"/>
                <w:color w:val="auto"/>
              </w:rPr>
            </w:pPr>
            <w:r>
              <w:rPr>
                <w:rFonts w:ascii="Arial" w:cs="Arial" w:eastAsia="Arial" w:hAnsi="Arial"/>
                <w:sz w:val="22"/>
                <w:szCs w:val="22"/>
                <w:color w:val="auto"/>
              </w:rPr>
              <w:t>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gridSpan w:val="9"/>
          </w:tcPr>
          <w:p>
            <w:pPr>
              <w:spacing w:after="0" w:line="195" w:lineRule="exact"/>
              <w:rPr>
                <w:sz w:val="20"/>
                <w:szCs w:val="20"/>
                <w:color w:val="auto"/>
              </w:rPr>
            </w:pPr>
            <w:r>
              <w:rPr>
                <w:rFonts w:ascii="Arial" w:cs="Arial" w:eastAsia="Arial" w:hAnsi="Arial"/>
                <w:sz w:val="22"/>
                <w:szCs w:val="22"/>
                <w:color w:val="auto"/>
                <w:w w:val="89"/>
              </w:rPr>
              <w:t>SECTION 3.12 Disclosure</w:t>
            </w:r>
          </w:p>
        </w:tc>
        <w:tc>
          <w:tcPr>
            <w:tcW w:w="2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gridSpan w:val="5"/>
          </w:tcPr>
          <w:p>
            <w:pPr>
              <w:spacing w:after="0" w:line="195" w:lineRule="exact"/>
              <w:rPr>
                <w:sz w:val="20"/>
                <w:szCs w:val="20"/>
                <w:color w:val="auto"/>
              </w:rPr>
            </w:pPr>
            <w:r>
              <w:rPr>
                <w:rFonts w:ascii="Arial" w:cs="Arial" w:eastAsia="Arial" w:hAnsi="Arial"/>
                <w:sz w:val="22"/>
                <w:szCs w:val="22"/>
                <w:color w:val="auto"/>
              </w:rPr>
              <w:t>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6"/>
            <w:vMerge w:val="restart"/>
          </w:tcPr>
          <w:p>
            <w:pPr>
              <w:jc w:val="right"/>
              <w:spacing w:after="0"/>
              <w:rPr>
                <w:sz w:val="20"/>
                <w:szCs w:val="20"/>
                <w:color w:val="auto"/>
              </w:rPr>
            </w:pPr>
            <w:r>
              <w:rPr>
                <w:rFonts w:ascii="Arial" w:cs="Arial" w:eastAsia="Arial" w:hAnsi="Arial"/>
                <w:sz w:val="22"/>
                <w:szCs w:val="22"/>
                <w:color w:val="auto"/>
              </w:rPr>
              <w:t>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gridSpan w:val="37"/>
          </w:tcPr>
          <w:p>
            <w:pPr>
              <w:spacing w:after="0" w:line="195" w:lineRule="exact"/>
              <w:rPr>
                <w:sz w:val="20"/>
                <w:szCs w:val="20"/>
                <w:color w:val="auto"/>
              </w:rPr>
            </w:pPr>
            <w:r>
              <w:rPr>
                <w:rFonts w:ascii="Arial" w:cs="Arial" w:eastAsia="Arial" w:hAnsi="Arial"/>
                <w:sz w:val="22"/>
                <w:szCs w:val="22"/>
                <w:color w:val="auto"/>
                <w:w w:val="90"/>
              </w:rPr>
              <w:t>SECTION 3.13 Federal Reserve Regulations</w:t>
            </w:r>
          </w:p>
        </w:tc>
        <w:tc>
          <w:tcPr>
            <w:tcW w:w="44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gridSpan w:val="26"/>
          </w:tcPr>
          <w:p>
            <w:pPr>
              <w:spacing w:after="0" w:line="195" w:lineRule="exact"/>
              <w:rPr>
                <w:sz w:val="20"/>
                <w:szCs w:val="20"/>
                <w:color w:val="auto"/>
              </w:rPr>
            </w:pPr>
            <w:r>
              <w:rPr>
                <w:rFonts w:ascii="Arial" w:cs="Arial" w:eastAsia="Arial" w:hAnsi="Arial"/>
                <w:sz w:val="22"/>
                <w:szCs w:val="22"/>
                <w:color w:val="auto"/>
              </w:rPr>
              <w:t>SECTION 3.14 PATRIOT Act   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gridSpan w:val="3"/>
          </w:tcPr>
          <w:p>
            <w:pPr>
              <w:spacing w:after="0" w:line="195" w:lineRule="exact"/>
              <w:rPr>
                <w:sz w:val="20"/>
                <w:szCs w:val="20"/>
                <w:color w:val="auto"/>
              </w:rPr>
            </w:pPr>
            <w:r>
              <w:rPr>
                <w:rFonts w:ascii="Arial" w:cs="Arial" w:eastAsia="Arial" w:hAnsi="Arial"/>
                <w:sz w:val="22"/>
                <w:szCs w:val="22"/>
                <w:color w:val="auto"/>
                <w:w w:val="90"/>
              </w:rPr>
              <w:t>SECTION 3.15 OFAC</w:t>
            </w:r>
          </w:p>
        </w:tc>
        <w:tc>
          <w:tcPr>
            <w:tcW w:w="260" w:type="dxa"/>
            <w:vAlign w:val="bottom"/>
            <w:tcBorders>
              <w:bottom w:val="single" w:sz="8" w:color="auto"/>
            </w:tcBorders>
            <w:gridSpan w:val="4"/>
          </w:tcPr>
          <w:p>
            <w:pPr>
              <w:spacing w:after="0"/>
              <w:rPr>
                <w:sz w:val="17"/>
                <w:szCs w:val="17"/>
                <w:color w:val="auto"/>
              </w:rPr>
            </w:pPr>
          </w:p>
        </w:tc>
        <w:tc>
          <w:tcPr>
            <w:tcW w:w="240" w:type="dxa"/>
            <w:vAlign w:val="bottom"/>
            <w:gridSpan w:val="6"/>
          </w:tcPr>
          <w:p>
            <w:pPr>
              <w:jc w:val="right"/>
              <w:ind w:right="20"/>
              <w:spacing w:after="0" w:line="195" w:lineRule="exact"/>
              <w:rPr>
                <w:sz w:val="20"/>
                <w:szCs w:val="20"/>
                <w:color w:val="auto"/>
              </w:rPr>
            </w:pPr>
            <w:r>
              <w:rPr>
                <w:rFonts w:ascii="Arial" w:cs="Arial" w:eastAsia="Arial" w:hAnsi="Arial"/>
                <w:sz w:val="22"/>
                <w:szCs w:val="22"/>
                <w:color w:val="auto"/>
                <w:w w:val="81"/>
              </w:rPr>
              <w:t>94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gridSpan w:val="7"/>
          </w:tcPr>
          <w:p>
            <w:pPr>
              <w:spacing w:after="0" w:line="195" w:lineRule="exact"/>
              <w:rPr>
                <w:sz w:val="20"/>
                <w:szCs w:val="20"/>
                <w:color w:val="auto"/>
              </w:rPr>
            </w:pPr>
            <w:r>
              <w:rPr>
                <w:rFonts w:ascii="Arial" w:cs="Arial" w:eastAsia="Arial" w:hAnsi="Arial"/>
                <w:sz w:val="22"/>
                <w:szCs w:val="22"/>
                <w:color w:val="auto"/>
                <w:w w:val="88"/>
              </w:rPr>
              <w:t>SECTION 3.16 Beneficial</w:t>
            </w:r>
          </w:p>
        </w:tc>
        <w:tc>
          <w:tcPr>
            <w:tcW w:w="2460" w:type="dxa"/>
            <w:vAlign w:val="bottom"/>
            <w:gridSpan w:val="42"/>
          </w:tcPr>
          <w:p>
            <w:pPr>
              <w:jc w:val="right"/>
              <w:ind w:right="260"/>
              <w:spacing w:after="0" w:line="195" w:lineRule="exact"/>
              <w:rPr>
                <w:sz w:val="20"/>
                <w:szCs w:val="20"/>
                <w:color w:val="auto"/>
              </w:rPr>
            </w:pPr>
            <w:r>
              <w:rPr>
                <w:rFonts w:ascii="Arial" w:cs="Arial" w:eastAsia="Arial" w:hAnsi="Arial"/>
                <w:sz w:val="22"/>
                <w:szCs w:val="22"/>
                <w:color w:val="auto"/>
                <w:w w:val="95"/>
              </w:rPr>
              <w:t>Ownership Certification</w:t>
            </w:r>
          </w:p>
        </w:tc>
        <w:tc>
          <w:tcPr>
            <w:tcW w:w="240" w:type="dxa"/>
            <w:vAlign w:val="bottom"/>
            <w:gridSpan w:val="6"/>
          </w:tcPr>
          <w:p>
            <w:pPr>
              <w:jc w:val="right"/>
              <w:spacing w:after="0" w:line="195" w:lineRule="exact"/>
              <w:rPr>
                <w:sz w:val="20"/>
                <w:szCs w:val="20"/>
                <w:color w:val="auto"/>
              </w:rPr>
            </w:pPr>
            <w:r>
              <w:rPr>
                <w:rFonts w:ascii="Arial" w:cs="Arial" w:eastAsia="Arial" w:hAnsi="Arial"/>
                <w:sz w:val="22"/>
                <w:szCs w:val="22"/>
                <w:color w:val="auto"/>
                <w:w w:val="89"/>
              </w:rPr>
              <w:t>95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560" w:type="dxa"/>
            <w:vAlign w:val="bottom"/>
            <w:gridSpan w:val="7"/>
            <w:vMerge w:val="restart"/>
          </w:tcPr>
          <w:p>
            <w:pPr>
              <w:jc w:val="right"/>
              <w:ind w:right="200"/>
              <w:spacing w:after="0" w:line="216" w:lineRule="exact"/>
              <w:rPr>
                <w:sz w:val="20"/>
                <w:szCs w:val="20"/>
                <w:color w:val="auto"/>
              </w:rPr>
            </w:pPr>
            <w:r>
              <w:rPr>
                <w:rFonts w:ascii="Arial" w:cs="Arial" w:eastAsia="Arial" w:hAnsi="Arial"/>
                <w:sz w:val="22"/>
                <w:szCs w:val="22"/>
                <w:color w:val="auto"/>
              </w:rPr>
              <w:t>95</w:t>
            </w:r>
          </w:p>
        </w:tc>
        <w:tc>
          <w:tcPr>
            <w:tcW w:w="278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50"/>
          </w:tcPr>
          <w:p>
            <w:pPr>
              <w:spacing w:after="0" w:line="195" w:lineRule="exact"/>
              <w:rPr>
                <w:sz w:val="20"/>
                <w:szCs w:val="20"/>
                <w:color w:val="auto"/>
              </w:rPr>
            </w:pPr>
            <w:r>
              <w:rPr>
                <w:rFonts w:ascii="Arial" w:cs="Arial" w:eastAsia="Arial" w:hAnsi="Arial"/>
                <w:sz w:val="22"/>
                <w:szCs w:val="22"/>
                <w:color w:val="auto"/>
                <w:w w:val="87"/>
              </w:rPr>
              <w:t>SECTION 3.17 Representations as to Foreign Obligors</w:t>
            </w:r>
          </w:p>
        </w:tc>
        <w:tc>
          <w:tcPr>
            <w:tcW w:w="60" w:type="dxa"/>
            <w:vAlign w:val="bottom"/>
            <w:gridSpan w:val="2"/>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560" w:type="dxa"/>
            <w:vAlign w:val="bottom"/>
            <w:gridSpan w:val="7"/>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240" w:type="dxa"/>
            <w:vAlign w:val="bottom"/>
            <w:gridSpan w:val="62"/>
          </w:tcPr>
          <w:p>
            <w:pPr>
              <w:spacing w:after="0"/>
              <w:rPr>
                <w:sz w:val="20"/>
                <w:szCs w:val="20"/>
                <w:color w:val="auto"/>
              </w:rPr>
            </w:pPr>
            <w:r>
              <w:rPr>
                <w:rFonts w:ascii="Arial" w:cs="Arial" w:eastAsia="Arial" w:hAnsi="Arial"/>
                <w:sz w:val="22"/>
                <w:szCs w:val="22"/>
                <w:color w:val="auto"/>
                <w:w w:val="90"/>
              </w:rPr>
              <w:t>ARTICLE IV Conditions Precedent_______________________________________________</w:t>
            </w:r>
          </w:p>
        </w:tc>
        <w:tc>
          <w:tcPr>
            <w:tcW w:w="380" w:type="dxa"/>
            <w:vAlign w:val="bottom"/>
          </w:tcPr>
          <w:p>
            <w:pPr>
              <w:jc w:val="right"/>
              <w:spacing w:after="0"/>
              <w:rPr>
                <w:sz w:val="20"/>
                <w:szCs w:val="20"/>
                <w:color w:val="auto"/>
              </w:rPr>
            </w:pPr>
            <w:r>
              <w:rPr>
                <w:rFonts w:ascii="Arial" w:cs="Arial" w:eastAsia="Arial" w:hAnsi="Arial"/>
                <w:sz w:val="22"/>
                <w:szCs w:val="22"/>
                <w:color w:val="auto"/>
              </w:rPr>
              <w:t>96</w:t>
            </w:r>
          </w:p>
        </w:tc>
        <w:tc>
          <w:tcPr>
            <w:tcW w:w="0" w:type="dxa"/>
            <w:vAlign w:val="bottom"/>
          </w:tcPr>
          <w:p>
            <w:pPr>
              <w:spacing w:after="0"/>
              <w:rPr>
                <w:sz w:val="1"/>
                <w:szCs w:val="1"/>
                <w:color w:val="auto"/>
              </w:rPr>
            </w:pPr>
          </w:p>
        </w:tc>
      </w:tr>
      <w:tr>
        <w:trPr>
          <w:trHeight w:val="224"/>
        </w:trPr>
        <w:tc>
          <w:tcPr>
            <w:tcW w:w="3420" w:type="dxa"/>
            <w:vAlign w:val="bottom"/>
            <w:gridSpan w:val="26"/>
          </w:tcPr>
          <w:p>
            <w:pPr>
              <w:spacing w:after="0" w:line="224" w:lineRule="exact"/>
              <w:rPr>
                <w:sz w:val="20"/>
                <w:szCs w:val="20"/>
                <w:color w:val="auto"/>
              </w:rPr>
            </w:pPr>
            <w:r>
              <w:rPr>
                <w:rFonts w:ascii="Arial" w:cs="Arial" w:eastAsia="Arial" w:hAnsi="Arial"/>
                <w:sz w:val="22"/>
                <w:szCs w:val="22"/>
                <w:color w:val="auto"/>
                <w:w w:val="98"/>
              </w:rPr>
              <w:t>SECTION 4.01 Initial Credit Events</w:t>
            </w:r>
          </w:p>
        </w:tc>
        <w:tc>
          <w:tcPr>
            <w:tcW w:w="240" w:type="dxa"/>
            <w:vAlign w:val="bottom"/>
            <w:gridSpan w:val="4"/>
          </w:tcPr>
          <w:p>
            <w:pPr>
              <w:jc w:val="right"/>
              <w:ind w:right="20"/>
              <w:spacing w:after="0" w:line="224" w:lineRule="exact"/>
              <w:rPr>
                <w:sz w:val="20"/>
                <w:szCs w:val="20"/>
                <w:color w:val="auto"/>
              </w:rPr>
            </w:pPr>
            <w:r>
              <w:rPr>
                <w:rFonts w:ascii="Arial" w:cs="Arial" w:eastAsia="Arial" w:hAnsi="Arial"/>
                <w:sz w:val="22"/>
                <w:szCs w:val="22"/>
                <w:color w:val="auto"/>
                <w:w w:val="81"/>
              </w:rPr>
              <w:t>96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gridSpan w:val="24"/>
            <w:vMerge w:val="restart"/>
          </w:tcPr>
          <w:p>
            <w:pPr>
              <w:spacing w:after="0" w:line="216" w:lineRule="exact"/>
              <w:rPr>
                <w:sz w:val="20"/>
                <w:szCs w:val="20"/>
                <w:color w:val="auto"/>
              </w:rPr>
            </w:pPr>
            <w:r>
              <w:rPr>
                <w:rFonts w:ascii="Arial" w:cs="Arial" w:eastAsia="Arial" w:hAnsi="Arial"/>
                <w:sz w:val="22"/>
                <w:szCs w:val="22"/>
                <w:color w:val="auto"/>
                <w:w w:val="92"/>
              </w:rPr>
              <w:t>SECTION 4.02 Subsequent Credit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0"/>
            <w:vMerge w:val="restart"/>
          </w:tcPr>
          <w:p>
            <w:pPr>
              <w:ind w:left="240"/>
              <w:spacing w:after="0" w:line="216" w:lineRule="exact"/>
              <w:rPr>
                <w:sz w:val="20"/>
                <w:szCs w:val="20"/>
                <w:color w:val="auto"/>
              </w:rPr>
            </w:pPr>
            <w:r>
              <w:rPr>
                <w:rFonts w:ascii="Arial" w:cs="Arial" w:eastAsia="Arial" w:hAnsi="Arial"/>
                <w:sz w:val="22"/>
                <w:szCs w:val="22"/>
                <w:color w:val="auto"/>
                <w:w w:val="89"/>
              </w:rPr>
              <w:t>97</w:t>
            </w: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24"/>
            <w:vMerge w:val="continue"/>
          </w:tcPr>
          <w:p>
            <w:pPr>
              <w:spacing w:after="0"/>
              <w:rPr>
                <w:sz w:val="17"/>
                <w:szCs w:val="17"/>
                <w:color w:val="auto"/>
              </w:rPr>
            </w:pPr>
          </w:p>
        </w:tc>
        <w:tc>
          <w:tcPr>
            <w:tcW w:w="520" w:type="dxa"/>
            <w:vAlign w:val="bottom"/>
            <w:gridSpan w:val="6"/>
          </w:tcPr>
          <w:p>
            <w:pPr>
              <w:jc w:val="right"/>
              <w:ind w:right="40"/>
              <w:spacing w:after="0" w:line="196" w:lineRule="exact"/>
              <w:rPr>
                <w:sz w:val="20"/>
                <w:szCs w:val="20"/>
                <w:color w:val="auto"/>
              </w:rPr>
            </w:pPr>
            <w:r>
              <w:rPr>
                <w:rFonts w:ascii="Arial" w:cs="Arial" w:eastAsia="Arial" w:hAnsi="Arial"/>
                <w:sz w:val="21"/>
                <w:szCs w:val="21"/>
                <w:color w:val="auto"/>
                <w:w w:val="71"/>
              </w:rPr>
              <w:t>Events</w:t>
            </w:r>
          </w:p>
        </w:tc>
        <w:tc>
          <w:tcPr>
            <w:tcW w:w="480" w:type="dxa"/>
            <w:vAlign w:val="bottom"/>
            <w:gridSpan w:val="10"/>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240" w:type="dxa"/>
            <w:vAlign w:val="bottom"/>
            <w:gridSpan w:val="62"/>
          </w:tcPr>
          <w:p>
            <w:pPr>
              <w:spacing w:after="0"/>
              <w:rPr>
                <w:sz w:val="20"/>
                <w:szCs w:val="20"/>
                <w:color w:val="auto"/>
              </w:rPr>
            </w:pPr>
            <w:r>
              <w:rPr>
                <w:rFonts w:ascii="Arial" w:cs="Arial" w:eastAsia="Arial" w:hAnsi="Arial"/>
                <w:sz w:val="22"/>
                <w:szCs w:val="22"/>
                <w:color w:val="auto"/>
                <w:w w:val="91"/>
              </w:rPr>
              <w:t>ARTICLE V Affirmative Covenants______________________________________________</w:t>
            </w:r>
          </w:p>
        </w:tc>
        <w:tc>
          <w:tcPr>
            <w:tcW w:w="380" w:type="dxa"/>
            <w:vAlign w:val="bottom"/>
          </w:tcPr>
          <w:p>
            <w:pPr>
              <w:jc w:val="right"/>
              <w:spacing w:after="0"/>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24"/>
        </w:trPr>
        <w:tc>
          <w:tcPr>
            <w:tcW w:w="8240" w:type="dxa"/>
            <w:vAlign w:val="bottom"/>
            <w:gridSpan w:val="62"/>
          </w:tcPr>
          <w:p>
            <w:pPr>
              <w:spacing w:after="0" w:line="224" w:lineRule="exact"/>
              <w:rPr>
                <w:sz w:val="20"/>
                <w:szCs w:val="20"/>
                <w:color w:val="auto"/>
              </w:rPr>
            </w:pPr>
            <w:r>
              <w:rPr>
                <w:rFonts w:ascii="Arial" w:cs="Arial" w:eastAsia="Arial" w:hAnsi="Arial"/>
                <w:sz w:val="22"/>
                <w:szCs w:val="22"/>
                <w:color w:val="auto"/>
              </w:rPr>
              <w:t>SECTION 5.01 Financial Statements and Other Information   98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20" w:type="dxa"/>
            <w:vAlign w:val="bottom"/>
            <w:gridSpan w:val="31"/>
          </w:tcPr>
          <w:p>
            <w:pPr>
              <w:spacing w:after="0" w:line="195" w:lineRule="exact"/>
              <w:rPr>
                <w:sz w:val="20"/>
                <w:szCs w:val="20"/>
                <w:color w:val="auto"/>
              </w:rPr>
            </w:pPr>
            <w:r>
              <w:rPr>
                <w:rFonts w:ascii="Arial" w:cs="Arial" w:eastAsia="Arial" w:hAnsi="Arial"/>
                <w:sz w:val="22"/>
                <w:szCs w:val="22"/>
                <w:color w:val="auto"/>
                <w:w w:val="90"/>
              </w:rPr>
              <w:t>SECTION 5.02 Notices of Material Events</w:t>
            </w:r>
          </w:p>
        </w:tc>
        <w:tc>
          <w:tcPr>
            <w:tcW w:w="240" w:type="dxa"/>
            <w:vAlign w:val="bottom"/>
            <w:tcBorders>
              <w:bottom w:val="single" w:sz="8" w:color="auto"/>
            </w:tcBorders>
            <w:gridSpan w:val="6"/>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gridSpan w:val="5"/>
          </w:tcPr>
          <w:p>
            <w:pPr>
              <w:jc w:val="right"/>
              <w:spacing w:after="0" w:line="195" w:lineRule="exact"/>
              <w:rPr>
                <w:sz w:val="20"/>
                <w:szCs w:val="20"/>
                <w:color w:val="auto"/>
              </w:rPr>
            </w:pPr>
            <w:r>
              <w:rPr>
                <w:rFonts w:ascii="Arial" w:cs="Arial" w:eastAsia="Arial" w:hAnsi="Arial"/>
                <w:sz w:val="22"/>
                <w:szCs w:val="22"/>
                <w:color w:val="auto"/>
                <w:w w:val="81"/>
              </w:rPr>
              <w:t>100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gridSpan w:val="38"/>
          </w:tcPr>
          <w:p>
            <w:pPr>
              <w:spacing w:after="0" w:line="195" w:lineRule="exact"/>
              <w:rPr>
                <w:sz w:val="20"/>
                <w:szCs w:val="20"/>
                <w:color w:val="auto"/>
              </w:rPr>
            </w:pPr>
            <w:r>
              <w:rPr>
                <w:rFonts w:ascii="Arial" w:cs="Arial" w:eastAsia="Arial" w:hAnsi="Arial"/>
                <w:sz w:val="22"/>
                <w:szCs w:val="22"/>
                <w:color w:val="auto"/>
                <w:w w:val="85"/>
              </w:rPr>
              <w:t>SECTION 5.03 Existence; Conduct of Business</w:t>
            </w:r>
          </w:p>
        </w:tc>
        <w:tc>
          <w:tcPr>
            <w:tcW w:w="920" w:type="dxa"/>
            <w:vAlign w:val="bottom"/>
            <w:gridSpan w:val="16"/>
          </w:tcPr>
          <w:p>
            <w:pPr>
              <w:jc w:val="right"/>
              <w:ind w:right="180"/>
              <w:spacing w:after="0" w:line="195" w:lineRule="exact"/>
              <w:rPr>
                <w:sz w:val="20"/>
                <w:szCs w:val="20"/>
                <w:color w:val="auto"/>
              </w:rPr>
            </w:pPr>
            <w:r>
              <w:rPr>
                <w:rFonts w:ascii="Arial" w:cs="Arial" w:eastAsia="Arial" w:hAnsi="Arial"/>
                <w:sz w:val="22"/>
                <w:szCs w:val="22"/>
                <w:color w:val="auto"/>
              </w:rPr>
              <w:t>100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gridSpan w:val="30"/>
          </w:tcPr>
          <w:p>
            <w:pPr>
              <w:spacing w:after="0" w:line="195" w:lineRule="exact"/>
              <w:rPr>
                <w:sz w:val="20"/>
                <w:szCs w:val="20"/>
                <w:color w:val="auto"/>
              </w:rPr>
            </w:pPr>
            <w:r>
              <w:rPr>
                <w:rFonts w:ascii="Arial" w:cs="Arial" w:eastAsia="Arial" w:hAnsi="Arial"/>
                <w:sz w:val="22"/>
                <w:szCs w:val="22"/>
                <w:color w:val="auto"/>
                <w:w w:val="95"/>
              </w:rPr>
              <w:t>SECTION 5.04 Payment of Obligations</w:t>
            </w:r>
          </w:p>
        </w:tc>
        <w:tc>
          <w:tcPr>
            <w:tcW w:w="440" w:type="dxa"/>
            <w:vAlign w:val="bottom"/>
            <w:gridSpan w:val="9"/>
          </w:tcPr>
          <w:p>
            <w:pPr>
              <w:jc w:val="right"/>
              <w:spacing w:after="0" w:line="195" w:lineRule="exact"/>
              <w:rPr>
                <w:sz w:val="20"/>
                <w:szCs w:val="20"/>
                <w:color w:val="auto"/>
              </w:rPr>
            </w:pPr>
            <w:r>
              <w:rPr>
                <w:rFonts w:ascii="Arial" w:cs="Arial" w:eastAsia="Arial" w:hAnsi="Arial"/>
                <w:sz w:val="22"/>
                <w:szCs w:val="22"/>
                <w:color w:val="auto"/>
                <w:w w:val="97"/>
              </w:rPr>
              <w:t>100</w:t>
            </w: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940" w:type="dxa"/>
            <w:vAlign w:val="bottom"/>
            <w:gridSpan w:val="17"/>
            <w:vMerge w:val="restart"/>
          </w:tcPr>
          <w:p>
            <w:pPr>
              <w:ind w:left="40"/>
              <w:spacing w:after="0" w:line="216" w:lineRule="exact"/>
              <w:rPr>
                <w:sz w:val="20"/>
                <w:szCs w:val="20"/>
                <w:color w:val="auto"/>
              </w:rPr>
            </w:pPr>
            <w:r>
              <w:rPr>
                <w:rFonts w:ascii="Arial" w:cs="Arial" w:eastAsia="Arial" w:hAnsi="Arial"/>
                <w:sz w:val="22"/>
                <w:szCs w:val="22"/>
                <w:color w:val="auto"/>
                <w:w w:val="91"/>
              </w:rPr>
              <w:t>Insurance</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7"/>
            <w:vMerge w:val="restart"/>
          </w:tcPr>
          <w:p>
            <w:pPr>
              <w:jc w:val="right"/>
              <w:ind w:right="240"/>
              <w:spacing w:after="0" w:line="216" w:lineRule="exact"/>
              <w:rPr>
                <w:sz w:val="20"/>
                <w:szCs w:val="20"/>
                <w:color w:val="auto"/>
              </w:rPr>
            </w:pPr>
            <w:r>
              <w:rPr>
                <w:rFonts w:ascii="Arial" w:cs="Arial" w:eastAsia="Arial" w:hAnsi="Arial"/>
                <w:sz w:val="22"/>
                <w:szCs w:val="22"/>
                <w:color w:val="auto"/>
                <w:w w:val="81"/>
              </w:rPr>
              <w:t>100</w:t>
            </w: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32"/>
          </w:tcPr>
          <w:p>
            <w:pPr>
              <w:spacing w:after="0" w:line="195" w:lineRule="exact"/>
              <w:rPr>
                <w:sz w:val="20"/>
                <w:szCs w:val="20"/>
                <w:color w:val="auto"/>
              </w:rPr>
            </w:pPr>
            <w:r>
              <w:rPr>
                <w:rFonts w:ascii="Arial" w:cs="Arial" w:eastAsia="Arial" w:hAnsi="Arial"/>
                <w:sz w:val="22"/>
                <w:szCs w:val="22"/>
                <w:color w:val="auto"/>
                <w:w w:val="89"/>
              </w:rPr>
              <w:t>SECTION 5.05 Maintenance of Properties;</w:t>
            </w:r>
          </w:p>
        </w:tc>
        <w:tc>
          <w:tcPr>
            <w:tcW w:w="940" w:type="dxa"/>
            <w:vAlign w:val="bottom"/>
            <w:gridSpan w:val="17"/>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7"/>
            <w:vMerge w:val="continue"/>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gridSpan w:val="30"/>
          </w:tcPr>
          <w:p>
            <w:pPr>
              <w:spacing w:after="0" w:line="195" w:lineRule="exact"/>
              <w:rPr>
                <w:sz w:val="20"/>
                <w:szCs w:val="20"/>
                <w:color w:val="auto"/>
              </w:rPr>
            </w:pPr>
            <w:r>
              <w:rPr>
                <w:rFonts w:ascii="Arial" w:cs="Arial" w:eastAsia="Arial" w:hAnsi="Arial"/>
                <w:sz w:val="22"/>
                <w:szCs w:val="22"/>
                <w:color w:val="auto"/>
                <w:w w:val="96"/>
              </w:rPr>
              <w:t>SECTION 5.06 Inspection Rights   101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gridSpan w:val="23"/>
            <w:vMerge w:val="restart"/>
          </w:tcPr>
          <w:p>
            <w:pPr>
              <w:spacing w:after="0" w:line="216" w:lineRule="exact"/>
              <w:rPr>
                <w:sz w:val="20"/>
                <w:szCs w:val="20"/>
                <w:color w:val="auto"/>
              </w:rPr>
            </w:pPr>
            <w:r>
              <w:rPr>
                <w:rFonts w:ascii="Arial" w:cs="Arial" w:eastAsia="Arial" w:hAnsi="Arial"/>
                <w:sz w:val="22"/>
                <w:szCs w:val="22"/>
                <w:color w:val="auto"/>
                <w:w w:val="92"/>
              </w:rPr>
              <w:t>SECTION 5.07 Compliance with</w:t>
            </w: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9"/>
            <w:vMerge w:val="restart"/>
          </w:tcPr>
          <w:p>
            <w:pPr>
              <w:jc w:val="right"/>
              <w:spacing w:after="0" w:line="216" w:lineRule="exact"/>
              <w:rPr>
                <w:sz w:val="20"/>
                <w:szCs w:val="20"/>
                <w:color w:val="auto"/>
              </w:rPr>
            </w:pPr>
            <w:r>
              <w:rPr>
                <w:rFonts w:ascii="Arial" w:cs="Arial" w:eastAsia="Arial" w:hAnsi="Arial"/>
                <w:sz w:val="22"/>
                <w:szCs w:val="22"/>
                <w:color w:val="auto"/>
                <w:w w:val="87"/>
              </w:rPr>
              <w:t>101</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gridSpan w:val="23"/>
            <w:vMerge w:val="continue"/>
          </w:tcPr>
          <w:p>
            <w:pPr>
              <w:spacing w:after="0"/>
              <w:rPr>
                <w:sz w:val="17"/>
                <w:szCs w:val="17"/>
                <w:color w:val="auto"/>
              </w:rPr>
            </w:pPr>
          </w:p>
        </w:tc>
        <w:tc>
          <w:tcPr>
            <w:tcW w:w="500" w:type="dxa"/>
            <w:vAlign w:val="bottom"/>
            <w:gridSpan w:val="3"/>
          </w:tcPr>
          <w:p>
            <w:pPr>
              <w:ind w:left="20"/>
              <w:spacing w:after="0" w:line="195" w:lineRule="exact"/>
              <w:rPr>
                <w:sz w:val="20"/>
                <w:szCs w:val="20"/>
                <w:color w:val="auto"/>
              </w:rPr>
            </w:pPr>
            <w:r>
              <w:rPr>
                <w:rFonts w:ascii="Arial" w:cs="Arial" w:eastAsia="Arial" w:hAnsi="Arial"/>
                <w:sz w:val="22"/>
                <w:szCs w:val="22"/>
                <w:color w:val="auto"/>
                <w:w w:val="85"/>
              </w:rPr>
              <w:t>Laws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gridSpan w:val="9"/>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gridSpan w:val="30"/>
          </w:tcPr>
          <w:p>
            <w:pPr>
              <w:spacing w:after="0" w:line="195" w:lineRule="exact"/>
              <w:rPr>
                <w:sz w:val="20"/>
                <w:szCs w:val="20"/>
                <w:color w:val="auto"/>
              </w:rPr>
            </w:pPr>
            <w:r>
              <w:rPr>
                <w:rFonts w:ascii="Arial" w:cs="Arial" w:eastAsia="Arial" w:hAnsi="Arial"/>
                <w:sz w:val="22"/>
                <w:szCs w:val="22"/>
                <w:color w:val="auto"/>
                <w:w w:val="84"/>
              </w:rPr>
              <w:t>SECTION 5.08 Use of Proceeds and Letters</w:t>
            </w:r>
          </w:p>
        </w:tc>
        <w:tc>
          <w:tcPr>
            <w:tcW w:w="1020" w:type="dxa"/>
            <w:vAlign w:val="bottom"/>
            <w:gridSpan w:val="19"/>
          </w:tcPr>
          <w:p>
            <w:pPr>
              <w:ind w:left="220"/>
              <w:spacing w:after="0" w:line="195" w:lineRule="exact"/>
              <w:rPr>
                <w:sz w:val="20"/>
                <w:szCs w:val="20"/>
                <w:color w:val="auto"/>
              </w:rPr>
            </w:pPr>
            <w:r>
              <w:rPr>
                <w:rFonts w:ascii="Arial" w:cs="Arial" w:eastAsia="Arial" w:hAnsi="Arial"/>
                <w:sz w:val="22"/>
                <w:szCs w:val="22"/>
                <w:color w:val="auto"/>
                <w:w w:val="93"/>
              </w:rPr>
              <w:t>of Credit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7"/>
          </w:tcPr>
          <w:p>
            <w:pPr>
              <w:jc w:val="right"/>
              <w:ind w:right="220"/>
              <w:spacing w:after="0" w:line="195" w:lineRule="exact"/>
              <w:rPr>
                <w:sz w:val="20"/>
                <w:szCs w:val="20"/>
                <w:color w:val="auto"/>
              </w:rPr>
            </w:pPr>
            <w:r>
              <w:rPr>
                <w:rFonts w:ascii="Arial" w:cs="Arial" w:eastAsia="Arial" w:hAnsi="Arial"/>
                <w:sz w:val="22"/>
                <w:szCs w:val="22"/>
                <w:color w:val="auto"/>
                <w:w w:val="87"/>
              </w:rPr>
              <w:t>101</w:t>
            </w: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gridSpan w:val="15"/>
          </w:tcPr>
          <w:p>
            <w:pPr>
              <w:spacing w:after="0" w:line="195" w:lineRule="exact"/>
              <w:rPr>
                <w:sz w:val="20"/>
                <w:szCs w:val="20"/>
                <w:color w:val="auto"/>
              </w:rPr>
            </w:pPr>
            <w:r>
              <w:rPr>
                <w:rFonts w:ascii="Arial" w:cs="Arial" w:eastAsia="Arial" w:hAnsi="Arial"/>
                <w:sz w:val="22"/>
                <w:szCs w:val="22"/>
                <w:color w:val="auto"/>
                <w:w w:val="94"/>
              </w:rPr>
              <w:t>SECTION 5.09 Guarantees</w:t>
            </w:r>
          </w:p>
        </w:tc>
        <w:tc>
          <w:tcPr>
            <w:tcW w:w="600" w:type="dxa"/>
            <w:vAlign w:val="bottom"/>
            <w:gridSpan w:val="9"/>
          </w:tcPr>
          <w:p>
            <w:pPr>
              <w:ind w:left="100"/>
              <w:spacing w:after="0" w:line="195" w:lineRule="exact"/>
              <w:rPr>
                <w:sz w:val="20"/>
                <w:szCs w:val="20"/>
                <w:color w:val="auto"/>
              </w:rPr>
            </w:pPr>
            <w:r>
              <w:rPr>
                <w:rFonts w:ascii="Arial" w:cs="Arial" w:eastAsia="Arial" w:hAnsi="Arial"/>
                <w:sz w:val="22"/>
                <w:szCs w:val="22"/>
                <w:color w:val="auto"/>
              </w:rPr>
              <w:t>101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3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240" w:type="dxa"/>
            <w:vAlign w:val="bottom"/>
            <w:gridSpan w:val="62"/>
          </w:tcPr>
          <w:p>
            <w:pPr>
              <w:spacing w:after="0"/>
              <w:rPr>
                <w:sz w:val="20"/>
                <w:szCs w:val="20"/>
                <w:color w:val="auto"/>
              </w:rPr>
            </w:pPr>
            <w:r>
              <w:rPr>
                <w:rFonts w:ascii="Arial" w:cs="Arial" w:eastAsia="Arial" w:hAnsi="Arial"/>
                <w:sz w:val="22"/>
                <w:szCs w:val="22"/>
                <w:color w:val="auto"/>
                <w:w w:val="91"/>
              </w:rPr>
              <w:t>ARTICLE VI Negative Covenants_______________________________________________</w:t>
            </w:r>
          </w:p>
        </w:tc>
        <w:tc>
          <w:tcPr>
            <w:tcW w:w="380" w:type="dxa"/>
            <w:vAlign w:val="bottom"/>
          </w:tcPr>
          <w:p>
            <w:pPr>
              <w:jc w:val="right"/>
              <w:spacing w:after="0"/>
              <w:rPr>
                <w:sz w:val="20"/>
                <w:szCs w:val="20"/>
                <w:color w:val="auto"/>
              </w:rPr>
            </w:pPr>
            <w:r>
              <w:rPr>
                <w:rFonts w:ascii="Arial" w:cs="Arial" w:eastAsia="Arial" w:hAnsi="Arial"/>
                <w:sz w:val="22"/>
                <w:szCs w:val="22"/>
                <w:color w:val="auto"/>
                <w:w w:val="92"/>
              </w:rPr>
              <w:t>102</w:t>
            </w:r>
          </w:p>
        </w:tc>
        <w:tc>
          <w:tcPr>
            <w:tcW w:w="0" w:type="dxa"/>
            <w:vAlign w:val="bottom"/>
          </w:tcPr>
          <w:p>
            <w:pPr>
              <w:spacing w:after="0"/>
              <w:rPr>
                <w:sz w:val="1"/>
                <w:szCs w:val="1"/>
                <w:color w:val="auto"/>
              </w:rPr>
            </w:pPr>
          </w:p>
        </w:tc>
      </w:tr>
      <w:tr>
        <w:trPr>
          <w:trHeight w:val="224"/>
        </w:trPr>
        <w:tc>
          <w:tcPr>
            <w:tcW w:w="2540" w:type="dxa"/>
            <w:vAlign w:val="bottom"/>
            <w:gridSpan w:val="15"/>
          </w:tcPr>
          <w:p>
            <w:pPr>
              <w:spacing w:after="0" w:line="224" w:lineRule="exact"/>
              <w:rPr>
                <w:sz w:val="20"/>
                <w:szCs w:val="20"/>
                <w:color w:val="auto"/>
              </w:rPr>
            </w:pPr>
            <w:r>
              <w:rPr>
                <w:rFonts w:ascii="Arial" w:cs="Arial" w:eastAsia="Arial" w:hAnsi="Arial"/>
                <w:sz w:val="22"/>
                <w:szCs w:val="22"/>
                <w:color w:val="auto"/>
                <w:w w:val="88"/>
              </w:rPr>
              <w:t>SECTION 6.01 Indebtedness</w:t>
            </w:r>
          </w:p>
        </w:tc>
        <w:tc>
          <w:tcPr>
            <w:tcW w:w="600" w:type="dxa"/>
            <w:vAlign w:val="bottom"/>
            <w:gridSpan w:val="9"/>
          </w:tcPr>
          <w:p>
            <w:pPr>
              <w:jc w:val="right"/>
              <w:spacing w:after="0" w:line="224" w:lineRule="exact"/>
              <w:rPr>
                <w:sz w:val="20"/>
                <w:szCs w:val="20"/>
                <w:color w:val="auto"/>
              </w:rPr>
            </w:pPr>
            <w:r>
              <w:rPr>
                <w:rFonts w:ascii="Arial" w:cs="Arial" w:eastAsia="Arial" w:hAnsi="Arial"/>
                <w:sz w:val="22"/>
                <w:szCs w:val="22"/>
                <w:color w:val="auto"/>
              </w:rPr>
              <w:t>102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line="195" w:lineRule="exact"/>
              <w:rPr>
                <w:sz w:val="20"/>
                <w:szCs w:val="20"/>
                <w:color w:val="auto"/>
              </w:rPr>
            </w:pPr>
            <w:r>
              <w:rPr>
                <w:rFonts w:ascii="Arial" w:cs="Arial" w:eastAsia="Arial" w:hAnsi="Arial"/>
                <w:sz w:val="22"/>
                <w:szCs w:val="22"/>
                <w:color w:val="auto"/>
                <w:w w:val="90"/>
              </w:rPr>
              <w:t>SECTION 6.02 Liens</w:t>
            </w:r>
          </w:p>
        </w:tc>
        <w:tc>
          <w:tcPr>
            <w:tcW w:w="80" w:type="dxa"/>
            <w:vAlign w:val="bottom"/>
            <w:tcBorders>
              <w:bottom w:val="single" w:sz="8" w:color="auto"/>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gridSpan w:val="10"/>
          </w:tcPr>
          <w:p>
            <w:pPr>
              <w:jc w:val="right"/>
              <w:ind w:right="60"/>
              <w:spacing w:after="0" w:line="195" w:lineRule="exact"/>
              <w:rPr>
                <w:sz w:val="20"/>
                <w:szCs w:val="20"/>
                <w:color w:val="auto"/>
              </w:rPr>
            </w:pPr>
            <w:r>
              <w:rPr>
                <w:rFonts w:ascii="Arial" w:cs="Arial" w:eastAsia="Arial" w:hAnsi="Arial"/>
                <w:sz w:val="22"/>
                <w:szCs w:val="22"/>
                <w:color w:val="auto"/>
                <w:w w:val="81"/>
              </w:rPr>
              <w:t>104</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vMerge w:val="restart"/>
          </w:tcPr>
          <w:p>
            <w:pPr>
              <w:spacing w:after="0"/>
              <w:rPr>
                <w:sz w:val="17"/>
                <w:szCs w:val="17"/>
                <w:color w:val="auto"/>
              </w:rPr>
            </w:pPr>
          </w:p>
        </w:tc>
        <w:tc>
          <w:tcPr>
            <w:tcW w:w="360" w:type="dxa"/>
            <w:vAlign w:val="bottom"/>
            <w:gridSpan w:val="8"/>
            <w:vMerge w:val="restart"/>
          </w:tcPr>
          <w:p>
            <w:pPr>
              <w:jc w:val="right"/>
              <w:ind w:right="20"/>
              <w:spacing w:after="0"/>
              <w:rPr>
                <w:sz w:val="20"/>
                <w:szCs w:val="20"/>
                <w:color w:val="auto"/>
              </w:rPr>
            </w:pPr>
            <w:r>
              <w:rPr>
                <w:rFonts w:ascii="Arial" w:cs="Arial" w:eastAsia="Arial" w:hAnsi="Arial"/>
                <w:sz w:val="22"/>
                <w:szCs w:val="22"/>
                <w:color w:val="auto"/>
                <w:w w:val="87"/>
              </w:rPr>
              <w:t>107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5"/>
          </w:tcPr>
          <w:p>
            <w:pPr>
              <w:spacing w:after="0" w:line="195" w:lineRule="exact"/>
              <w:rPr>
                <w:sz w:val="20"/>
                <w:szCs w:val="20"/>
                <w:color w:val="auto"/>
              </w:rPr>
            </w:pPr>
            <w:r>
              <w:rPr>
                <w:rFonts w:ascii="Arial" w:cs="Arial" w:eastAsia="Arial" w:hAnsi="Arial"/>
                <w:sz w:val="22"/>
                <w:szCs w:val="22"/>
                <w:color w:val="auto"/>
                <w:w w:val="87"/>
              </w:rPr>
              <w:t>SECTION 6.03 Fundamental Changes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vMerge w:val="continue"/>
          </w:tcPr>
          <w:p>
            <w:pPr>
              <w:spacing w:after="0"/>
              <w:rPr>
                <w:sz w:val="17"/>
                <w:szCs w:val="17"/>
                <w:color w:val="auto"/>
              </w:rPr>
            </w:pPr>
          </w:p>
        </w:tc>
        <w:tc>
          <w:tcPr>
            <w:tcW w:w="360" w:type="dxa"/>
            <w:vAlign w:val="bottom"/>
            <w:gridSpan w:val="8"/>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5"/>
          </w:tcPr>
          <w:p>
            <w:pPr>
              <w:spacing w:after="0" w:line="195" w:lineRule="exact"/>
              <w:rPr>
                <w:sz w:val="20"/>
                <w:szCs w:val="20"/>
                <w:color w:val="auto"/>
              </w:rPr>
            </w:pPr>
            <w:r>
              <w:rPr>
                <w:rFonts w:ascii="Arial" w:cs="Arial" w:eastAsia="Arial" w:hAnsi="Arial"/>
                <w:sz w:val="22"/>
                <w:szCs w:val="22"/>
                <w:color w:val="auto"/>
                <w:w w:val="92"/>
              </w:rPr>
              <w:t>SECTION 6.04 Restricted Payments</w:t>
            </w:r>
          </w:p>
        </w:tc>
        <w:tc>
          <w:tcPr>
            <w:tcW w:w="100" w:type="dxa"/>
            <w:vAlign w:val="bottom"/>
          </w:tcPr>
          <w:p>
            <w:pPr>
              <w:spacing w:after="0"/>
              <w:rPr>
                <w:sz w:val="17"/>
                <w:szCs w:val="17"/>
                <w:color w:val="auto"/>
              </w:rPr>
            </w:pPr>
          </w:p>
        </w:tc>
        <w:tc>
          <w:tcPr>
            <w:tcW w:w="400" w:type="dxa"/>
            <w:vAlign w:val="bottom"/>
            <w:gridSpan w:val="7"/>
          </w:tcPr>
          <w:p>
            <w:pPr>
              <w:jc w:val="right"/>
              <w:spacing w:after="0" w:line="195" w:lineRule="exact"/>
              <w:rPr>
                <w:sz w:val="20"/>
                <w:szCs w:val="20"/>
                <w:color w:val="auto"/>
              </w:rPr>
            </w:pPr>
            <w:r>
              <w:rPr>
                <w:rFonts w:ascii="Arial" w:cs="Arial" w:eastAsia="Arial" w:hAnsi="Arial"/>
                <w:sz w:val="22"/>
                <w:szCs w:val="22"/>
                <w:color w:val="auto"/>
                <w:w w:val="87"/>
              </w:rPr>
              <w:t>107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gridSpan w:val="12"/>
          </w:tcPr>
          <w:p>
            <w:pPr>
              <w:spacing w:after="0" w:line="195" w:lineRule="exact"/>
              <w:rPr>
                <w:sz w:val="20"/>
                <w:szCs w:val="20"/>
                <w:color w:val="auto"/>
              </w:rPr>
            </w:pPr>
            <w:r>
              <w:rPr>
                <w:rFonts w:ascii="Arial" w:cs="Arial" w:eastAsia="Arial" w:hAnsi="Arial"/>
                <w:sz w:val="22"/>
                <w:szCs w:val="22"/>
                <w:color w:val="auto"/>
                <w:w w:val="89"/>
              </w:rPr>
              <w:t>SECTION 6.05 Investments</w:t>
            </w:r>
          </w:p>
        </w:tc>
        <w:tc>
          <w:tcPr>
            <w:tcW w:w="100" w:type="dxa"/>
            <w:vAlign w:val="bottom"/>
            <w:tcBorders>
              <w:bottom w:val="single" w:sz="8" w:color="auto"/>
            </w:tcBorders>
            <w:gridSpan w:val="3"/>
          </w:tcPr>
          <w:p>
            <w:pPr>
              <w:spacing w:after="0"/>
              <w:rPr>
                <w:sz w:val="17"/>
                <w:szCs w:val="17"/>
                <w:color w:val="auto"/>
              </w:rPr>
            </w:pPr>
          </w:p>
        </w:tc>
        <w:tc>
          <w:tcPr>
            <w:tcW w:w="160" w:type="dxa"/>
            <w:vAlign w:val="bottom"/>
            <w:tcBorders>
              <w:bottom w:val="single" w:sz="8" w:color="auto"/>
            </w:tcBorders>
            <w:gridSpan w:val="5"/>
          </w:tcPr>
          <w:p>
            <w:pPr>
              <w:spacing w:after="0"/>
              <w:rPr>
                <w:sz w:val="17"/>
                <w:szCs w:val="17"/>
                <w:color w:val="auto"/>
              </w:rPr>
            </w:pPr>
          </w:p>
        </w:tc>
        <w:tc>
          <w:tcPr>
            <w:tcW w:w="440" w:type="dxa"/>
            <w:vAlign w:val="bottom"/>
            <w:gridSpan w:val="4"/>
          </w:tcPr>
          <w:p>
            <w:pPr>
              <w:jc w:val="right"/>
              <w:spacing w:after="0" w:line="195" w:lineRule="exact"/>
              <w:rPr>
                <w:sz w:val="20"/>
                <w:szCs w:val="20"/>
                <w:color w:val="auto"/>
              </w:rPr>
            </w:pPr>
            <w:r>
              <w:rPr>
                <w:rFonts w:ascii="Arial" w:cs="Arial" w:eastAsia="Arial" w:hAnsi="Arial"/>
                <w:sz w:val="22"/>
                <w:szCs w:val="22"/>
                <w:color w:val="auto"/>
                <w:w w:val="87"/>
              </w:rPr>
              <w:t>108</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9479"/>
          </w:cols>
          <w:pgMar w:left="980" w:top="1440" w:right="1440"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gridSpan w:val="37"/>
          </w:tcPr>
          <w:p>
            <w:pPr>
              <w:spacing w:after="0"/>
              <w:rPr>
                <w:sz w:val="20"/>
                <w:szCs w:val="20"/>
                <w:color w:val="auto"/>
              </w:rPr>
            </w:pPr>
            <w:r>
              <w:rPr>
                <w:rFonts w:ascii="Arial" w:cs="Arial" w:eastAsia="Arial" w:hAnsi="Arial"/>
                <w:sz w:val="22"/>
                <w:szCs w:val="22"/>
                <w:color w:val="auto"/>
                <w:w w:val="97"/>
              </w:rPr>
              <w:t>SECTION 6.06 Transactions with Affiliates</w:t>
            </w:r>
          </w:p>
        </w:tc>
        <w:tc>
          <w:tcPr>
            <w:tcW w:w="660" w:type="dxa"/>
            <w:vAlign w:val="bottom"/>
            <w:gridSpan w:val="3"/>
          </w:tcPr>
          <w:p>
            <w:pPr>
              <w:jc w:val="right"/>
              <w:ind w:right="340"/>
              <w:spacing w:after="0"/>
              <w:rPr>
                <w:sz w:val="20"/>
                <w:szCs w:val="20"/>
                <w:color w:val="auto"/>
              </w:rPr>
            </w:pPr>
            <w:r>
              <w:rPr>
                <w:rFonts w:ascii="Arial" w:cs="Arial" w:eastAsia="Arial" w:hAnsi="Arial"/>
                <w:sz w:val="22"/>
                <w:szCs w:val="22"/>
                <w:color w:val="auto"/>
                <w:w w:val="81"/>
              </w:rPr>
              <w:t>109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080" w:type="dxa"/>
            <w:vAlign w:val="bottom"/>
            <w:gridSpan w:val="23"/>
          </w:tcPr>
          <w:p>
            <w:pPr>
              <w:spacing w:after="0" w:line="195" w:lineRule="exact"/>
              <w:rPr>
                <w:sz w:val="20"/>
                <w:szCs w:val="20"/>
                <w:color w:val="auto"/>
              </w:rPr>
            </w:pPr>
            <w:r>
              <w:rPr>
                <w:rFonts w:ascii="Arial" w:cs="Arial" w:eastAsia="Arial" w:hAnsi="Arial"/>
                <w:sz w:val="22"/>
                <w:szCs w:val="22"/>
                <w:color w:val="auto"/>
                <w:w w:val="89"/>
              </w:rPr>
              <w:t>SECTION 6.07 Financial Covenant</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380" w:type="dxa"/>
            <w:vAlign w:val="bottom"/>
            <w:gridSpan w:val="6"/>
          </w:tcPr>
          <w:p>
            <w:pPr>
              <w:spacing w:after="0" w:line="195" w:lineRule="exact"/>
              <w:rPr>
                <w:sz w:val="20"/>
                <w:szCs w:val="20"/>
                <w:color w:val="auto"/>
              </w:rPr>
            </w:pPr>
            <w:r>
              <w:rPr>
                <w:rFonts w:ascii="Arial" w:cs="Arial" w:eastAsia="Arial" w:hAnsi="Arial"/>
                <w:sz w:val="22"/>
                <w:szCs w:val="22"/>
                <w:color w:val="auto"/>
                <w:w w:val="97"/>
              </w:rPr>
              <w:t>110</w:t>
            </w: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gridSpan w:val="18"/>
          </w:tcPr>
          <w:p>
            <w:pPr>
              <w:spacing w:after="0" w:line="195" w:lineRule="exact"/>
              <w:rPr>
                <w:sz w:val="20"/>
                <w:szCs w:val="20"/>
                <w:color w:val="auto"/>
              </w:rPr>
            </w:pPr>
            <w:r>
              <w:rPr>
                <w:rFonts w:ascii="Arial" w:cs="Arial" w:eastAsia="Arial" w:hAnsi="Arial"/>
                <w:sz w:val="22"/>
                <w:szCs w:val="22"/>
                <w:color w:val="auto"/>
                <w:w w:val="89"/>
              </w:rPr>
              <w:t>SECTION 6.08 Lines of Business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7"/>
          </w:tcPr>
          <w:p>
            <w:pPr>
              <w:ind w:left="40"/>
              <w:spacing w:after="0" w:line="195" w:lineRule="exact"/>
              <w:rPr>
                <w:sz w:val="20"/>
                <w:szCs w:val="20"/>
                <w:color w:val="auto"/>
              </w:rPr>
            </w:pPr>
            <w:r>
              <w:rPr>
                <w:rFonts w:ascii="Arial" w:cs="Arial" w:eastAsia="Arial" w:hAnsi="Arial"/>
                <w:sz w:val="22"/>
                <w:szCs w:val="22"/>
                <w:color w:val="auto"/>
              </w:rPr>
              <w:t>111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8160" w:type="dxa"/>
            <w:vAlign w:val="bottom"/>
            <w:gridSpan w:val="58"/>
          </w:tcPr>
          <w:p>
            <w:pPr>
              <w:ind w:left="40"/>
              <w:spacing w:after="0"/>
              <w:rPr>
                <w:sz w:val="20"/>
                <w:szCs w:val="20"/>
                <w:color w:val="auto"/>
              </w:rPr>
            </w:pPr>
            <w:r>
              <w:rPr>
                <w:rFonts w:ascii="Arial" w:cs="Arial" w:eastAsia="Arial" w:hAnsi="Arial"/>
                <w:sz w:val="22"/>
                <w:szCs w:val="22"/>
                <w:color w:val="auto"/>
                <w:w w:val="91"/>
              </w:rPr>
              <w:t>ARTICLE VII Events of Default________________________________________________</w:t>
            </w:r>
          </w:p>
        </w:tc>
        <w:tc>
          <w:tcPr>
            <w:tcW w:w="500" w:type="dxa"/>
            <w:vAlign w:val="bottom"/>
            <w:gridSpan w:val="2"/>
          </w:tcPr>
          <w:p>
            <w:pPr>
              <w:jc w:val="right"/>
              <w:ind w:right="80"/>
              <w:spacing w:after="0"/>
              <w:rPr>
                <w:sz w:val="20"/>
                <w:szCs w:val="20"/>
                <w:color w:val="auto"/>
              </w:rPr>
            </w:pPr>
            <w:r>
              <w:rPr>
                <w:rFonts w:ascii="Arial" w:cs="Arial" w:eastAsia="Arial" w:hAnsi="Arial"/>
                <w:sz w:val="22"/>
                <w:szCs w:val="22"/>
                <w:color w:val="auto"/>
              </w:rPr>
              <w:t>111</w:t>
            </w:r>
          </w:p>
        </w:tc>
        <w:tc>
          <w:tcPr>
            <w:tcW w:w="0" w:type="dxa"/>
            <w:vAlign w:val="bottom"/>
          </w:tcPr>
          <w:p>
            <w:pPr>
              <w:spacing w:after="0"/>
              <w:rPr>
                <w:sz w:val="1"/>
                <w:szCs w:val="1"/>
                <w:color w:val="auto"/>
              </w:rPr>
            </w:pPr>
          </w:p>
        </w:tc>
      </w:tr>
      <w:tr>
        <w:trPr>
          <w:trHeight w:val="432"/>
        </w:trPr>
        <w:tc>
          <w:tcPr>
            <w:tcW w:w="8160" w:type="dxa"/>
            <w:vAlign w:val="bottom"/>
            <w:gridSpan w:val="58"/>
          </w:tcPr>
          <w:p>
            <w:pPr>
              <w:ind w:left="40"/>
              <w:spacing w:after="0"/>
              <w:rPr>
                <w:sz w:val="20"/>
                <w:szCs w:val="20"/>
                <w:color w:val="auto"/>
              </w:rPr>
            </w:pPr>
            <w:r>
              <w:rPr>
                <w:rFonts w:ascii="Arial" w:cs="Arial" w:eastAsia="Arial" w:hAnsi="Arial"/>
                <w:sz w:val="22"/>
                <w:szCs w:val="22"/>
                <w:color w:val="auto"/>
                <w:w w:val="91"/>
              </w:rPr>
              <w:t>ARTICLE VIII The Administrative Agent_________________________________________</w:t>
            </w:r>
          </w:p>
        </w:tc>
        <w:tc>
          <w:tcPr>
            <w:tcW w:w="500" w:type="dxa"/>
            <w:vAlign w:val="bottom"/>
            <w:gridSpan w:val="2"/>
          </w:tcPr>
          <w:p>
            <w:pPr>
              <w:jc w:val="right"/>
              <w:ind w:right="20"/>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374"/>
        </w:trPr>
        <w:tc>
          <w:tcPr>
            <w:tcW w:w="8160" w:type="dxa"/>
            <w:vAlign w:val="bottom"/>
            <w:gridSpan w:val="58"/>
          </w:tcPr>
          <w:p>
            <w:pPr>
              <w:ind w:left="40"/>
              <w:spacing w:after="0"/>
              <w:rPr>
                <w:sz w:val="20"/>
                <w:szCs w:val="20"/>
                <w:color w:val="auto"/>
              </w:rPr>
            </w:pPr>
            <w:r>
              <w:rPr>
                <w:rFonts w:ascii="Arial" w:cs="Arial" w:eastAsia="Arial" w:hAnsi="Arial"/>
                <w:sz w:val="22"/>
                <w:szCs w:val="22"/>
                <w:color w:val="auto"/>
                <w:w w:val="89"/>
              </w:rPr>
              <w:t>ARTICLE IX Miscellaneous____________________________________________________</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rPr>
              <w:t>119</w:t>
            </w:r>
          </w:p>
        </w:tc>
        <w:tc>
          <w:tcPr>
            <w:tcW w:w="0" w:type="dxa"/>
            <w:vAlign w:val="bottom"/>
          </w:tcPr>
          <w:p>
            <w:pPr>
              <w:spacing w:after="0"/>
              <w:rPr>
                <w:sz w:val="1"/>
                <w:szCs w:val="1"/>
                <w:color w:val="auto"/>
              </w:rPr>
            </w:pPr>
          </w:p>
        </w:tc>
      </w:tr>
      <w:tr>
        <w:trPr>
          <w:trHeight w:val="224"/>
        </w:trPr>
        <w:tc>
          <w:tcPr>
            <w:tcW w:w="2060" w:type="dxa"/>
            <w:vAlign w:val="bottom"/>
          </w:tcPr>
          <w:p>
            <w:pPr>
              <w:spacing w:after="0" w:line="224" w:lineRule="exact"/>
              <w:rPr>
                <w:sz w:val="20"/>
                <w:szCs w:val="20"/>
                <w:color w:val="auto"/>
              </w:rPr>
            </w:pPr>
            <w:r>
              <w:rPr>
                <w:rFonts w:ascii="Arial" w:cs="Arial" w:eastAsia="Arial" w:hAnsi="Arial"/>
                <w:sz w:val="22"/>
                <w:szCs w:val="22"/>
                <w:color w:val="auto"/>
                <w:w w:val="90"/>
              </w:rPr>
              <w:t>SECTION 9.01 Notices</w:t>
            </w:r>
          </w:p>
        </w:tc>
        <w:tc>
          <w:tcPr>
            <w:tcW w:w="200" w:type="dxa"/>
            <w:vAlign w:val="bottom"/>
            <w:gridSpan w:val="3"/>
          </w:tcPr>
          <w:p>
            <w:pPr>
              <w:spacing w:after="0"/>
              <w:rPr>
                <w:sz w:val="19"/>
                <w:szCs w:val="19"/>
                <w:color w:val="auto"/>
              </w:rPr>
            </w:pPr>
          </w:p>
        </w:tc>
        <w:tc>
          <w:tcPr>
            <w:tcW w:w="620" w:type="dxa"/>
            <w:vAlign w:val="bottom"/>
            <w:gridSpan w:val="12"/>
          </w:tcPr>
          <w:p>
            <w:pPr>
              <w:jc w:val="right"/>
              <w:spacing w:after="0" w:line="224" w:lineRule="exact"/>
              <w:rPr>
                <w:sz w:val="20"/>
                <w:szCs w:val="20"/>
                <w:color w:val="auto"/>
              </w:rPr>
            </w:pPr>
            <w:r>
              <w:rPr>
                <w:rFonts w:ascii="Arial" w:cs="Arial" w:eastAsia="Arial" w:hAnsi="Arial"/>
                <w:sz w:val="22"/>
                <w:szCs w:val="22"/>
                <w:color w:val="auto"/>
                <w:w w:val="94"/>
              </w:rPr>
              <w:t>__119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216" w:lineRule="exact"/>
              <w:rPr>
                <w:sz w:val="20"/>
                <w:szCs w:val="20"/>
                <w:color w:val="auto"/>
              </w:rPr>
            </w:pPr>
            <w:r>
              <w:rPr>
                <w:rFonts w:ascii="Arial" w:cs="Arial" w:eastAsia="Arial" w:hAnsi="Arial"/>
                <w:sz w:val="22"/>
                <w:szCs w:val="22"/>
                <w:color w:val="auto"/>
                <w:w w:val="85"/>
              </w:rPr>
              <w:t>SECTION 9.02 Waivers;</w:t>
            </w: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6"/>
            <w:vMerge w:val="restart"/>
          </w:tcPr>
          <w:p>
            <w:pPr>
              <w:spacing w:after="0" w:line="216" w:lineRule="exact"/>
              <w:rPr>
                <w:sz w:val="20"/>
                <w:szCs w:val="20"/>
                <w:color w:val="auto"/>
              </w:rPr>
            </w:pPr>
            <w:r>
              <w:rPr>
                <w:rFonts w:ascii="Arial" w:cs="Arial" w:eastAsia="Arial" w:hAnsi="Arial"/>
                <w:sz w:val="22"/>
                <w:szCs w:val="22"/>
                <w:color w:val="auto"/>
              </w:rPr>
              <w:t>122</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8"/>
          </w:tcPr>
          <w:p>
            <w:pPr>
              <w:ind w:left="20"/>
              <w:spacing w:after="0" w:line="195" w:lineRule="exact"/>
              <w:rPr>
                <w:sz w:val="20"/>
                <w:szCs w:val="20"/>
                <w:color w:val="auto"/>
              </w:rPr>
            </w:pPr>
            <w:r>
              <w:rPr>
                <w:rFonts w:ascii="Arial" w:cs="Arial" w:eastAsia="Arial" w:hAnsi="Arial"/>
                <w:sz w:val="22"/>
                <w:szCs w:val="22"/>
                <w:color w:val="auto"/>
              </w:rPr>
              <w:t>Amendments</w:t>
            </w:r>
          </w:p>
        </w:tc>
        <w:tc>
          <w:tcPr>
            <w:tcW w:w="40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gridSpan w:val="27"/>
            <w:vMerge w:val="restart"/>
          </w:tcPr>
          <w:p>
            <w:pPr>
              <w:spacing w:after="0" w:line="216" w:lineRule="exact"/>
              <w:rPr>
                <w:sz w:val="20"/>
                <w:szCs w:val="20"/>
                <w:color w:val="auto"/>
              </w:rPr>
            </w:pPr>
            <w:r>
              <w:rPr>
                <w:rFonts w:ascii="Arial" w:cs="Arial" w:eastAsia="Arial" w:hAnsi="Arial"/>
                <w:sz w:val="22"/>
                <w:szCs w:val="22"/>
                <w:color w:val="auto"/>
                <w:w w:val="91"/>
              </w:rPr>
              <w:t>SECTION 9.03 Expenses; Indemnity;</w:t>
            </w: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5"/>
            <w:vMerge w:val="restart"/>
          </w:tcPr>
          <w:p>
            <w:pPr>
              <w:jc w:val="right"/>
              <w:ind w:right="580"/>
              <w:spacing w:after="0" w:line="216" w:lineRule="exact"/>
              <w:rPr>
                <w:sz w:val="20"/>
                <w:szCs w:val="20"/>
                <w:color w:val="auto"/>
              </w:rPr>
            </w:pPr>
            <w:r>
              <w:rPr>
                <w:rFonts w:ascii="Arial" w:cs="Arial" w:eastAsia="Arial" w:hAnsi="Arial"/>
                <w:sz w:val="22"/>
                <w:szCs w:val="22"/>
                <w:color w:val="auto"/>
                <w:w w:val="97"/>
              </w:rPr>
              <w:t>123</w:t>
            </w: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gridSpan w:val="27"/>
            <w:vMerge w:val="continue"/>
          </w:tcPr>
          <w:p>
            <w:pPr>
              <w:spacing w:after="0"/>
              <w:rPr>
                <w:sz w:val="17"/>
                <w:szCs w:val="17"/>
                <w:color w:val="auto"/>
              </w:rPr>
            </w:pPr>
          </w:p>
        </w:tc>
        <w:tc>
          <w:tcPr>
            <w:tcW w:w="1580" w:type="dxa"/>
            <w:vAlign w:val="bottom"/>
            <w:gridSpan w:val="17"/>
          </w:tcPr>
          <w:p>
            <w:pPr>
              <w:spacing w:after="0" w:line="195" w:lineRule="exact"/>
              <w:rPr>
                <w:sz w:val="20"/>
                <w:szCs w:val="20"/>
                <w:color w:val="auto"/>
              </w:rPr>
            </w:pPr>
            <w:r>
              <w:rPr>
                <w:rFonts w:ascii="Arial" w:cs="Arial" w:eastAsia="Arial" w:hAnsi="Arial"/>
                <w:sz w:val="22"/>
                <w:szCs w:val="22"/>
                <w:color w:val="auto"/>
                <w:w w:val="98"/>
              </w:rPr>
              <w:t>Damage Waiver</w:t>
            </w:r>
          </w:p>
        </w:tc>
        <w:tc>
          <w:tcPr>
            <w:tcW w:w="960" w:type="dxa"/>
            <w:vAlign w:val="bottom"/>
            <w:gridSpan w:val="5"/>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gridSpan w:val="31"/>
          </w:tcPr>
          <w:p>
            <w:pPr>
              <w:spacing w:after="0" w:line="195" w:lineRule="exact"/>
              <w:rPr>
                <w:sz w:val="20"/>
                <w:szCs w:val="20"/>
                <w:color w:val="auto"/>
              </w:rPr>
            </w:pPr>
            <w:r>
              <w:rPr>
                <w:rFonts w:ascii="Arial" w:cs="Arial" w:eastAsia="Arial" w:hAnsi="Arial"/>
                <w:sz w:val="22"/>
                <w:szCs w:val="22"/>
                <w:color w:val="auto"/>
                <w:w w:val="92"/>
              </w:rPr>
              <w:t>SECTION 9.04 Successors and Assigns</w:t>
            </w:r>
          </w:p>
        </w:tc>
        <w:tc>
          <w:tcPr>
            <w:tcW w:w="400" w:type="dxa"/>
            <w:vAlign w:val="bottom"/>
            <w:gridSpan w:val="6"/>
          </w:tcPr>
          <w:p>
            <w:pPr>
              <w:jc w:val="right"/>
              <w:ind w:right="20"/>
              <w:spacing w:after="0" w:line="195" w:lineRule="exact"/>
              <w:rPr>
                <w:sz w:val="20"/>
                <w:szCs w:val="20"/>
                <w:color w:val="auto"/>
              </w:rPr>
            </w:pPr>
            <w:r>
              <w:rPr>
                <w:rFonts w:ascii="Arial" w:cs="Arial" w:eastAsia="Arial" w:hAnsi="Arial"/>
                <w:sz w:val="22"/>
                <w:szCs w:val="22"/>
                <w:color w:val="auto"/>
                <w:w w:val="97"/>
              </w:rPr>
              <w:t>125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60" w:type="dxa"/>
            <w:vAlign w:val="bottom"/>
            <w:gridSpan w:val="4"/>
          </w:tcPr>
          <w:p>
            <w:pPr>
              <w:spacing w:after="0" w:line="195" w:lineRule="exact"/>
              <w:rPr>
                <w:sz w:val="20"/>
                <w:szCs w:val="20"/>
                <w:color w:val="auto"/>
              </w:rPr>
            </w:pPr>
            <w:r>
              <w:rPr>
                <w:rFonts w:ascii="Arial" w:cs="Arial" w:eastAsia="Arial" w:hAnsi="Arial"/>
                <w:sz w:val="22"/>
                <w:szCs w:val="22"/>
                <w:color w:val="auto"/>
                <w:w w:val="96"/>
              </w:rPr>
              <w:t>SECTION 9.05 Survival</w:t>
            </w:r>
          </w:p>
        </w:tc>
        <w:tc>
          <w:tcPr>
            <w:tcW w:w="480" w:type="dxa"/>
            <w:vAlign w:val="bottom"/>
            <w:gridSpan w:val="10"/>
          </w:tcPr>
          <w:p>
            <w:pPr>
              <w:ind w:left="140"/>
              <w:spacing w:after="0" w:line="195" w:lineRule="exact"/>
              <w:rPr>
                <w:sz w:val="20"/>
                <w:szCs w:val="20"/>
                <w:color w:val="auto"/>
              </w:rPr>
            </w:pPr>
            <w:r>
              <w:rPr>
                <w:rFonts w:ascii="Arial" w:cs="Arial" w:eastAsia="Arial" w:hAnsi="Arial"/>
                <w:sz w:val="22"/>
                <w:szCs w:val="22"/>
                <w:color w:val="auto"/>
                <w:w w:val="87"/>
              </w:rPr>
              <w:t>131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320" w:type="dxa"/>
            <w:vAlign w:val="bottom"/>
            <w:gridSpan w:val="33"/>
            <w:vMerge w:val="restart"/>
          </w:tcPr>
          <w:p>
            <w:pPr>
              <w:spacing w:after="0" w:line="216" w:lineRule="exact"/>
              <w:rPr>
                <w:sz w:val="20"/>
                <w:szCs w:val="20"/>
                <w:color w:val="auto"/>
              </w:rPr>
            </w:pPr>
            <w:r>
              <w:rPr>
                <w:rFonts w:ascii="Arial" w:cs="Arial" w:eastAsia="Arial" w:hAnsi="Arial"/>
                <w:sz w:val="22"/>
                <w:szCs w:val="22"/>
                <w:color w:val="auto"/>
                <w:w w:val="93"/>
              </w:rPr>
              <w:t>Integration; Effectiveness</w:t>
            </w:r>
          </w:p>
        </w:tc>
        <w:tc>
          <w:tcPr>
            <w:tcW w:w="960" w:type="dxa"/>
            <w:vAlign w:val="bottom"/>
            <w:gridSpan w:val="5"/>
            <w:vMerge w:val="restart"/>
          </w:tcPr>
          <w:p>
            <w:pPr>
              <w:ind w:left="180"/>
              <w:spacing w:after="0" w:line="216" w:lineRule="exact"/>
              <w:rPr>
                <w:sz w:val="20"/>
                <w:szCs w:val="20"/>
                <w:color w:val="auto"/>
              </w:rPr>
            </w:pPr>
            <w:r>
              <w:rPr>
                <w:rFonts w:ascii="Arial" w:cs="Arial" w:eastAsia="Arial" w:hAnsi="Arial"/>
                <w:sz w:val="22"/>
                <w:szCs w:val="22"/>
                <w:color w:val="auto"/>
              </w:rPr>
              <w:t>131</w:t>
            </w: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7"/>
          </w:tcPr>
          <w:p>
            <w:pPr>
              <w:spacing w:after="0" w:line="195" w:lineRule="exact"/>
              <w:rPr>
                <w:sz w:val="20"/>
                <w:szCs w:val="20"/>
                <w:color w:val="auto"/>
              </w:rPr>
            </w:pPr>
            <w:r>
              <w:rPr>
                <w:rFonts w:ascii="Arial" w:cs="Arial" w:eastAsia="Arial" w:hAnsi="Arial"/>
                <w:sz w:val="22"/>
                <w:szCs w:val="22"/>
                <w:color w:val="auto"/>
                <w:w w:val="83"/>
              </w:rPr>
              <w:t>SECTION 9.06 Counterparts;</w:t>
            </w:r>
          </w:p>
        </w:tc>
        <w:tc>
          <w:tcPr>
            <w:tcW w:w="40" w:type="dxa"/>
            <w:vAlign w:val="bottom"/>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320" w:type="dxa"/>
            <w:vAlign w:val="bottom"/>
            <w:gridSpan w:val="33"/>
            <w:vMerge w:val="continue"/>
          </w:tcPr>
          <w:p>
            <w:pPr>
              <w:spacing w:after="0"/>
              <w:rPr>
                <w:sz w:val="17"/>
                <w:szCs w:val="17"/>
                <w:color w:val="auto"/>
              </w:rPr>
            </w:pPr>
          </w:p>
        </w:tc>
        <w:tc>
          <w:tcPr>
            <w:tcW w:w="960" w:type="dxa"/>
            <w:vAlign w:val="bottom"/>
            <w:gridSpan w:val="5"/>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gridSpan w:val="8"/>
          </w:tcPr>
          <w:p>
            <w:pPr>
              <w:spacing w:after="0" w:line="195" w:lineRule="exact"/>
              <w:rPr>
                <w:sz w:val="20"/>
                <w:szCs w:val="20"/>
                <w:color w:val="auto"/>
              </w:rPr>
            </w:pPr>
            <w:r>
              <w:rPr>
                <w:rFonts w:ascii="Arial" w:cs="Arial" w:eastAsia="Arial" w:hAnsi="Arial"/>
                <w:sz w:val="22"/>
                <w:szCs w:val="22"/>
                <w:color w:val="auto"/>
                <w:w w:val="90"/>
              </w:rPr>
              <w:t>SECTION 9.07 Severability</w:t>
            </w:r>
          </w:p>
        </w:tc>
        <w:tc>
          <w:tcPr>
            <w:tcW w:w="40" w:type="dxa"/>
            <w:vAlign w:val="bottom"/>
          </w:tcPr>
          <w:p>
            <w:pPr>
              <w:spacing w:after="0"/>
              <w:rPr>
                <w:sz w:val="17"/>
                <w:szCs w:val="17"/>
                <w:color w:val="auto"/>
              </w:rPr>
            </w:pPr>
          </w:p>
        </w:tc>
        <w:tc>
          <w:tcPr>
            <w:tcW w:w="560" w:type="dxa"/>
            <w:vAlign w:val="bottom"/>
            <w:gridSpan w:val="13"/>
          </w:tcPr>
          <w:p>
            <w:pPr>
              <w:jc w:val="right"/>
              <w:spacing w:after="0" w:line="195" w:lineRule="exact"/>
              <w:rPr>
                <w:sz w:val="20"/>
                <w:szCs w:val="20"/>
                <w:color w:val="auto"/>
              </w:rPr>
            </w:pPr>
            <w:r>
              <w:rPr>
                <w:rFonts w:ascii="Arial" w:cs="Arial" w:eastAsia="Arial" w:hAnsi="Arial"/>
                <w:sz w:val="22"/>
                <w:szCs w:val="22"/>
                <w:color w:val="auto"/>
              </w:rPr>
              <w:t>131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360" w:type="dxa"/>
            <w:vAlign w:val="bottom"/>
            <w:gridSpan w:val="7"/>
            <w:vMerge w:val="restart"/>
          </w:tcPr>
          <w:p>
            <w:pPr>
              <w:ind w:left="20"/>
              <w:spacing w:after="0" w:line="216" w:lineRule="exact"/>
              <w:rPr>
                <w:sz w:val="20"/>
                <w:szCs w:val="20"/>
                <w:color w:val="auto"/>
              </w:rPr>
            </w:pPr>
            <w:r>
              <w:rPr>
                <w:rFonts w:ascii="Arial" w:cs="Arial" w:eastAsia="Arial" w:hAnsi="Arial"/>
                <w:sz w:val="22"/>
                <w:szCs w:val="22"/>
                <w:color w:val="auto"/>
                <w:w w:val="87"/>
              </w:rPr>
              <w:t>131</w:t>
            </w: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gridSpan w:val="13"/>
          </w:tcPr>
          <w:p>
            <w:pPr>
              <w:spacing w:after="0" w:line="195" w:lineRule="exact"/>
              <w:rPr>
                <w:sz w:val="20"/>
                <w:szCs w:val="20"/>
                <w:color w:val="auto"/>
              </w:rPr>
            </w:pPr>
            <w:r>
              <w:rPr>
                <w:rFonts w:ascii="Arial" w:cs="Arial" w:eastAsia="Arial" w:hAnsi="Arial"/>
                <w:sz w:val="22"/>
                <w:szCs w:val="22"/>
                <w:color w:val="auto"/>
                <w:w w:val="92"/>
              </w:rPr>
              <w:t>SECTION 9.08 Right of Setoff</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360" w:type="dxa"/>
            <w:vAlign w:val="bottom"/>
            <w:gridSpan w:val="7"/>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3880" w:type="dxa"/>
            <w:vAlign w:val="bottom"/>
            <w:gridSpan w:val="36"/>
            <w:vMerge w:val="restart"/>
          </w:tcPr>
          <w:p>
            <w:pPr>
              <w:spacing w:after="0" w:line="216" w:lineRule="exact"/>
              <w:rPr>
                <w:sz w:val="20"/>
                <w:szCs w:val="20"/>
                <w:color w:val="auto"/>
              </w:rPr>
            </w:pPr>
            <w:r>
              <w:rPr>
                <w:rFonts w:ascii="Arial" w:cs="Arial" w:eastAsia="Arial" w:hAnsi="Arial"/>
                <w:sz w:val="22"/>
                <w:szCs w:val="22"/>
                <w:color w:val="auto"/>
                <w:w w:val="92"/>
              </w:rPr>
              <w:t>Jurisdiction; Consent to Service of Process</w:t>
            </w:r>
          </w:p>
        </w:tc>
        <w:tc>
          <w:tcPr>
            <w:tcW w:w="1120" w:type="dxa"/>
            <w:vAlign w:val="bottom"/>
            <w:gridSpan w:val="2"/>
            <w:vMerge w:val="restart"/>
          </w:tcPr>
          <w:p>
            <w:pPr>
              <w:jc w:val="right"/>
              <w:ind w:right="800"/>
              <w:spacing w:after="0" w:line="216" w:lineRule="exact"/>
              <w:rPr>
                <w:sz w:val="20"/>
                <w:szCs w:val="20"/>
                <w:color w:val="auto"/>
              </w:rPr>
            </w:pPr>
            <w:r>
              <w:rPr>
                <w:rFonts w:ascii="Arial" w:cs="Arial" w:eastAsia="Arial" w:hAnsi="Arial"/>
                <w:sz w:val="22"/>
                <w:szCs w:val="22"/>
                <w:color w:val="auto"/>
                <w:w w:val="81"/>
              </w:rPr>
              <w:t>132</w:t>
            </w:r>
          </w:p>
        </w:tc>
        <w:tc>
          <w:tcPr>
            <w:tcW w:w="2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19"/>
          </w:tcPr>
          <w:p>
            <w:pPr>
              <w:spacing w:after="0" w:line="195" w:lineRule="exact"/>
              <w:rPr>
                <w:sz w:val="20"/>
                <w:szCs w:val="20"/>
                <w:color w:val="auto"/>
              </w:rPr>
            </w:pPr>
            <w:r>
              <w:rPr>
                <w:rFonts w:ascii="Arial" w:cs="Arial" w:eastAsia="Arial" w:hAnsi="Arial"/>
                <w:sz w:val="22"/>
                <w:szCs w:val="22"/>
                <w:color w:val="auto"/>
                <w:w w:val="95"/>
              </w:rPr>
              <w:t>SECTION 9.09 Governing Law;</w:t>
            </w:r>
          </w:p>
        </w:tc>
        <w:tc>
          <w:tcPr>
            <w:tcW w:w="3880" w:type="dxa"/>
            <w:vAlign w:val="bottom"/>
            <w:gridSpan w:val="36"/>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gridSpan w:val="37"/>
          </w:tcPr>
          <w:p>
            <w:pPr>
              <w:spacing w:after="0" w:line="195" w:lineRule="exact"/>
              <w:rPr>
                <w:sz w:val="20"/>
                <w:szCs w:val="20"/>
                <w:color w:val="auto"/>
              </w:rPr>
            </w:pPr>
            <w:r>
              <w:rPr>
                <w:rFonts w:ascii="Arial" w:cs="Arial" w:eastAsia="Arial" w:hAnsi="Arial"/>
                <w:sz w:val="22"/>
                <w:szCs w:val="22"/>
                <w:color w:val="auto"/>
                <w:w w:val="98"/>
              </w:rPr>
              <w:t>SECTION 9.10 WAIVER OF JURY TRIAL</w:t>
            </w:r>
          </w:p>
        </w:tc>
        <w:tc>
          <w:tcPr>
            <w:tcW w:w="660" w:type="dxa"/>
            <w:vAlign w:val="bottom"/>
            <w:gridSpan w:val="3"/>
          </w:tcPr>
          <w:p>
            <w:pPr>
              <w:jc w:val="right"/>
              <w:ind w:right="280"/>
              <w:spacing w:after="0" w:line="195" w:lineRule="exact"/>
              <w:rPr>
                <w:sz w:val="20"/>
                <w:szCs w:val="20"/>
                <w:color w:val="auto"/>
              </w:rPr>
            </w:pPr>
            <w:r>
              <w:rPr>
                <w:rFonts w:ascii="Arial" w:cs="Arial" w:eastAsia="Arial" w:hAnsi="Arial"/>
                <w:sz w:val="22"/>
                <w:szCs w:val="22"/>
                <w:color w:val="auto"/>
                <w:w w:val="97"/>
              </w:rPr>
              <w:t>133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60" w:type="dxa"/>
            <w:vAlign w:val="bottom"/>
            <w:gridSpan w:val="4"/>
          </w:tcPr>
          <w:p>
            <w:pPr>
              <w:spacing w:after="0" w:line="195" w:lineRule="exact"/>
              <w:rPr>
                <w:sz w:val="20"/>
                <w:szCs w:val="20"/>
                <w:color w:val="auto"/>
              </w:rPr>
            </w:pPr>
            <w:r>
              <w:rPr>
                <w:rFonts w:ascii="Arial" w:cs="Arial" w:eastAsia="Arial" w:hAnsi="Arial"/>
                <w:sz w:val="22"/>
                <w:szCs w:val="22"/>
                <w:color w:val="auto"/>
                <w:w w:val="91"/>
              </w:rPr>
              <w:t>SECTION 9.11 Headings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7"/>
          </w:tcPr>
          <w:p>
            <w:pPr>
              <w:spacing w:after="0" w:line="195" w:lineRule="exact"/>
              <w:rPr>
                <w:sz w:val="20"/>
                <w:szCs w:val="20"/>
                <w:color w:val="auto"/>
              </w:rPr>
            </w:pPr>
            <w:r>
              <w:rPr>
                <w:rFonts w:ascii="Arial" w:cs="Arial" w:eastAsia="Arial" w:hAnsi="Arial"/>
                <w:sz w:val="22"/>
                <w:szCs w:val="22"/>
                <w:color w:val="auto"/>
              </w:rPr>
              <w:t>133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7"/>
            <w:vMerge w:val="restart"/>
          </w:tcPr>
          <w:p>
            <w:pPr>
              <w:ind w:left="40"/>
              <w:spacing w:after="0"/>
              <w:rPr>
                <w:sz w:val="20"/>
                <w:szCs w:val="20"/>
                <w:color w:val="auto"/>
              </w:rPr>
            </w:pPr>
            <w:r>
              <w:rPr>
                <w:rFonts w:ascii="Arial" w:cs="Arial" w:eastAsia="Arial" w:hAnsi="Arial"/>
                <w:sz w:val="22"/>
                <w:szCs w:val="22"/>
                <w:color w:val="auto"/>
                <w:w w:val="81"/>
              </w:rPr>
              <w:t>133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gridSpan w:val="3"/>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360" w:type="dxa"/>
            <w:vAlign w:val="bottom"/>
            <w:gridSpan w:val="7"/>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9"/>
          </w:tcPr>
          <w:p>
            <w:pPr>
              <w:spacing w:after="0" w:line="195" w:lineRule="exact"/>
              <w:rPr>
                <w:sz w:val="20"/>
                <w:szCs w:val="20"/>
                <w:color w:val="auto"/>
              </w:rPr>
            </w:pPr>
            <w:r>
              <w:rPr>
                <w:rFonts w:ascii="Arial" w:cs="Arial" w:eastAsia="Arial" w:hAnsi="Arial"/>
                <w:sz w:val="22"/>
                <w:szCs w:val="22"/>
                <w:color w:val="auto"/>
                <w:w w:val="84"/>
              </w:rPr>
              <w:t>SECTION 9.12 Confidentiality</w:t>
            </w:r>
          </w:p>
        </w:tc>
        <w:tc>
          <w:tcPr>
            <w:tcW w:w="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360" w:type="dxa"/>
            <w:vAlign w:val="bottom"/>
            <w:gridSpan w:val="7"/>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gridSpan w:val="12"/>
            <w:vMerge w:val="restart"/>
          </w:tcPr>
          <w:p>
            <w:pPr>
              <w:spacing w:after="0" w:line="216" w:lineRule="exact"/>
              <w:rPr>
                <w:sz w:val="20"/>
                <w:szCs w:val="20"/>
                <w:color w:val="auto"/>
              </w:rPr>
            </w:pPr>
            <w:r>
              <w:rPr>
                <w:rFonts w:ascii="Arial" w:cs="Arial" w:eastAsia="Arial" w:hAnsi="Arial"/>
                <w:sz w:val="22"/>
                <w:szCs w:val="22"/>
                <w:color w:val="auto"/>
                <w:w w:val="88"/>
              </w:rPr>
              <w:t>SECTION 9.13 USA PATRIOT</w:t>
            </w:r>
          </w:p>
        </w:tc>
        <w:tc>
          <w:tcPr>
            <w:tcW w:w="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8"/>
            <w:vMerge w:val="restart"/>
          </w:tcPr>
          <w:p>
            <w:pPr>
              <w:ind w:left="220"/>
              <w:spacing w:after="0" w:line="216" w:lineRule="exact"/>
              <w:rPr>
                <w:sz w:val="20"/>
                <w:szCs w:val="20"/>
                <w:color w:val="auto"/>
              </w:rPr>
            </w:pPr>
            <w:r>
              <w:rPr>
                <w:rFonts w:ascii="Arial" w:cs="Arial" w:eastAsia="Arial" w:hAnsi="Arial"/>
                <w:sz w:val="22"/>
                <w:szCs w:val="22"/>
                <w:color w:val="auto"/>
                <w:w w:val="87"/>
              </w:rPr>
              <w:t>135</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gridSpan w:val="12"/>
            <w:vMerge w:val="continue"/>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9"/>
          </w:tcPr>
          <w:p>
            <w:pPr>
              <w:ind w:left="20"/>
              <w:spacing w:after="0" w:line="195" w:lineRule="exact"/>
              <w:rPr>
                <w:sz w:val="20"/>
                <w:szCs w:val="20"/>
                <w:color w:val="auto"/>
              </w:rPr>
            </w:pPr>
            <w:r>
              <w:rPr>
                <w:rFonts w:ascii="Arial" w:cs="Arial" w:eastAsia="Arial" w:hAnsi="Arial"/>
                <w:sz w:val="22"/>
                <w:szCs w:val="22"/>
                <w:color w:val="auto"/>
              </w:rPr>
              <w:t>Act</w:t>
            </w:r>
          </w:p>
        </w:tc>
        <w:tc>
          <w:tcPr>
            <w:tcW w:w="560" w:type="dxa"/>
            <w:vAlign w:val="bottom"/>
            <w:gridSpan w:val="8"/>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gridSpan w:val="5"/>
            <w:vMerge w:val="restart"/>
          </w:tcPr>
          <w:p>
            <w:pPr>
              <w:jc w:val="right"/>
              <w:spacing w:after="0" w:line="216" w:lineRule="exact"/>
              <w:rPr>
                <w:sz w:val="20"/>
                <w:szCs w:val="20"/>
                <w:color w:val="auto"/>
              </w:rPr>
            </w:pPr>
            <w:r>
              <w:rPr>
                <w:rFonts w:ascii="Arial" w:cs="Arial" w:eastAsia="Arial" w:hAnsi="Arial"/>
                <w:sz w:val="22"/>
                <w:szCs w:val="22"/>
                <w:color w:val="auto"/>
                <w:w w:val="87"/>
              </w:rPr>
              <w:t>135</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00" w:type="dxa"/>
            <w:vAlign w:val="bottom"/>
            <w:gridSpan w:val="28"/>
          </w:tcPr>
          <w:p>
            <w:pPr>
              <w:spacing w:after="0" w:line="195" w:lineRule="exact"/>
              <w:rPr>
                <w:sz w:val="20"/>
                <w:szCs w:val="20"/>
                <w:color w:val="auto"/>
              </w:rPr>
            </w:pPr>
            <w:r>
              <w:rPr>
                <w:rFonts w:ascii="Arial" w:cs="Arial" w:eastAsia="Arial" w:hAnsi="Arial"/>
                <w:sz w:val="22"/>
                <w:szCs w:val="22"/>
                <w:color w:val="auto"/>
                <w:w w:val="88"/>
              </w:rPr>
              <w:t>SECTION 9.14 Interest Rate Limitation</w:t>
            </w:r>
          </w:p>
        </w:tc>
        <w:tc>
          <w:tcPr>
            <w:tcW w:w="60" w:type="dxa"/>
            <w:vAlign w:val="bottom"/>
            <w:gridSpan w:val="2"/>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vMerge w:val="continue"/>
          </w:tcPr>
          <w:p>
            <w:pPr>
              <w:spacing w:after="0"/>
              <w:rPr>
                <w:sz w:val="17"/>
                <w:szCs w:val="17"/>
                <w:color w:val="auto"/>
              </w:rPr>
            </w:pPr>
          </w:p>
        </w:tc>
        <w:tc>
          <w:tcPr>
            <w:tcW w:w="340" w:type="dxa"/>
            <w:vAlign w:val="bottom"/>
            <w:gridSpan w:val="5"/>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gridSpan w:val="24"/>
          </w:tcPr>
          <w:p>
            <w:pPr>
              <w:spacing w:after="0" w:line="195" w:lineRule="exact"/>
              <w:rPr>
                <w:sz w:val="20"/>
                <w:szCs w:val="20"/>
                <w:color w:val="auto"/>
              </w:rPr>
            </w:pPr>
            <w:r>
              <w:rPr>
                <w:rFonts w:ascii="Arial" w:cs="Arial" w:eastAsia="Arial" w:hAnsi="Arial"/>
                <w:sz w:val="22"/>
                <w:szCs w:val="22"/>
                <w:color w:val="auto"/>
                <w:w w:val="95"/>
              </w:rPr>
              <w:t>SECTION 9.15 No Fiduciary Duty</w:t>
            </w:r>
          </w:p>
        </w:tc>
        <w:tc>
          <w:tcPr>
            <w:tcW w:w="500" w:type="dxa"/>
            <w:vAlign w:val="bottom"/>
            <w:gridSpan w:val="7"/>
          </w:tcPr>
          <w:p>
            <w:pPr>
              <w:ind w:left="140"/>
              <w:spacing w:after="0" w:line="195" w:lineRule="exact"/>
              <w:rPr>
                <w:sz w:val="20"/>
                <w:szCs w:val="20"/>
                <w:color w:val="auto"/>
              </w:rPr>
            </w:pPr>
            <w:r>
              <w:rPr>
                <w:rFonts w:ascii="Arial" w:cs="Arial" w:eastAsia="Arial" w:hAnsi="Arial"/>
                <w:sz w:val="22"/>
                <w:szCs w:val="22"/>
                <w:color w:val="auto"/>
                <w:w w:val="87"/>
              </w:rPr>
              <w:t>135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gridSpan w:val="22"/>
          </w:tcPr>
          <w:p>
            <w:pPr>
              <w:spacing w:after="0" w:line="195" w:lineRule="exact"/>
              <w:rPr>
                <w:sz w:val="20"/>
                <w:szCs w:val="20"/>
                <w:color w:val="auto"/>
              </w:rPr>
            </w:pPr>
            <w:r>
              <w:rPr>
                <w:rFonts w:ascii="Arial" w:cs="Arial" w:eastAsia="Arial" w:hAnsi="Arial"/>
                <w:sz w:val="22"/>
                <w:szCs w:val="22"/>
                <w:color w:val="auto"/>
                <w:w w:val="85"/>
              </w:rPr>
              <w:t>SECTION 9.16 Electronic Execution</w:t>
            </w:r>
          </w:p>
        </w:tc>
        <w:tc>
          <w:tcPr>
            <w:tcW w:w="120" w:type="dxa"/>
            <w:vAlign w:val="bottom"/>
            <w:tcBorders>
              <w:top w:val="single" w:sz="8" w:color="auto"/>
            </w:tcBorders>
            <w:gridSpan w:val="2"/>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540" w:type="dxa"/>
            <w:vAlign w:val="bottom"/>
            <w:gridSpan w:val="30"/>
          </w:tcPr>
          <w:p>
            <w:pPr>
              <w:spacing w:after="0" w:line="195" w:lineRule="exact"/>
              <w:rPr>
                <w:sz w:val="20"/>
                <w:szCs w:val="20"/>
                <w:color w:val="auto"/>
              </w:rPr>
            </w:pPr>
            <w:r>
              <w:rPr>
                <w:rFonts w:ascii="Arial" w:cs="Arial" w:eastAsia="Arial" w:hAnsi="Arial"/>
                <w:sz w:val="22"/>
                <w:szCs w:val="22"/>
                <w:color w:val="auto"/>
                <w:w w:val="89"/>
              </w:rPr>
              <w:t>of this Agreement and Other Documents</w:t>
            </w:r>
          </w:p>
        </w:tc>
        <w:tc>
          <w:tcPr>
            <w:tcW w:w="1120" w:type="dxa"/>
            <w:vAlign w:val="bottom"/>
            <w:gridSpan w:val="2"/>
          </w:tcPr>
          <w:p>
            <w:pPr>
              <w:jc w:val="right"/>
              <w:ind w:right="600"/>
              <w:spacing w:after="0" w:line="195" w:lineRule="exact"/>
              <w:rPr>
                <w:sz w:val="20"/>
                <w:szCs w:val="20"/>
                <w:color w:val="auto"/>
              </w:rPr>
            </w:pPr>
            <w:r>
              <w:rPr>
                <w:rFonts w:ascii="Arial" w:cs="Arial" w:eastAsia="Arial" w:hAnsi="Arial"/>
                <w:sz w:val="22"/>
                <w:szCs w:val="22"/>
                <w:color w:val="auto"/>
              </w:rPr>
              <w:t>136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gridSpan w:val="18"/>
          </w:tcPr>
          <w:p>
            <w:pPr>
              <w:spacing w:after="0" w:line="195" w:lineRule="exact"/>
              <w:rPr>
                <w:sz w:val="20"/>
                <w:szCs w:val="20"/>
                <w:color w:val="auto"/>
              </w:rPr>
            </w:pPr>
            <w:r>
              <w:rPr>
                <w:rFonts w:ascii="Arial" w:cs="Arial" w:eastAsia="Arial" w:hAnsi="Arial"/>
                <w:sz w:val="22"/>
                <w:szCs w:val="22"/>
                <w:color w:val="auto"/>
                <w:w w:val="90"/>
              </w:rPr>
              <w:t>SECTION 9.17 Joint and Several</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7"/>
          </w:tcPr>
          <w:p>
            <w:pPr>
              <w:spacing w:after="0" w:line="195" w:lineRule="exact"/>
              <w:rPr>
                <w:sz w:val="20"/>
                <w:szCs w:val="20"/>
                <w:color w:val="auto"/>
              </w:rPr>
            </w:pPr>
            <w:r>
              <w:rPr>
                <w:rFonts w:ascii="Arial" w:cs="Arial" w:eastAsia="Arial" w:hAnsi="Arial"/>
                <w:sz w:val="22"/>
                <w:szCs w:val="22"/>
                <w:color w:val="auto"/>
              </w:rPr>
              <w:t>137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4"/>
          </w:tcPr>
          <w:p>
            <w:pPr>
              <w:spacing w:after="0" w:line="195" w:lineRule="exact"/>
              <w:rPr>
                <w:sz w:val="20"/>
                <w:szCs w:val="20"/>
                <w:color w:val="auto"/>
              </w:rPr>
            </w:pPr>
            <w:r>
              <w:rPr>
                <w:rFonts w:ascii="Arial" w:cs="Arial" w:eastAsia="Arial" w:hAnsi="Arial"/>
                <w:sz w:val="22"/>
                <w:szCs w:val="22"/>
                <w:color w:val="auto"/>
                <w:w w:val="93"/>
              </w:rPr>
              <w:t>SECTION 9.18 Enforcement   137</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gridSpan w:val="10"/>
            <w:vMerge w:val="restart"/>
          </w:tcPr>
          <w:p>
            <w:pPr>
              <w:spacing w:after="0" w:line="216" w:lineRule="exact"/>
              <w:rPr>
                <w:sz w:val="20"/>
                <w:szCs w:val="20"/>
                <w:color w:val="auto"/>
              </w:rPr>
            </w:pPr>
            <w:r>
              <w:rPr>
                <w:rFonts w:ascii="Arial" w:cs="Arial" w:eastAsia="Arial" w:hAnsi="Arial"/>
                <w:sz w:val="22"/>
                <w:szCs w:val="22"/>
                <w:color w:val="auto"/>
                <w:w w:val="90"/>
              </w:rPr>
              <w:t>SECTION 9.19 Netherlands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5"/>
            <w:vMerge w:val="restart"/>
          </w:tcPr>
          <w:p>
            <w:pPr>
              <w:ind w:left="120"/>
              <w:spacing w:after="0" w:line="216" w:lineRule="exact"/>
              <w:rPr>
                <w:sz w:val="20"/>
                <w:szCs w:val="20"/>
                <w:color w:val="auto"/>
              </w:rPr>
            </w:pPr>
            <w:r>
              <w:rPr>
                <w:rFonts w:ascii="Arial" w:cs="Arial" w:eastAsia="Arial" w:hAnsi="Arial"/>
                <w:sz w:val="22"/>
                <w:szCs w:val="22"/>
                <w:color w:val="auto"/>
              </w:rPr>
              <w:t>138</w:t>
            </w: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gridSpan w:val="10"/>
            <w:vMerge w:val="continue"/>
          </w:tcPr>
          <w:p>
            <w:pPr>
              <w:spacing w:after="0"/>
              <w:rPr>
                <w:sz w:val="17"/>
                <w:szCs w:val="17"/>
                <w:color w:val="auto"/>
              </w:rPr>
            </w:pPr>
          </w:p>
        </w:tc>
        <w:tc>
          <w:tcPr>
            <w:tcW w:w="2440" w:type="dxa"/>
            <w:vAlign w:val="bottom"/>
            <w:gridSpan w:val="34"/>
          </w:tcPr>
          <w:p>
            <w:pPr>
              <w:spacing w:after="0" w:line="195" w:lineRule="exact"/>
              <w:rPr>
                <w:sz w:val="20"/>
                <w:szCs w:val="20"/>
                <w:color w:val="auto"/>
              </w:rPr>
            </w:pPr>
            <w:r>
              <w:rPr>
                <w:rFonts w:ascii="Arial" w:cs="Arial" w:eastAsia="Arial" w:hAnsi="Arial"/>
                <w:sz w:val="22"/>
                <w:szCs w:val="22"/>
                <w:color w:val="auto"/>
                <w:w w:val="92"/>
              </w:rPr>
              <w:t>Loan Party Representation</w:t>
            </w:r>
          </w:p>
        </w:tc>
        <w:tc>
          <w:tcPr>
            <w:tcW w:w="960" w:type="dxa"/>
            <w:vAlign w:val="bottom"/>
            <w:gridSpan w:val="5"/>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gridSpan w:val="41"/>
          </w:tcPr>
          <w:p>
            <w:pPr>
              <w:spacing w:after="0" w:line="195" w:lineRule="exact"/>
              <w:rPr>
                <w:sz w:val="20"/>
                <w:szCs w:val="20"/>
                <w:color w:val="auto"/>
              </w:rPr>
            </w:pPr>
            <w:r>
              <w:rPr>
                <w:rFonts w:ascii="Arial" w:cs="Arial" w:eastAsia="Arial" w:hAnsi="Arial"/>
                <w:sz w:val="22"/>
                <w:szCs w:val="22"/>
                <w:color w:val="auto"/>
                <w:w w:val="90"/>
              </w:rPr>
              <w:t>SECTION 9.20 Acknowledgement and Consent to Bail</w:t>
            </w:r>
          </w:p>
        </w:tc>
        <w:tc>
          <w:tcPr>
            <w:tcW w:w="26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22"/>
                <w:szCs w:val="22"/>
                <w:color w:val="auto"/>
                <w:w w:val="93"/>
              </w:rPr>
              <w:t>-In</w:t>
            </w:r>
          </w:p>
        </w:tc>
        <w:tc>
          <w:tcPr>
            <w:tcW w:w="3100" w:type="dxa"/>
            <w:vAlign w:val="bottom"/>
            <w:gridSpan w:val="12"/>
          </w:tcPr>
          <w:p>
            <w:pPr>
              <w:ind w:left="40"/>
              <w:spacing w:after="0" w:line="195" w:lineRule="exact"/>
              <w:rPr>
                <w:sz w:val="20"/>
                <w:szCs w:val="20"/>
                <w:color w:val="auto"/>
              </w:rPr>
            </w:pPr>
            <w:r>
              <w:rPr>
                <w:rFonts w:ascii="Arial" w:cs="Arial" w:eastAsia="Arial" w:hAnsi="Arial"/>
                <w:sz w:val="22"/>
                <w:szCs w:val="22"/>
                <w:color w:val="auto"/>
                <w:w w:val="97"/>
              </w:rPr>
              <w:t>of Affected Financial Institutions</w:t>
            </w:r>
          </w:p>
        </w:tc>
        <w:tc>
          <w:tcPr>
            <w:tcW w:w="500" w:type="dxa"/>
            <w:vAlign w:val="bottom"/>
            <w:gridSpan w:val="2"/>
          </w:tcPr>
          <w:p>
            <w:pPr>
              <w:jc w:val="right"/>
              <w:ind w:right="100"/>
              <w:spacing w:after="0" w:line="195" w:lineRule="exact"/>
              <w:rPr>
                <w:sz w:val="20"/>
                <w:szCs w:val="20"/>
                <w:color w:val="auto"/>
              </w:rPr>
            </w:pPr>
            <w:r>
              <w:rPr>
                <w:rFonts w:ascii="Arial" w:cs="Arial" w:eastAsia="Arial" w:hAnsi="Arial"/>
                <w:sz w:val="22"/>
                <w:szCs w:val="22"/>
                <w:color w:val="auto"/>
              </w:rPr>
              <w:t>138</w:t>
            </w:r>
          </w:p>
        </w:tc>
        <w:tc>
          <w:tcPr>
            <w:tcW w:w="0" w:type="dxa"/>
            <w:vAlign w:val="bottom"/>
          </w:tcPr>
          <w:p>
            <w:pPr>
              <w:spacing w:after="0"/>
              <w:rPr>
                <w:sz w:val="1"/>
                <w:szCs w:val="1"/>
                <w:color w:val="auto"/>
              </w:rPr>
            </w:pPr>
          </w:p>
        </w:tc>
      </w:tr>
      <w:tr>
        <w:trPr>
          <w:trHeight w:val="196"/>
        </w:trPr>
        <w:tc>
          <w:tcPr>
            <w:tcW w:w="6040" w:type="dxa"/>
            <w:vAlign w:val="bottom"/>
            <w:gridSpan w:val="50"/>
          </w:tcPr>
          <w:p>
            <w:pPr>
              <w:spacing w:after="0" w:line="195" w:lineRule="exact"/>
              <w:rPr>
                <w:sz w:val="20"/>
                <w:szCs w:val="20"/>
                <w:color w:val="auto"/>
              </w:rPr>
            </w:pPr>
            <w:r>
              <w:rPr>
                <w:rFonts w:ascii="Arial" w:cs="Arial" w:eastAsia="Arial" w:hAnsi="Arial"/>
                <w:sz w:val="22"/>
                <w:szCs w:val="22"/>
                <w:color w:val="auto"/>
                <w:w w:val="91"/>
              </w:rPr>
              <w:t>SECTION 9.21 Acknowledgement Regarding Any Supported QFCs</w:t>
            </w:r>
          </w:p>
        </w:tc>
        <w:tc>
          <w:tcPr>
            <w:tcW w:w="540" w:type="dxa"/>
            <w:vAlign w:val="bottom"/>
            <w:gridSpan w:val="3"/>
          </w:tcPr>
          <w:p>
            <w:pPr>
              <w:jc w:val="right"/>
              <w:ind w:right="80"/>
              <w:spacing w:after="0" w:line="195" w:lineRule="exact"/>
              <w:rPr>
                <w:sz w:val="20"/>
                <w:szCs w:val="20"/>
                <w:color w:val="auto"/>
              </w:rPr>
            </w:pPr>
            <w:r>
              <w:rPr>
                <w:rFonts w:ascii="Arial" w:cs="Arial" w:eastAsia="Arial" w:hAnsi="Arial"/>
                <w:sz w:val="22"/>
                <w:szCs w:val="22"/>
                <w:color w:val="auto"/>
              </w:rPr>
              <w:t>139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gridSpan w:val="37"/>
          </w:tcPr>
          <w:p>
            <w:pPr>
              <w:spacing w:after="0" w:line="195" w:lineRule="exact"/>
              <w:rPr>
                <w:sz w:val="20"/>
                <w:szCs w:val="20"/>
                <w:color w:val="auto"/>
              </w:rPr>
            </w:pPr>
            <w:r>
              <w:rPr>
                <w:rFonts w:ascii="Arial" w:cs="Arial" w:eastAsia="Arial" w:hAnsi="Arial"/>
                <w:sz w:val="22"/>
                <w:szCs w:val="22"/>
                <w:color w:val="auto"/>
                <w:w w:val="90"/>
              </w:rPr>
              <w:t>SECTION 9.22 Amendment and Restatement</w:t>
            </w:r>
          </w:p>
        </w:tc>
        <w:tc>
          <w:tcPr>
            <w:tcW w:w="660" w:type="dxa"/>
            <w:vAlign w:val="bottom"/>
            <w:gridSpan w:val="3"/>
          </w:tcPr>
          <w:p>
            <w:pPr>
              <w:jc w:val="right"/>
              <w:ind w:right="180"/>
              <w:spacing w:after="0" w:line="195" w:lineRule="exact"/>
              <w:rPr>
                <w:sz w:val="20"/>
                <w:szCs w:val="20"/>
                <w:color w:val="auto"/>
              </w:rPr>
            </w:pPr>
            <w:r>
              <w:rPr>
                <w:rFonts w:ascii="Arial" w:cs="Arial" w:eastAsia="Arial" w:hAnsi="Arial"/>
                <w:sz w:val="22"/>
                <w:szCs w:val="22"/>
                <w:color w:val="auto"/>
              </w:rPr>
              <w:t>140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160" w:type="dxa"/>
            <w:vAlign w:val="bottom"/>
            <w:gridSpan w:val="58"/>
          </w:tcPr>
          <w:p>
            <w:pPr>
              <w:spacing w:after="0"/>
              <w:rPr>
                <w:sz w:val="20"/>
                <w:szCs w:val="20"/>
                <w:color w:val="auto"/>
              </w:rPr>
            </w:pPr>
            <w:r>
              <w:rPr>
                <w:rFonts w:ascii="Arial" w:cs="Arial" w:eastAsia="Arial" w:hAnsi="Arial"/>
                <w:sz w:val="22"/>
                <w:szCs w:val="22"/>
                <w:color w:val="auto"/>
                <w:w w:val="90"/>
              </w:rPr>
              <w:t>ARTICLE X Guarantee_______________________________________________________</w:t>
            </w:r>
          </w:p>
        </w:tc>
        <w:tc>
          <w:tcPr>
            <w:tcW w:w="500" w:type="dxa"/>
            <w:vAlign w:val="bottom"/>
            <w:gridSpan w:val="2"/>
          </w:tcPr>
          <w:p>
            <w:pPr>
              <w:jc w:val="right"/>
              <w:ind w:right="140"/>
              <w:spacing w:after="0"/>
              <w:rPr>
                <w:sz w:val="20"/>
                <w:szCs w:val="20"/>
                <w:color w:val="auto"/>
              </w:rPr>
            </w:pPr>
            <w:r>
              <w:rPr>
                <w:rFonts w:ascii="Arial" w:cs="Arial" w:eastAsia="Arial" w:hAnsi="Arial"/>
                <w:sz w:val="22"/>
                <w:szCs w:val="22"/>
                <w:color w:val="auto"/>
                <w:w w:val="92"/>
              </w:rPr>
              <w:t>140</w:t>
            </w:r>
          </w:p>
        </w:tc>
        <w:tc>
          <w:tcPr>
            <w:tcW w:w="0" w:type="dxa"/>
            <w:vAlign w:val="bottom"/>
          </w:tcPr>
          <w:p>
            <w:pPr>
              <w:spacing w:after="0"/>
              <w:rPr>
                <w:sz w:val="1"/>
                <w:szCs w:val="1"/>
                <w:color w:val="auto"/>
              </w:rPr>
            </w:pPr>
          </w:p>
        </w:tc>
      </w:tr>
      <w:tr>
        <w:trPr>
          <w:trHeight w:val="224"/>
        </w:trPr>
        <w:tc>
          <w:tcPr>
            <w:tcW w:w="2480" w:type="dxa"/>
            <w:vAlign w:val="bottom"/>
            <w:gridSpan w:val="9"/>
          </w:tcPr>
          <w:p>
            <w:pPr>
              <w:spacing w:after="0" w:line="224" w:lineRule="exact"/>
              <w:rPr>
                <w:sz w:val="20"/>
                <w:szCs w:val="20"/>
                <w:color w:val="auto"/>
              </w:rPr>
            </w:pPr>
            <w:r>
              <w:rPr>
                <w:rFonts w:ascii="Arial" w:cs="Arial" w:eastAsia="Arial" w:hAnsi="Arial"/>
                <w:sz w:val="22"/>
                <w:szCs w:val="22"/>
                <w:color w:val="auto"/>
                <w:w w:val="91"/>
              </w:rPr>
              <w:t>SECTION 10.01 Guarantee</w:t>
            </w:r>
          </w:p>
        </w:tc>
        <w:tc>
          <w:tcPr>
            <w:tcW w:w="520" w:type="dxa"/>
            <w:vAlign w:val="bottom"/>
            <w:gridSpan w:val="12"/>
          </w:tcPr>
          <w:p>
            <w:pPr>
              <w:jc w:val="right"/>
              <w:ind w:right="20"/>
              <w:spacing w:after="0" w:line="224" w:lineRule="exact"/>
              <w:rPr>
                <w:sz w:val="20"/>
                <w:szCs w:val="20"/>
                <w:color w:val="auto"/>
              </w:rPr>
            </w:pPr>
            <w:r>
              <w:rPr>
                <w:rFonts w:ascii="Arial" w:cs="Arial" w:eastAsia="Arial" w:hAnsi="Arial"/>
                <w:sz w:val="22"/>
                <w:szCs w:val="22"/>
                <w:color w:val="auto"/>
              </w:rPr>
              <w:t>140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gridSpan w:val="6"/>
            <w:vMerge w:val="restart"/>
          </w:tcPr>
          <w:p>
            <w:pPr>
              <w:spacing w:after="0" w:line="216" w:lineRule="exact"/>
              <w:rPr>
                <w:sz w:val="20"/>
                <w:szCs w:val="20"/>
                <w:color w:val="auto"/>
              </w:rPr>
            </w:pPr>
            <w:r>
              <w:rPr>
                <w:rFonts w:ascii="Arial" w:cs="Arial" w:eastAsia="Arial" w:hAnsi="Arial"/>
                <w:sz w:val="22"/>
                <w:szCs w:val="22"/>
                <w:color w:val="auto"/>
                <w:w w:val="97"/>
              </w:rPr>
              <w:t>SECTION 10.02 Right of</w:t>
            </w:r>
          </w:p>
        </w:tc>
        <w:tc>
          <w:tcPr>
            <w:tcW w:w="240" w:type="dxa"/>
            <w:vAlign w:val="bottom"/>
            <w:gridSpan w:val="5"/>
            <w:shd w:val="clear" w:color="auto" w:fill="000000"/>
          </w:tcPr>
          <w:p>
            <w:pPr>
              <w:spacing w:after="0" w:line="20" w:lineRule="exact"/>
              <w:rPr>
                <w:sz w:val="1"/>
                <w:szCs w:val="1"/>
                <w:color w:val="auto"/>
              </w:rPr>
            </w:pPr>
          </w:p>
        </w:tc>
        <w:tc>
          <w:tcPr>
            <w:tcW w:w="12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6"/>
            <w:vMerge w:val="restart"/>
          </w:tcPr>
          <w:p>
            <w:pPr>
              <w:spacing w:after="0" w:line="216" w:lineRule="exact"/>
              <w:rPr>
                <w:sz w:val="20"/>
                <w:szCs w:val="20"/>
                <w:color w:val="auto"/>
              </w:rPr>
            </w:pPr>
            <w:r>
              <w:rPr>
                <w:rFonts w:ascii="Arial" w:cs="Arial" w:eastAsia="Arial" w:hAnsi="Arial"/>
                <w:sz w:val="22"/>
                <w:szCs w:val="22"/>
                <w:color w:val="auto"/>
              </w:rPr>
              <w:t>141</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6"/>
            <w:vMerge w:val="continue"/>
          </w:tcPr>
          <w:p>
            <w:pPr>
              <w:spacing w:after="0"/>
              <w:rPr>
                <w:sz w:val="17"/>
                <w:szCs w:val="17"/>
                <w:color w:val="auto"/>
              </w:rPr>
            </w:pPr>
          </w:p>
        </w:tc>
        <w:tc>
          <w:tcPr>
            <w:tcW w:w="1020" w:type="dxa"/>
            <w:vAlign w:val="bottom"/>
            <w:gridSpan w:val="22"/>
          </w:tcPr>
          <w:p>
            <w:pPr>
              <w:spacing w:after="0" w:line="195" w:lineRule="exact"/>
              <w:rPr>
                <w:sz w:val="20"/>
                <w:szCs w:val="20"/>
                <w:color w:val="auto"/>
              </w:rPr>
            </w:pPr>
            <w:r>
              <w:rPr>
                <w:rFonts w:ascii="Arial" w:cs="Arial" w:eastAsia="Arial" w:hAnsi="Arial"/>
                <w:sz w:val="22"/>
                <w:szCs w:val="22"/>
                <w:color w:val="auto"/>
                <w:w w:val="82"/>
              </w:rPr>
              <w:t>Contribution</w:t>
            </w:r>
          </w:p>
        </w:tc>
        <w:tc>
          <w:tcPr>
            <w:tcW w:w="260" w:type="dxa"/>
            <w:vAlign w:val="bottom"/>
            <w:gridSpan w:val="3"/>
          </w:tcPr>
          <w:p>
            <w:pPr>
              <w:spacing w:after="0"/>
              <w:rPr>
                <w:sz w:val="17"/>
                <w:szCs w:val="17"/>
                <w:color w:val="auto"/>
              </w:rPr>
            </w:pPr>
          </w:p>
        </w:tc>
        <w:tc>
          <w:tcPr>
            <w:tcW w:w="40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gridSpan w:val="16"/>
            <w:vMerge w:val="restart"/>
          </w:tcPr>
          <w:p>
            <w:pPr>
              <w:spacing w:after="0" w:line="216" w:lineRule="exact"/>
              <w:rPr>
                <w:sz w:val="20"/>
                <w:szCs w:val="20"/>
                <w:color w:val="auto"/>
              </w:rPr>
            </w:pPr>
            <w:r>
              <w:rPr>
                <w:rFonts w:ascii="Arial" w:cs="Arial" w:eastAsia="Arial" w:hAnsi="Arial"/>
                <w:sz w:val="22"/>
                <w:szCs w:val="22"/>
                <w:color w:val="auto"/>
                <w:w w:val="89"/>
              </w:rPr>
              <w:t>SECTION 10.03 No Subrogation</w:t>
            </w:r>
          </w:p>
        </w:tc>
        <w:tc>
          <w:tcPr>
            <w:tcW w:w="6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gridSpan w:val="4"/>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16"/>
            <w:vMerge w:val="continue"/>
          </w:tcPr>
          <w:p>
            <w:pPr>
              <w:spacing w:after="0"/>
              <w:rPr>
                <w:sz w:val="17"/>
                <w:szCs w:val="17"/>
                <w:color w:val="auto"/>
              </w:rPr>
            </w:pPr>
          </w:p>
        </w:tc>
        <w:tc>
          <w:tcPr>
            <w:tcW w:w="6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gridSpan w:val="7"/>
          </w:tcPr>
          <w:p>
            <w:pPr>
              <w:spacing w:after="0" w:line="195" w:lineRule="exact"/>
              <w:rPr>
                <w:sz w:val="20"/>
                <w:szCs w:val="20"/>
                <w:color w:val="auto"/>
              </w:rPr>
            </w:pPr>
            <w:r>
              <w:rPr>
                <w:rFonts w:ascii="Arial" w:cs="Arial" w:eastAsia="Arial" w:hAnsi="Arial"/>
                <w:sz w:val="22"/>
                <w:szCs w:val="22"/>
                <w:color w:val="auto"/>
              </w:rPr>
              <w:t>141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gridSpan w:val="24"/>
          </w:tcPr>
          <w:p>
            <w:pPr>
              <w:spacing w:after="0" w:line="195" w:lineRule="exact"/>
              <w:rPr>
                <w:sz w:val="20"/>
                <w:szCs w:val="20"/>
                <w:color w:val="auto"/>
              </w:rPr>
            </w:pPr>
            <w:r>
              <w:rPr>
                <w:rFonts w:ascii="Arial" w:cs="Arial" w:eastAsia="Arial" w:hAnsi="Arial"/>
                <w:sz w:val="22"/>
                <w:szCs w:val="22"/>
                <w:color w:val="auto"/>
                <w:w w:val="89"/>
              </w:rPr>
              <w:t>SECTION 10.04 Amendments, etc.,</w:t>
            </w:r>
          </w:p>
        </w:tc>
        <w:tc>
          <w:tcPr>
            <w:tcW w:w="2880" w:type="dxa"/>
            <w:vAlign w:val="bottom"/>
            <w:gridSpan w:val="26"/>
          </w:tcPr>
          <w:p>
            <w:pPr>
              <w:ind w:left="20"/>
              <w:spacing w:after="0" w:line="195" w:lineRule="exact"/>
              <w:rPr>
                <w:sz w:val="20"/>
                <w:szCs w:val="20"/>
                <w:color w:val="auto"/>
              </w:rPr>
            </w:pPr>
            <w:r>
              <w:rPr>
                <w:rFonts w:ascii="Arial" w:cs="Arial" w:eastAsia="Arial" w:hAnsi="Arial"/>
                <w:sz w:val="22"/>
                <w:szCs w:val="22"/>
                <w:color w:val="auto"/>
                <w:w w:val="93"/>
              </w:rPr>
              <w:t>with Respect to the Obligations</w:t>
            </w:r>
          </w:p>
        </w:tc>
        <w:tc>
          <w:tcPr>
            <w:tcW w:w="540" w:type="dxa"/>
            <w:vAlign w:val="bottom"/>
            <w:gridSpan w:val="3"/>
          </w:tcPr>
          <w:p>
            <w:pPr>
              <w:jc w:val="right"/>
              <w:ind w:right="80"/>
              <w:spacing w:after="0" w:line="195" w:lineRule="exact"/>
              <w:rPr>
                <w:sz w:val="20"/>
                <w:szCs w:val="20"/>
                <w:color w:val="auto"/>
              </w:rPr>
            </w:pPr>
            <w:r>
              <w:rPr>
                <w:rFonts w:ascii="Arial" w:cs="Arial" w:eastAsia="Arial" w:hAnsi="Arial"/>
                <w:sz w:val="22"/>
                <w:szCs w:val="22"/>
                <w:color w:val="auto"/>
              </w:rPr>
              <w:t>142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gridSpan w:val="44"/>
          </w:tcPr>
          <w:p>
            <w:pPr>
              <w:spacing w:after="0" w:line="195" w:lineRule="exact"/>
              <w:rPr>
                <w:sz w:val="20"/>
                <w:szCs w:val="20"/>
                <w:color w:val="auto"/>
              </w:rPr>
            </w:pPr>
            <w:r>
              <w:rPr>
                <w:rFonts w:ascii="Arial" w:cs="Arial" w:eastAsia="Arial" w:hAnsi="Arial"/>
                <w:sz w:val="22"/>
                <w:szCs w:val="22"/>
                <w:color w:val="auto"/>
                <w:w w:val="90"/>
              </w:rPr>
              <w:t>SECTION 10.05 Guarantee Absolute and Unconditional</w:t>
            </w:r>
          </w:p>
        </w:tc>
        <w:tc>
          <w:tcPr>
            <w:tcW w:w="960" w:type="dxa"/>
            <w:vAlign w:val="bottom"/>
            <w:gridSpan w:val="5"/>
          </w:tcPr>
          <w:p>
            <w:pPr>
              <w:jc w:val="right"/>
              <w:ind w:right="420"/>
              <w:spacing w:after="0" w:line="195" w:lineRule="exact"/>
              <w:rPr>
                <w:sz w:val="20"/>
                <w:szCs w:val="20"/>
                <w:color w:val="auto"/>
              </w:rPr>
            </w:pPr>
            <w:r>
              <w:rPr>
                <w:rFonts w:ascii="Arial" w:cs="Arial" w:eastAsia="Arial" w:hAnsi="Arial"/>
                <w:sz w:val="22"/>
                <w:szCs w:val="22"/>
                <w:color w:val="auto"/>
              </w:rPr>
              <w:t>142</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gridSpan w:val="14"/>
          </w:tcPr>
          <w:p>
            <w:pPr>
              <w:spacing w:after="0" w:line="195" w:lineRule="exact"/>
              <w:rPr>
                <w:sz w:val="20"/>
                <w:szCs w:val="20"/>
                <w:color w:val="auto"/>
              </w:rPr>
            </w:pPr>
            <w:r>
              <w:rPr>
                <w:rFonts w:ascii="Arial" w:cs="Arial" w:eastAsia="Arial" w:hAnsi="Arial"/>
                <w:sz w:val="22"/>
                <w:szCs w:val="22"/>
                <w:color w:val="auto"/>
                <w:w w:val="88"/>
              </w:rPr>
              <w:t>SECTION 10.06 Reinstatement</w:t>
            </w:r>
          </w:p>
        </w:tc>
        <w:tc>
          <w:tcPr>
            <w:tcW w:w="200" w:type="dxa"/>
            <w:vAlign w:val="bottom"/>
            <w:tcBorders>
              <w:bottom w:val="single" w:sz="8" w:color="auto"/>
            </w:tcBorders>
            <w:gridSpan w:val="4"/>
          </w:tcPr>
          <w:p>
            <w:pPr>
              <w:spacing w:after="0"/>
              <w:rPr>
                <w:sz w:val="17"/>
                <w:szCs w:val="17"/>
                <w:color w:val="auto"/>
              </w:rPr>
            </w:pPr>
          </w:p>
        </w:tc>
        <w:tc>
          <w:tcPr>
            <w:tcW w:w="60" w:type="dxa"/>
            <w:vAlign w:val="bottom"/>
            <w:tcBorders>
              <w:bottom w:val="single" w:sz="8" w:color="auto"/>
            </w:tcBorders>
            <w:gridSpan w:val="3"/>
          </w:tcPr>
          <w:p>
            <w:pPr>
              <w:spacing w:after="0"/>
              <w:rPr>
                <w:sz w:val="17"/>
                <w:szCs w:val="17"/>
                <w:color w:val="auto"/>
              </w:rPr>
            </w:pPr>
          </w:p>
        </w:tc>
        <w:tc>
          <w:tcPr>
            <w:tcW w:w="340" w:type="dxa"/>
            <w:vAlign w:val="bottom"/>
            <w:gridSpan w:val="5"/>
          </w:tcPr>
          <w:p>
            <w:pPr>
              <w:jc w:val="center"/>
              <w:spacing w:after="0" w:line="195" w:lineRule="exact"/>
              <w:rPr>
                <w:sz w:val="20"/>
                <w:szCs w:val="20"/>
                <w:color w:val="auto"/>
              </w:rPr>
            </w:pPr>
            <w:r>
              <w:rPr>
                <w:rFonts w:ascii="Arial" w:cs="Arial" w:eastAsia="Arial" w:hAnsi="Arial"/>
                <w:sz w:val="22"/>
                <w:szCs w:val="22"/>
                <w:color w:val="auto"/>
                <w:w w:val="92"/>
              </w:rPr>
              <w:t>143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gridSpan w:val="14"/>
          </w:tcPr>
          <w:p>
            <w:pPr>
              <w:spacing w:after="0" w:line="195" w:lineRule="exact"/>
              <w:rPr>
                <w:sz w:val="20"/>
                <w:szCs w:val="20"/>
                <w:color w:val="auto"/>
              </w:rPr>
            </w:pPr>
            <w:r>
              <w:rPr>
                <w:rFonts w:ascii="Arial" w:cs="Arial" w:eastAsia="Arial" w:hAnsi="Arial"/>
                <w:sz w:val="22"/>
                <w:szCs w:val="22"/>
                <w:color w:val="auto"/>
                <w:w w:val="98"/>
              </w:rPr>
              <w:t>SECTION 10.07 Obligations</w:t>
            </w:r>
          </w:p>
        </w:tc>
        <w:tc>
          <w:tcPr>
            <w:tcW w:w="920" w:type="dxa"/>
            <w:vAlign w:val="bottom"/>
            <w:gridSpan w:val="17"/>
          </w:tcPr>
          <w:p>
            <w:pPr>
              <w:jc w:val="center"/>
              <w:ind w:right="20"/>
              <w:spacing w:after="0" w:line="195" w:lineRule="exact"/>
              <w:rPr>
                <w:sz w:val="20"/>
                <w:szCs w:val="20"/>
                <w:color w:val="auto"/>
              </w:rPr>
            </w:pPr>
            <w:r>
              <w:rPr>
                <w:rFonts w:ascii="Arial" w:cs="Arial" w:eastAsia="Arial" w:hAnsi="Arial"/>
                <w:sz w:val="22"/>
                <w:szCs w:val="22"/>
                <w:color w:val="auto"/>
                <w:w w:val="73"/>
              </w:rPr>
              <w:t>Independent</w:t>
            </w:r>
          </w:p>
        </w:tc>
        <w:tc>
          <w:tcPr>
            <w:tcW w:w="1060" w:type="dxa"/>
            <w:vAlign w:val="bottom"/>
            <w:gridSpan w:val="9"/>
          </w:tcPr>
          <w:p>
            <w:pPr>
              <w:jc w:val="right"/>
              <w:ind w:right="500"/>
              <w:spacing w:after="0" w:line="195" w:lineRule="exact"/>
              <w:rPr>
                <w:sz w:val="20"/>
                <w:szCs w:val="20"/>
                <w:color w:val="auto"/>
              </w:rPr>
            </w:pPr>
            <w:r>
              <w:rPr>
                <w:rFonts w:ascii="Arial" w:cs="Arial" w:eastAsia="Arial" w:hAnsi="Arial"/>
                <w:sz w:val="22"/>
                <w:szCs w:val="22"/>
                <w:color w:val="auto"/>
              </w:rPr>
              <w:t>143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gridSpan w:val="9"/>
          </w:tcPr>
          <w:p>
            <w:pPr>
              <w:spacing w:after="0" w:line="195" w:lineRule="exact"/>
              <w:rPr>
                <w:sz w:val="20"/>
                <w:szCs w:val="20"/>
                <w:color w:val="auto"/>
              </w:rPr>
            </w:pPr>
            <w:r>
              <w:rPr>
                <w:rFonts w:ascii="Arial" w:cs="Arial" w:eastAsia="Arial" w:hAnsi="Arial"/>
                <w:sz w:val="22"/>
                <w:szCs w:val="22"/>
                <w:color w:val="auto"/>
                <w:w w:val="93"/>
              </w:rPr>
              <w:t>SECTION 10.08 Payments</w:t>
            </w:r>
          </w:p>
        </w:tc>
        <w:tc>
          <w:tcPr>
            <w:tcW w:w="460" w:type="dxa"/>
            <w:vAlign w:val="bottom"/>
            <w:gridSpan w:val="9"/>
          </w:tcPr>
          <w:p>
            <w:pPr>
              <w:ind w:left="140"/>
              <w:spacing w:after="0" w:line="195" w:lineRule="exact"/>
              <w:rPr>
                <w:sz w:val="20"/>
                <w:szCs w:val="20"/>
                <w:color w:val="auto"/>
              </w:rPr>
            </w:pPr>
            <w:r>
              <w:rPr>
                <w:rFonts w:ascii="Arial" w:cs="Arial" w:eastAsia="Arial" w:hAnsi="Arial"/>
                <w:sz w:val="22"/>
                <w:szCs w:val="22"/>
                <w:color w:val="auto"/>
                <w:w w:val="81"/>
              </w:rPr>
              <w:t>143</w:t>
            </w:r>
          </w:p>
        </w:tc>
        <w:tc>
          <w:tcPr>
            <w:tcW w:w="420" w:type="dxa"/>
            <w:vAlign w:val="bottom"/>
            <w:gridSpan w:val="9"/>
            <w:vMerge w:val="restart"/>
          </w:tcPr>
          <w:p>
            <w:pPr>
              <w:jc w:val="center"/>
              <w:spacing w:after="0"/>
              <w:rPr>
                <w:sz w:val="20"/>
                <w:szCs w:val="20"/>
                <w:color w:val="auto"/>
              </w:rPr>
            </w:pPr>
            <w:r>
              <w:rPr>
                <w:rFonts w:ascii="Arial" w:cs="Arial" w:eastAsia="Arial" w:hAnsi="Arial"/>
                <w:sz w:val="22"/>
                <w:szCs w:val="22"/>
                <w:color w:val="auto"/>
                <w:w w:val="87"/>
              </w:rPr>
              <w:t>144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gridSpan w:val="5"/>
          </w:tcPr>
          <w:p>
            <w:pPr>
              <w:spacing w:after="0" w:line="20" w:lineRule="exact"/>
              <w:rPr>
                <w:sz w:val="1"/>
                <w:szCs w:val="1"/>
                <w:color w:val="auto"/>
              </w:rPr>
            </w:pPr>
          </w:p>
        </w:tc>
        <w:tc>
          <w:tcPr>
            <w:tcW w:w="280" w:type="dxa"/>
            <w:vAlign w:val="bottom"/>
            <w:gridSpan w:val="6"/>
            <w:shd w:val="clear" w:color="auto" w:fill="000000"/>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420" w:type="dxa"/>
            <w:vAlign w:val="bottom"/>
            <w:gridSpan w:val="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gridSpan w:val="11"/>
          </w:tcPr>
          <w:p>
            <w:pPr>
              <w:ind w:left="40"/>
              <w:spacing w:after="0" w:line="195" w:lineRule="exact"/>
              <w:rPr>
                <w:sz w:val="20"/>
                <w:szCs w:val="20"/>
                <w:color w:val="auto"/>
              </w:rPr>
            </w:pPr>
            <w:r>
              <w:rPr>
                <w:rFonts w:ascii="Arial" w:cs="Arial" w:eastAsia="Arial" w:hAnsi="Arial"/>
                <w:sz w:val="22"/>
                <w:szCs w:val="22"/>
                <w:color w:val="auto"/>
                <w:w w:val="84"/>
              </w:rPr>
              <w:t>SECTION 10.09 Subordination</w:t>
            </w:r>
          </w:p>
        </w:tc>
        <w:tc>
          <w:tcPr>
            <w:tcW w:w="160" w:type="dxa"/>
            <w:vAlign w:val="bottom"/>
            <w:gridSpan w:val="4"/>
            <w:vMerge w:val="continue"/>
          </w:tcPr>
          <w:p>
            <w:pPr>
              <w:spacing w:after="0"/>
              <w:rPr>
                <w:sz w:val="17"/>
                <w:szCs w:val="17"/>
                <w:color w:val="auto"/>
              </w:rPr>
            </w:pPr>
          </w:p>
        </w:tc>
        <w:tc>
          <w:tcPr>
            <w:tcW w:w="160" w:type="dxa"/>
            <w:vAlign w:val="bottom"/>
            <w:gridSpan w:val="3"/>
            <w:vMerge w:val="continue"/>
          </w:tcPr>
          <w:p>
            <w:pPr>
              <w:spacing w:after="0"/>
              <w:rPr>
                <w:sz w:val="17"/>
                <w:szCs w:val="17"/>
                <w:color w:val="auto"/>
              </w:rPr>
            </w:pPr>
          </w:p>
        </w:tc>
        <w:tc>
          <w:tcPr>
            <w:tcW w:w="420" w:type="dxa"/>
            <w:vAlign w:val="bottom"/>
            <w:gridSpan w:val="9"/>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Borders>
              <w:right w:val="single" w:sz="8" w:color="auto"/>
            </w:tcBorders>
            <w:gridSpan w:val="15"/>
          </w:tcPr>
          <w:p>
            <w:pPr>
              <w:spacing w:after="0" w:line="20" w:lineRule="exact"/>
              <w:rPr>
                <w:sz w:val="1"/>
                <w:szCs w:val="1"/>
                <w:color w:val="auto"/>
              </w:rPr>
            </w:pPr>
          </w:p>
        </w:tc>
        <w:tc>
          <w:tcPr>
            <w:tcW w:w="260" w:type="dxa"/>
            <w:vAlign w:val="bottom"/>
            <w:tcBorders>
              <w:right w:val="single" w:sz="8" w:color="auto"/>
            </w:tcBorders>
            <w:gridSpan w:val="7"/>
            <w:shd w:val="clear" w:color="auto" w:fill="000000"/>
          </w:tcPr>
          <w:p>
            <w:pPr>
              <w:spacing w:after="0" w:line="20" w:lineRule="exact"/>
              <w:rPr>
                <w:sz w:val="1"/>
                <w:szCs w:val="1"/>
                <w:color w:val="auto"/>
              </w:rPr>
            </w:pPr>
          </w:p>
        </w:tc>
        <w:tc>
          <w:tcPr>
            <w:tcW w:w="5620" w:type="dxa"/>
            <w:vAlign w:val="bottom"/>
            <w:gridSpan w:val="3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479"/>
          </w:cols>
          <w:pgMar w:left="980" w:top="1426" w:right="1440" w:bottom="1440" w:gutter="0" w:footer="0" w:header="0"/>
        </w:sectPr>
      </w:pPr>
    </w:p>
    <w:bookmarkStart w:id="99" w:name="page100"/>
    <w:bookmarkEnd w:id="99"/>
    <w:p>
      <w:pPr>
        <w:ind w:left="40"/>
        <w:spacing w:after="0"/>
        <w:tabs>
          <w:tab w:leader="none" w:pos="3560" w:val="left"/>
        </w:tabs>
        <w:rPr>
          <w:sz w:val="20"/>
          <w:szCs w:val="20"/>
          <w:color w:val="auto"/>
        </w:rPr>
      </w:pPr>
      <w:r>
        <w:rPr>
          <w:rFonts w:ascii="Arial" w:cs="Arial" w:eastAsia="Arial" w:hAnsi="Arial"/>
          <w:sz w:val="22"/>
          <w:szCs w:val="22"/>
          <w:color w:val="auto"/>
        </w:rPr>
        <w:t>SECTION 10.10 Stay of Acceleration</w:t>
      </w:r>
      <w:r>
        <w:rPr>
          <w:sz w:val="20"/>
          <w:szCs w:val="20"/>
          <w:color w:val="auto"/>
        </w:rPr>
        <w:tab/>
      </w:r>
      <w:r>
        <w:rPr>
          <w:rFonts w:ascii="Arial" w:cs="Arial" w:eastAsia="Arial" w:hAnsi="Arial"/>
          <w:sz w:val="18"/>
          <w:szCs w:val="18"/>
          <w:color w:val="auto"/>
        </w:rPr>
        <w:t>144</w:t>
      </w:r>
    </w:p>
    <w:tbl>
      <w:tblPr>
        <w:tblLayout w:type="fixed"/>
        <w:tblInd w:w="0" w:type="dxa"/>
        <w:tblCellMar>
          <w:top w:w="0" w:type="dxa"/>
          <w:left w:w="0" w:type="dxa"/>
          <w:bottom w:w="0" w:type="dxa"/>
          <w:right w:w="0" w:type="dxa"/>
        </w:tblCellMar>
      </w:tblPr>
      <w:tr>
        <w:trPr>
          <w:trHeight w:val="196"/>
        </w:trPr>
        <w:tc>
          <w:tcPr>
            <w:tcW w:w="3320" w:type="dxa"/>
            <w:vAlign w:val="bottom"/>
            <w:gridSpan w:val="7"/>
          </w:tcPr>
          <w:p>
            <w:pPr>
              <w:spacing w:after="0" w:line="195" w:lineRule="exact"/>
              <w:rPr>
                <w:sz w:val="20"/>
                <w:szCs w:val="20"/>
                <w:color w:val="auto"/>
              </w:rPr>
            </w:pPr>
            <w:r>
              <w:rPr>
                <w:rFonts w:ascii="Arial" w:cs="Arial" w:eastAsia="Arial" w:hAnsi="Arial"/>
                <w:sz w:val="22"/>
                <w:szCs w:val="22"/>
                <w:color w:val="auto"/>
                <w:w w:val="87"/>
              </w:rPr>
              <w:t>SECTION 10.11 Condition of Borrower</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60" w:type="dxa"/>
            <w:vAlign w:val="bottom"/>
            <w:gridSpan w:val="2"/>
          </w:tcPr>
          <w:p>
            <w:pPr>
              <w:jc w:val="right"/>
              <w:ind w:right="6140"/>
              <w:spacing w:after="0" w:line="195" w:lineRule="exact"/>
              <w:rPr>
                <w:sz w:val="20"/>
                <w:szCs w:val="20"/>
                <w:color w:val="auto"/>
              </w:rPr>
            </w:pPr>
            <w:r>
              <w:rPr>
                <w:rFonts w:ascii="Arial" w:cs="Arial" w:eastAsia="Arial" w:hAnsi="Arial"/>
                <w:sz w:val="22"/>
                <w:szCs w:val="22"/>
                <w:color w:val="auto"/>
                <w:w w:val="81"/>
              </w:rPr>
              <w:t>144</w:t>
            </w:r>
          </w:p>
        </w:tc>
        <w:tc>
          <w:tcPr>
            <w:tcW w:w="0" w:type="dxa"/>
            <w:vAlign w:val="bottom"/>
          </w:tcPr>
          <w:p>
            <w:pPr>
              <w:spacing w:after="0"/>
              <w:rPr>
                <w:sz w:val="1"/>
                <w:szCs w:val="1"/>
                <w:color w:val="auto"/>
              </w:rPr>
            </w:pPr>
          </w:p>
        </w:tc>
      </w:tr>
      <w:tr>
        <w:trPr>
          <w:trHeight w:val="196"/>
        </w:trPr>
        <w:tc>
          <w:tcPr>
            <w:tcW w:w="3480" w:type="dxa"/>
            <w:vAlign w:val="bottom"/>
            <w:gridSpan w:val="8"/>
          </w:tcPr>
          <w:p>
            <w:pPr>
              <w:spacing w:after="0" w:line="195" w:lineRule="exact"/>
              <w:rPr>
                <w:sz w:val="20"/>
                <w:szCs w:val="20"/>
                <w:color w:val="auto"/>
              </w:rPr>
            </w:pPr>
            <w:r>
              <w:rPr>
                <w:rFonts w:ascii="Arial" w:cs="Arial" w:eastAsia="Arial" w:hAnsi="Arial"/>
                <w:sz w:val="22"/>
                <w:szCs w:val="22"/>
                <w:color w:val="auto"/>
              </w:rPr>
              <w:t>SECTION 10.12 Releases   144</w:t>
            </w:r>
          </w:p>
        </w:tc>
        <w:tc>
          <w:tcPr>
            <w:tcW w:w="2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gridSpan w:val="5"/>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10200" w:type="dxa"/>
            <w:vAlign w:val="bottom"/>
            <w:gridSpan w:val="13"/>
          </w:tcPr>
          <w:p>
            <w:pPr>
              <w:ind w:left="40"/>
              <w:spacing w:after="0"/>
              <w:rPr>
                <w:sz w:val="20"/>
                <w:szCs w:val="20"/>
                <w:color w:val="auto"/>
              </w:rPr>
            </w:pPr>
            <w:r>
              <w:rPr>
                <w:rFonts w:ascii="Arial" w:cs="Arial" w:eastAsia="Arial" w:hAnsi="Arial"/>
                <w:sz w:val="22"/>
                <w:szCs w:val="22"/>
                <w:color w:val="auto"/>
              </w:rPr>
              <w:t>ARTICLE XI Certain ERISA Matters____________________________________________  145</w:t>
            </w:r>
          </w:p>
        </w:tc>
        <w:tc>
          <w:tcPr>
            <w:tcW w:w="0" w:type="dxa"/>
            <w:vAlign w:val="bottom"/>
          </w:tcPr>
          <w:p>
            <w:pPr>
              <w:spacing w:after="0"/>
              <w:rPr>
                <w:sz w:val="1"/>
                <w:szCs w:val="1"/>
                <w:color w:val="auto"/>
              </w:rPr>
            </w:pPr>
          </w:p>
        </w:tc>
      </w:tr>
      <w:tr>
        <w:trPr>
          <w:trHeight w:val="422"/>
        </w:trPr>
        <w:tc>
          <w:tcPr>
            <w:tcW w:w="1620" w:type="dxa"/>
            <w:vAlign w:val="bottom"/>
            <w:gridSpan w:val="3"/>
          </w:tcPr>
          <w:p>
            <w:pPr>
              <w:ind w:left="40"/>
              <w:spacing w:after="0"/>
              <w:rPr>
                <w:sz w:val="20"/>
                <w:szCs w:val="20"/>
                <w:color w:val="auto"/>
              </w:rPr>
            </w:pPr>
            <w:r>
              <w:rPr>
                <w:rFonts w:ascii="Arial" w:cs="Arial" w:eastAsia="Arial" w:hAnsi="Arial"/>
                <w:sz w:val="22"/>
                <w:szCs w:val="22"/>
                <w:color w:val="auto"/>
                <w:w w:val="98"/>
              </w:rPr>
              <w:t>SECTION 11.01</w:t>
            </w:r>
          </w:p>
        </w:tc>
        <w:tc>
          <w:tcPr>
            <w:tcW w:w="2120" w:type="dxa"/>
            <w:vAlign w:val="bottom"/>
            <w:gridSpan w:val="8"/>
          </w:tcPr>
          <w:p>
            <w:pPr>
              <w:ind w:left="80"/>
              <w:spacing w:after="0"/>
              <w:rPr>
                <w:sz w:val="20"/>
                <w:szCs w:val="20"/>
                <w:color w:val="auto"/>
              </w:rPr>
            </w:pPr>
            <w:r>
              <w:rPr>
                <w:rFonts w:ascii="Arial" w:cs="Arial" w:eastAsia="Arial" w:hAnsi="Arial"/>
                <w:sz w:val="22"/>
                <w:szCs w:val="22"/>
                <w:color w:val="auto"/>
                <w:w w:val="90"/>
              </w:rPr>
              <w:t>Certain ERISA Matters</w:t>
            </w:r>
          </w:p>
        </w:tc>
        <w:tc>
          <w:tcPr>
            <w:tcW w:w="6460" w:type="dxa"/>
            <w:vAlign w:val="bottom"/>
            <w:gridSpan w:val="2"/>
          </w:tcPr>
          <w:p>
            <w:pPr>
              <w:jc w:val="right"/>
              <w:ind w:right="5880"/>
              <w:spacing w:after="0"/>
              <w:rPr>
                <w:sz w:val="20"/>
                <w:szCs w:val="20"/>
                <w:color w:val="auto"/>
              </w:rPr>
            </w:pPr>
            <w:r>
              <w:rPr>
                <w:rFonts w:ascii="Arial" w:cs="Arial" w:eastAsia="Arial" w:hAnsi="Arial"/>
                <w:sz w:val="22"/>
                <w:szCs w:val="22"/>
                <w:color w:val="auto"/>
              </w:rPr>
              <w:t>145</w:t>
            </w:r>
          </w:p>
        </w:tc>
        <w:tc>
          <w:tcPr>
            <w:tcW w:w="0" w:type="dxa"/>
            <w:vAlign w:val="bottom"/>
          </w:tcPr>
          <w:p>
            <w:pPr>
              <w:spacing w:after="0"/>
              <w:rPr>
                <w:sz w:val="1"/>
                <w:szCs w:val="1"/>
                <w:color w:val="auto"/>
              </w:rPr>
            </w:pPr>
          </w:p>
        </w:tc>
      </w:tr>
      <w:tr>
        <w:trPr>
          <w:trHeight w:val="713"/>
        </w:trPr>
        <w:tc>
          <w:tcPr>
            <w:tcW w:w="1260" w:type="dxa"/>
            <w:vAlign w:val="bottom"/>
            <w:gridSpan w:val="2"/>
          </w:tcPr>
          <w:p>
            <w:pPr>
              <w:ind w:left="40"/>
              <w:spacing w:after="0"/>
              <w:rPr>
                <w:sz w:val="20"/>
                <w:szCs w:val="20"/>
                <w:color w:val="auto"/>
              </w:rPr>
            </w:pPr>
            <w:r>
              <w:rPr>
                <w:rFonts w:ascii="Arial" w:cs="Arial" w:eastAsia="Arial" w:hAnsi="Arial"/>
                <w:sz w:val="20"/>
                <w:szCs w:val="20"/>
                <w:color w:val="auto"/>
                <w:w w:val="93"/>
              </w:rPr>
              <w:t>SCHEDULES: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260" w:type="dxa"/>
            <w:vAlign w:val="bottom"/>
            <w:gridSpan w:val="2"/>
          </w:tcPr>
          <w:p>
            <w:pPr>
              <w:ind w:left="40"/>
              <w:spacing w:after="0"/>
              <w:rPr>
                <w:sz w:val="20"/>
                <w:szCs w:val="20"/>
                <w:color w:val="auto"/>
              </w:rPr>
            </w:pPr>
            <w:r>
              <w:rPr>
                <w:rFonts w:ascii="Arial" w:cs="Arial" w:eastAsia="Arial" w:hAnsi="Arial"/>
                <w:sz w:val="22"/>
                <w:szCs w:val="22"/>
                <w:color w:val="auto"/>
                <w:w w:val="85"/>
              </w:rPr>
              <w:t>Schedule 2.01</w:t>
            </w:r>
          </w:p>
        </w:tc>
        <w:tc>
          <w:tcPr>
            <w:tcW w:w="360" w:type="dxa"/>
            <w:vAlign w:val="bottom"/>
          </w:tcPr>
          <w:p>
            <w:pPr>
              <w:ind w:left="220"/>
              <w:spacing w:after="0"/>
              <w:rPr>
                <w:sz w:val="20"/>
                <w:szCs w:val="20"/>
                <w:color w:val="auto"/>
              </w:rPr>
            </w:pPr>
            <w:r>
              <w:rPr>
                <w:rFonts w:ascii="Arial" w:cs="Arial" w:eastAsia="Arial" w:hAnsi="Arial"/>
                <w:sz w:val="22"/>
                <w:szCs w:val="22"/>
                <w:color w:val="auto"/>
                <w:w w:val="97"/>
              </w:rPr>
              <w:t>–</w:t>
            </w:r>
          </w:p>
        </w:tc>
        <w:tc>
          <w:tcPr>
            <w:tcW w:w="180" w:type="dxa"/>
            <w:vAlign w:val="bottom"/>
          </w:tcPr>
          <w:p>
            <w:pPr>
              <w:spacing w:after="0"/>
              <w:rPr>
                <w:sz w:val="24"/>
                <w:szCs w:val="24"/>
                <w:color w:val="auto"/>
              </w:rPr>
            </w:pPr>
          </w:p>
        </w:tc>
        <w:tc>
          <w:tcPr>
            <w:tcW w:w="1940" w:type="dxa"/>
            <w:vAlign w:val="bottom"/>
            <w:gridSpan w:val="7"/>
          </w:tcPr>
          <w:p>
            <w:pPr>
              <w:spacing w:after="0"/>
              <w:rPr>
                <w:sz w:val="20"/>
                <w:szCs w:val="20"/>
                <w:color w:val="auto"/>
              </w:rPr>
            </w:pPr>
            <w:r>
              <w:rPr>
                <w:rFonts w:ascii="Arial" w:cs="Arial" w:eastAsia="Arial" w:hAnsi="Arial"/>
                <w:sz w:val="22"/>
                <w:szCs w:val="22"/>
                <w:color w:val="auto"/>
              </w:rPr>
              <w:t>Commitments</w:t>
            </w:r>
          </w:p>
        </w:tc>
        <w:tc>
          <w:tcPr>
            <w:tcW w:w="2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2.03</w:t>
            </w:r>
          </w:p>
        </w:tc>
        <w:tc>
          <w:tcPr>
            <w:tcW w:w="360" w:type="dxa"/>
            <w:vAlign w:val="bottom"/>
          </w:tcPr>
          <w:p>
            <w:pPr>
              <w:ind w:left="180"/>
              <w:spacing w:after="0" w:line="216" w:lineRule="exact"/>
              <w:rPr>
                <w:sz w:val="20"/>
                <w:szCs w:val="20"/>
                <w:color w:val="auto"/>
              </w:rPr>
            </w:pPr>
            <w:r>
              <w:rPr>
                <w:rFonts w:ascii="Arial" w:cs="Arial" w:eastAsia="Arial" w:hAnsi="Arial"/>
                <w:sz w:val="22"/>
                <w:szCs w:val="22"/>
                <w:color w:val="auto"/>
              </w:rPr>
              <w:t>–</w:t>
            </w:r>
          </w:p>
        </w:tc>
        <w:tc>
          <w:tcPr>
            <w:tcW w:w="2120" w:type="dxa"/>
            <w:vAlign w:val="bottom"/>
            <w:gridSpan w:val="8"/>
          </w:tcPr>
          <w:p>
            <w:pPr>
              <w:ind w:left="140"/>
              <w:spacing w:after="0" w:line="216" w:lineRule="exact"/>
              <w:rPr>
                <w:sz w:val="20"/>
                <w:szCs w:val="20"/>
                <w:color w:val="auto"/>
              </w:rPr>
            </w:pPr>
            <w:r>
              <w:rPr>
                <w:rFonts w:ascii="Arial" w:cs="Arial" w:eastAsia="Arial" w:hAnsi="Arial"/>
                <w:sz w:val="22"/>
                <w:szCs w:val="22"/>
                <w:color w:val="auto"/>
              </w:rPr>
              <w:t>Specified Litigation</w:t>
            </w:r>
          </w:p>
        </w:tc>
        <w:tc>
          <w:tcPr>
            <w:tcW w:w="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85"/>
              </w:rPr>
              <w:t>Schedule 2.05</w:t>
            </w:r>
          </w:p>
        </w:tc>
        <w:tc>
          <w:tcPr>
            <w:tcW w:w="8940" w:type="dxa"/>
            <w:vAlign w:val="bottom"/>
            <w:gridSpan w:val="11"/>
          </w:tcPr>
          <w:p>
            <w:pPr>
              <w:ind w:left="220"/>
              <w:spacing w:after="0" w:line="216" w:lineRule="exact"/>
              <w:rPr>
                <w:sz w:val="20"/>
                <w:szCs w:val="20"/>
                <w:color w:val="auto"/>
              </w:rPr>
            </w:pPr>
            <w:r>
              <w:rPr>
                <w:rFonts w:ascii="Arial" w:cs="Arial" w:eastAsia="Arial" w:hAnsi="Arial"/>
                <w:sz w:val="22"/>
                <w:szCs w:val="22"/>
                <w:color w:val="auto"/>
              </w:rPr>
              <w:t>–  Existing Letters of Credit</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3.01</w:t>
            </w:r>
          </w:p>
        </w:tc>
        <w:tc>
          <w:tcPr>
            <w:tcW w:w="360" w:type="dxa"/>
            <w:vAlign w:val="bottom"/>
          </w:tcPr>
          <w:p>
            <w:pPr>
              <w:ind w:left="180"/>
              <w:spacing w:after="0" w:line="216" w:lineRule="exact"/>
              <w:rPr>
                <w:sz w:val="20"/>
                <w:szCs w:val="20"/>
                <w:color w:val="auto"/>
              </w:rPr>
            </w:pPr>
            <w:r>
              <w:rPr>
                <w:rFonts w:ascii="Arial" w:cs="Arial" w:eastAsia="Arial" w:hAnsi="Arial"/>
                <w:sz w:val="22"/>
                <w:szCs w:val="22"/>
                <w:color w:val="auto"/>
              </w:rPr>
              <w:t>–</w:t>
            </w:r>
          </w:p>
        </w:tc>
        <w:tc>
          <w:tcPr>
            <w:tcW w:w="8580" w:type="dxa"/>
            <w:vAlign w:val="bottom"/>
            <w:gridSpan w:val="10"/>
          </w:tcPr>
          <w:p>
            <w:pPr>
              <w:ind w:left="140"/>
              <w:spacing w:after="0" w:line="216" w:lineRule="exact"/>
              <w:rPr>
                <w:sz w:val="20"/>
                <w:szCs w:val="20"/>
                <w:color w:val="auto"/>
              </w:rPr>
            </w:pPr>
            <w:r>
              <w:rPr>
                <w:rFonts w:ascii="Arial" w:cs="Arial" w:eastAsia="Arial" w:hAnsi="Arial"/>
                <w:sz w:val="22"/>
                <w:szCs w:val="22"/>
                <w:color w:val="auto"/>
              </w:rPr>
              <w:t>Material Subsidiary Stocks</w:t>
            </w:r>
          </w:p>
        </w:tc>
        <w:tc>
          <w:tcPr>
            <w:tcW w:w="0" w:type="dxa"/>
            <w:vAlign w:val="bottom"/>
          </w:tcPr>
          <w:p>
            <w:pPr>
              <w:spacing w:after="0"/>
              <w:rPr>
                <w:sz w:val="1"/>
                <w:szCs w:val="1"/>
                <w:color w:val="auto"/>
              </w:rPr>
            </w:pPr>
          </w:p>
        </w:tc>
      </w:tr>
      <w:tr>
        <w:trPr>
          <w:trHeight w:val="216"/>
        </w:trPr>
        <w:tc>
          <w:tcPr>
            <w:tcW w:w="1620" w:type="dxa"/>
            <w:vAlign w:val="bottom"/>
            <w:gridSpan w:val="3"/>
          </w:tcPr>
          <w:p>
            <w:pPr>
              <w:spacing w:after="0" w:line="216" w:lineRule="exact"/>
              <w:rPr>
                <w:sz w:val="20"/>
                <w:szCs w:val="20"/>
                <w:color w:val="auto"/>
              </w:rPr>
            </w:pPr>
            <w:r>
              <w:rPr>
                <w:rFonts w:ascii="Arial" w:cs="Arial" w:eastAsia="Arial" w:hAnsi="Arial"/>
                <w:sz w:val="22"/>
                <w:szCs w:val="22"/>
                <w:color w:val="auto"/>
                <w:w w:val="95"/>
              </w:rPr>
              <w:t>Schedule 3.04(b)</w:t>
            </w:r>
          </w:p>
        </w:tc>
        <w:tc>
          <w:tcPr>
            <w:tcW w:w="180" w:type="dxa"/>
            <w:vAlign w:val="bottom"/>
          </w:tcPr>
          <w:p>
            <w:pPr>
              <w:ind w:left="60"/>
              <w:spacing w:after="0" w:line="216" w:lineRule="exact"/>
              <w:rPr>
                <w:sz w:val="20"/>
                <w:szCs w:val="20"/>
                <w:color w:val="auto"/>
              </w:rPr>
            </w:pPr>
            <w:r>
              <w:rPr>
                <w:rFonts w:ascii="Arial" w:cs="Arial" w:eastAsia="Arial" w:hAnsi="Arial"/>
                <w:sz w:val="22"/>
                <w:szCs w:val="22"/>
                <w:color w:val="auto"/>
                <w:w w:val="81"/>
              </w:rPr>
              <w:t>–</w:t>
            </w:r>
          </w:p>
        </w:tc>
        <w:tc>
          <w:tcPr>
            <w:tcW w:w="8400" w:type="dxa"/>
            <w:vAlign w:val="bottom"/>
            <w:gridSpan w:val="9"/>
          </w:tcPr>
          <w:p>
            <w:pPr>
              <w:jc w:val="right"/>
              <w:ind w:right="5880"/>
              <w:spacing w:after="0" w:line="216" w:lineRule="exact"/>
              <w:rPr>
                <w:sz w:val="20"/>
                <w:szCs w:val="20"/>
                <w:color w:val="auto"/>
              </w:rPr>
            </w:pPr>
            <w:r>
              <w:rPr>
                <w:rFonts w:ascii="Arial" w:cs="Arial" w:eastAsia="Arial" w:hAnsi="Arial"/>
                <w:sz w:val="22"/>
                <w:szCs w:val="22"/>
                <w:color w:val="auto"/>
                <w:w w:val="96"/>
              </w:rPr>
              <w:t>Material Adverse Changes</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3.06</w:t>
            </w:r>
          </w:p>
        </w:tc>
        <w:tc>
          <w:tcPr>
            <w:tcW w:w="360" w:type="dxa"/>
            <w:vAlign w:val="bottom"/>
          </w:tcPr>
          <w:p>
            <w:pPr>
              <w:ind w:left="180"/>
              <w:spacing w:after="0" w:line="216" w:lineRule="exact"/>
              <w:rPr>
                <w:sz w:val="20"/>
                <w:szCs w:val="20"/>
                <w:color w:val="auto"/>
              </w:rPr>
            </w:pPr>
            <w:r>
              <w:rPr>
                <w:rFonts w:ascii="Arial" w:cs="Arial" w:eastAsia="Arial" w:hAnsi="Arial"/>
                <w:sz w:val="22"/>
                <w:szCs w:val="22"/>
                <w:color w:val="auto"/>
              </w:rPr>
              <w:t>–</w:t>
            </w:r>
          </w:p>
        </w:tc>
        <w:tc>
          <w:tcPr>
            <w:tcW w:w="2120" w:type="dxa"/>
            <w:vAlign w:val="bottom"/>
            <w:gridSpan w:val="8"/>
          </w:tcPr>
          <w:p>
            <w:pPr>
              <w:ind w:left="140"/>
              <w:spacing w:after="0" w:line="216" w:lineRule="exact"/>
              <w:rPr>
                <w:sz w:val="20"/>
                <w:szCs w:val="20"/>
                <w:color w:val="auto"/>
              </w:rPr>
            </w:pPr>
            <w:r>
              <w:rPr>
                <w:rFonts w:ascii="Arial" w:cs="Arial" w:eastAsia="Arial" w:hAnsi="Arial"/>
                <w:sz w:val="22"/>
                <w:szCs w:val="22"/>
                <w:color w:val="auto"/>
              </w:rPr>
              <w:t>Disclosed Matters</w:t>
            </w:r>
          </w:p>
        </w:tc>
        <w:tc>
          <w:tcPr>
            <w:tcW w:w="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85"/>
              </w:rPr>
              <w:t>Schedule 3.07</w:t>
            </w:r>
          </w:p>
        </w:tc>
        <w:tc>
          <w:tcPr>
            <w:tcW w:w="8940" w:type="dxa"/>
            <w:vAlign w:val="bottom"/>
            <w:gridSpan w:val="11"/>
          </w:tcPr>
          <w:p>
            <w:pPr>
              <w:ind w:left="220"/>
              <w:spacing w:after="0" w:line="216" w:lineRule="exact"/>
              <w:rPr>
                <w:sz w:val="20"/>
                <w:szCs w:val="20"/>
                <w:color w:val="auto"/>
              </w:rPr>
            </w:pPr>
            <w:r>
              <w:rPr>
                <w:rFonts w:ascii="Arial" w:cs="Arial" w:eastAsia="Arial" w:hAnsi="Arial"/>
                <w:sz w:val="22"/>
                <w:szCs w:val="22"/>
                <w:color w:val="auto"/>
              </w:rPr>
              <w:t>–  Compliance with Laws and Agreements</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6.01</w:t>
            </w:r>
          </w:p>
        </w:tc>
        <w:tc>
          <w:tcPr>
            <w:tcW w:w="360" w:type="dxa"/>
            <w:vAlign w:val="bottom"/>
          </w:tcPr>
          <w:p>
            <w:pPr>
              <w:ind w:left="180"/>
              <w:spacing w:after="0" w:line="216" w:lineRule="exact"/>
              <w:rPr>
                <w:sz w:val="20"/>
                <w:szCs w:val="20"/>
                <w:color w:val="auto"/>
              </w:rPr>
            </w:pPr>
            <w:r>
              <w:rPr>
                <w:rFonts w:ascii="Arial" w:cs="Arial" w:eastAsia="Arial" w:hAnsi="Arial"/>
                <w:sz w:val="22"/>
                <w:szCs w:val="22"/>
                <w:color w:val="auto"/>
              </w:rPr>
              <w:t>–</w:t>
            </w:r>
          </w:p>
        </w:tc>
        <w:tc>
          <w:tcPr>
            <w:tcW w:w="212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1"/>
              </w:rPr>
              <w:t>Existing Indebtedness</w:t>
            </w:r>
          </w:p>
        </w:tc>
        <w:tc>
          <w:tcPr>
            <w:tcW w:w="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6.02</w:t>
            </w:r>
          </w:p>
        </w:tc>
        <w:tc>
          <w:tcPr>
            <w:tcW w:w="360" w:type="dxa"/>
            <w:vAlign w:val="bottom"/>
          </w:tcPr>
          <w:p>
            <w:pPr>
              <w:ind w:left="180"/>
              <w:spacing w:after="0" w:line="216" w:lineRule="exact"/>
              <w:rPr>
                <w:sz w:val="20"/>
                <w:szCs w:val="20"/>
                <w:color w:val="auto"/>
              </w:rPr>
            </w:pPr>
            <w:r>
              <w:rPr>
                <w:rFonts w:ascii="Arial" w:cs="Arial" w:eastAsia="Arial" w:hAnsi="Arial"/>
                <w:sz w:val="22"/>
                <w:szCs w:val="22"/>
                <w:color w:val="auto"/>
              </w:rPr>
              <w:t>–</w:t>
            </w:r>
          </w:p>
        </w:tc>
        <w:tc>
          <w:tcPr>
            <w:tcW w:w="2120" w:type="dxa"/>
            <w:vAlign w:val="bottom"/>
            <w:gridSpan w:val="8"/>
          </w:tcPr>
          <w:p>
            <w:pPr>
              <w:ind w:left="140"/>
              <w:spacing w:after="0" w:line="216" w:lineRule="exact"/>
              <w:rPr>
                <w:sz w:val="20"/>
                <w:szCs w:val="20"/>
                <w:color w:val="auto"/>
              </w:rPr>
            </w:pPr>
            <w:r>
              <w:rPr>
                <w:rFonts w:ascii="Arial" w:cs="Arial" w:eastAsia="Arial" w:hAnsi="Arial"/>
                <w:sz w:val="22"/>
                <w:szCs w:val="22"/>
                <w:color w:val="auto"/>
              </w:rPr>
              <w:t>Existing Liens</w:t>
            </w:r>
          </w:p>
        </w:tc>
        <w:tc>
          <w:tcPr>
            <w:tcW w:w="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6.04</w:t>
            </w:r>
          </w:p>
        </w:tc>
        <w:tc>
          <w:tcPr>
            <w:tcW w:w="360" w:type="dxa"/>
            <w:vAlign w:val="bottom"/>
          </w:tcPr>
          <w:p>
            <w:pPr>
              <w:ind w:left="180"/>
              <w:spacing w:after="0" w:line="216" w:lineRule="exact"/>
              <w:rPr>
                <w:sz w:val="20"/>
                <w:szCs w:val="20"/>
                <w:color w:val="auto"/>
              </w:rPr>
            </w:pPr>
            <w:r>
              <w:rPr>
                <w:rFonts w:ascii="Arial" w:cs="Arial" w:eastAsia="Arial" w:hAnsi="Arial"/>
                <w:sz w:val="22"/>
                <w:szCs w:val="22"/>
                <w:color w:val="auto"/>
              </w:rPr>
              <w:t>–</w:t>
            </w:r>
          </w:p>
        </w:tc>
        <w:tc>
          <w:tcPr>
            <w:tcW w:w="212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6"/>
              </w:rPr>
              <w:t>Restricted Payments</w:t>
            </w:r>
          </w:p>
        </w:tc>
        <w:tc>
          <w:tcPr>
            <w:tcW w:w="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3"/>
          </w:tcPr>
          <w:p>
            <w:pPr>
              <w:spacing w:after="0" w:line="216" w:lineRule="exact"/>
              <w:rPr>
                <w:sz w:val="20"/>
                <w:szCs w:val="20"/>
                <w:color w:val="auto"/>
              </w:rPr>
            </w:pPr>
            <w:r>
              <w:rPr>
                <w:rFonts w:ascii="Arial" w:cs="Arial" w:eastAsia="Arial" w:hAnsi="Arial"/>
                <w:sz w:val="22"/>
                <w:szCs w:val="22"/>
                <w:color w:val="auto"/>
                <w:w w:val="95"/>
              </w:rPr>
              <w:t>Schedule 6.05(e)</w:t>
            </w:r>
          </w:p>
        </w:tc>
        <w:tc>
          <w:tcPr>
            <w:tcW w:w="180" w:type="dxa"/>
            <w:vAlign w:val="bottom"/>
          </w:tcPr>
          <w:p>
            <w:pPr>
              <w:ind w:left="60"/>
              <w:spacing w:after="0" w:line="216" w:lineRule="exact"/>
              <w:rPr>
                <w:sz w:val="20"/>
                <w:szCs w:val="20"/>
                <w:color w:val="auto"/>
              </w:rPr>
            </w:pPr>
            <w:r>
              <w:rPr>
                <w:rFonts w:ascii="Arial" w:cs="Arial" w:eastAsia="Arial" w:hAnsi="Arial"/>
                <w:sz w:val="22"/>
                <w:szCs w:val="22"/>
                <w:color w:val="auto"/>
                <w:w w:val="81"/>
              </w:rPr>
              <w:t>–</w:t>
            </w:r>
          </w:p>
        </w:tc>
        <w:tc>
          <w:tcPr>
            <w:tcW w:w="1940" w:type="dxa"/>
            <w:vAlign w:val="bottom"/>
            <w:gridSpan w:val="7"/>
          </w:tcPr>
          <w:p>
            <w:pPr>
              <w:ind w:left="200"/>
              <w:spacing w:after="0" w:line="216" w:lineRule="exact"/>
              <w:rPr>
                <w:sz w:val="20"/>
                <w:szCs w:val="20"/>
                <w:color w:val="auto"/>
              </w:rPr>
            </w:pPr>
            <w:r>
              <w:rPr>
                <w:rFonts w:ascii="Arial" w:cs="Arial" w:eastAsia="Arial" w:hAnsi="Arial"/>
                <w:sz w:val="22"/>
                <w:szCs w:val="22"/>
                <w:color w:val="auto"/>
              </w:rPr>
              <w:t>Investments</w:t>
            </w:r>
          </w:p>
        </w:tc>
        <w:tc>
          <w:tcPr>
            <w:tcW w:w="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line="216" w:lineRule="exact"/>
              <w:rPr>
                <w:sz w:val="20"/>
                <w:szCs w:val="20"/>
                <w:color w:val="auto"/>
              </w:rPr>
            </w:pPr>
            <w:r>
              <w:rPr>
                <w:rFonts w:ascii="Arial" w:cs="Arial" w:eastAsia="Arial" w:hAnsi="Arial"/>
                <w:sz w:val="22"/>
                <w:szCs w:val="22"/>
                <w:color w:val="auto"/>
                <w:w w:val="88"/>
              </w:rPr>
              <w:t>Schedule 6.06</w:t>
            </w:r>
          </w:p>
        </w:tc>
        <w:tc>
          <w:tcPr>
            <w:tcW w:w="360" w:type="dxa"/>
            <w:vAlign w:val="bottom"/>
          </w:tcPr>
          <w:p>
            <w:pPr>
              <w:ind w:left="180"/>
              <w:spacing w:after="0" w:line="216" w:lineRule="exact"/>
              <w:rPr>
                <w:sz w:val="20"/>
                <w:szCs w:val="20"/>
                <w:color w:val="auto"/>
              </w:rPr>
            </w:pPr>
            <w:r>
              <w:rPr>
                <w:rFonts w:ascii="Arial" w:cs="Arial" w:eastAsia="Arial" w:hAnsi="Arial"/>
                <w:sz w:val="22"/>
                <w:szCs w:val="22"/>
                <w:color w:val="auto"/>
              </w:rPr>
              <w:t>–</w:t>
            </w:r>
          </w:p>
        </w:tc>
        <w:tc>
          <w:tcPr>
            <w:tcW w:w="2120" w:type="dxa"/>
            <w:vAlign w:val="bottom"/>
            <w:gridSpan w:val="8"/>
          </w:tcPr>
          <w:p>
            <w:pPr>
              <w:ind w:left="120"/>
              <w:spacing w:after="0" w:line="216" w:lineRule="exact"/>
              <w:rPr>
                <w:sz w:val="20"/>
                <w:szCs w:val="20"/>
                <w:color w:val="auto"/>
              </w:rPr>
            </w:pPr>
            <w:r>
              <w:rPr>
                <w:rFonts w:ascii="Arial" w:cs="Arial" w:eastAsia="Arial" w:hAnsi="Arial"/>
                <w:sz w:val="22"/>
                <w:szCs w:val="22"/>
                <w:color w:val="auto"/>
                <w:w w:val="96"/>
              </w:rPr>
              <w:t>Affiliate Transactions</w:t>
            </w:r>
          </w:p>
        </w:tc>
        <w:tc>
          <w:tcPr>
            <w:tcW w:w="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260" w:type="dxa"/>
            <w:vAlign w:val="bottom"/>
            <w:gridSpan w:val="2"/>
          </w:tcPr>
          <w:p>
            <w:pPr>
              <w:spacing w:after="0"/>
              <w:rPr>
                <w:sz w:val="20"/>
                <w:szCs w:val="20"/>
                <w:color w:val="auto"/>
              </w:rPr>
            </w:pPr>
            <w:r>
              <w:rPr>
                <w:rFonts w:ascii="Arial" w:cs="Arial" w:eastAsia="Arial" w:hAnsi="Arial"/>
                <w:sz w:val="22"/>
                <w:szCs w:val="22"/>
                <w:color w:val="auto"/>
                <w:w w:val="88"/>
              </w:rPr>
              <w:t>Schedule 9.01</w:t>
            </w:r>
          </w:p>
        </w:tc>
        <w:tc>
          <w:tcPr>
            <w:tcW w:w="360" w:type="dxa"/>
            <w:vAlign w:val="bottom"/>
          </w:tcPr>
          <w:p>
            <w:pPr>
              <w:ind w:left="180"/>
              <w:spacing w:after="0"/>
              <w:rPr>
                <w:sz w:val="20"/>
                <w:szCs w:val="20"/>
                <w:color w:val="auto"/>
              </w:rPr>
            </w:pPr>
            <w:r>
              <w:rPr>
                <w:rFonts w:ascii="Arial" w:cs="Arial" w:eastAsia="Arial" w:hAnsi="Arial"/>
                <w:sz w:val="22"/>
                <w:szCs w:val="22"/>
                <w:color w:val="auto"/>
              </w:rPr>
              <w:t>–</w:t>
            </w:r>
          </w:p>
        </w:tc>
        <w:tc>
          <w:tcPr>
            <w:tcW w:w="2120" w:type="dxa"/>
            <w:vAlign w:val="bottom"/>
            <w:gridSpan w:val="8"/>
          </w:tcPr>
          <w:p>
            <w:pPr>
              <w:ind w:left="140"/>
              <w:spacing w:after="0"/>
              <w:rPr>
                <w:sz w:val="20"/>
                <w:szCs w:val="20"/>
                <w:color w:val="auto"/>
              </w:rPr>
            </w:pPr>
            <w:r>
              <w:rPr>
                <w:rFonts w:ascii="Arial" w:cs="Arial" w:eastAsia="Arial" w:hAnsi="Arial"/>
                <w:sz w:val="22"/>
                <w:szCs w:val="22"/>
                <w:color w:val="auto"/>
              </w:rPr>
              <w:t>Notices</w:t>
            </w:r>
          </w:p>
        </w:tc>
        <w:tc>
          <w:tcPr>
            <w:tcW w:w="24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4"/>
        </w:trPr>
        <w:tc>
          <w:tcPr>
            <w:tcW w:w="1260" w:type="dxa"/>
            <w:vAlign w:val="bottom"/>
            <w:gridSpan w:val="2"/>
          </w:tcPr>
          <w:p>
            <w:pPr>
              <w:ind w:left="40"/>
              <w:spacing w:after="0"/>
              <w:rPr>
                <w:sz w:val="20"/>
                <w:szCs w:val="20"/>
                <w:color w:val="auto"/>
              </w:rPr>
            </w:pPr>
            <w:r>
              <w:rPr>
                <w:rFonts w:ascii="Arial" w:cs="Arial" w:eastAsia="Arial" w:hAnsi="Arial"/>
                <w:sz w:val="22"/>
                <w:szCs w:val="22"/>
                <w:color w:val="auto"/>
              </w:rPr>
              <w:t>EXHIBITS:</w:t>
            </w:r>
          </w:p>
        </w:tc>
        <w:tc>
          <w:tcPr>
            <w:tcW w:w="8940" w:type="dxa"/>
            <w:vAlign w:val="bottom"/>
            <w:gridSpan w:val="11"/>
            <w:vMerge w:val="restart"/>
          </w:tcPr>
          <w:p>
            <w:pPr>
              <w:ind w:left="140"/>
              <w:spacing w:after="0"/>
              <w:rPr>
                <w:sz w:val="20"/>
                <w:szCs w:val="20"/>
                <w:color w:val="auto"/>
              </w:rPr>
            </w:pPr>
            <w:r>
              <w:rPr>
                <w:rFonts w:ascii="Arial" w:cs="Arial" w:eastAsia="Arial" w:hAnsi="Arial"/>
                <w:sz w:val="22"/>
                <w:szCs w:val="22"/>
                <w:color w:val="auto"/>
              </w:rPr>
              <w:t>Form of Assignment and Assumption</w:t>
            </w:r>
          </w:p>
        </w:tc>
        <w:tc>
          <w:tcPr>
            <w:tcW w:w="0" w:type="dxa"/>
            <w:vAlign w:val="bottom"/>
          </w:tcPr>
          <w:p>
            <w:pPr>
              <w:spacing w:after="0"/>
              <w:rPr>
                <w:sz w:val="1"/>
                <w:szCs w:val="1"/>
                <w:color w:val="auto"/>
              </w:rPr>
            </w:pPr>
          </w:p>
        </w:tc>
      </w:tr>
      <w:tr>
        <w:trPr>
          <w:trHeight w:val="216"/>
        </w:trPr>
        <w:tc>
          <w:tcPr>
            <w:tcW w:w="960" w:type="dxa"/>
            <w:vAlign w:val="bottom"/>
          </w:tcPr>
          <w:p>
            <w:pPr>
              <w:ind w:left="40"/>
              <w:spacing w:after="0" w:line="216" w:lineRule="exact"/>
              <w:rPr>
                <w:sz w:val="20"/>
                <w:szCs w:val="20"/>
                <w:color w:val="auto"/>
              </w:rPr>
            </w:pPr>
            <w:r>
              <w:rPr>
                <w:rFonts w:ascii="Arial" w:cs="Arial" w:eastAsia="Arial" w:hAnsi="Arial"/>
                <w:sz w:val="22"/>
                <w:szCs w:val="22"/>
                <w:color w:val="auto"/>
              </w:rPr>
              <w:t>Exhibit A</w:t>
            </w:r>
          </w:p>
        </w:tc>
        <w:tc>
          <w:tcPr>
            <w:tcW w:w="30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894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line="216" w:lineRule="exact"/>
              <w:rPr>
                <w:sz w:val="20"/>
                <w:szCs w:val="20"/>
                <w:color w:val="auto"/>
              </w:rPr>
            </w:pPr>
            <w:r>
              <w:rPr>
                <w:rFonts w:ascii="Arial" w:cs="Arial" w:eastAsia="Arial" w:hAnsi="Arial"/>
                <w:sz w:val="22"/>
                <w:szCs w:val="22"/>
                <w:color w:val="auto"/>
              </w:rPr>
              <w:t>Exhibit B</w:t>
            </w:r>
          </w:p>
        </w:tc>
        <w:tc>
          <w:tcPr>
            <w:tcW w:w="300" w:type="dxa"/>
            <w:vAlign w:val="bottom"/>
          </w:tcPr>
          <w:p>
            <w:pPr>
              <w:ind w:left="80"/>
              <w:spacing w:after="0" w:line="216" w:lineRule="exact"/>
              <w:rPr>
                <w:sz w:val="20"/>
                <w:szCs w:val="20"/>
                <w:color w:val="auto"/>
              </w:rPr>
            </w:pPr>
            <w:r>
              <w:rPr>
                <w:rFonts w:ascii="Arial" w:cs="Arial" w:eastAsia="Arial" w:hAnsi="Arial"/>
                <w:sz w:val="22"/>
                <w:szCs w:val="22"/>
                <w:color w:val="auto"/>
              </w:rPr>
              <w:t>–</w:t>
            </w:r>
          </w:p>
        </w:tc>
        <w:tc>
          <w:tcPr>
            <w:tcW w:w="2480" w:type="dxa"/>
            <w:vAlign w:val="bottom"/>
            <w:gridSpan w:val="9"/>
          </w:tcPr>
          <w:p>
            <w:pPr>
              <w:ind w:left="120"/>
              <w:spacing w:after="0" w:line="216" w:lineRule="exact"/>
              <w:rPr>
                <w:sz w:val="20"/>
                <w:szCs w:val="20"/>
                <w:color w:val="auto"/>
              </w:rPr>
            </w:pPr>
            <w:r>
              <w:rPr>
                <w:rFonts w:ascii="Arial" w:cs="Arial" w:eastAsia="Arial" w:hAnsi="Arial"/>
                <w:sz w:val="22"/>
                <w:szCs w:val="22"/>
                <w:color w:val="auto"/>
              </w:rPr>
              <w:t>Form of Revolving Note</w:t>
            </w:r>
          </w:p>
        </w:tc>
        <w:tc>
          <w:tcPr>
            <w:tcW w:w="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40"/>
              <w:spacing w:after="0" w:line="216" w:lineRule="exact"/>
              <w:rPr>
                <w:sz w:val="20"/>
                <w:szCs w:val="20"/>
                <w:color w:val="auto"/>
              </w:rPr>
            </w:pPr>
            <w:r>
              <w:rPr>
                <w:rFonts w:ascii="Arial" w:cs="Arial" w:eastAsia="Arial" w:hAnsi="Arial"/>
                <w:sz w:val="22"/>
                <w:szCs w:val="22"/>
                <w:color w:val="auto"/>
              </w:rPr>
              <w:t>Exhibit C</w:t>
            </w:r>
          </w:p>
        </w:tc>
        <w:tc>
          <w:tcPr>
            <w:tcW w:w="30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8940" w:type="dxa"/>
            <w:vAlign w:val="bottom"/>
            <w:gridSpan w:val="11"/>
          </w:tcPr>
          <w:p>
            <w:pPr>
              <w:ind w:left="140"/>
              <w:spacing w:after="0" w:line="216" w:lineRule="exact"/>
              <w:rPr>
                <w:sz w:val="20"/>
                <w:szCs w:val="20"/>
                <w:color w:val="auto"/>
              </w:rPr>
            </w:pPr>
            <w:r>
              <w:rPr>
                <w:rFonts w:ascii="Arial" w:cs="Arial" w:eastAsia="Arial" w:hAnsi="Arial"/>
                <w:sz w:val="22"/>
                <w:szCs w:val="22"/>
                <w:color w:val="auto"/>
              </w:rPr>
              <w:t>Form of Borrowing Request</w:t>
            </w:r>
          </w:p>
        </w:tc>
        <w:tc>
          <w:tcPr>
            <w:tcW w:w="0" w:type="dxa"/>
            <w:vAlign w:val="bottom"/>
          </w:tcPr>
          <w:p>
            <w:pPr>
              <w:spacing w:after="0"/>
              <w:rPr>
                <w:sz w:val="1"/>
                <w:szCs w:val="1"/>
                <w:color w:val="auto"/>
              </w:rPr>
            </w:pPr>
          </w:p>
        </w:tc>
      </w:tr>
      <w:tr>
        <w:trPr>
          <w:trHeight w:val="216"/>
        </w:trPr>
        <w:tc>
          <w:tcPr>
            <w:tcW w:w="960" w:type="dxa"/>
            <w:vAlign w:val="bottom"/>
          </w:tcPr>
          <w:p>
            <w:pPr>
              <w:ind w:left="40"/>
              <w:spacing w:after="0" w:line="216" w:lineRule="exact"/>
              <w:rPr>
                <w:sz w:val="20"/>
                <w:szCs w:val="20"/>
                <w:color w:val="auto"/>
              </w:rPr>
            </w:pPr>
            <w:r>
              <w:rPr>
                <w:rFonts w:ascii="Arial" w:cs="Arial" w:eastAsia="Arial" w:hAnsi="Arial"/>
                <w:sz w:val="22"/>
                <w:szCs w:val="22"/>
                <w:color w:val="auto"/>
              </w:rPr>
              <w:t>Exhibit D</w:t>
            </w:r>
          </w:p>
        </w:tc>
        <w:tc>
          <w:tcPr>
            <w:tcW w:w="300" w:type="dxa"/>
            <w:vAlign w:val="bottom"/>
          </w:tcPr>
          <w:p>
            <w:pPr>
              <w:ind w:left="140"/>
              <w:spacing w:after="0" w:line="216" w:lineRule="exact"/>
              <w:rPr>
                <w:sz w:val="20"/>
                <w:szCs w:val="20"/>
                <w:color w:val="auto"/>
              </w:rPr>
            </w:pPr>
            <w:r>
              <w:rPr>
                <w:rFonts w:ascii="Arial" w:cs="Arial" w:eastAsia="Arial" w:hAnsi="Arial"/>
                <w:sz w:val="22"/>
                <w:szCs w:val="22"/>
                <w:color w:val="auto"/>
              </w:rPr>
              <w:t>–</w:t>
            </w:r>
          </w:p>
        </w:tc>
        <w:tc>
          <w:tcPr>
            <w:tcW w:w="8940" w:type="dxa"/>
            <w:vAlign w:val="bottom"/>
            <w:gridSpan w:val="11"/>
          </w:tcPr>
          <w:p>
            <w:pPr>
              <w:ind w:left="160"/>
              <w:spacing w:after="0" w:line="216" w:lineRule="exact"/>
              <w:rPr>
                <w:sz w:val="20"/>
                <w:szCs w:val="20"/>
                <w:color w:val="auto"/>
              </w:rPr>
            </w:pPr>
            <w:r>
              <w:rPr>
                <w:rFonts w:ascii="Arial" w:cs="Arial" w:eastAsia="Arial" w:hAnsi="Arial"/>
                <w:sz w:val="22"/>
                <w:szCs w:val="22"/>
                <w:color w:val="auto"/>
              </w:rPr>
              <w:t>Form of Swingline Loan Notice</w:t>
            </w:r>
          </w:p>
        </w:tc>
        <w:tc>
          <w:tcPr>
            <w:tcW w:w="0" w:type="dxa"/>
            <w:vAlign w:val="bottom"/>
          </w:tcPr>
          <w:p>
            <w:pPr>
              <w:spacing w:after="0"/>
              <w:rPr>
                <w:sz w:val="1"/>
                <w:szCs w:val="1"/>
                <w:color w:val="auto"/>
              </w:rPr>
            </w:pPr>
          </w:p>
        </w:tc>
      </w:tr>
      <w:tr>
        <w:trPr>
          <w:trHeight w:val="216"/>
        </w:trPr>
        <w:tc>
          <w:tcPr>
            <w:tcW w:w="960" w:type="dxa"/>
            <w:vAlign w:val="bottom"/>
          </w:tcPr>
          <w:p>
            <w:pPr>
              <w:ind w:left="40"/>
              <w:spacing w:after="0" w:line="216" w:lineRule="exact"/>
              <w:rPr>
                <w:sz w:val="20"/>
                <w:szCs w:val="20"/>
                <w:color w:val="auto"/>
              </w:rPr>
            </w:pPr>
            <w:r>
              <w:rPr>
                <w:rFonts w:ascii="Arial" w:cs="Arial" w:eastAsia="Arial" w:hAnsi="Arial"/>
                <w:sz w:val="22"/>
                <w:szCs w:val="22"/>
                <w:color w:val="auto"/>
              </w:rPr>
              <w:t>Exhibit E</w:t>
            </w:r>
          </w:p>
        </w:tc>
        <w:tc>
          <w:tcPr>
            <w:tcW w:w="30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8940" w:type="dxa"/>
            <w:vAlign w:val="bottom"/>
            <w:gridSpan w:val="11"/>
          </w:tcPr>
          <w:p>
            <w:pPr>
              <w:ind w:left="140"/>
              <w:spacing w:after="0" w:line="216" w:lineRule="exact"/>
              <w:rPr>
                <w:sz w:val="20"/>
                <w:szCs w:val="20"/>
                <w:color w:val="auto"/>
              </w:rPr>
            </w:pPr>
            <w:r>
              <w:rPr>
                <w:rFonts w:ascii="Arial" w:cs="Arial" w:eastAsia="Arial" w:hAnsi="Arial"/>
                <w:sz w:val="22"/>
                <w:szCs w:val="22"/>
                <w:color w:val="auto"/>
              </w:rPr>
              <w:t>Form of Compliance Certificate</w:t>
            </w:r>
          </w:p>
        </w:tc>
        <w:tc>
          <w:tcPr>
            <w:tcW w:w="0" w:type="dxa"/>
            <w:vAlign w:val="bottom"/>
          </w:tcPr>
          <w:p>
            <w:pPr>
              <w:spacing w:after="0"/>
              <w:rPr>
                <w:sz w:val="1"/>
                <w:szCs w:val="1"/>
                <w:color w:val="auto"/>
              </w:rPr>
            </w:pPr>
          </w:p>
        </w:tc>
      </w:tr>
      <w:tr>
        <w:trPr>
          <w:trHeight w:val="216"/>
        </w:trPr>
        <w:tc>
          <w:tcPr>
            <w:tcW w:w="960" w:type="dxa"/>
            <w:vAlign w:val="bottom"/>
          </w:tcPr>
          <w:p>
            <w:pPr>
              <w:spacing w:after="0" w:line="216" w:lineRule="exact"/>
              <w:rPr>
                <w:sz w:val="20"/>
                <w:szCs w:val="20"/>
                <w:color w:val="auto"/>
              </w:rPr>
            </w:pPr>
            <w:r>
              <w:rPr>
                <w:rFonts w:ascii="Arial" w:cs="Arial" w:eastAsia="Arial" w:hAnsi="Arial"/>
                <w:sz w:val="22"/>
                <w:szCs w:val="22"/>
                <w:color w:val="auto"/>
              </w:rPr>
              <w:t>Exhibit F</w:t>
            </w:r>
          </w:p>
        </w:tc>
        <w:tc>
          <w:tcPr>
            <w:tcW w:w="300" w:type="dxa"/>
            <w:vAlign w:val="bottom"/>
          </w:tcPr>
          <w:p>
            <w:pPr>
              <w:ind w:left="60"/>
              <w:spacing w:after="0" w:line="216" w:lineRule="exact"/>
              <w:rPr>
                <w:sz w:val="20"/>
                <w:szCs w:val="20"/>
                <w:color w:val="auto"/>
              </w:rPr>
            </w:pPr>
            <w:r>
              <w:rPr>
                <w:rFonts w:ascii="Arial" w:cs="Arial" w:eastAsia="Arial" w:hAnsi="Arial"/>
                <w:sz w:val="22"/>
                <w:szCs w:val="22"/>
                <w:color w:val="auto"/>
              </w:rPr>
              <w:t>–</w:t>
            </w:r>
          </w:p>
        </w:tc>
        <w:tc>
          <w:tcPr>
            <w:tcW w:w="8940" w:type="dxa"/>
            <w:vAlign w:val="bottom"/>
            <w:gridSpan w:val="11"/>
          </w:tcPr>
          <w:p>
            <w:pPr>
              <w:ind w:left="80"/>
              <w:spacing w:after="0" w:line="216" w:lineRule="exact"/>
              <w:rPr>
                <w:sz w:val="20"/>
                <w:szCs w:val="20"/>
                <w:color w:val="auto"/>
              </w:rPr>
            </w:pPr>
            <w:r>
              <w:rPr>
                <w:rFonts w:ascii="Arial" w:cs="Arial" w:eastAsia="Arial" w:hAnsi="Arial"/>
                <w:sz w:val="22"/>
                <w:szCs w:val="22"/>
                <w:color w:val="auto"/>
              </w:rPr>
              <w:t>Form of Guarantor Joinder Agreement</w:t>
            </w:r>
          </w:p>
        </w:tc>
        <w:tc>
          <w:tcPr>
            <w:tcW w:w="0" w:type="dxa"/>
            <w:vAlign w:val="bottom"/>
          </w:tcPr>
          <w:p>
            <w:pPr>
              <w:spacing w:after="0"/>
              <w:rPr>
                <w:sz w:val="1"/>
                <w:szCs w:val="1"/>
                <w:color w:val="auto"/>
              </w:rPr>
            </w:pPr>
          </w:p>
        </w:tc>
      </w:tr>
      <w:tr>
        <w:trPr>
          <w:trHeight w:val="216"/>
        </w:trPr>
        <w:tc>
          <w:tcPr>
            <w:tcW w:w="126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Exhibit G-1</w:t>
            </w:r>
          </w:p>
        </w:tc>
        <w:tc>
          <w:tcPr>
            <w:tcW w:w="8940" w:type="dxa"/>
            <w:vAlign w:val="bottom"/>
            <w:gridSpan w:val="11"/>
          </w:tcPr>
          <w:p>
            <w:pPr>
              <w:ind w:left="20"/>
              <w:spacing w:after="0" w:line="216" w:lineRule="exact"/>
              <w:rPr>
                <w:sz w:val="20"/>
                <w:szCs w:val="20"/>
                <w:color w:val="auto"/>
              </w:rPr>
            </w:pPr>
            <w:r>
              <w:rPr>
                <w:rFonts w:ascii="Arial" w:cs="Arial" w:eastAsia="Arial" w:hAnsi="Arial"/>
                <w:sz w:val="22"/>
                <w:szCs w:val="22"/>
                <w:color w:val="auto"/>
                <w:w w:val="90"/>
              </w:rPr>
              <w:t>–  Form of U.S. Tax Compliance Certificate (For Foreign Lenders That Are Not Partnerships For U.S.</w:t>
            </w:r>
          </w:p>
        </w:tc>
        <w:tc>
          <w:tcPr>
            <w:tcW w:w="0" w:type="dxa"/>
            <w:vAlign w:val="bottom"/>
          </w:tcPr>
          <w:p>
            <w:pPr>
              <w:spacing w:after="0"/>
              <w:rPr>
                <w:sz w:val="1"/>
                <w:szCs w:val="1"/>
                <w:color w:val="auto"/>
              </w:rPr>
            </w:pPr>
          </w:p>
        </w:tc>
      </w:tr>
      <w:tr>
        <w:trPr>
          <w:trHeight w:val="216"/>
        </w:trPr>
        <w:tc>
          <w:tcPr>
            <w:tcW w:w="1260" w:type="dxa"/>
            <w:vAlign w:val="bottom"/>
            <w:gridSpan w:val="2"/>
            <w:vMerge w:val="restart"/>
          </w:tcPr>
          <w:p>
            <w:pPr>
              <w:ind w:left="40"/>
              <w:spacing w:after="0"/>
              <w:rPr>
                <w:sz w:val="20"/>
                <w:szCs w:val="20"/>
                <w:color w:val="auto"/>
              </w:rPr>
            </w:pPr>
            <w:r>
              <w:rPr>
                <w:rFonts w:ascii="Arial" w:cs="Arial" w:eastAsia="Arial" w:hAnsi="Arial"/>
                <w:sz w:val="22"/>
                <w:szCs w:val="22"/>
                <w:color w:val="auto"/>
              </w:rPr>
              <w:t>Exhibit G-2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940" w:type="dxa"/>
            <w:vAlign w:val="bottom"/>
            <w:gridSpan w:val="8"/>
          </w:tcPr>
          <w:p>
            <w:pPr>
              <w:ind w:left="120"/>
              <w:spacing w:after="0" w:line="216" w:lineRule="exact"/>
              <w:rPr>
                <w:sz w:val="20"/>
                <w:szCs w:val="20"/>
                <w:color w:val="auto"/>
              </w:rPr>
            </w:pPr>
            <w:r>
              <w:rPr>
                <w:rFonts w:ascii="Arial" w:cs="Arial" w:eastAsia="Arial" w:hAnsi="Arial"/>
                <w:sz w:val="22"/>
                <w:szCs w:val="22"/>
                <w:color w:val="auto"/>
              </w:rPr>
              <w:t>Federal Income Tax Purposes)</w:t>
            </w:r>
          </w:p>
        </w:tc>
        <w:tc>
          <w:tcPr>
            <w:tcW w:w="0" w:type="dxa"/>
            <w:vAlign w:val="bottom"/>
          </w:tcPr>
          <w:p>
            <w:pPr>
              <w:spacing w:after="0"/>
              <w:rPr>
                <w:sz w:val="1"/>
                <w:szCs w:val="1"/>
                <w:color w:val="auto"/>
              </w:rPr>
            </w:pPr>
          </w:p>
        </w:tc>
      </w:tr>
      <w:tr>
        <w:trPr>
          <w:trHeight w:val="216"/>
        </w:trPr>
        <w:tc>
          <w:tcPr>
            <w:tcW w:w="1260" w:type="dxa"/>
            <w:vAlign w:val="bottom"/>
            <w:gridSpan w:val="2"/>
            <w:vMerge w:val="continue"/>
          </w:tcPr>
          <w:p>
            <w:pPr>
              <w:spacing w:after="0"/>
              <w:rPr>
                <w:sz w:val="18"/>
                <w:szCs w:val="18"/>
                <w:color w:val="auto"/>
              </w:rPr>
            </w:pPr>
          </w:p>
        </w:tc>
        <w:tc>
          <w:tcPr>
            <w:tcW w:w="8940" w:type="dxa"/>
            <w:vAlign w:val="bottom"/>
            <w:gridSpan w:val="11"/>
          </w:tcPr>
          <w:p>
            <w:pPr>
              <w:ind w:left="20"/>
              <w:spacing w:after="0" w:line="216" w:lineRule="exact"/>
              <w:rPr>
                <w:sz w:val="20"/>
                <w:szCs w:val="20"/>
                <w:color w:val="auto"/>
              </w:rPr>
            </w:pPr>
            <w:r>
              <w:rPr>
                <w:rFonts w:ascii="Arial" w:cs="Arial" w:eastAsia="Arial" w:hAnsi="Arial"/>
                <w:sz w:val="22"/>
                <w:szCs w:val="22"/>
                <w:color w:val="auto"/>
                <w:w w:val="92"/>
              </w:rPr>
              <w:t>–  Form of U.S. Tax Compliance Certificate (For Foreign Participants That Are Not Partnerships For</w:t>
            </w:r>
          </w:p>
        </w:tc>
        <w:tc>
          <w:tcPr>
            <w:tcW w:w="0" w:type="dxa"/>
            <w:vAlign w:val="bottom"/>
          </w:tcPr>
          <w:p>
            <w:pPr>
              <w:spacing w:after="0"/>
              <w:rPr>
                <w:sz w:val="1"/>
                <w:szCs w:val="1"/>
                <w:color w:val="auto"/>
              </w:rPr>
            </w:pPr>
          </w:p>
        </w:tc>
      </w:tr>
      <w:tr>
        <w:trPr>
          <w:trHeight w:val="216"/>
        </w:trPr>
        <w:tc>
          <w:tcPr>
            <w:tcW w:w="1260" w:type="dxa"/>
            <w:vAlign w:val="bottom"/>
            <w:gridSpan w:val="2"/>
            <w:vMerge w:val="restart"/>
          </w:tcPr>
          <w:p>
            <w:pPr>
              <w:ind w:left="40"/>
              <w:spacing w:after="0"/>
              <w:rPr>
                <w:sz w:val="20"/>
                <w:szCs w:val="20"/>
                <w:color w:val="auto"/>
              </w:rPr>
            </w:pPr>
            <w:r>
              <w:rPr>
                <w:rFonts w:ascii="Arial" w:cs="Arial" w:eastAsia="Arial" w:hAnsi="Arial"/>
                <w:sz w:val="22"/>
                <w:szCs w:val="22"/>
                <w:color w:val="auto"/>
              </w:rPr>
              <w:t>Exhibit G-3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940" w:type="dxa"/>
            <w:vAlign w:val="bottom"/>
            <w:gridSpan w:val="8"/>
          </w:tcPr>
          <w:p>
            <w:pPr>
              <w:ind w:left="120"/>
              <w:spacing w:after="0" w:line="216" w:lineRule="exact"/>
              <w:rPr>
                <w:sz w:val="20"/>
                <w:szCs w:val="20"/>
                <w:color w:val="auto"/>
              </w:rPr>
            </w:pPr>
            <w:r>
              <w:rPr>
                <w:rFonts w:ascii="Arial" w:cs="Arial" w:eastAsia="Arial" w:hAnsi="Arial"/>
                <w:sz w:val="22"/>
                <w:szCs w:val="22"/>
                <w:color w:val="auto"/>
              </w:rPr>
              <w:t>U.S. Federal Income Tax Purposes)</w:t>
            </w:r>
          </w:p>
        </w:tc>
        <w:tc>
          <w:tcPr>
            <w:tcW w:w="0" w:type="dxa"/>
            <w:vAlign w:val="bottom"/>
          </w:tcPr>
          <w:p>
            <w:pPr>
              <w:spacing w:after="0"/>
              <w:rPr>
                <w:sz w:val="1"/>
                <w:szCs w:val="1"/>
                <w:color w:val="auto"/>
              </w:rPr>
            </w:pPr>
          </w:p>
        </w:tc>
      </w:tr>
      <w:tr>
        <w:trPr>
          <w:trHeight w:val="216"/>
        </w:trPr>
        <w:tc>
          <w:tcPr>
            <w:tcW w:w="1260" w:type="dxa"/>
            <w:vAlign w:val="bottom"/>
            <w:gridSpan w:val="2"/>
            <w:vMerge w:val="continue"/>
          </w:tcPr>
          <w:p>
            <w:pPr>
              <w:spacing w:after="0"/>
              <w:rPr>
                <w:sz w:val="18"/>
                <w:szCs w:val="18"/>
                <w:color w:val="auto"/>
              </w:rPr>
            </w:pPr>
          </w:p>
        </w:tc>
        <w:tc>
          <w:tcPr>
            <w:tcW w:w="8940" w:type="dxa"/>
            <w:vAlign w:val="bottom"/>
            <w:gridSpan w:val="11"/>
          </w:tcPr>
          <w:p>
            <w:pPr>
              <w:ind w:left="20"/>
              <w:spacing w:after="0" w:line="216" w:lineRule="exact"/>
              <w:rPr>
                <w:sz w:val="20"/>
                <w:szCs w:val="20"/>
                <w:color w:val="auto"/>
              </w:rPr>
            </w:pPr>
            <w:r>
              <w:rPr>
                <w:rFonts w:ascii="Arial" w:cs="Arial" w:eastAsia="Arial" w:hAnsi="Arial"/>
                <w:sz w:val="22"/>
                <w:szCs w:val="22"/>
                <w:color w:val="auto"/>
                <w:w w:val="91"/>
              </w:rPr>
              <w:t>–  Form of U.S. Tax Compliance Certificate (For Foreign Participants That Are Partnerships For U.S.</w:t>
            </w:r>
          </w:p>
        </w:tc>
        <w:tc>
          <w:tcPr>
            <w:tcW w:w="0" w:type="dxa"/>
            <w:vAlign w:val="bottom"/>
          </w:tcPr>
          <w:p>
            <w:pPr>
              <w:spacing w:after="0"/>
              <w:rPr>
                <w:sz w:val="1"/>
                <w:szCs w:val="1"/>
                <w:color w:val="auto"/>
              </w:rPr>
            </w:pPr>
          </w:p>
        </w:tc>
      </w:tr>
      <w:tr>
        <w:trPr>
          <w:trHeight w:val="216"/>
        </w:trPr>
        <w:tc>
          <w:tcPr>
            <w:tcW w:w="1260" w:type="dxa"/>
            <w:vAlign w:val="bottom"/>
            <w:gridSpan w:val="2"/>
            <w:vMerge w:val="restart"/>
          </w:tcPr>
          <w:p>
            <w:pPr>
              <w:ind w:left="60"/>
              <w:spacing w:after="0"/>
              <w:rPr>
                <w:sz w:val="20"/>
                <w:szCs w:val="20"/>
                <w:color w:val="auto"/>
              </w:rPr>
            </w:pPr>
            <w:r>
              <w:rPr>
                <w:rFonts w:ascii="Arial" w:cs="Arial" w:eastAsia="Arial" w:hAnsi="Arial"/>
                <w:sz w:val="22"/>
                <w:szCs w:val="22"/>
                <w:color w:val="auto"/>
              </w:rPr>
              <w:t>Exhibit G-4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940" w:type="dxa"/>
            <w:vAlign w:val="bottom"/>
            <w:gridSpan w:val="8"/>
          </w:tcPr>
          <w:p>
            <w:pPr>
              <w:ind w:left="120"/>
              <w:spacing w:after="0" w:line="216" w:lineRule="exact"/>
              <w:rPr>
                <w:sz w:val="20"/>
                <w:szCs w:val="20"/>
                <w:color w:val="auto"/>
              </w:rPr>
            </w:pPr>
            <w:r>
              <w:rPr>
                <w:rFonts w:ascii="Arial" w:cs="Arial" w:eastAsia="Arial" w:hAnsi="Arial"/>
                <w:sz w:val="22"/>
                <w:szCs w:val="22"/>
                <w:color w:val="auto"/>
              </w:rPr>
              <w:t>Federal Income Tax Purposes)</w:t>
            </w:r>
          </w:p>
        </w:tc>
        <w:tc>
          <w:tcPr>
            <w:tcW w:w="0" w:type="dxa"/>
            <w:vAlign w:val="bottom"/>
          </w:tcPr>
          <w:p>
            <w:pPr>
              <w:spacing w:after="0"/>
              <w:rPr>
                <w:sz w:val="1"/>
                <w:szCs w:val="1"/>
                <w:color w:val="auto"/>
              </w:rPr>
            </w:pPr>
          </w:p>
        </w:tc>
      </w:tr>
      <w:tr>
        <w:trPr>
          <w:trHeight w:val="216"/>
        </w:trPr>
        <w:tc>
          <w:tcPr>
            <w:tcW w:w="1260" w:type="dxa"/>
            <w:vAlign w:val="bottom"/>
            <w:gridSpan w:val="2"/>
            <w:vMerge w:val="continue"/>
          </w:tcPr>
          <w:p>
            <w:pPr>
              <w:spacing w:after="0"/>
              <w:rPr>
                <w:sz w:val="18"/>
                <w:szCs w:val="18"/>
                <w:color w:val="auto"/>
              </w:rPr>
            </w:pPr>
          </w:p>
        </w:tc>
        <w:tc>
          <w:tcPr>
            <w:tcW w:w="8940" w:type="dxa"/>
            <w:vAlign w:val="bottom"/>
            <w:gridSpan w:val="11"/>
          </w:tcPr>
          <w:p>
            <w:pPr>
              <w:ind w:left="40"/>
              <w:spacing w:after="0" w:line="216" w:lineRule="exact"/>
              <w:rPr>
                <w:sz w:val="20"/>
                <w:szCs w:val="20"/>
                <w:color w:val="auto"/>
              </w:rPr>
            </w:pPr>
            <w:r>
              <w:rPr>
                <w:rFonts w:ascii="Arial" w:cs="Arial" w:eastAsia="Arial" w:hAnsi="Arial"/>
                <w:sz w:val="22"/>
                <w:szCs w:val="22"/>
                <w:color w:val="auto"/>
                <w:w w:val="94"/>
              </w:rPr>
              <w:t>–  Form of U.S. Tax Compliance Certificate (For Foreign Lenders That Are Partnerships For U.S.</w:t>
            </w:r>
          </w:p>
        </w:tc>
        <w:tc>
          <w:tcPr>
            <w:tcW w:w="0" w:type="dxa"/>
            <w:vAlign w:val="bottom"/>
          </w:tcPr>
          <w:p>
            <w:pPr>
              <w:spacing w:after="0"/>
              <w:rPr>
                <w:sz w:val="1"/>
                <w:szCs w:val="1"/>
                <w:color w:val="auto"/>
              </w:rPr>
            </w:pPr>
          </w:p>
        </w:tc>
      </w:tr>
      <w:tr>
        <w:trPr>
          <w:trHeight w:val="216"/>
        </w:trPr>
        <w:tc>
          <w:tcPr>
            <w:tcW w:w="960" w:type="dxa"/>
            <w:vAlign w:val="bottom"/>
            <w:vMerge w:val="restart"/>
          </w:tcPr>
          <w:p>
            <w:pPr>
              <w:ind w:left="60"/>
              <w:spacing w:after="0"/>
              <w:rPr>
                <w:sz w:val="20"/>
                <w:szCs w:val="20"/>
                <w:color w:val="auto"/>
              </w:rPr>
            </w:pPr>
            <w:r>
              <w:rPr>
                <w:rFonts w:ascii="Arial" w:cs="Arial" w:eastAsia="Arial" w:hAnsi="Arial"/>
                <w:sz w:val="22"/>
                <w:szCs w:val="22"/>
                <w:color w:val="auto"/>
                <w:w w:val="99"/>
              </w:rPr>
              <w:t>Exhibit H</w:t>
            </w:r>
          </w:p>
        </w:tc>
        <w:tc>
          <w:tcPr>
            <w:tcW w:w="300" w:type="dxa"/>
            <w:vAlign w:val="bottom"/>
            <w:vMerge w:val="restart"/>
          </w:tcPr>
          <w:p>
            <w:pPr>
              <w:ind w:left="160"/>
              <w:spacing w:after="0"/>
              <w:rPr>
                <w:sz w:val="20"/>
                <w:szCs w:val="20"/>
                <w:color w:val="auto"/>
              </w:rPr>
            </w:pPr>
            <w:r>
              <w:rPr>
                <w:rFonts w:ascii="Arial" w:cs="Arial" w:eastAsia="Arial" w:hAnsi="Arial"/>
                <w:sz w:val="22"/>
                <w:szCs w:val="22"/>
                <w:color w:val="auto"/>
                <w:w w:val="97"/>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940" w:type="dxa"/>
            <w:vAlign w:val="bottom"/>
            <w:gridSpan w:val="8"/>
          </w:tcPr>
          <w:p>
            <w:pPr>
              <w:ind w:left="160"/>
              <w:spacing w:after="0" w:line="216" w:lineRule="exact"/>
              <w:rPr>
                <w:sz w:val="20"/>
                <w:szCs w:val="20"/>
                <w:color w:val="auto"/>
              </w:rPr>
            </w:pPr>
            <w:r>
              <w:rPr>
                <w:rFonts w:ascii="Arial" w:cs="Arial" w:eastAsia="Arial" w:hAnsi="Arial"/>
                <w:sz w:val="22"/>
                <w:szCs w:val="22"/>
                <w:color w:val="auto"/>
              </w:rPr>
              <w:t>Federal Income Tax Purposes)</w:t>
            </w:r>
          </w:p>
        </w:tc>
        <w:tc>
          <w:tcPr>
            <w:tcW w:w="0" w:type="dxa"/>
            <w:vAlign w:val="bottom"/>
          </w:tcPr>
          <w:p>
            <w:pPr>
              <w:spacing w:after="0"/>
              <w:rPr>
                <w:sz w:val="1"/>
                <w:szCs w:val="1"/>
                <w:color w:val="auto"/>
              </w:rPr>
            </w:pPr>
          </w:p>
        </w:tc>
      </w:tr>
      <w:tr>
        <w:trPr>
          <w:trHeight w:val="274"/>
        </w:trPr>
        <w:tc>
          <w:tcPr>
            <w:tcW w:w="960" w:type="dxa"/>
            <w:vAlign w:val="bottom"/>
            <w:vMerge w:val="continue"/>
          </w:tcPr>
          <w:p>
            <w:pPr>
              <w:spacing w:after="0"/>
              <w:rPr>
                <w:sz w:val="23"/>
                <w:szCs w:val="23"/>
                <w:color w:val="auto"/>
              </w:rPr>
            </w:pPr>
          </w:p>
        </w:tc>
        <w:tc>
          <w:tcPr>
            <w:tcW w:w="300" w:type="dxa"/>
            <w:vAlign w:val="bottom"/>
            <w:vMerge w:val="continue"/>
          </w:tcPr>
          <w:p>
            <w:pPr>
              <w:spacing w:after="0"/>
              <w:rPr>
                <w:sz w:val="23"/>
                <w:szCs w:val="23"/>
                <w:color w:val="auto"/>
              </w:rPr>
            </w:pPr>
          </w:p>
        </w:tc>
        <w:tc>
          <w:tcPr>
            <w:tcW w:w="8940" w:type="dxa"/>
            <w:vAlign w:val="bottom"/>
            <w:gridSpan w:val="11"/>
          </w:tcPr>
          <w:p>
            <w:pPr>
              <w:ind w:left="180"/>
              <w:spacing w:after="0"/>
              <w:rPr>
                <w:sz w:val="20"/>
                <w:szCs w:val="20"/>
                <w:color w:val="auto"/>
              </w:rPr>
            </w:pPr>
            <w:r>
              <w:rPr>
                <w:rFonts w:ascii="Arial" w:cs="Arial" w:eastAsia="Arial" w:hAnsi="Arial"/>
                <w:sz w:val="22"/>
                <w:szCs w:val="22"/>
                <w:color w:val="auto"/>
              </w:rPr>
              <w:t>Form of Solvency Certificate</w:t>
            </w:r>
          </w:p>
        </w:tc>
        <w:tc>
          <w:tcPr>
            <w:tcW w:w="0" w:type="dxa"/>
            <w:vAlign w:val="bottom"/>
          </w:tcPr>
          <w:p>
            <w:pPr>
              <w:spacing w:after="0"/>
              <w:rPr>
                <w:sz w:val="1"/>
                <w:szCs w:val="1"/>
                <w:color w:val="auto"/>
              </w:rPr>
            </w:pPr>
          </w:p>
        </w:tc>
      </w:tr>
    </w:tbl>
    <w:p>
      <w:pPr>
        <w:sectPr>
          <w:pgSz w:w="11900" w:h="16838" w:orient="portrait"/>
          <w:cols w:equalWidth="0" w:num="1">
            <w:col w:w="10200"/>
          </w:cols>
          <w:pgMar w:left="980" w:top="1426" w:right="719" w:bottom="1440" w:gutter="0" w:footer="0" w:header="0"/>
        </w:sectPr>
      </w:pPr>
    </w:p>
    <w:bookmarkStart w:id="100" w:name="page101"/>
    <w:bookmarkEnd w:id="100"/>
    <w:p>
      <w:pPr>
        <w:ind w:left="640" w:right="2240" w:firstLine="1009"/>
        <w:spacing w:after="0" w:line="354" w:lineRule="auto"/>
        <w:rPr>
          <w:sz w:val="20"/>
          <w:szCs w:val="20"/>
          <w:color w:val="auto"/>
        </w:rPr>
      </w:pPr>
      <w:r>
        <w:rPr>
          <w:rFonts w:ascii="Arial" w:cs="Arial" w:eastAsia="Arial" w:hAnsi="Arial"/>
          <w:sz w:val="21"/>
          <w:szCs w:val="21"/>
          <w:b w:val="1"/>
          <w:bCs w:val="1"/>
          <w:color w:val="auto"/>
        </w:rPr>
        <w:t xml:space="preserve">AMENDED AND RESTATED REVOLVING CREDIT AGREEMENT </w:t>
      </w:r>
      <w:r>
        <w:rPr>
          <w:rFonts w:ascii="Arial" w:cs="Arial" w:eastAsia="Arial" w:hAnsi="Arial"/>
          <w:sz w:val="21"/>
          <w:szCs w:val="21"/>
          <w:color w:val="auto"/>
        </w:rPr>
        <w:t>This AMENDED AND RESTATED REVOLVING CREDIT AGREEMENT (this</w:t>
      </w:r>
    </w:p>
    <w:p>
      <w:pPr>
        <w:jc w:val="both"/>
        <w:ind w:right="60"/>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is dated as of July 1, 2021 among VIATRIS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certain Affiliates and Subsidiaries of the Borrower from time to time party hereto as Guarantors, each Lender and Issuing Bank from time to time party hereto, and BANK OF AMERICA, N.A., as Administrative Agent.</w:t>
      </w:r>
    </w:p>
    <w:p>
      <w:pPr>
        <w:spacing w:after="0" w:line="179"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PRELIMINARY STATEMENTS</w:t>
      </w:r>
    </w:p>
    <w:p>
      <w:pPr>
        <w:spacing w:after="0" w:line="22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WHEREAS, the Borrower (formerly known as UPJOHN INC.), the Guarantors, certain banks and the Administrative Agent are parties to that certain Credit Agreement, dated as of June 16, 2020 (the “</w:t>
      </w:r>
      <w:r>
        <w:rPr>
          <w:rFonts w:ascii="Arial" w:cs="Arial" w:eastAsia="Arial" w:hAnsi="Arial"/>
          <w:sz w:val="19"/>
          <w:szCs w:val="19"/>
          <w:color w:val="FF0000"/>
          <w:strike w:val="1"/>
        </w:rPr>
        <w:t>Existing</w:t>
      </w:r>
      <w:r>
        <w:rPr>
          <w:rFonts w:ascii="Arial" w:cs="Arial" w:eastAsia="Arial" w:hAnsi="Arial"/>
          <w:sz w:val="19"/>
          <w:szCs w:val="19"/>
          <w:color w:val="0000FF"/>
        </w:rPr>
        <w:t>Original</w:t>
      </w:r>
      <w:r>
        <w:rPr>
          <w:rFonts w:ascii="Arial" w:cs="Arial" w:eastAsia="Arial" w:hAnsi="Arial"/>
          <w:sz w:val="19"/>
          <w:szCs w:val="19"/>
          <w:color w:val="auto"/>
        </w:rPr>
        <w:t xml:space="preserve"> Credit Agreement”), pursuant to which, at the request of the Borrower, the Lenders (as defined therein) have agreed to extend credit to the Borrower in the form of Loans and Letters of Credit (each as defined therein) at any time and from time to time on and after the Closing Date and prior to the Revolving Credit Maturity Date (each as defined therein), in an aggregate principal amount not to exceed $4,000,000,000, subject to the terms and conditions thereinafter set forth;</w:t>
      </w:r>
    </w:p>
    <w:p>
      <w:pPr>
        <w:spacing w:after="0" w:line="192"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 xml:space="preserve">WHEREAS, the Borrower has requested that the Lenders amend </w:t>
      </w:r>
      <w:r>
        <w:rPr>
          <w:rFonts w:ascii="Arial" w:cs="Arial" w:eastAsia="Arial" w:hAnsi="Arial"/>
          <w:sz w:val="22"/>
          <w:szCs w:val="22"/>
          <w:color w:val="FF0000"/>
          <w:strike w:val="1"/>
        </w:rPr>
        <w:t>and restate</w:t>
      </w:r>
      <w:r>
        <w:rPr>
          <w:rFonts w:ascii="Arial" w:cs="Arial" w:eastAsia="Arial" w:hAnsi="Arial"/>
          <w:sz w:val="22"/>
          <w:szCs w:val="22"/>
          <w:color w:val="auto"/>
        </w:rPr>
        <w:t xml:space="preserve"> the Existing Credit Agreement </w:t>
      </w:r>
      <w:r>
        <w:rPr>
          <w:rFonts w:ascii="Arial" w:cs="Arial" w:eastAsia="Arial" w:hAnsi="Arial"/>
          <w:sz w:val="22"/>
          <w:szCs w:val="22"/>
          <w:color w:val="FF0000"/>
          <w:strike w:val="1"/>
        </w:rPr>
        <w:t>and</w:t>
      </w:r>
      <w:r>
        <w:rPr>
          <w:rFonts w:ascii="Arial" w:cs="Arial" w:eastAsia="Arial" w:hAnsi="Arial"/>
          <w:sz w:val="22"/>
          <w:szCs w:val="22"/>
          <w:color w:val="auto"/>
        </w:rPr>
        <w:t xml:space="preserve"> </w:t>
      </w:r>
      <w:r>
        <w:rPr>
          <w:rFonts w:ascii="Arial" w:cs="Arial" w:eastAsia="Arial" w:hAnsi="Arial"/>
          <w:sz w:val="22"/>
          <w:szCs w:val="22"/>
          <w:color w:val="FF0000"/>
          <w:strike w:val="1"/>
        </w:rPr>
        <w:t>in connection therewith, the Existing Loan (as</w:t>
      </w:r>
      <w:r>
        <w:rPr>
          <w:rFonts w:ascii="Arial" w:cs="Arial" w:eastAsia="Arial" w:hAnsi="Arial"/>
          <w:sz w:val="22"/>
          <w:szCs w:val="22"/>
          <w:u w:val="single" w:color="auto"/>
          <w:color w:val="0000FF"/>
        </w:rPr>
        <w:t>(as defined in the First Amendmen</w:t>
      </w:r>
      <w:r>
        <w:rPr>
          <w:rFonts w:ascii="Arial" w:cs="Arial" w:eastAsia="Arial" w:hAnsi="Arial"/>
          <w:sz w:val="22"/>
          <w:szCs w:val="22"/>
          <w:color w:val="0000FF"/>
        </w:rPr>
        <w:t>t (as</w:t>
      </w:r>
      <w:r>
        <w:rPr>
          <w:rFonts w:ascii="Arial" w:cs="Arial" w:eastAsia="Arial" w:hAnsi="Arial"/>
          <w:sz w:val="22"/>
          <w:szCs w:val="22"/>
          <w:color w:val="FF0000"/>
        </w:rPr>
        <w:t xml:space="preserve"> </w:t>
      </w:r>
      <w:r>
        <w:rPr>
          <w:rFonts w:ascii="Arial" w:cs="Arial" w:eastAsia="Arial" w:hAnsi="Arial"/>
          <w:sz w:val="22"/>
          <w:szCs w:val="22"/>
          <w:color w:val="000000"/>
        </w:rPr>
        <w:t>defined below)</w:t>
      </w:r>
      <w:r>
        <w:rPr>
          <w:rFonts w:ascii="Arial" w:cs="Arial" w:eastAsia="Arial" w:hAnsi="Arial"/>
          <w:sz w:val="22"/>
          <w:szCs w:val="22"/>
          <w:color w:val="FF0000"/>
        </w:rPr>
        <w:t xml:space="preserve"> </w:t>
      </w:r>
      <w:r>
        <w:rPr>
          <w:rFonts w:ascii="Arial" w:cs="Arial" w:eastAsia="Arial" w:hAnsi="Arial"/>
          <w:sz w:val="22"/>
          <w:szCs w:val="22"/>
          <w:color w:val="FF0000"/>
          <w:strike w:val="1"/>
        </w:rPr>
        <w:t>shall be repaid in</w:t>
      </w:r>
      <w:r>
        <w:rPr>
          <w:rFonts w:ascii="Arial" w:cs="Arial" w:eastAsia="Arial" w:hAnsi="Arial"/>
          <w:sz w:val="22"/>
          <w:szCs w:val="22"/>
          <w:color w:val="FF0000"/>
        </w:rPr>
        <w:t xml:space="preserve"> </w:t>
      </w:r>
      <w:r>
        <w:rPr>
          <w:rFonts w:ascii="Arial" w:cs="Arial" w:eastAsia="Arial" w:hAnsi="Arial"/>
          <w:sz w:val="22"/>
          <w:szCs w:val="22"/>
          <w:color w:val="FF0000"/>
          <w:strike w:val="1"/>
        </w:rPr>
        <w:t>full</w:t>
      </w:r>
      <w:r>
        <w:rPr>
          <w:rFonts w:ascii="Arial" w:cs="Arial" w:eastAsia="Arial" w:hAnsi="Arial"/>
          <w:sz w:val="22"/>
          <w:szCs w:val="22"/>
          <w:u w:val="single" w:color="auto"/>
          <w:color w:val="0000FF"/>
        </w:rPr>
        <w:t>) as set forth herein</w:t>
      </w:r>
      <w:r>
        <w:rPr>
          <w:rFonts w:ascii="Arial" w:cs="Arial" w:eastAsia="Arial" w:hAnsi="Arial"/>
          <w:sz w:val="22"/>
          <w:szCs w:val="22"/>
          <w:color w:val="000000"/>
        </w:rPr>
        <w:t>;</w:t>
      </w:r>
    </w:p>
    <w:p>
      <w:pPr>
        <w:spacing w:after="0" w:line="186"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FF0000"/>
          <w:strike w:val="1"/>
        </w:rPr>
        <w:t>WHEREAS, each Lender hereunder that was also a lender under the Existing Credit Agreement, by its execution and delivery of this Agreement, hereby waives any breakage costs incurred in connection with the repayment of the Existing Loan pursuant to Section 2.15 (</w:t>
      </w:r>
      <w:r>
        <w:rPr>
          <w:rFonts w:ascii="Arial" w:cs="Arial" w:eastAsia="Arial" w:hAnsi="Arial"/>
          <w:sz w:val="19"/>
          <w:szCs w:val="19"/>
          <w:i w:val="1"/>
          <w:iCs w:val="1"/>
          <w:color w:val="FF0000"/>
          <w:strike w:val="1"/>
        </w:rPr>
        <w:t>Break Funding Payments</w:t>
      </w:r>
      <w:r>
        <w:rPr>
          <w:rFonts w:ascii="Arial" w:cs="Arial" w:eastAsia="Arial" w:hAnsi="Arial"/>
          <w:sz w:val="19"/>
          <w:szCs w:val="19"/>
          <w:color w:val="FF0000"/>
          <w:strike w:val="1"/>
        </w:rPr>
        <w:t>) of the Existing Credit Agreement;</w:t>
      </w:r>
    </w:p>
    <w:p>
      <w:pPr>
        <w:spacing w:after="0" w:line="173" w:lineRule="exact"/>
        <w:rPr>
          <w:sz w:val="20"/>
          <w:szCs w:val="20"/>
          <w:color w:val="auto"/>
        </w:rPr>
      </w:pPr>
    </w:p>
    <w:p>
      <w:pPr>
        <w:jc w:val="both"/>
        <w:ind w:right="60" w:firstLine="648"/>
        <w:spacing w:after="0" w:line="223" w:lineRule="auto"/>
        <w:rPr>
          <w:sz w:val="20"/>
          <w:szCs w:val="20"/>
          <w:color w:val="auto"/>
        </w:rPr>
      </w:pPr>
      <w:r>
        <w:rPr>
          <w:rFonts w:ascii="Arial" w:cs="Arial" w:eastAsia="Arial" w:hAnsi="Arial"/>
          <w:sz w:val="22"/>
          <w:szCs w:val="22"/>
          <w:color w:val="auto"/>
        </w:rPr>
        <w:t xml:space="preserve">WHEREAS, the Lenders have indicated their willingness to agree to such amendments and restatements of the Existing Credit Agreement on the terms and subject to the conditions set forth hereinafter </w:t>
      </w:r>
      <w:r>
        <w:rPr>
          <w:rFonts w:ascii="Arial" w:cs="Arial" w:eastAsia="Arial" w:hAnsi="Arial"/>
          <w:sz w:val="22"/>
          <w:szCs w:val="22"/>
          <w:u w:val="single" w:color="auto"/>
          <w:color w:val="0000FF"/>
        </w:rPr>
        <w:t>and in the First Amendment</w:t>
      </w:r>
      <w:r>
        <w:rPr>
          <w:rFonts w:ascii="Arial" w:cs="Arial" w:eastAsia="Arial" w:hAnsi="Arial"/>
          <w:sz w:val="22"/>
          <w:szCs w:val="22"/>
          <w:color w:val="auto"/>
        </w:rPr>
        <w:t>; and</w:t>
      </w:r>
    </w:p>
    <w:p>
      <w:pPr>
        <w:spacing w:after="0" w:line="186" w:lineRule="exact"/>
        <w:rPr>
          <w:sz w:val="20"/>
          <w:szCs w:val="20"/>
          <w:color w:val="auto"/>
        </w:rPr>
      </w:pPr>
    </w:p>
    <w:p>
      <w:pPr>
        <w:jc w:val="both"/>
        <w:ind w:right="40" w:firstLine="648"/>
        <w:spacing w:after="0" w:line="249" w:lineRule="auto"/>
        <w:rPr>
          <w:sz w:val="20"/>
          <w:szCs w:val="20"/>
          <w:color w:val="auto"/>
        </w:rPr>
      </w:pPr>
      <w:r>
        <w:rPr>
          <w:rFonts w:ascii="Arial" w:cs="Arial" w:eastAsia="Arial" w:hAnsi="Arial"/>
          <w:sz w:val="19"/>
          <w:szCs w:val="19"/>
          <w:color w:val="auto"/>
        </w:rPr>
        <w:t xml:space="preserve">NOW, THEREFORE, in consideration of the premises and the mutual </w:t>
      </w:r>
      <w:r>
        <w:rPr>
          <w:rFonts w:ascii="Arial" w:cs="Arial" w:eastAsia="Arial" w:hAnsi="Arial"/>
          <w:sz w:val="19"/>
          <w:szCs w:val="19"/>
          <w:color w:val="FF0000"/>
          <w:strike w:val="1"/>
        </w:rPr>
        <w:t>covenants contained in this Agreement,</w:t>
      </w:r>
      <w:r>
        <w:rPr>
          <w:rFonts w:ascii="Arial" w:cs="Arial" w:eastAsia="Arial" w:hAnsi="Arial"/>
          <w:sz w:val="19"/>
          <w:szCs w:val="19"/>
          <w:color w:val="auto"/>
        </w:rPr>
        <w:t xml:space="preserve"> </w:t>
      </w:r>
      <w:r>
        <w:rPr>
          <w:rFonts w:ascii="Arial" w:cs="Arial" w:eastAsia="Arial" w:hAnsi="Arial"/>
          <w:sz w:val="19"/>
          <w:szCs w:val="19"/>
          <w:color w:val="FF0000"/>
          <w:strike w:val="1"/>
        </w:rPr>
        <w:t>the parties hereto agree as</w:t>
      </w:r>
      <w:r>
        <w:rPr>
          <w:rFonts w:ascii="Arial" w:cs="Arial" w:eastAsia="Arial" w:hAnsi="Arial"/>
          <w:sz w:val="19"/>
          <w:szCs w:val="19"/>
          <w:u w:val="single" w:color="auto"/>
          <w:color w:val="0000FF"/>
          <w:strike w:val="1"/>
        </w:rPr>
        <w:t>representations, covenants and agreements of the Borrower, the Guarantors, 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Administrative Agent and the lenders, each party hereto hereby promises, covenants and agrees to amend the Existing Credit Agreement with all of the terms, conditions and provisions set forth herein below and all of the terms, conditions and provisions of the Existing Credit Agreement are, subject to the occurrence of the First Amendment Effective Date, hereby deemed superseded, substituted, and replaced by the</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follow</w:t>
      </w:r>
      <w:r>
        <w:rPr>
          <w:rFonts w:ascii="Arial" w:cs="Arial" w:eastAsia="Arial" w:hAnsi="Arial"/>
          <w:sz w:val="19"/>
          <w:szCs w:val="19"/>
          <w:color w:val="FF0000"/>
          <w:strike w:val="1"/>
        </w:rPr>
        <w:t>s</w:t>
      </w:r>
      <w:r>
        <w:rPr>
          <w:rFonts w:ascii="Arial" w:cs="Arial" w:eastAsia="Arial" w:hAnsi="Arial"/>
          <w:sz w:val="19"/>
          <w:szCs w:val="19"/>
          <w:u w:val="single" w:color="auto"/>
          <w:color w:val="0000FF"/>
          <w:strike w:val="1"/>
        </w:rPr>
        <w:t>ing</w:t>
      </w:r>
      <w:r>
        <w:rPr>
          <w:rFonts w:ascii="Arial" w:cs="Arial" w:eastAsia="Arial" w:hAnsi="Arial"/>
          <w:sz w:val="19"/>
          <w:szCs w:val="19"/>
          <w:color w:val="000000"/>
          <w:strike w:val="1"/>
        </w:rPr>
        <w:t>:</w:t>
      </w:r>
    </w:p>
    <w:p>
      <w:pPr>
        <w:sectPr>
          <w:pgSz w:w="11900" w:h="16838" w:orient="portrait"/>
          <w:cols w:equalWidth="0" w:num="1">
            <w:col w:w="10440"/>
          </w:cols>
          <w:pgMar w:left="1020" w:top="1395" w:right="439" w:bottom="1440" w:gutter="0" w:footer="0" w:header="0"/>
        </w:sectPr>
      </w:pPr>
    </w:p>
    <w:bookmarkStart w:id="101" w:name="page102"/>
    <w:bookmarkEnd w:id="101"/>
    <w:p>
      <w:pPr>
        <w:ind w:left="4420"/>
        <w:spacing w:after="0"/>
        <w:rPr>
          <w:sz w:val="20"/>
          <w:szCs w:val="20"/>
          <w:color w:val="auto"/>
        </w:rPr>
      </w:pPr>
      <w:r>
        <w:rPr>
          <w:rFonts w:ascii="Arial" w:cs="Arial" w:eastAsia="Arial" w:hAnsi="Arial"/>
          <w:sz w:val="22"/>
          <w:szCs w:val="22"/>
          <w:color w:val="auto"/>
        </w:rPr>
        <w:t>ARTICLE I</w:t>
      </w:r>
    </w:p>
    <w:p>
      <w:pPr>
        <w:spacing w:after="0" w:line="214"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640" w:right="260"/>
        <w:spacing w:after="0" w:line="232" w:lineRule="auto"/>
        <w:rPr>
          <w:sz w:val="20"/>
          <w:szCs w:val="20"/>
          <w:color w:val="auto"/>
        </w:rPr>
      </w:pPr>
      <w:r>
        <w:rPr>
          <w:rFonts w:ascii="Arial" w:cs="Arial" w:eastAsia="Arial" w:hAnsi="Arial"/>
          <w:sz w:val="22"/>
          <w:szCs w:val="22"/>
          <w:u w:val="single" w:color="auto"/>
          <w:color w:val="auto"/>
        </w:rPr>
        <w:t>SECTION 1.01 Defined Terms</w:t>
      </w:r>
      <w:r>
        <w:rPr>
          <w:rFonts w:ascii="Arial" w:cs="Arial" w:eastAsia="Arial" w:hAnsi="Arial"/>
          <w:sz w:val="22"/>
          <w:szCs w:val="22"/>
          <w:color w:val="auto"/>
        </w:rPr>
        <w:t>. As used in this Agreement, the following terms have the meanings specified below:</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Entity or Business</w:t>
      </w:r>
      <w:r>
        <w:rPr>
          <w:rFonts w:ascii="Arial" w:cs="Arial" w:eastAsia="Arial" w:hAnsi="Arial"/>
          <w:sz w:val="19"/>
          <w:szCs w:val="19"/>
          <w:color w:val="auto"/>
        </w:rPr>
        <w:t>” means each Person, property, business or assets acquired by the Borrower or a Subsidiary, to the extent not subsequently sold, transferred or otherwise disposed of by the Borrower or such Subsidiary.</w:t>
      </w:r>
    </w:p>
    <w:p>
      <w:pPr>
        <w:spacing w:after="0" w:line="14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Indebtedness</w:t>
      </w:r>
      <w:r>
        <w:rPr>
          <w:rFonts w:ascii="Arial" w:cs="Arial" w:eastAsia="Arial" w:hAnsi="Arial"/>
          <w:sz w:val="22"/>
          <w:szCs w:val="22"/>
          <w:color w:val="auto"/>
        </w:rPr>
        <w:t>” means any Indebtedness of the Loan Parties that has been issued for the purpose of financing, in part, the acquisition of an Acquired Entity or Business.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has the meaning assigned in Section 9.13.</w:t>
      </w:r>
    </w:p>
    <w:p>
      <w:pPr>
        <w:spacing w:after="0" w:line="20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Bank of America (or any of its designated branch offices or Affiliates), in its capacity as administrative agent for the Lenders hereunder, or any successor administrative agent.</w:t>
      </w:r>
    </w:p>
    <w:p>
      <w:pPr>
        <w:spacing w:after="0" w:line="19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means, with respect to any currency, the Administrative Agent’s address and, as appropriate, account as set forth on Schedule 9.01 with respect to such currency, or such other address or account with respect to such currency as the Administrative Agent may from time to time notify the Borrower and the Lenders.</w:t>
      </w:r>
    </w:p>
    <w:p>
      <w:pPr>
        <w:spacing w:after="0" w:line="173"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a form supplied by the Administrative Agent.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23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313" w:lineRule="exact"/>
        <w:rPr>
          <w:sz w:val="20"/>
          <w:szCs w:val="20"/>
          <w:color w:val="auto"/>
        </w:rPr>
      </w:pPr>
    </w:p>
    <w:p>
      <w:pPr>
        <w:ind w:left="640" w:right="900"/>
        <w:spacing w:after="0" w:line="4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 Parties</w:t>
      </w:r>
      <w:r>
        <w:rPr>
          <w:rFonts w:ascii="Arial" w:cs="Arial" w:eastAsia="Arial" w:hAnsi="Arial"/>
          <w:sz w:val="19"/>
          <w:szCs w:val="19"/>
          <w:color w:val="auto"/>
        </w:rPr>
        <w:t>” has the meaning assigned in Section 9.01(c). “</w:t>
      </w:r>
      <w:r>
        <w:rPr>
          <w:rFonts w:ascii="Arial" w:cs="Arial" w:eastAsia="Arial" w:hAnsi="Arial"/>
          <w:sz w:val="19"/>
          <w:szCs w:val="19"/>
          <w:u w:val="single" w:color="auto"/>
          <w:color w:val="auto"/>
        </w:rPr>
        <w:t>Agreed Currency</w:t>
      </w:r>
      <w:r>
        <w:rPr>
          <w:rFonts w:ascii="Arial" w:cs="Arial" w:eastAsia="Arial" w:hAnsi="Arial"/>
          <w:sz w:val="19"/>
          <w:szCs w:val="19"/>
          <w:color w:val="auto"/>
        </w:rPr>
        <w:t>” means Dollars or any Alternative Currency, as applicable. “</w:t>
      </w:r>
      <w:r>
        <w:rPr>
          <w:rFonts w:ascii="Arial" w:cs="Arial" w:eastAsia="Arial" w:hAnsi="Arial"/>
          <w:sz w:val="19"/>
          <w:szCs w:val="19"/>
          <w:u w:val="single" w:color="auto"/>
          <w:color w:val="auto"/>
        </w:rPr>
        <w:t>Agreement</w:t>
      </w:r>
      <w:r>
        <w:rPr>
          <w:rFonts w:ascii="Arial" w:cs="Arial" w:eastAsia="Arial" w:hAnsi="Arial"/>
          <w:sz w:val="19"/>
          <w:szCs w:val="19"/>
          <w:color w:val="auto"/>
        </w:rPr>
        <w:t>” has the meaning assigned in the preamble hereto.</w:t>
      </w:r>
    </w:p>
    <w:p>
      <w:pPr>
        <w:spacing w:after="0" w:line="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Currencies</w:t>
      </w:r>
      <w:r>
        <w:rPr>
          <w:rFonts w:ascii="Arial" w:cs="Arial" w:eastAsia="Arial" w:hAnsi="Arial"/>
          <w:sz w:val="22"/>
          <w:szCs w:val="22"/>
          <w:color w:val="auto"/>
        </w:rPr>
        <w:t>” means (a) Euro, (b) Sterling, (c) Yen and (d) each other currency (other than Dollars) approved in accordance with Section 1.08.</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 Daily Rate</w:t>
      </w:r>
      <w:r>
        <w:rPr>
          <w:rFonts w:ascii="Arial" w:cs="Arial" w:eastAsia="Arial" w:hAnsi="Arial"/>
          <w:sz w:val="22"/>
          <w:szCs w:val="22"/>
          <w:color w:val="auto"/>
        </w:rPr>
        <w:t>” means, for any day, with respect to any Credit Event:</w:t>
      </w:r>
    </w:p>
    <w:p>
      <w:pPr>
        <w:spacing w:after="0" w:line="220" w:lineRule="exact"/>
        <w:rPr>
          <w:sz w:val="20"/>
          <w:szCs w:val="20"/>
          <w:color w:val="auto"/>
        </w:rPr>
      </w:pPr>
    </w:p>
    <w:p>
      <w:pPr>
        <w:ind w:right="40" w:firstLine="1288"/>
        <w:spacing w:after="0" w:line="232" w:lineRule="auto"/>
        <w:tabs>
          <w:tab w:leader="none" w:pos="19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denominated in Sterling, the rate per annum equal to SONIA determined pursuant to the definition thereof plus the SONIA Adjustment; and</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jc w:val="both"/>
        <w:ind w:firstLine="1288"/>
        <w:spacing w:after="0" w:line="218" w:lineRule="auto"/>
        <w:tabs>
          <w:tab w:leader="none" w:pos="1899" w:val="left"/>
        </w:tabs>
        <w:numPr>
          <w:ilvl w:val="0"/>
          <w:numId w:val="64"/>
        </w:numPr>
        <w:rPr>
          <w:rFonts w:ascii="Arial" w:cs="Arial" w:eastAsia="Arial" w:hAnsi="Arial"/>
          <w:sz w:val="22"/>
          <w:szCs w:val="22"/>
          <w:color w:val="auto"/>
        </w:rPr>
      </w:pPr>
      <w:r>
        <w:rPr>
          <w:rFonts w:ascii="Arial" w:cs="Arial" w:eastAsia="Arial" w:hAnsi="Arial"/>
          <w:sz w:val="22"/>
          <w:szCs w:val="22"/>
          <w:color w:val="auto"/>
        </w:rPr>
        <w:t>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Section 1.08(a) plus</w:t>
      </w:r>
    </w:p>
    <w:p>
      <w:pPr>
        <w:sectPr>
          <w:pgSz w:w="11900" w:h="16838" w:orient="portrait"/>
          <w:cols w:equalWidth="0" w:num="1">
            <w:col w:w="10440"/>
          </w:cols>
          <w:pgMar w:left="1020" w:top="1401" w:right="43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the adjustment (if any) determined by the Administrative Agent and the relevant Lenders pursuant to Section 1.08(a);</w:t>
      </w:r>
    </w:p>
    <w:p>
      <w:pPr>
        <w:spacing w:after="0" w:line="25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if any Alternative Currency Daily Rate shall be less than zero percent (0%), such rate shall be deemed zero percent (0%) for purposes of this Agreement. Any change in any Alternative Currency Daily Rate shall be effective from and including the date of such change without further notice.</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 Daily Rate Loan</w:t>
      </w:r>
      <w:r>
        <w:rPr>
          <w:rFonts w:ascii="Arial" w:cs="Arial" w:eastAsia="Arial" w:hAnsi="Arial"/>
          <w:sz w:val="22"/>
          <w:szCs w:val="22"/>
          <w:color w:val="auto"/>
        </w:rPr>
        <w:t>” means a Loan that bears interest at a rate based on the definition of “Alternative Currency Daily Rate.” All Alternative Currency Daily Rate Loans must be denominated in an Alternative Currency.</w:t>
      </w:r>
    </w:p>
    <w:p>
      <w:pPr>
        <w:spacing w:after="0" w:line="19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Equivalent</w:t>
      </w:r>
      <w:r>
        <w:rPr>
          <w:rFonts w:ascii="Arial" w:cs="Arial" w:eastAsia="Arial" w:hAnsi="Arial"/>
          <w:sz w:val="19"/>
          <w:szCs w:val="19"/>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 Loan</w:t>
      </w:r>
      <w:r>
        <w:rPr>
          <w:rFonts w:ascii="Arial" w:cs="Arial" w:eastAsia="Arial" w:hAnsi="Arial"/>
          <w:sz w:val="22"/>
          <w:szCs w:val="22"/>
          <w:color w:val="auto"/>
        </w:rPr>
        <w:t>” means an Alternative Currency Daily Rate Loan or an Alternative Currency Term Rate Loan, as applicable.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 Term Rate</w:t>
      </w:r>
      <w:r>
        <w:rPr>
          <w:rFonts w:ascii="Arial" w:cs="Arial" w:eastAsia="Arial" w:hAnsi="Arial"/>
          <w:sz w:val="22"/>
          <w:szCs w:val="22"/>
          <w:color w:val="auto"/>
        </w:rPr>
        <w:t>” means, for any Interest Period, with respect to any Credit Event:</w:t>
      </w:r>
    </w:p>
    <w:p>
      <w:pPr>
        <w:spacing w:after="0" w:line="287" w:lineRule="exact"/>
        <w:rPr>
          <w:sz w:val="20"/>
          <w:szCs w:val="20"/>
          <w:color w:val="auto"/>
        </w:rPr>
      </w:pPr>
    </w:p>
    <w:p>
      <w:pPr>
        <w:jc w:val="both"/>
        <w:ind w:firstLine="1288"/>
        <w:spacing w:after="0" w:line="257" w:lineRule="auto"/>
        <w:tabs>
          <w:tab w:leader="none" w:pos="19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denominated in Euros, the rate per annum equal to the Euro Interbank Offered Rate (“</w:t>
      </w:r>
      <w:r>
        <w:rPr>
          <w:rFonts w:ascii="Arial" w:cs="Arial" w:eastAsia="Arial" w:hAnsi="Arial"/>
          <w:sz w:val="19"/>
          <w:szCs w:val="19"/>
          <w:u w:val="single" w:color="auto"/>
          <w:color w:val="auto"/>
        </w:rPr>
        <w:t>EURIBOR</w:t>
      </w:r>
      <w:r>
        <w:rPr>
          <w:rFonts w:ascii="Arial" w:cs="Arial" w:eastAsia="Arial" w:hAnsi="Arial"/>
          <w:sz w:val="19"/>
          <w:szCs w:val="19"/>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84" w:lineRule="exact"/>
        <w:rPr>
          <w:rFonts w:ascii="Arial" w:cs="Arial" w:eastAsia="Arial" w:hAnsi="Arial"/>
          <w:sz w:val="19"/>
          <w:szCs w:val="19"/>
          <w:color w:val="auto"/>
        </w:rPr>
      </w:pPr>
    </w:p>
    <w:p>
      <w:pPr>
        <w:jc w:val="both"/>
        <w:ind w:firstLine="1288"/>
        <w:spacing w:after="0" w:line="218" w:lineRule="auto"/>
        <w:tabs>
          <w:tab w:leader="none" w:pos="1899" w:val="left"/>
        </w:tabs>
        <w:numPr>
          <w:ilvl w:val="0"/>
          <w:numId w:val="65"/>
        </w:numPr>
        <w:rPr>
          <w:rFonts w:ascii="Arial" w:cs="Arial" w:eastAsia="Arial" w:hAnsi="Arial"/>
          <w:sz w:val="22"/>
          <w:szCs w:val="22"/>
          <w:color w:val="auto"/>
        </w:rPr>
      </w:pPr>
      <w:r>
        <w:rPr>
          <w:rFonts w:ascii="Arial" w:cs="Arial" w:eastAsia="Arial" w:hAnsi="Arial"/>
          <w:sz w:val="22"/>
          <w:szCs w:val="22"/>
          <w:color w:val="auto"/>
        </w:rPr>
        <w:t>denominated in Japanese Yen, the rate per annum equal to the Tokyo Interbank Offer Rate (“</w:t>
      </w:r>
      <w:r>
        <w:rPr>
          <w:rFonts w:ascii="Arial" w:cs="Arial" w:eastAsia="Arial" w:hAnsi="Arial"/>
          <w:sz w:val="22"/>
          <w:szCs w:val="22"/>
          <w:u w:val="single" w:color="auto"/>
          <w:color w:val="auto"/>
        </w:rPr>
        <w:t>TIBOR</w:t>
      </w:r>
      <w:r>
        <w:rPr>
          <w:rFonts w:ascii="Arial" w:cs="Arial" w:eastAsia="Arial" w:hAnsi="Arial"/>
          <w:sz w:val="22"/>
          <w:szCs w:val="22"/>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and</w:t>
      </w:r>
    </w:p>
    <w:p>
      <w:pPr>
        <w:spacing w:after="0" w:line="201" w:lineRule="exact"/>
        <w:rPr>
          <w:rFonts w:ascii="Arial" w:cs="Arial" w:eastAsia="Arial" w:hAnsi="Arial"/>
          <w:sz w:val="22"/>
          <w:szCs w:val="22"/>
          <w:color w:val="auto"/>
        </w:rPr>
      </w:pPr>
    </w:p>
    <w:p>
      <w:pPr>
        <w:jc w:val="both"/>
        <w:ind w:firstLine="1288"/>
        <w:spacing w:after="0" w:line="218" w:lineRule="auto"/>
        <w:tabs>
          <w:tab w:leader="none" w:pos="19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Section 1.08(a);</w:t>
      </w:r>
    </w:p>
    <w:p>
      <w:pPr>
        <w:spacing w:after="0" w:line="188" w:lineRule="exact"/>
        <w:rPr>
          <w:sz w:val="20"/>
          <w:szCs w:val="20"/>
          <w:color w:val="auto"/>
        </w:rPr>
      </w:pPr>
    </w:p>
    <w:p>
      <w:pPr>
        <w:ind w:right="360"/>
        <w:spacing w:after="0" w:line="23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if any Alternative Currency Term Rate shall be less than zero percent (0%), such rate shall be deemed zero percent (0%) for purposes of this Agreement.</w:t>
      </w:r>
    </w:p>
    <w:p>
      <w:pPr>
        <w:sectPr>
          <w:pgSz w:w="11900" w:h="16838" w:orient="portrait"/>
          <w:cols w:equalWidth="0" w:num="1">
            <w:col w:w="10440"/>
          </w:cols>
          <w:pgMar w:left="1020" w:top="1401" w:right="439" w:bottom="1440" w:gutter="0" w:footer="0" w:header="0"/>
        </w:sectPr>
      </w:pPr>
    </w:p>
    <w:bookmarkStart w:id="103" w:name="page104"/>
    <w:bookmarkEnd w:id="103"/>
    <w:p>
      <w:pPr>
        <w:jc w:val="both"/>
        <w:ind w:left="8"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 Term Rate Loan</w:t>
      </w:r>
      <w:r>
        <w:rPr>
          <w:rFonts w:ascii="Arial" w:cs="Arial" w:eastAsia="Arial" w:hAnsi="Arial"/>
          <w:sz w:val="22"/>
          <w:szCs w:val="22"/>
          <w:color w:val="auto"/>
        </w:rPr>
        <w:t>” means a Loan that bears interest at a rate based on the definition of “Alternative Currency Term Rate.” All Alternative Currency Term Rate Loans must be denominated in an Alternative Currency.</w:t>
      </w:r>
    </w:p>
    <w:p>
      <w:pPr>
        <w:spacing w:after="0" w:line="199" w:lineRule="exact"/>
        <w:rPr>
          <w:sz w:val="20"/>
          <w:szCs w:val="20"/>
          <w:color w:val="auto"/>
        </w:rPr>
      </w:pPr>
    </w:p>
    <w:p>
      <w:pPr>
        <w:jc w:val="both"/>
        <w:ind w:left="8" w:firstLine="648"/>
        <w:spacing w:after="0" w:line="21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Authority</w:t>
      </w:r>
      <w:r>
        <w:rPr>
          <w:rFonts w:ascii="Arial" w:cs="Arial" w:eastAsia="Arial" w:hAnsi="Arial"/>
          <w:sz w:val="22"/>
          <w:szCs w:val="22"/>
          <w:color w:val="auto"/>
        </w:rPr>
        <w:t>” means</w:t>
      </w:r>
      <w:r>
        <w:rPr>
          <w:rFonts w:ascii="Arial" w:cs="Arial" w:eastAsia="Arial" w:hAnsi="Arial"/>
          <w:sz w:val="22"/>
          <w:szCs w:val="22"/>
          <w:color w:val="FF0000"/>
        </w:rPr>
        <w:t>,</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 with respect to SOFR, the SOFR Administrator or any Governmental</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Authority having jurisdiction over the Administrative Agent or the SOFR Administrator with respect to its publication of SOFR, in each case acting in such capacity and</w:t>
      </w:r>
    </w:p>
    <w:p>
      <w:pPr>
        <w:spacing w:after="0" w:line="2" w:lineRule="exact"/>
        <w:rPr>
          <w:sz w:val="20"/>
          <w:szCs w:val="20"/>
          <w:color w:val="auto"/>
        </w:rPr>
      </w:pPr>
    </w:p>
    <w:p>
      <w:pPr>
        <w:jc w:val="both"/>
        <w:ind w:left="8" w:right="20" w:hanging="8"/>
        <w:spacing w:after="0" w:line="258" w:lineRule="auto"/>
        <w:tabs>
          <w:tab w:leader="none" w:pos="611" w:val="left"/>
        </w:tabs>
        <w:numPr>
          <w:ilvl w:val="0"/>
          <w:numId w:val="66"/>
        </w:numPr>
        <w:rPr>
          <w:rFonts w:ascii="Arial" w:cs="Arial" w:eastAsia="Arial" w:hAnsi="Arial"/>
          <w:sz w:val="19"/>
          <w:szCs w:val="19"/>
          <w:u w:val="single" w:color="auto"/>
          <w:color w:val="auto"/>
        </w:rPr>
      </w:pPr>
      <w:r>
        <w:rPr>
          <w:rFonts w:ascii="Arial" w:cs="Arial" w:eastAsia="Arial" w:hAnsi="Arial"/>
          <w:sz w:val="19"/>
          <w:szCs w:val="19"/>
          <w:color w:val="auto"/>
        </w:rPr>
        <w:t xml:space="preserve">with respect to any Alternative Currency, the applicable administrator for the Relevant Rate for such Alternative Currency or any Governmental Authority having jurisdiction over the Administrative Agent or such administrator </w:t>
      </w:r>
      <w:r>
        <w:rPr>
          <w:rFonts w:ascii="Arial" w:cs="Arial" w:eastAsia="Arial" w:hAnsi="Arial"/>
          <w:sz w:val="19"/>
          <w:szCs w:val="19"/>
          <w:u w:val="single" w:color="auto"/>
          <w:color w:val="0000FF"/>
        </w:rPr>
        <w:t>with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respect to its publication of the applicable Relevant Rate, in each case acting in such capacity</w:t>
      </w:r>
      <w:r>
        <w:rPr>
          <w:rFonts w:ascii="Arial" w:cs="Arial" w:eastAsia="Arial" w:hAnsi="Arial"/>
          <w:sz w:val="19"/>
          <w:szCs w:val="19"/>
          <w:color w:val="000000"/>
        </w:rPr>
        <w:t>.</w:t>
      </w:r>
    </w:p>
    <w:p>
      <w:pPr>
        <w:spacing w:after="0" w:line="87" w:lineRule="exact"/>
        <w:rPr>
          <w:sz w:val="20"/>
          <w:szCs w:val="20"/>
          <w:color w:val="auto"/>
        </w:rPr>
      </w:pPr>
    </w:p>
    <w:p>
      <w:pPr>
        <w:ind w:left="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Foreign Obligor Documents</w:t>
      </w:r>
      <w:r>
        <w:rPr>
          <w:rFonts w:ascii="Arial" w:cs="Arial" w:eastAsia="Arial" w:hAnsi="Arial"/>
          <w:sz w:val="19"/>
          <w:szCs w:val="19"/>
          <w:color w:val="auto"/>
        </w:rPr>
        <w:t>” has the meaning assigned in Section 3.17(a). “</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w:t>
      </w:r>
    </w:p>
    <w:p>
      <w:pPr>
        <w:spacing w:after="0" w:line="322" w:lineRule="exact"/>
        <w:rPr>
          <w:sz w:val="20"/>
          <w:szCs w:val="20"/>
          <w:color w:val="auto"/>
        </w:rPr>
      </w:pPr>
    </w:p>
    <w:p>
      <w:pPr>
        <w:ind w:left="648"/>
        <w:spacing w:after="0"/>
        <w:rPr>
          <w:sz w:val="20"/>
          <w:szCs w:val="20"/>
          <w:color w:val="auto"/>
        </w:rPr>
      </w:pPr>
      <w:r>
        <w:rPr>
          <w:rFonts w:ascii="Arial" w:cs="Arial" w:eastAsia="Arial" w:hAnsi="Arial"/>
          <w:sz w:val="22"/>
          <w:szCs w:val="22"/>
          <w:color w:val="auto"/>
        </w:rPr>
        <w:t>means, with respect to any Lender at any time, a percentage</w:t>
      </w:r>
    </w:p>
    <w:p>
      <w:pPr>
        <w:spacing w:after="0" w:line="112" w:lineRule="exact"/>
        <w:rPr>
          <w:sz w:val="20"/>
          <w:szCs w:val="20"/>
          <w:color w:val="auto"/>
        </w:rPr>
      </w:pPr>
    </w:p>
    <w:p>
      <w:pPr>
        <w:jc w:val="both"/>
        <w:ind w:left="8" w:right="20"/>
        <w:spacing w:after="0" w:line="218" w:lineRule="auto"/>
        <w:rPr>
          <w:sz w:val="20"/>
          <w:szCs w:val="20"/>
          <w:color w:val="auto"/>
        </w:rPr>
      </w:pPr>
      <w:r>
        <w:rPr>
          <w:rFonts w:ascii="Arial" w:cs="Arial" w:eastAsia="Arial" w:hAnsi="Arial"/>
          <w:sz w:val="22"/>
          <w:szCs w:val="22"/>
          <w:color w:val="auto"/>
        </w:rPr>
        <w:t>equal to a fraction the numerator of which is such Lender’s Revolving Commitment at that time and the denominator of which is the aggregate Revolving Commitments of all Revolving Lenders at that time (if the Revolving Commitments have terminated or expired, the Applicable Percentages shall be determined based upon such Lender’s share of the aggregate Revolving Credit Exposures at that time).</w:t>
      </w:r>
    </w:p>
    <w:p>
      <w:pPr>
        <w:spacing w:after="0" w:line="201" w:lineRule="exact"/>
        <w:rPr>
          <w:sz w:val="20"/>
          <w:szCs w:val="20"/>
          <w:color w:val="auto"/>
        </w:rPr>
      </w:pPr>
    </w:p>
    <w:p>
      <w:pPr>
        <w:jc w:val="both"/>
        <w:ind w:left="8"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Rate</w:t>
      </w:r>
      <w:r>
        <w:rPr>
          <w:rFonts w:ascii="Arial" w:cs="Arial" w:eastAsia="Arial" w:hAnsi="Arial"/>
          <w:sz w:val="22"/>
          <w:szCs w:val="22"/>
          <w:color w:val="auto"/>
        </w:rPr>
        <w:t>” means, from time to time, the following percentages per annum, based upon the Debt Rating as set forth below:</w:t>
      </w:r>
    </w:p>
    <w:p>
      <w:pPr>
        <w:sectPr>
          <w:pgSz w:w="11900" w:h="16838" w:orient="portrait"/>
          <w:cols w:equalWidth="0" w:num="1">
            <w:col w:w="10388"/>
          </w:cols>
          <w:pgMar w:left="1012" w:top="1401" w:right="49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88"/>
        </w:trPr>
        <w:tc>
          <w:tcPr>
            <w:tcW w:w="980" w:type="dxa"/>
            <w:vAlign w:val="bottom"/>
            <w:tcBorders>
              <w:top w:val="single" w:sz="8" w:color="010101"/>
              <w:left w:val="single" w:sz="8" w:color="010101"/>
              <w:right w:val="single" w:sz="8" w:color="010101"/>
            </w:tcBorders>
          </w:tcPr>
          <w:p>
            <w:pPr>
              <w:spacing w:after="0"/>
              <w:rPr>
                <w:sz w:val="24"/>
                <w:szCs w:val="24"/>
                <w:color w:val="auto"/>
              </w:rPr>
            </w:pPr>
          </w:p>
        </w:tc>
        <w:tc>
          <w:tcPr>
            <w:tcW w:w="140" w:type="dxa"/>
            <w:vAlign w:val="bottom"/>
            <w:tcBorders>
              <w:top w:val="single" w:sz="8" w:color="010101"/>
            </w:tcBorders>
          </w:tcPr>
          <w:p>
            <w:pPr>
              <w:spacing w:after="0"/>
              <w:rPr>
                <w:sz w:val="24"/>
                <w:szCs w:val="24"/>
                <w:color w:val="auto"/>
              </w:rPr>
            </w:pPr>
          </w:p>
        </w:tc>
        <w:tc>
          <w:tcPr>
            <w:tcW w:w="300" w:type="dxa"/>
            <w:vAlign w:val="bottom"/>
            <w:tcBorders>
              <w:top w:val="single" w:sz="8" w:color="010101"/>
            </w:tcBorders>
          </w:tcPr>
          <w:p>
            <w:pPr>
              <w:spacing w:after="0"/>
              <w:rPr>
                <w:sz w:val="24"/>
                <w:szCs w:val="24"/>
                <w:color w:val="auto"/>
              </w:rPr>
            </w:pPr>
          </w:p>
        </w:tc>
        <w:tc>
          <w:tcPr>
            <w:tcW w:w="260" w:type="dxa"/>
            <w:vAlign w:val="bottom"/>
            <w:tcBorders>
              <w:top w:val="single" w:sz="8" w:color="010101"/>
            </w:tcBorders>
          </w:tcPr>
          <w:p>
            <w:pPr>
              <w:spacing w:after="0"/>
              <w:rPr>
                <w:sz w:val="24"/>
                <w:szCs w:val="24"/>
                <w:color w:val="auto"/>
              </w:rPr>
            </w:pPr>
          </w:p>
        </w:tc>
        <w:tc>
          <w:tcPr>
            <w:tcW w:w="140" w:type="dxa"/>
            <w:vAlign w:val="bottom"/>
            <w:tcBorders>
              <w:top w:val="single" w:sz="8" w:color="010101"/>
            </w:tcBorders>
          </w:tcPr>
          <w:p>
            <w:pPr>
              <w:spacing w:after="0"/>
              <w:rPr>
                <w:sz w:val="24"/>
                <w:szCs w:val="24"/>
                <w:color w:val="auto"/>
              </w:rPr>
            </w:pPr>
          </w:p>
        </w:tc>
        <w:tc>
          <w:tcPr>
            <w:tcW w:w="400" w:type="dxa"/>
            <w:vAlign w:val="bottom"/>
            <w:tcBorders>
              <w:top w:val="single" w:sz="8" w:color="010101"/>
              <w:right w:val="single" w:sz="8" w:color="010101"/>
            </w:tcBorders>
          </w:tcPr>
          <w:p>
            <w:pPr>
              <w:spacing w:after="0"/>
              <w:rPr>
                <w:sz w:val="24"/>
                <w:szCs w:val="24"/>
                <w:color w:val="auto"/>
              </w:rPr>
            </w:pPr>
          </w:p>
        </w:tc>
        <w:tc>
          <w:tcPr>
            <w:tcW w:w="1100" w:type="dxa"/>
            <w:vAlign w:val="bottom"/>
            <w:tcBorders>
              <w:top w:val="single" w:sz="8" w:color="010101"/>
              <w:right w:val="single" w:sz="8" w:color="010101"/>
            </w:tcBorders>
          </w:tcPr>
          <w:p>
            <w:pPr>
              <w:spacing w:after="0"/>
              <w:rPr>
                <w:sz w:val="24"/>
                <w:szCs w:val="24"/>
                <w:color w:val="auto"/>
              </w:rPr>
            </w:pPr>
          </w:p>
        </w:tc>
        <w:tc>
          <w:tcPr>
            <w:tcW w:w="2400" w:type="dxa"/>
            <w:vAlign w:val="bottom"/>
            <w:tcBorders>
              <w:top w:val="single" w:sz="8" w:color="010101"/>
              <w:right w:val="single" w:sz="8" w:color="010101"/>
            </w:tcBorders>
            <w:gridSpan w:val="8"/>
          </w:tcPr>
          <w:p>
            <w:pPr>
              <w:jc w:val="center"/>
              <w:ind w:right="20"/>
              <w:spacing w:after="0"/>
              <w:rPr>
                <w:sz w:val="20"/>
                <w:szCs w:val="20"/>
                <w:color w:val="auto"/>
              </w:rPr>
            </w:pPr>
            <w:r>
              <w:rPr>
                <w:rFonts w:ascii="Arial" w:cs="Arial" w:eastAsia="Arial" w:hAnsi="Arial"/>
                <w:sz w:val="20"/>
                <w:szCs w:val="20"/>
                <w:b w:val="1"/>
                <w:bCs w:val="1"/>
                <w:color w:val="auto"/>
                <w:w w:val="91"/>
              </w:rPr>
              <w:t>Applicable Rate for</w:t>
            </w:r>
          </w:p>
        </w:tc>
        <w:tc>
          <w:tcPr>
            <w:tcW w:w="2120" w:type="dxa"/>
            <w:vAlign w:val="bottom"/>
            <w:tcBorders>
              <w:top w:val="single" w:sz="8" w:color="010101"/>
              <w:right w:val="single" w:sz="8" w:color="010101"/>
            </w:tcBorders>
          </w:tcPr>
          <w:p>
            <w:pPr>
              <w:spacing w:after="0"/>
              <w:rPr>
                <w:sz w:val="24"/>
                <w:szCs w:val="24"/>
                <w:color w:val="auto"/>
              </w:rPr>
            </w:pPr>
          </w:p>
        </w:tc>
        <w:tc>
          <w:tcPr>
            <w:tcW w:w="1820" w:type="dxa"/>
            <w:vAlign w:val="bottom"/>
            <w:tcBorders>
              <w:top w:val="single" w:sz="8" w:color="010101"/>
              <w:right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80" w:type="dxa"/>
            <w:vAlign w:val="bottom"/>
            <w:tcBorders>
              <w:left w:val="single" w:sz="8" w:color="010101"/>
              <w:right w:val="single" w:sz="8" w:color="010101"/>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right w:val="single" w:sz="8" w:color="010101"/>
            </w:tcBorders>
          </w:tcPr>
          <w:p>
            <w:pPr>
              <w:spacing w:after="0"/>
              <w:rPr>
                <w:sz w:val="19"/>
                <w:szCs w:val="19"/>
                <w:color w:val="auto"/>
              </w:rPr>
            </w:pPr>
          </w:p>
        </w:tc>
        <w:tc>
          <w:tcPr>
            <w:tcW w:w="1100" w:type="dxa"/>
            <w:vAlign w:val="bottom"/>
            <w:tcBorders>
              <w:right w:val="single" w:sz="8" w:color="010101"/>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line="226" w:lineRule="exact"/>
              <w:rPr>
                <w:sz w:val="20"/>
                <w:szCs w:val="20"/>
                <w:color w:val="auto"/>
              </w:rPr>
            </w:pPr>
            <w:r>
              <w:rPr>
                <w:rFonts w:ascii="Arial" w:cs="Arial" w:eastAsia="Arial" w:hAnsi="Arial"/>
                <w:sz w:val="20"/>
                <w:szCs w:val="20"/>
                <w:b w:val="1"/>
                <w:bCs w:val="1"/>
                <w:color w:val="FF0000"/>
                <w:strike w:val="1"/>
                <w:w w:val="89"/>
              </w:rPr>
              <w:t>Eurocurrency</w:t>
            </w:r>
          </w:p>
        </w:tc>
        <w:tc>
          <w:tcPr>
            <w:tcW w:w="840" w:type="dxa"/>
            <w:vAlign w:val="bottom"/>
            <w:tcBorders>
              <w:right w:val="single" w:sz="8" w:color="010101"/>
            </w:tcBorders>
            <w:gridSpan w:val="4"/>
          </w:tcPr>
          <w:p>
            <w:pPr>
              <w:spacing w:after="0" w:line="226" w:lineRule="exact"/>
              <w:rPr>
                <w:sz w:val="20"/>
                <w:szCs w:val="20"/>
                <w:color w:val="auto"/>
              </w:rPr>
            </w:pPr>
            <w:r>
              <w:rPr>
                <w:rFonts w:ascii="Arial" w:cs="Arial" w:eastAsia="Arial" w:hAnsi="Arial"/>
                <w:sz w:val="20"/>
                <w:szCs w:val="20"/>
                <w:b w:val="1"/>
                <w:bCs w:val="1"/>
                <w:color w:val="0000FF"/>
              </w:rPr>
              <w:t>Term</w:t>
            </w:r>
          </w:p>
        </w:tc>
        <w:tc>
          <w:tcPr>
            <w:tcW w:w="2120" w:type="dxa"/>
            <w:vAlign w:val="bottom"/>
            <w:tcBorders>
              <w:right w:val="single" w:sz="8" w:color="010101"/>
            </w:tcBorders>
          </w:tcPr>
          <w:p>
            <w:pPr>
              <w:spacing w:after="0"/>
              <w:rPr>
                <w:sz w:val="19"/>
                <w:szCs w:val="19"/>
                <w:color w:val="auto"/>
              </w:rPr>
            </w:pPr>
          </w:p>
        </w:tc>
        <w:tc>
          <w:tcPr>
            <w:tcW w:w="1820" w:type="dxa"/>
            <w:vAlign w:val="bottom"/>
            <w:tcBorders>
              <w:right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010101"/>
              <w:right w:val="single" w:sz="8" w:color="010101"/>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010101"/>
            </w:tcBorders>
          </w:tcPr>
          <w:p>
            <w:pPr>
              <w:spacing w:after="0"/>
              <w:rPr>
                <w:sz w:val="20"/>
                <w:szCs w:val="20"/>
                <w:color w:val="auto"/>
              </w:rPr>
            </w:pPr>
          </w:p>
        </w:tc>
        <w:tc>
          <w:tcPr>
            <w:tcW w:w="1100" w:type="dxa"/>
            <w:vAlign w:val="bottom"/>
            <w:tcBorders>
              <w:right w:val="single" w:sz="8" w:color="010101"/>
            </w:tcBorders>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Borders>
              <w:bottom w:val="single" w:sz="8" w:color="0000FF"/>
            </w:tcBorders>
          </w:tcPr>
          <w:p>
            <w:pPr>
              <w:jc w:val="center"/>
              <w:spacing w:after="0"/>
              <w:rPr>
                <w:sz w:val="20"/>
                <w:szCs w:val="20"/>
                <w:color w:val="auto"/>
              </w:rPr>
            </w:pPr>
            <w:r>
              <w:rPr>
                <w:rFonts w:ascii="Arial" w:cs="Arial" w:eastAsia="Arial" w:hAnsi="Arial"/>
                <w:sz w:val="20"/>
                <w:szCs w:val="20"/>
                <w:b w:val="1"/>
                <w:bCs w:val="1"/>
                <w:color w:val="0000FF"/>
                <w:w w:val="97"/>
              </w:rPr>
              <w:t>SOFR</w:t>
            </w:r>
          </w:p>
        </w:tc>
        <w:tc>
          <w:tcPr>
            <w:tcW w:w="100" w:type="dxa"/>
            <w:vAlign w:val="bottom"/>
          </w:tcPr>
          <w:p>
            <w:pPr>
              <w:spacing w:after="0"/>
              <w:rPr>
                <w:sz w:val="20"/>
                <w:szCs w:val="20"/>
                <w:color w:val="auto"/>
              </w:rPr>
            </w:pPr>
          </w:p>
        </w:tc>
        <w:tc>
          <w:tcPr>
            <w:tcW w:w="440" w:type="dxa"/>
            <w:vAlign w:val="bottom"/>
            <w:tcBorders>
              <w:top w:val="single" w:sz="8" w:color="0000FF"/>
            </w:tcBorders>
            <w:gridSpan w:val="2"/>
          </w:tcPr>
          <w:p>
            <w:pPr>
              <w:spacing w:after="0"/>
              <w:rPr>
                <w:sz w:val="20"/>
                <w:szCs w:val="20"/>
                <w:color w:val="auto"/>
              </w:rPr>
            </w:pPr>
          </w:p>
        </w:tc>
        <w:tc>
          <w:tcPr>
            <w:tcW w:w="400" w:type="dxa"/>
            <w:vAlign w:val="bottom"/>
            <w:tcBorders>
              <w:right w:val="single" w:sz="8" w:color="010101"/>
            </w:tcBorders>
            <w:gridSpan w:val="2"/>
          </w:tcPr>
          <w:p>
            <w:pPr>
              <w:spacing w:after="0"/>
              <w:rPr>
                <w:sz w:val="20"/>
                <w:szCs w:val="20"/>
                <w:color w:val="auto"/>
              </w:rPr>
            </w:pPr>
          </w:p>
        </w:tc>
        <w:tc>
          <w:tcPr>
            <w:tcW w:w="2120" w:type="dxa"/>
            <w:vAlign w:val="bottom"/>
            <w:tcBorders>
              <w:right w:val="single" w:sz="8" w:color="010101"/>
            </w:tcBorders>
          </w:tcPr>
          <w:p>
            <w:pPr>
              <w:spacing w:after="0"/>
              <w:rPr>
                <w:sz w:val="20"/>
                <w:szCs w:val="20"/>
                <w:color w:val="auto"/>
              </w:rPr>
            </w:pPr>
          </w:p>
        </w:tc>
        <w:tc>
          <w:tcPr>
            <w:tcW w:w="182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Borders>
              <w:left w:val="single" w:sz="8" w:color="010101"/>
              <w:right w:val="single" w:sz="8" w:color="010101"/>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right w:val="single" w:sz="8" w:color="010101"/>
            </w:tcBorders>
          </w:tcPr>
          <w:p>
            <w:pPr>
              <w:spacing w:after="0"/>
              <w:rPr>
                <w:sz w:val="19"/>
                <w:szCs w:val="19"/>
                <w:color w:val="auto"/>
              </w:rPr>
            </w:pPr>
          </w:p>
        </w:tc>
        <w:tc>
          <w:tcPr>
            <w:tcW w:w="1100" w:type="dxa"/>
            <w:vAlign w:val="bottom"/>
            <w:tcBorders>
              <w:right w:val="single" w:sz="8" w:color="010101"/>
            </w:tcBorders>
          </w:tcPr>
          <w:p>
            <w:pPr>
              <w:spacing w:after="0"/>
              <w:rPr>
                <w:sz w:val="19"/>
                <w:szCs w:val="19"/>
                <w:color w:val="auto"/>
              </w:rPr>
            </w:pPr>
          </w:p>
        </w:tc>
        <w:tc>
          <w:tcPr>
            <w:tcW w:w="920" w:type="dxa"/>
            <w:vAlign w:val="bottom"/>
            <w:gridSpan w:val="2"/>
          </w:tcPr>
          <w:p>
            <w:pPr>
              <w:ind w:left="300"/>
              <w:spacing w:after="0" w:line="223" w:lineRule="exact"/>
              <w:rPr>
                <w:sz w:val="20"/>
                <w:szCs w:val="20"/>
                <w:color w:val="auto"/>
              </w:rPr>
            </w:pPr>
            <w:r>
              <w:rPr>
                <w:rFonts w:ascii="Arial" w:cs="Arial" w:eastAsia="Arial" w:hAnsi="Arial"/>
                <w:sz w:val="20"/>
                <w:szCs w:val="20"/>
                <w:b w:val="1"/>
                <w:bCs w:val="1"/>
                <w:color w:val="auto"/>
                <w:w w:val="93"/>
              </w:rPr>
              <w:t>Loans,</w:t>
            </w:r>
          </w:p>
        </w:tc>
        <w:tc>
          <w:tcPr>
            <w:tcW w:w="640" w:type="dxa"/>
            <w:vAlign w:val="bottom"/>
            <w:gridSpan w:val="2"/>
          </w:tcPr>
          <w:p>
            <w:pPr>
              <w:jc w:val="right"/>
              <w:spacing w:after="0" w:line="223" w:lineRule="exact"/>
              <w:rPr>
                <w:sz w:val="20"/>
                <w:szCs w:val="20"/>
                <w:color w:val="auto"/>
              </w:rPr>
            </w:pPr>
            <w:r>
              <w:rPr>
                <w:rFonts w:ascii="Arial" w:cs="Arial" w:eastAsia="Arial" w:hAnsi="Arial"/>
                <w:sz w:val="20"/>
                <w:szCs w:val="20"/>
                <w:b w:val="1"/>
                <w:bCs w:val="1"/>
                <w:color w:val="FF0000"/>
                <w:strike w:val="1"/>
                <w:w w:val="99"/>
              </w:rPr>
              <w:t>LIBOR</w:t>
            </w:r>
          </w:p>
        </w:tc>
        <w:tc>
          <w:tcPr>
            <w:tcW w:w="20" w:type="dxa"/>
            <w:vAlign w:val="bottom"/>
          </w:tcPr>
          <w:p>
            <w:pPr>
              <w:spacing w:after="0"/>
              <w:rPr>
                <w:sz w:val="19"/>
                <w:szCs w:val="19"/>
                <w:color w:val="auto"/>
              </w:rPr>
            </w:pPr>
          </w:p>
        </w:tc>
        <w:tc>
          <w:tcPr>
            <w:tcW w:w="820" w:type="dxa"/>
            <w:vAlign w:val="bottom"/>
            <w:tcBorders>
              <w:right w:val="single" w:sz="8" w:color="010101"/>
            </w:tcBorders>
            <w:gridSpan w:val="3"/>
          </w:tcPr>
          <w:p>
            <w:pPr>
              <w:spacing w:after="0" w:line="223" w:lineRule="exact"/>
              <w:rPr>
                <w:sz w:val="20"/>
                <w:szCs w:val="20"/>
                <w:color w:val="auto"/>
              </w:rPr>
            </w:pPr>
            <w:r>
              <w:rPr>
                <w:rFonts w:ascii="Arial" w:cs="Arial" w:eastAsia="Arial" w:hAnsi="Arial"/>
                <w:sz w:val="20"/>
                <w:szCs w:val="20"/>
                <w:b w:val="1"/>
                <w:bCs w:val="1"/>
                <w:color w:val="0000FF"/>
              </w:rPr>
              <w:t>SOFR</w:t>
            </w:r>
          </w:p>
        </w:tc>
        <w:tc>
          <w:tcPr>
            <w:tcW w:w="2120" w:type="dxa"/>
            <w:vAlign w:val="bottom"/>
            <w:tcBorders>
              <w:right w:val="single" w:sz="8" w:color="010101"/>
            </w:tcBorders>
          </w:tcPr>
          <w:p>
            <w:pPr>
              <w:spacing w:after="0"/>
              <w:rPr>
                <w:sz w:val="19"/>
                <w:szCs w:val="19"/>
                <w:color w:val="auto"/>
              </w:rPr>
            </w:pPr>
          </w:p>
        </w:tc>
        <w:tc>
          <w:tcPr>
            <w:tcW w:w="1820" w:type="dxa"/>
            <w:vAlign w:val="bottom"/>
            <w:tcBorders>
              <w:right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Borders>
              <w:left w:val="single" w:sz="8" w:color="010101"/>
              <w:right w:val="single" w:sz="8" w:color="01010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10101"/>
            </w:tcBorders>
          </w:tcPr>
          <w:p>
            <w:pPr>
              <w:spacing w:after="0" w:line="20" w:lineRule="exact"/>
              <w:rPr>
                <w:sz w:val="1"/>
                <w:szCs w:val="1"/>
                <w:color w:val="auto"/>
              </w:rPr>
            </w:pPr>
          </w:p>
        </w:tc>
        <w:tc>
          <w:tcPr>
            <w:tcW w:w="1100" w:type="dxa"/>
            <w:vAlign w:val="bottom"/>
            <w:tcBorders>
              <w:right w:val="single" w:sz="8" w:color="010101"/>
            </w:tcBorders>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10101"/>
            </w:tcBorders>
          </w:tcPr>
          <w:p>
            <w:pPr>
              <w:spacing w:after="0" w:line="20" w:lineRule="exact"/>
              <w:rPr>
                <w:sz w:val="1"/>
                <w:szCs w:val="1"/>
                <w:color w:val="auto"/>
              </w:rPr>
            </w:pPr>
          </w:p>
        </w:tc>
        <w:tc>
          <w:tcPr>
            <w:tcW w:w="2120" w:type="dxa"/>
            <w:vAlign w:val="bottom"/>
            <w:tcBorders>
              <w:right w:val="single" w:sz="8" w:color="010101"/>
            </w:tcBorders>
          </w:tcPr>
          <w:p>
            <w:pPr>
              <w:spacing w:after="0" w:line="20" w:lineRule="exact"/>
              <w:rPr>
                <w:sz w:val="1"/>
                <w:szCs w:val="1"/>
                <w:color w:val="auto"/>
              </w:rPr>
            </w:pPr>
          </w:p>
        </w:tc>
        <w:tc>
          <w:tcPr>
            <w:tcW w:w="1820" w:type="dxa"/>
            <w:vAlign w:val="bottom"/>
            <w:tcBorders>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980" w:type="dxa"/>
            <w:vAlign w:val="bottom"/>
            <w:tcBorders>
              <w:left w:val="single" w:sz="8" w:color="010101"/>
              <w:right w:val="single" w:sz="8" w:color="010101"/>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010101"/>
            </w:tcBorders>
          </w:tcPr>
          <w:p>
            <w:pPr>
              <w:spacing w:after="0"/>
              <w:rPr>
                <w:sz w:val="24"/>
                <w:szCs w:val="24"/>
                <w:color w:val="auto"/>
              </w:rPr>
            </w:pPr>
          </w:p>
        </w:tc>
        <w:tc>
          <w:tcPr>
            <w:tcW w:w="1100" w:type="dxa"/>
            <w:vAlign w:val="bottom"/>
            <w:tcBorders>
              <w:right w:val="single" w:sz="8" w:color="010101"/>
            </w:tcBorders>
          </w:tcPr>
          <w:p>
            <w:pPr>
              <w:spacing w:after="0"/>
              <w:rPr>
                <w:sz w:val="24"/>
                <w:szCs w:val="24"/>
                <w:color w:val="auto"/>
              </w:rPr>
            </w:pPr>
          </w:p>
        </w:tc>
        <w:tc>
          <w:tcPr>
            <w:tcW w:w="2400" w:type="dxa"/>
            <w:vAlign w:val="bottom"/>
            <w:tcBorders>
              <w:right w:val="single" w:sz="8" w:color="010101"/>
            </w:tcBorders>
            <w:gridSpan w:val="8"/>
          </w:tcPr>
          <w:p>
            <w:pPr>
              <w:jc w:val="center"/>
              <w:ind w:right="20"/>
              <w:spacing w:after="0"/>
              <w:rPr>
                <w:sz w:val="20"/>
                <w:szCs w:val="20"/>
                <w:color w:val="auto"/>
              </w:rPr>
            </w:pPr>
            <w:r>
              <w:rPr>
                <w:rFonts w:ascii="Arial" w:cs="Arial" w:eastAsia="Arial" w:hAnsi="Arial"/>
                <w:sz w:val="20"/>
                <w:szCs w:val="20"/>
                <w:b w:val="1"/>
                <w:bCs w:val="1"/>
                <w:color w:val="auto"/>
                <w:w w:val="92"/>
              </w:rPr>
              <w:t>Daily Floating Rate</w:t>
            </w:r>
          </w:p>
        </w:tc>
        <w:tc>
          <w:tcPr>
            <w:tcW w:w="2120" w:type="dxa"/>
            <w:vAlign w:val="bottom"/>
            <w:tcBorders>
              <w:right w:val="single" w:sz="8" w:color="010101"/>
            </w:tcBorders>
          </w:tcPr>
          <w:p>
            <w:pPr>
              <w:spacing w:after="0"/>
              <w:rPr>
                <w:sz w:val="24"/>
                <w:szCs w:val="24"/>
                <w:color w:val="auto"/>
              </w:rPr>
            </w:pPr>
          </w:p>
        </w:tc>
        <w:tc>
          <w:tcPr>
            <w:tcW w:w="1820" w:type="dxa"/>
            <w:vAlign w:val="bottom"/>
            <w:tcBorders>
              <w:right w:val="single" w:sz="8" w:color="010101"/>
            </w:tcBorders>
            <w:vMerge w:val="restart"/>
          </w:tcPr>
          <w:p>
            <w:pPr>
              <w:jc w:val="center"/>
              <w:spacing w:after="0"/>
              <w:rPr>
                <w:sz w:val="20"/>
                <w:szCs w:val="20"/>
                <w:color w:val="auto"/>
              </w:rPr>
            </w:pPr>
            <w:r>
              <w:rPr>
                <w:rFonts w:ascii="Arial" w:cs="Arial" w:eastAsia="Arial" w:hAnsi="Arial"/>
                <w:sz w:val="20"/>
                <w:szCs w:val="20"/>
                <w:b w:val="1"/>
                <w:bCs w:val="1"/>
                <w:color w:val="auto"/>
                <w:w w:val="90"/>
              </w:rPr>
              <w:t>Applicable Rate</w:t>
            </w:r>
          </w:p>
        </w:tc>
        <w:tc>
          <w:tcPr>
            <w:tcW w:w="0" w:type="dxa"/>
            <w:vAlign w:val="bottom"/>
          </w:tcPr>
          <w:p>
            <w:pPr>
              <w:spacing w:after="0"/>
              <w:rPr>
                <w:sz w:val="1"/>
                <w:szCs w:val="1"/>
                <w:color w:val="auto"/>
              </w:rPr>
            </w:pPr>
          </w:p>
        </w:tc>
      </w:tr>
      <w:tr>
        <w:trPr>
          <w:trHeight w:val="189"/>
        </w:trPr>
        <w:tc>
          <w:tcPr>
            <w:tcW w:w="980" w:type="dxa"/>
            <w:vAlign w:val="bottom"/>
            <w:tcBorders>
              <w:left w:val="single" w:sz="8" w:color="010101"/>
              <w:right w:val="single" w:sz="8" w:color="010101"/>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010101"/>
            </w:tcBorders>
          </w:tcPr>
          <w:p>
            <w:pPr>
              <w:spacing w:after="0"/>
              <w:rPr>
                <w:sz w:val="16"/>
                <w:szCs w:val="16"/>
                <w:color w:val="auto"/>
              </w:rPr>
            </w:pPr>
          </w:p>
        </w:tc>
        <w:tc>
          <w:tcPr>
            <w:tcW w:w="1100" w:type="dxa"/>
            <w:vAlign w:val="bottom"/>
            <w:tcBorders>
              <w:right w:val="single" w:sz="8" w:color="010101"/>
            </w:tcBorders>
          </w:tcPr>
          <w:p>
            <w:pPr>
              <w:spacing w:after="0"/>
              <w:rPr>
                <w:sz w:val="16"/>
                <w:szCs w:val="16"/>
                <w:color w:val="auto"/>
              </w:rPr>
            </w:pPr>
          </w:p>
        </w:tc>
        <w:tc>
          <w:tcPr>
            <w:tcW w:w="2400" w:type="dxa"/>
            <w:vAlign w:val="bottom"/>
            <w:tcBorders>
              <w:right w:val="single" w:sz="8" w:color="010101"/>
            </w:tcBorders>
            <w:gridSpan w:val="8"/>
            <w:vMerge w:val="restart"/>
          </w:tcPr>
          <w:p>
            <w:pPr>
              <w:jc w:val="center"/>
              <w:ind w:right="20"/>
              <w:spacing w:after="0"/>
              <w:rPr>
                <w:sz w:val="20"/>
                <w:szCs w:val="20"/>
                <w:color w:val="auto"/>
              </w:rPr>
            </w:pPr>
            <w:r>
              <w:rPr>
                <w:rFonts w:ascii="Arial" w:cs="Arial" w:eastAsia="Arial" w:hAnsi="Arial"/>
                <w:sz w:val="20"/>
                <w:szCs w:val="20"/>
                <w:b w:val="1"/>
                <w:bCs w:val="1"/>
                <w:color w:val="auto"/>
                <w:w w:val="90"/>
              </w:rPr>
              <w:t>Loans and Alternative</w:t>
            </w:r>
          </w:p>
        </w:tc>
        <w:tc>
          <w:tcPr>
            <w:tcW w:w="2120" w:type="dxa"/>
            <w:vAlign w:val="bottom"/>
            <w:tcBorders>
              <w:right w:val="single" w:sz="8" w:color="010101"/>
            </w:tcBorders>
          </w:tcPr>
          <w:p>
            <w:pPr>
              <w:spacing w:after="0"/>
              <w:rPr>
                <w:sz w:val="16"/>
                <w:szCs w:val="16"/>
                <w:color w:val="auto"/>
              </w:rPr>
            </w:pPr>
          </w:p>
        </w:tc>
        <w:tc>
          <w:tcPr>
            <w:tcW w:w="1820" w:type="dxa"/>
            <w:vAlign w:val="bottom"/>
            <w:tcBorders>
              <w:right w:val="single" w:sz="8" w:color="010101"/>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980" w:type="dxa"/>
            <w:vAlign w:val="bottom"/>
            <w:tcBorders>
              <w:left w:val="single" w:sz="8" w:color="010101"/>
              <w:right w:val="single" w:sz="8" w:color="010101"/>
            </w:tcBorders>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right w:val="single" w:sz="8" w:color="010101"/>
            </w:tcBorders>
          </w:tcPr>
          <w:p>
            <w:pPr>
              <w:spacing w:after="0"/>
              <w:rPr>
                <w:sz w:val="5"/>
                <w:szCs w:val="5"/>
                <w:color w:val="auto"/>
              </w:rPr>
            </w:pPr>
          </w:p>
        </w:tc>
        <w:tc>
          <w:tcPr>
            <w:tcW w:w="1100" w:type="dxa"/>
            <w:vAlign w:val="bottom"/>
            <w:tcBorders>
              <w:right w:val="single" w:sz="8" w:color="010101"/>
            </w:tcBorders>
          </w:tcPr>
          <w:p>
            <w:pPr>
              <w:spacing w:after="0"/>
              <w:rPr>
                <w:sz w:val="5"/>
                <w:szCs w:val="5"/>
                <w:color w:val="auto"/>
              </w:rPr>
            </w:pPr>
          </w:p>
        </w:tc>
        <w:tc>
          <w:tcPr>
            <w:tcW w:w="2400" w:type="dxa"/>
            <w:vAlign w:val="bottom"/>
            <w:tcBorders>
              <w:right w:val="single" w:sz="8" w:color="010101"/>
            </w:tcBorders>
            <w:gridSpan w:val="8"/>
            <w:vMerge w:val="continue"/>
          </w:tcPr>
          <w:p>
            <w:pPr>
              <w:spacing w:after="0"/>
              <w:rPr>
                <w:sz w:val="5"/>
                <w:szCs w:val="5"/>
                <w:color w:val="auto"/>
              </w:rPr>
            </w:pPr>
          </w:p>
        </w:tc>
        <w:tc>
          <w:tcPr>
            <w:tcW w:w="2120" w:type="dxa"/>
            <w:vAlign w:val="bottom"/>
            <w:tcBorders>
              <w:right w:val="single" w:sz="8" w:color="010101"/>
            </w:tcBorders>
          </w:tcPr>
          <w:p>
            <w:pPr>
              <w:spacing w:after="0"/>
              <w:rPr>
                <w:sz w:val="5"/>
                <w:szCs w:val="5"/>
                <w:color w:val="auto"/>
              </w:rPr>
            </w:pPr>
          </w:p>
        </w:tc>
        <w:tc>
          <w:tcPr>
            <w:tcW w:w="1820" w:type="dxa"/>
            <w:vAlign w:val="bottom"/>
            <w:tcBorders>
              <w:right w:val="single" w:sz="8" w:color="010101"/>
            </w:tcBorders>
            <w:vMerge w:val="restart"/>
          </w:tcPr>
          <w:p>
            <w:pPr>
              <w:jc w:val="center"/>
              <w:spacing w:after="0"/>
              <w:rPr>
                <w:sz w:val="20"/>
                <w:szCs w:val="20"/>
                <w:color w:val="auto"/>
              </w:rPr>
            </w:pPr>
            <w:r>
              <w:rPr>
                <w:rFonts w:ascii="Arial" w:cs="Arial" w:eastAsia="Arial" w:hAnsi="Arial"/>
                <w:sz w:val="20"/>
                <w:szCs w:val="20"/>
                <w:b w:val="1"/>
                <w:bCs w:val="1"/>
                <w:color w:val="auto"/>
                <w:w w:val="88"/>
              </w:rPr>
              <w:t>for Base Rate</w:t>
            </w:r>
          </w:p>
        </w:tc>
        <w:tc>
          <w:tcPr>
            <w:tcW w:w="0" w:type="dxa"/>
            <w:vAlign w:val="bottom"/>
          </w:tcPr>
          <w:p>
            <w:pPr>
              <w:spacing w:after="0"/>
              <w:rPr>
                <w:sz w:val="1"/>
                <w:szCs w:val="1"/>
                <w:color w:val="auto"/>
              </w:rPr>
            </w:pPr>
          </w:p>
        </w:tc>
      </w:tr>
      <w:tr>
        <w:trPr>
          <w:trHeight w:val="203"/>
        </w:trPr>
        <w:tc>
          <w:tcPr>
            <w:tcW w:w="980" w:type="dxa"/>
            <w:vAlign w:val="bottom"/>
            <w:tcBorders>
              <w:left w:val="single" w:sz="8" w:color="010101"/>
              <w:right w:val="single" w:sz="8" w:color="010101"/>
            </w:tcBorders>
            <w:vMerge w:val="restart"/>
          </w:tcPr>
          <w:p>
            <w:pPr>
              <w:jc w:val="right"/>
              <w:ind w:right="141"/>
              <w:spacing w:after="0"/>
              <w:rPr>
                <w:sz w:val="20"/>
                <w:szCs w:val="20"/>
                <w:color w:val="auto"/>
              </w:rPr>
            </w:pPr>
            <w:r>
              <w:rPr>
                <w:rFonts w:ascii="Arial" w:cs="Arial" w:eastAsia="Arial" w:hAnsi="Arial"/>
                <w:sz w:val="20"/>
                <w:szCs w:val="20"/>
                <w:b w:val="1"/>
                <w:bCs w:val="1"/>
                <w:color w:val="auto"/>
              </w:rPr>
              <w:t>Pricing</w:t>
            </w:r>
          </w:p>
        </w:tc>
        <w:tc>
          <w:tcPr>
            <w:tcW w:w="140" w:type="dxa"/>
            <w:vAlign w:val="bottom"/>
          </w:tcPr>
          <w:p>
            <w:pPr>
              <w:spacing w:after="0"/>
              <w:rPr>
                <w:sz w:val="17"/>
                <w:szCs w:val="17"/>
                <w:color w:val="auto"/>
              </w:rPr>
            </w:pPr>
          </w:p>
        </w:tc>
        <w:tc>
          <w:tcPr>
            <w:tcW w:w="1100" w:type="dxa"/>
            <w:vAlign w:val="bottom"/>
            <w:tcBorders>
              <w:right w:val="single" w:sz="8" w:color="010101"/>
            </w:tcBorders>
            <w:gridSpan w:val="4"/>
            <w:vMerge w:val="restart"/>
          </w:tcPr>
          <w:p>
            <w:pPr>
              <w:jc w:val="center"/>
              <w:ind w:right="300"/>
              <w:spacing w:after="0"/>
              <w:rPr>
                <w:sz w:val="20"/>
                <w:szCs w:val="20"/>
                <w:color w:val="auto"/>
              </w:rPr>
            </w:pPr>
            <w:r>
              <w:rPr>
                <w:rFonts w:ascii="Arial" w:cs="Arial" w:eastAsia="Arial" w:hAnsi="Arial"/>
                <w:sz w:val="20"/>
                <w:szCs w:val="20"/>
                <w:b w:val="1"/>
                <w:bCs w:val="1"/>
                <w:color w:val="auto"/>
                <w:w w:val="89"/>
              </w:rPr>
              <w:t>Debt</w:t>
            </w:r>
          </w:p>
        </w:tc>
        <w:tc>
          <w:tcPr>
            <w:tcW w:w="1100" w:type="dxa"/>
            <w:vAlign w:val="bottom"/>
            <w:tcBorders>
              <w:right w:val="single" w:sz="8" w:color="010101"/>
            </w:tcBorders>
            <w:vMerge w:val="restart"/>
          </w:tcPr>
          <w:p>
            <w:pPr>
              <w:jc w:val="center"/>
              <w:ind w:right="101"/>
              <w:spacing w:after="0"/>
              <w:rPr>
                <w:sz w:val="20"/>
                <w:szCs w:val="20"/>
                <w:color w:val="auto"/>
              </w:rPr>
            </w:pPr>
            <w:r>
              <w:rPr>
                <w:rFonts w:ascii="Arial" w:cs="Arial" w:eastAsia="Arial" w:hAnsi="Arial"/>
                <w:sz w:val="20"/>
                <w:szCs w:val="20"/>
                <w:b w:val="1"/>
                <w:bCs w:val="1"/>
                <w:color w:val="auto"/>
                <w:w w:val="89"/>
              </w:rPr>
              <w:t>Facility</w:t>
            </w:r>
          </w:p>
        </w:tc>
        <w:tc>
          <w:tcPr>
            <w:tcW w:w="380" w:type="dxa"/>
            <w:vAlign w:val="bottom"/>
          </w:tcPr>
          <w:p>
            <w:pPr>
              <w:spacing w:after="0"/>
              <w:rPr>
                <w:sz w:val="17"/>
                <w:szCs w:val="17"/>
                <w:color w:val="auto"/>
              </w:rPr>
            </w:pPr>
          </w:p>
        </w:tc>
        <w:tc>
          <w:tcPr>
            <w:tcW w:w="2020" w:type="dxa"/>
            <w:vAlign w:val="bottom"/>
            <w:tcBorders>
              <w:right w:val="single" w:sz="8" w:color="010101"/>
            </w:tcBorders>
            <w:gridSpan w:val="7"/>
            <w:vMerge w:val="restart"/>
          </w:tcPr>
          <w:p>
            <w:pPr>
              <w:jc w:val="center"/>
              <w:ind w:right="400"/>
              <w:spacing w:after="0"/>
              <w:rPr>
                <w:sz w:val="20"/>
                <w:szCs w:val="20"/>
                <w:color w:val="auto"/>
              </w:rPr>
            </w:pPr>
            <w:r>
              <w:rPr>
                <w:rFonts w:ascii="Arial" w:cs="Arial" w:eastAsia="Arial" w:hAnsi="Arial"/>
                <w:sz w:val="20"/>
                <w:szCs w:val="20"/>
                <w:b w:val="1"/>
                <w:bCs w:val="1"/>
                <w:color w:val="auto"/>
                <w:w w:val="90"/>
              </w:rPr>
              <w:t>Currency Loans</w:t>
            </w:r>
          </w:p>
        </w:tc>
        <w:tc>
          <w:tcPr>
            <w:tcW w:w="2120" w:type="dxa"/>
            <w:vAlign w:val="bottom"/>
            <w:tcBorders>
              <w:right w:val="single" w:sz="8" w:color="010101"/>
            </w:tcBorders>
            <w:vMerge w:val="restart"/>
          </w:tcPr>
          <w:p>
            <w:pPr>
              <w:jc w:val="center"/>
              <w:ind w:right="161"/>
              <w:spacing w:after="0"/>
              <w:rPr>
                <w:sz w:val="20"/>
                <w:szCs w:val="20"/>
                <w:color w:val="auto"/>
              </w:rPr>
            </w:pPr>
            <w:r>
              <w:rPr>
                <w:rFonts w:ascii="Arial" w:cs="Arial" w:eastAsia="Arial" w:hAnsi="Arial"/>
                <w:sz w:val="20"/>
                <w:szCs w:val="20"/>
                <w:b w:val="1"/>
                <w:bCs w:val="1"/>
                <w:color w:val="auto"/>
                <w:w w:val="93"/>
              </w:rPr>
              <w:t>Letter of Credit</w:t>
            </w:r>
          </w:p>
        </w:tc>
        <w:tc>
          <w:tcPr>
            <w:tcW w:w="1820" w:type="dxa"/>
            <w:vAlign w:val="bottom"/>
            <w:tcBorders>
              <w:right w:val="single" w:sz="8" w:color="010101"/>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980" w:type="dxa"/>
            <w:vAlign w:val="bottom"/>
            <w:tcBorders>
              <w:left w:val="single" w:sz="8" w:color="010101"/>
              <w:right w:val="single" w:sz="8" w:color="010101"/>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Borders>
              <w:right w:val="single" w:sz="8" w:color="010101"/>
            </w:tcBorders>
            <w:gridSpan w:val="4"/>
            <w:vMerge w:val="continue"/>
          </w:tcPr>
          <w:p>
            <w:pPr>
              <w:spacing w:after="0"/>
              <w:rPr>
                <w:sz w:val="5"/>
                <w:szCs w:val="5"/>
                <w:color w:val="auto"/>
              </w:rPr>
            </w:pPr>
          </w:p>
        </w:tc>
        <w:tc>
          <w:tcPr>
            <w:tcW w:w="1100" w:type="dxa"/>
            <w:vAlign w:val="bottom"/>
            <w:tcBorders>
              <w:right w:val="single" w:sz="8" w:color="010101"/>
            </w:tcBorders>
            <w:vMerge w:val="continue"/>
          </w:tcPr>
          <w:p>
            <w:pPr>
              <w:spacing w:after="0"/>
              <w:rPr>
                <w:sz w:val="5"/>
                <w:szCs w:val="5"/>
                <w:color w:val="auto"/>
              </w:rPr>
            </w:pPr>
          </w:p>
        </w:tc>
        <w:tc>
          <w:tcPr>
            <w:tcW w:w="380" w:type="dxa"/>
            <w:vAlign w:val="bottom"/>
          </w:tcPr>
          <w:p>
            <w:pPr>
              <w:spacing w:after="0"/>
              <w:rPr>
                <w:sz w:val="5"/>
                <w:szCs w:val="5"/>
                <w:color w:val="auto"/>
              </w:rPr>
            </w:pPr>
          </w:p>
        </w:tc>
        <w:tc>
          <w:tcPr>
            <w:tcW w:w="2020" w:type="dxa"/>
            <w:vAlign w:val="bottom"/>
            <w:tcBorders>
              <w:right w:val="single" w:sz="8" w:color="010101"/>
            </w:tcBorders>
            <w:gridSpan w:val="7"/>
            <w:vMerge w:val="continue"/>
          </w:tcPr>
          <w:p>
            <w:pPr>
              <w:spacing w:after="0"/>
              <w:rPr>
                <w:sz w:val="5"/>
                <w:szCs w:val="5"/>
                <w:color w:val="auto"/>
              </w:rPr>
            </w:pPr>
          </w:p>
        </w:tc>
        <w:tc>
          <w:tcPr>
            <w:tcW w:w="2120" w:type="dxa"/>
            <w:vAlign w:val="bottom"/>
            <w:tcBorders>
              <w:right w:val="single" w:sz="8" w:color="010101"/>
            </w:tcBorders>
            <w:vMerge w:val="continue"/>
          </w:tcPr>
          <w:p>
            <w:pPr>
              <w:spacing w:after="0"/>
              <w:rPr>
                <w:sz w:val="5"/>
                <w:szCs w:val="5"/>
                <w:color w:val="auto"/>
              </w:rPr>
            </w:pPr>
          </w:p>
        </w:tc>
        <w:tc>
          <w:tcPr>
            <w:tcW w:w="1820" w:type="dxa"/>
            <w:vAlign w:val="bottom"/>
            <w:tcBorders>
              <w:right w:val="single" w:sz="8" w:color="010101"/>
            </w:tcBorders>
            <w:vMerge w:val="restart"/>
          </w:tcPr>
          <w:p>
            <w:pPr>
              <w:jc w:val="center"/>
              <w:spacing w:after="0"/>
              <w:rPr>
                <w:sz w:val="20"/>
                <w:szCs w:val="20"/>
                <w:color w:val="auto"/>
              </w:rPr>
            </w:pPr>
            <w:r>
              <w:rPr>
                <w:rFonts w:ascii="Arial" w:cs="Arial" w:eastAsia="Arial" w:hAnsi="Arial"/>
                <w:sz w:val="20"/>
                <w:szCs w:val="20"/>
                <w:b w:val="1"/>
                <w:bCs w:val="1"/>
                <w:color w:val="auto"/>
                <w:w w:val="87"/>
              </w:rPr>
              <w:t>Loans and</w:t>
            </w:r>
          </w:p>
        </w:tc>
        <w:tc>
          <w:tcPr>
            <w:tcW w:w="0" w:type="dxa"/>
            <w:vAlign w:val="bottom"/>
          </w:tcPr>
          <w:p>
            <w:pPr>
              <w:spacing w:after="0"/>
              <w:rPr>
                <w:sz w:val="1"/>
                <w:szCs w:val="1"/>
                <w:color w:val="auto"/>
              </w:rPr>
            </w:pPr>
          </w:p>
        </w:tc>
      </w:tr>
      <w:tr>
        <w:trPr>
          <w:trHeight w:val="162"/>
        </w:trPr>
        <w:tc>
          <w:tcPr>
            <w:tcW w:w="980" w:type="dxa"/>
            <w:vAlign w:val="bottom"/>
            <w:tcBorders>
              <w:left w:val="single" w:sz="8" w:color="010101"/>
              <w:right w:val="single" w:sz="8" w:color="010101"/>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right w:val="single" w:sz="8" w:color="010101"/>
            </w:tcBorders>
            <w:gridSpan w:val="4"/>
            <w:vMerge w:val="continue"/>
          </w:tcPr>
          <w:p>
            <w:pPr>
              <w:spacing w:after="0"/>
              <w:rPr>
                <w:sz w:val="14"/>
                <w:szCs w:val="14"/>
                <w:color w:val="auto"/>
              </w:rPr>
            </w:pPr>
          </w:p>
        </w:tc>
        <w:tc>
          <w:tcPr>
            <w:tcW w:w="1100" w:type="dxa"/>
            <w:vAlign w:val="bottom"/>
            <w:tcBorders>
              <w:right w:val="single" w:sz="8" w:color="010101"/>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right w:val="single" w:sz="8" w:color="010101"/>
            </w:tcBorders>
          </w:tcPr>
          <w:p>
            <w:pPr>
              <w:spacing w:after="0"/>
              <w:rPr>
                <w:sz w:val="14"/>
                <w:szCs w:val="14"/>
                <w:color w:val="auto"/>
              </w:rPr>
            </w:pPr>
          </w:p>
        </w:tc>
        <w:tc>
          <w:tcPr>
            <w:tcW w:w="2120" w:type="dxa"/>
            <w:vAlign w:val="bottom"/>
            <w:tcBorders>
              <w:right w:val="single" w:sz="8" w:color="010101"/>
            </w:tcBorders>
            <w:vMerge w:val="continue"/>
          </w:tcPr>
          <w:p>
            <w:pPr>
              <w:spacing w:after="0"/>
              <w:rPr>
                <w:sz w:val="14"/>
                <w:szCs w:val="14"/>
                <w:color w:val="auto"/>
              </w:rPr>
            </w:pPr>
          </w:p>
        </w:tc>
        <w:tc>
          <w:tcPr>
            <w:tcW w:w="1820" w:type="dxa"/>
            <w:vAlign w:val="bottom"/>
            <w:tcBorders>
              <w:right w:val="single" w:sz="8" w:color="010101"/>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980" w:type="dxa"/>
            <w:vAlign w:val="bottom"/>
            <w:tcBorders>
              <w:left w:val="single" w:sz="8" w:color="010101"/>
              <w:right w:val="single" w:sz="8" w:color="010101"/>
            </w:tcBorders>
          </w:tcPr>
          <w:p>
            <w:pPr>
              <w:jc w:val="right"/>
              <w:ind w:right="221"/>
              <w:spacing w:after="0"/>
              <w:rPr>
                <w:sz w:val="20"/>
                <w:szCs w:val="20"/>
                <w:color w:val="auto"/>
              </w:rPr>
            </w:pPr>
            <w:r>
              <w:rPr>
                <w:rFonts w:ascii="Arial" w:cs="Arial" w:eastAsia="Arial" w:hAnsi="Arial"/>
                <w:sz w:val="20"/>
                <w:szCs w:val="20"/>
                <w:b w:val="1"/>
                <w:bCs w:val="1"/>
                <w:color w:val="auto"/>
              </w:rPr>
              <w:t>Level</w:t>
            </w:r>
          </w:p>
        </w:tc>
        <w:tc>
          <w:tcPr>
            <w:tcW w:w="140" w:type="dxa"/>
            <w:vAlign w:val="bottom"/>
          </w:tcPr>
          <w:p>
            <w:pPr>
              <w:spacing w:after="0"/>
              <w:rPr>
                <w:sz w:val="24"/>
                <w:szCs w:val="24"/>
                <w:color w:val="auto"/>
              </w:rPr>
            </w:pPr>
          </w:p>
        </w:tc>
        <w:tc>
          <w:tcPr>
            <w:tcW w:w="1100" w:type="dxa"/>
            <w:vAlign w:val="bottom"/>
            <w:tcBorders>
              <w:right w:val="single" w:sz="8" w:color="010101"/>
            </w:tcBorders>
            <w:gridSpan w:val="4"/>
          </w:tcPr>
          <w:p>
            <w:pPr>
              <w:ind w:left="120"/>
              <w:spacing w:after="0"/>
              <w:rPr>
                <w:sz w:val="20"/>
                <w:szCs w:val="20"/>
                <w:color w:val="auto"/>
              </w:rPr>
            </w:pPr>
            <w:r>
              <w:rPr>
                <w:rFonts w:ascii="Arial" w:cs="Arial" w:eastAsia="Arial" w:hAnsi="Arial"/>
                <w:sz w:val="20"/>
                <w:szCs w:val="20"/>
                <w:b w:val="1"/>
                <w:bCs w:val="1"/>
                <w:color w:val="auto"/>
              </w:rPr>
              <w:t>Rating</w:t>
            </w:r>
          </w:p>
        </w:tc>
        <w:tc>
          <w:tcPr>
            <w:tcW w:w="1100" w:type="dxa"/>
            <w:vAlign w:val="bottom"/>
            <w:tcBorders>
              <w:right w:val="single" w:sz="8" w:color="010101"/>
            </w:tcBorders>
          </w:tcPr>
          <w:p>
            <w:pPr>
              <w:jc w:val="center"/>
              <w:ind w:right="101"/>
              <w:spacing w:after="0"/>
              <w:rPr>
                <w:sz w:val="20"/>
                <w:szCs w:val="20"/>
                <w:color w:val="auto"/>
              </w:rPr>
            </w:pPr>
            <w:r>
              <w:rPr>
                <w:rFonts w:ascii="Arial" w:cs="Arial" w:eastAsia="Arial" w:hAnsi="Arial"/>
                <w:sz w:val="20"/>
                <w:szCs w:val="20"/>
                <w:b w:val="1"/>
                <w:bCs w:val="1"/>
                <w:color w:val="auto"/>
                <w:w w:val="86"/>
              </w:rPr>
              <w:t>Fee</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010101"/>
            </w:tcBorders>
          </w:tcPr>
          <w:p>
            <w:pPr>
              <w:spacing w:after="0"/>
              <w:rPr>
                <w:sz w:val="24"/>
                <w:szCs w:val="24"/>
                <w:color w:val="auto"/>
              </w:rPr>
            </w:pPr>
          </w:p>
        </w:tc>
        <w:tc>
          <w:tcPr>
            <w:tcW w:w="2120" w:type="dxa"/>
            <w:vAlign w:val="bottom"/>
            <w:tcBorders>
              <w:right w:val="single" w:sz="8" w:color="010101"/>
            </w:tcBorders>
          </w:tcPr>
          <w:p>
            <w:pPr>
              <w:jc w:val="center"/>
              <w:ind w:right="161"/>
              <w:spacing w:after="0"/>
              <w:rPr>
                <w:sz w:val="20"/>
                <w:szCs w:val="20"/>
                <w:color w:val="auto"/>
              </w:rPr>
            </w:pPr>
            <w:r>
              <w:rPr>
                <w:rFonts w:ascii="Arial" w:cs="Arial" w:eastAsia="Arial" w:hAnsi="Arial"/>
                <w:sz w:val="20"/>
                <w:szCs w:val="20"/>
                <w:b w:val="1"/>
                <w:bCs w:val="1"/>
                <w:color w:val="auto"/>
                <w:w w:val="83"/>
              </w:rPr>
              <w:t>Fees</w:t>
            </w:r>
          </w:p>
        </w:tc>
        <w:tc>
          <w:tcPr>
            <w:tcW w:w="1820" w:type="dxa"/>
            <w:vAlign w:val="bottom"/>
            <w:tcBorders>
              <w:right w:val="single" w:sz="8" w:color="010101"/>
            </w:tcBorders>
          </w:tcPr>
          <w:p>
            <w:pPr>
              <w:jc w:val="center"/>
              <w:spacing w:after="0"/>
              <w:rPr>
                <w:sz w:val="20"/>
                <w:szCs w:val="20"/>
                <w:color w:val="auto"/>
              </w:rPr>
            </w:pPr>
            <w:r>
              <w:rPr>
                <w:rFonts w:ascii="Arial" w:cs="Arial" w:eastAsia="Arial" w:hAnsi="Arial"/>
                <w:sz w:val="20"/>
                <w:szCs w:val="20"/>
                <w:b w:val="1"/>
                <w:bCs w:val="1"/>
                <w:color w:val="auto"/>
                <w:w w:val="88"/>
              </w:rPr>
              <w:t>Swingline Loans</w:t>
            </w:r>
          </w:p>
        </w:tc>
        <w:tc>
          <w:tcPr>
            <w:tcW w:w="0" w:type="dxa"/>
            <w:vAlign w:val="bottom"/>
          </w:tcPr>
          <w:p>
            <w:pPr>
              <w:spacing w:after="0"/>
              <w:rPr>
                <w:sz w:val="1"/>
                <w:szCs w:val="1"/>
                <w:color w:val="auto"/>
              </w:rPr>
            </w:pPr>
          </w:p>
        </w:tc>
      </w:tr>
      <w:tr>
        <w:trPr>
          <w:trHeight w:val="36"/>
        </w:trPr>
        <w:tc>
          <w:tcPr>
            <w:tcW w:w="980" w:type="dxa"/>
            <w:vAlign w:val="bottom"/>
            <w:tcBorders>
              <w:left w:val="single" w:sz="8" w:color="010101"/>
              <w:bottom w:val="single" w:sz="8" w:color="010101"/>
              <w:right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300" w:type="dxa"/>
            <w:vAlign w:val="bottom"/>
            <w:tcBorders>
              <w:bottom w:val="single" w:sz="8" w:color="010101"/>
            </w:tcBorders>
          </w:tcPr>
          <w:p>
            <w:pPr>
              <w:spacing w:after="0"/>
              <w:rPr>
                <w:sz w:val="3"/>
                <w:szCs w:val="3"/>
                <w:color w:val="auto"/>
              </w:rPr>
            </w:pPr>
          </w:p>
        </w:tc>
        <w:tc>
          <w:tcPr>
            <w:tcW w:w="26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400" w:type="dxa"/>
            <w:vAlign w:val="bottom"/>
            <w:tcBorders>
              <w:bottom w:val="single" w:sz="8" w:color="010101"/>
              <w:right w:val="single" w:sz="8" w:color="010101"/>
            </w:tcBorders>
          </w:tcPr>
          <w:p>
            <w:pPr>
              <w:spacing w:after="0"/>
              <w:rPr>
                <w:sz w:val="3"/>
                <w:szCs w:val="3"/>
                <w:color w:val="auto"/>
              </w:rPr>
            </w:pPr>
          </w:p>
        </w:tc>
        <w:tc>
          <w:tcPr>
            <w:tcW w:w="1100" w:type="dxa"/>
            <w:vAlign w:val="bottom"/>
            <w:tcBorders>
              <w:bottom w:val="single" w:sz="8" w:color="010101"/>
              <w:right w:val="single" w:sz="8" w:color="010101"/>
            </w:tcBorders>
          </w:tcPr>
          <w:p>
            <w:pPr>
              <w:spacing w:after="0"/>
              <w:rPr>
                <w:sz w:val="3"/>
                <w:szCs w:val="3"/>
                <w:color w:val="auto"/>
              </w:rPr>
            </w:pPr>
          </w:p>
        </w:tc>
        <w:tc>
          <w:tcPr>
            <w:tcW w:w="380" w:type="dxa"/>
            <w:vAlign w:val="bottom"/>
            <w:tcBorders>
              <w:bottom w:val="single" w:sz="8" w:color="010101"/>
            </w:tcBorders>
          </w:tcPr>
          <w:p>
            <w:pPr>
              <w:spacing w:after="0"/>
              <w:rPr>
                <w:sz w:val="3"/>
                <w:szCs w:val="3"/>
                <w:color w:val="auto"/>
              </w:rPr>
            </w:pPr>
          </w:p>
        </w:tc>
        <w:tc>
          <w:tcPr>
            <w:tcW w:w="540" w:type="dxa"/>
            <w:vAlign w:val="bottom"/>
            <w:tcBorders>
              <w:bottom w:val="single" w:sz="8" w:color="010101"/>
            </w:tcBorders>
          </w:tcPr>
          <w:p>
            <w:pPr>
              <w:spacing w:after="0"/>
              <w:rPr>
                <w:sz w:val="3"/>
                <w:szCs w:val="3"/>
                <w:color w:val="auto"/>
              </w:rPr>
            </w:pPr>
          </w:p>
        </w:tc>
        <w:tc>
          <w:tcPr>
            <w:tcW w:w="5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4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320" w:type="dxa"/>
            <w:vAlign w:val="bottom"/>
            <w:tcBorders>
              <w:bottom w:val="single" w:sz="8" w:color="010101"/>
              <w:right w:val="single" w:sz="8" w:color="010101"/>
            </w:tcBorders>
          </w:tcPr>
          <w:p>
            <w:pPr>
              <w:spacing w:after="0"/>
              <w:rPr>
                <w:sz w:val="3"/>
                <w:szCs w:val="3"/>
                <w:color w:val="auto"/>
              </w:rPr>
            </w:pPr>
          </w:p>
        </w:tc>
        <w:tc>
          <w:tcPr>
            <w:tcW w:w="2120" w:type="dxa"/>
            <w:vAlign w:val="bottom"/>
            <w:tcBorders>
              <w:bottom w:val="single" w:sz="8" w:color="010101"/>
              <w:right w:val="single" w:sz="8" w:color="010101"/>
            </w:tcBorders>
          </w:tcPr>
          <w:p>
            <w:pPr>
              <w:spacing w:after="0"/>
              <w:rPr>
                <w:sz w:val="3"/>
                <w:szCs w:val="3"/>
                <w:color w:val="auto"/>
              </w:rPr>
            </w:pPr>
          </w:p>
        </w:tc>
        <w:tc>
          <w:tcPr>
            <w:tcW w:w="182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80" w:type="dxa"/>
            <w:vAlign w:val="bottom"/>
            <w:tcBorders>
              <w:left w:val="single" w:sz="8" w:color="010101"/>
              <w:right w:val="single" w:sz="8" w:color="010101"/>
            </w:tcBorders>
          </w:tcPr>
          <w:p>
            <w:pPr>
              <w:jc w:val="right"/>
              <w:ind w:right="341"/>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0"/>
                <w:szCs w:val="20"/>
                <w:color w:val="auto"/>
              </w:rPr>
            </w:pPr>
          </w:p>
        </w:tc>
        <w:tc>
          <w:tcPr>
            <w:tcW w:w="1100" w:type="dxa"/>
            <w:vAlign w:val="bottom"/>
            <w:tcBorders>
              <w:right w:val="single" w:sz="8" w:color="010101"/>
            </w:tcBorders>
            <w:gridSpan w:val="4"/>
          </w:tcPr>
          <w:p>
            <w:pPr>
              <w:spacing w:after="0"/>
              <w:rPr>
                <w:sz w:val="20"/>
                <w:szCs w:val="20"/>
                <w:color w:val="auto"/>
              </w:rPr>
            </w:pPr>
            <w:r>
              <w:rPr>
                <w:rFonts w:ascii="Arial" w:cs="Arial" w:eastAsia="Arial" w:hAnsi="Arial"/>
                <w:sz w:val="20"/>
                <w:szCs w:val="20"/>
                <w:color w:val="auto"/>
              </w:rPr>
              <w:t>&gt;A- / A3</w:t>
            </w:r>
          </w:p>
        </w:tc>
        <w:tc>
          <w:tcPr>
            <w:tcW w:w="110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91"/>
              </w:rPr>
              <w:t>0.09%</w:t>
            </w:r>
          </w:p>
        </w:tc>
        <w:tc>
          <w:tcPr>
            <w:tcW w:w="1560" w:type="dxa"/>
            <w:vAlign w:val="bottom"/>
            <w:gridSpan w:val="4"/>
          </w:tcPr>
          <w:p>
            <w:pPr>
              <w:jc w:val="center"/>
              <w:ind w:left="721"/>
              <w:spacing w:after="0"/>
              <w:rPr>
                <w:sz w:val="20"/>
                <w:szCs w:val="20"/>
                <w:color w:val="auto"/>
              </w:rPr>
            </w:pPr>
            <w:r>
              <w:rPr>
                <w:rFonts w:ascii="Arial" w:cs="Arial" w:eastAsia="Arial" w:hAnsi="Arial"/>
                <w:sz w:val="20"/>
                <w:szCs w:val="20"/>
                <w:color w:val="auto"/>
                <w:w w:val="91"/>
              </w:rPr>
              <w:t>0.785%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right w:val="single" w:sz="8" w:color="010101"/>
            </w:tcBorders>
          </w:tcPr>
          <w:p>
            <w:pPr>
              <w:spacing w:after="0"/>
              <w:rPr>
                <w:sz w:val="20"/>
                <w:szCs w:val="20"/>
                <w:color w:val="auto"/>
              </w:rPr>
            </w:pPr>
          </w:p>
        </w:tc>
        <w:tc>
          <w:tcPr>
            <w:tcW w:w="212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91"/>
              </w:rPr>
              <w:t>0.785%</w:t>
            </w:r>
          </w:p>
        </w:tc>
        <w:tc>
          <w:tcPr>
            <w:tcW w:w="1820" w:type="dxa"/>
            <w:vAlign w:val="bottom"/>
            <w:tcBorders>
              <w:right w:val="single" w:sz="8" w:color="010101"/>
            </w:tcBorders>
          </w:tcPr>
          <w:p>
            <w:pPr>
              <w:jc w:val="center"/>
              <w:ind w:left="61"/>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237"/>
        </w:trPr>
        <w:tc>
          <w:tcPr>
            <w:tcW w:w="980" w:type="dxa"/>
            <w:vAlign w:val="bottom"/>
            <w:tcBorders>
              <w:left w:val="single" w:sz="8" w:color="010101"/>
              <w:right w:val="single" w:sz="8" w:color="010101"/>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tcBorders>
            <w:gridSpan w:val="3"/>
          </w:tcPr>
          <w:p>
            <w:pPr>
              <w:jc w:val="center"/>
              <w:ind w:left="61"/>
              <w:spacing w:after="0"/>
              <w:rPr>
                <w:sz w:val="20"/>
                <w:szCs w:val="20"/>
                <w:color w:val="auto"/>
              </w:rPr>
            </w:pPr>
            <w:r>
              <w:rPr>
                <w:rFonts w:ascii="Arial" w:cs="Arial" w:eastAsia="Arial" w:hAnsi="Arial"/>
                <w:sz w:val="20"/>
                <w:szCs w:val="20"/>
                <w:color w:val="auto"/>
              </w:rPr>
              <w:t>/A-</w:t>
            </w:r>
          </w:p>
        </w:tc>
        <w:tc>
          <w:tcPr>
            <w:tcW w:w="400" w:type="dxa"/>
            <w:vAlign w:val="bottom"/>
            <w:tcBorders>
              <w:right w:val="single" w:sz="8" w:color="010101"/>
            </w:tcBorders>
          </w:tcPr>
          <w:p>
            <w:pPr>
              <w:spacing w:after="0"/>
              <w:rPr>
                <w:sz w:val="20"/>
                <w:szCs w:val="20"/>
                <w:color w:val="auto"/>
              </w:rPr>
            </w:pPr>
          </w:p>
        </w:tc>
        <w:tc>
          <w:tcPr>
            <w:tcW w:w="1100" w:type="dxa"/>
            <w:vAlign w:val="bottom"/>
            <w:tcBorders>
              <w:right w:val="single" w:sz="8" w:color="010101"/>
            </w:tcBorders>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right w:val="single" w:sz="8" w:color="010101"/>
            </w:tcBorders>
          </w:tcPr>
          <w:p>
            <w:pPr>
              <w:spacing w:after="0"/>
              <w:rPr>
                <w:sz w:val="20"/>
                <w:szCs w:val="20"/>
                <w:color w:val="auto"/>
              </w:rPr>
            </w:pPr>
          </w:p>
        </w:tc>
        <w:tc>
          <w:tcPr>
            <w:tcW w:w="2120" w:type="dxa"/>
            <w:vAlign w:val="bottom"/>
            <w:tcBorders>
              <w:right w:val="single" w:sz="8" w:color="010101"/>
            </w:tcBorders>
          </w:tcPr>
          <w:p>
            <w:pPr>
              <w:spacing w:after="0"/>
              <w:rPr>
                <w:sz w:val="20"/>
                <w:szCs w:val="20"/>
                <w:color w:val="auto"/>
              </w:rPr>
            </w:pPr>
          </w:p>
        </w:tc>
        <w:tc>
          <w:tcPr>
            <w:tcW w:w="182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980" w:type="dxa"/>
            <w:vAlign w:val="bottom"/>
            <w:tcBorders>
              <w:left w:val="single" w:sz="8" w:color="010101"/>
              <w:bottom w:val="single" w:sz="8" w:color="010101"/>
              <w:right w:val="single" w:sz="8" w:color="010101"/>
            </w:tcBorders>
          </w:tcPr>
          <w:p>
            <w:pPr>
              <w:spacing w:after="0"/>
              <w:rPr>
                <w:sz w:val="5"/>
                <w:szCs w:val="5"/>
                <w:color w:val="auto"/>
              </w:rPr>
            </w:pPr>
          </w:p>
        </w:tc>
        <w:tc>
          <w:tcPr>
            <w:tcW w:w="140" w:type="dxa"/>
            <w:vAlign w:val="bottom"/>
            <w:tcBorders>
              <w:bottom w:val="single" w:sz="8" w:color="010101"/>
            </w:tcBorders>
          </w:tcPr>
          <w:p>
            <w:pPr>
              <w:spacing w:after="0"/>
              <w:rPr>
                <w:sz w:val="5"/>
                <w:szCs w:val="5"/>
                <w:color w:val="auto"/>
              </w:rPr>
            </w:pPr>
          </w:p>
        </w:tc>
        <w:tc>
          <w:tcPr>
            <w:tcW w:w="300" w:type="dxa"/>
            <w:vAlign w:val="bottom"/>
            <w:tcBorders>
              <w:bottom w:val="single" w:sz="8" w:color="010101"/>
            </w:tcBorders>
          </w:tcPr>
          <w:p>
            <w:pPr>
              <w:spacing w:after="0"/>
              <w:rPr>
                <w:sz w:val="5"/>
                <w:szCs w:val="5"/>
                <w:color w:val="auto"/>
              </w:rPr>
            </w:pPr>
          </w:p>
        </w:tc>
        <w:tc>
          <w:tcPr>
            <w:tcW w:w="260" w:type="dxa"/>
            <w:vAlign w:val="bottom"/>
            <w:tcBorders>
              <w:top w:val="single" w:sz="8" w:color="auto"/>
              <w:bottom w:val="single" w:sz="8" w:color="010101"/>
            </w:tcBorders>
          </w:tcPr>
          <w:p>
            <w:pPr>
              <w:spacing w:after="0"/>
              <w:rPr>
                <w:sz w:val="5"/>
                <w:szCs w:val="5"/>
                <w:color w:val="auto"/>
              </w:rPr>
            </w:pPr>
          </w:p>
        </w:tc>
        <w:tc>
          <w:tcPr>
            <w:tcW w:w="140" w:type="dxa"/>
            <w:vAlign w:val="bottom"/>
            <w:tcBorders>
              <w:bottom w:val="single" w:sz="8" w:color="010101"/>
            </w:tcBorders>
          </w:tcPr>
          <w:p>
            <w:pPr>
              <w:spacing w:after="0"/>
              <w:rPr>
                <w:sz w:val="5"/>
                <w:szCs w:val="5"/>
                <w:color w:val="auto"/>
              </w:rPr>
            </w:pPr>
          </w:p>
        </w:tc>
        <w:tc>
          <w:tcPr>
            <w:tcW w:w="400" w:type="dxa"/>
            <w:vAlign w:val="bottom"/>
            <w:tcBorders>
              <w:bottom w:val="single" w:sz="8" w:color="010101"/>
              <w:right w:val="single" w:sz="8" w:color="010101"/>
            </w:tcBorders>
          </w:tcPr>
          <w:p>
            <w:pPr>
              <w:spacing w:after="0"/>
              <w:rPr>
                <w:sz w:val="5"/>
                <w:szCs w:val="5"/>
                <w:color w:val="auto"/>
              </w:rPr>
            </w:pPr>
          </w:p>
        </w:tc>
        <w:tc>
          <w:tcPr>
            <w:tcW w:w="1100" w:type="dxa"/>
            <w:vAlign w:val="bottom"/>
            <w:tcBorders>
              <w:bottom w:val="single" w:sz="8" w:color="010101"/>
              <w:right w:val="single" w:sz="8" w:color="010101"/>
            </w:tcBorders>
          </w:tcPr>
          <w:p>
            <w:pPr>
              <w:spacing w:after="0"/>
              <w:rPr>
                <w:sz w:val="5"/>
                <w:szCs w:val="5"/>
                <w:color w:val="auto"/>
              </w:rPr>
            </w:pPr>
          </w:p>
        </w:tc>
        <w:tc>
          <w:tcPr>
            <w:tcW w:w="380" w:type="dxa"/>
            <w:vAlign w:val="bottom"/>
            <w:tcBorders>
              <w:bottom w:val="single" w:sz="8" w:color="010101"/>
            </w:tcBorders>
          </w:tcPr>
          <w:p>
            <w:pPr>
              <w:spacing w:after="0"/>
              <w:rPr>
                <w:sz w:val="5"/>
                <w:szCs w:val="5"/>
                <w:color w:val="auto"/>
              </w:rPr>
            </w:pPr>
          </w:p>
        </w:tc>
        <w:tc>
          <w:tcPr>
            <w:tcW w:w="540" w:type="dxa"/>
            <w:vAlign w:val="bottom"/>
            <w:tcBorders>
              <w:bottom w:val="single" w:sz="8" w:color="010101"/>
            </w:tcBorders>
          </w:tcPr>
          <w:p>
            <w:pPr>
              <w:spacing w:after="0"/>
              <w:rPr>
                <w:sz w:val="5"/>
                <w:szCs w:val="5"/>
                <w:color w:val="auto"/>
              </w:rPr>
            </w:pPr>
          </w:p>
        </w:tc>
        <w:tc>
          <w:tcPr>
            <w:tcW w:w="540" w:type="dxa"/>
            <w:vAlign w:val="bottom"/>
            <w:tcBorders>
              <w:bottom w:val="single" w:sz="8" w:color="010101"/>
            </w:tcBorders>
          </w:tcPr>
          <w:p>
            <w:pPr>
              <w:spacing w:after="0"/>
              <w:rPr>
                <w:sz w:val="5"/>
                <w:szCs w:val="5"/>
                <w:color w:val="auto"/>
              </w:rPr>
            </w:pPr>
          </w:p>
        </w:tc>
        <w:tc>
          <w:tcPr>
            <w:tcW w:w="100" w:type="dxa"/>
            <w:vAlign w:val="bottom"/>
            <w:tcBorders>
              <w:bottom w:val="single" w:sz="8" w:color="010101"/>
            </w:tcBorders>
          </w:tcPr>
          <w:p>
            <w:pPr>
              <w:spacing w:after="0"/>
              <w:rPr>
                <w:sz w:val="5"/>
                <w:szCs w:val="5"/>
                <w:color w:val="auto"/>
              </w:rPr>
            </w:pPr>
          </w:p>
        </w:tc>
        <w:tc>
          <w:tcPr>
            <w:tcW w:w="20" w:type="dxa"/>
            <w:vAlign w:val="bottom"/>
            <w:tcBorders>
              <w:bottom w:val="single" w:sz="8" w:color="010101"/>
            </w:tcBorders>
          </w:tcPr>
          <w:p>
            <w:pPr>
              <w:spacing w:after="0"/>
              <w:rPr>
                <w:sz w:val="5"/>
                <w:szCs w:val="5"/>
                <w:color w:val="auto"/>
              </w:rPr>
            </w:pPr>
          </w:p>
        </w:tc>
        <w:tc>
          <w:tcPr>
            <w:tcW w:w="420" w:type="dxa"/>
            <w:vAlign w:val="bottom"/>
            <w:tcBorders>
              <w:bottom w:val="single" w:sz="8" w:color="010101"/>
            </w:tcBorders>
          </w:tcPr>
          <w:p>
            <w:pPr>
              <w:spacing w:after="0"/>
              <w:rPr>
                <w:sz w:val="5"/>
                <w:szCs w:val="5"/>
                <w:color w:val="auto"/>
              </w:rPr>
            </w:pPr>
          </w:p>
        </w:tc>
        <w:tc>
          <w:tcPr>
            <w:tcW w:w="80" w:type="dxa"/>
            <w:vAlign w:val="bottom"/>
            <w:tcBorders>
              <w:bottom w:val="single" w:sz="8" w:color="010101"/>
            </w:tcBorders>
          </w:tcPr>
          <w:p>
            <w:pPr>
              <w:spacing w:after="0"/>
              <w:rPr>
                <w:sz w:val="5"/>
                <w:szCs w:val="5"/>
                <w:color w:val="auto"/>
              </w:rPr>
            </w:pPr>
          </w:p>
        </w:tc>
        <w:tc>
          <w:tcPr>
            <w:tcW w:w="320" w:type="dxa"/>
            <w:vAlign w:val="bottom"/>
            <w:tcBorders>
              <w:bottom w:val="single" w:sz="8" w:color="010101"/>
              <w:right w:val="single" w:sz="8" w:color="010101"/>
            </w:tcBorders>
          </w:tcPr>
          <w:p>
            <w:pPr>
              <w:spacing w:after="0"/>
              <w:rPr>
                <w:sz w:val="5"/>
                <w:szCs w:val="5"/>
                <w:color w:val="auto"/>
              </w:rPr>
            </w:pPr>
          </w:p>
        </w:tc>
        <w:tc>
          <w:tcPr>
            <w:tcW w:w="2120" w:type="dxa"/>
            <w:vAlign w:val="bottom"/>
            <w:tcBorders>
              <w:bottom w:val="single" w:sz="8" w:color="010101"/>
              <w:right w:val="single" w:sz="8" w:color="010101"/>
            </w:tcBorders>
          </w:tcPr>
          <w:p>
            <w:pPr>
              <w:spacing w:after="0"/>
              <w:rPr>
                <w:sz w:val="5"/>
                <w:szCs w:val="5"/>
                <w:color w:val="auto"/>
              </w:rPr>
            </w:pPr>
          </w:p>
        </w:tc>
        <w:tc>
          <w:tcPr>
            <w:tcW w:w="1820" w:type="dxa"/>
            <w:vAlign w:val="bottom"/>
            <w:tcBorders>
              <w:bottom w:val="single" w:sz="8" w:color="010101"/>
              <w:right w:val="single" w:sz="8" w:color="010101"/>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980" w:type="dxa"/>
            <w:vAlign w:val="bottom"/>
            <w:tcBorders>
              <w:left w:val="single" w:sz="8" w:color="010101"/>
              <w:right w:val="single" w:sz="8" w:color="010101"/>
            </w:tcBorders>
          </w:tcPr>
          <w:p>
            <w:pPr>
              <w:jc w:val="right"/>
              <w:ind w:right="341"/>
              <w:spacing w:after="0"/>
              <w:rPr>
                <w:sz w:val="20"/>
                <w:szCs w:val="20"/>
                <w:color w:val="auto"/>
              </w:rPr>
            </w:pPr>
            <w:r>
              <w:rPr>
                <w:rFonts w:ascii="Arial" w:cs="Arial" w:eastAsia="Arial" w:hAnsi="Arial"/>
                <w:sz w:val="20"/>
                <w:szCs w:val="20"/>
                <w:color w:val="auto"/>
              </w:rPr>
              <w:t>2</w:t>
            </w:r>
          </w:p>
        </w:tc>
        <w:tc>
          <w:tcPr>
            <w:tcW w:w="140" w:type="dxa"/>
            <w:vAlign w:val="bottom"/>
          </w:tcPr>
          <w:p>
            <w:pPr>
              <w:spacing w:after="0"/>
              <w:rPr>
                <w:sz w:val="21"/>
                <w:szCs w:val="21"/>
                <w:color w:val="auto"/>
              </w:rPr>
            </w:pPr>
          </w:p>
        </w:tc>
        <w:tc>
          <w:tcPr>
            <w:tcW w:w="1100" w:type="dxa"/>
            <w:vAlign w:val="bottom"/>
            <w:tcBorders>
              <w:right w:val="single" w:sz="8" w:color="010101"/>
            </w:tcBorders>
            <w:gridSpan w:val="4"/>
          </w:tcPr>
          <w:p>
            <w:pPr>
              <w:ind w:left="100"/>
              <w:spacing w:after="0"/>
              <w:rPr>
                <w:sz w:val="20"/>
                <w:szCs w:val="20"/>
                <w:color w:val="auto"/>
              </w:rPr>
            </w:pPr>
            <w:r>
              <w:rPr>
                <w:rFonts w:ascii="Arial" w:cs="Arial" w:eastAsia="Arial" w:hAnsi="Arial"/>
                <w:sz w:val="20"/>
                <w:szCs w:val="20"/>
                <w:color w:val="auto"/>
              </w:rPr>
              <w:t>BBB+ /</w:t>
            </w:r>
          </w:p>
        </w:tc>
        <w:tc>
          <w:tcPr>
            <w:tcW w:w="110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91"/>
              </w:rPr>
              <w:t>0.10%</w:t>
            </w:r>
          </w:p>
        </w:tc>
        <w:tc>
          <w:tcPr>
            <w:tcW w:w="1460" w:type="dxa"/>
            <w:vAlign w:val="bottom"/>
            <w:gridSpan w:val="3"/>
          </w:tcPr>
          <w:p>
            <w:pPr>
              <w:jc w:val="center"/>
              <w:ind w:left="821"/>
              <w:spacing w:after="0"/>
              <w:rPr>
                <w:sz w:val="20"/>
                <w:szCs w:val="20"/>
                <w:color w:val="auto"/>
              </w:rPr>
            </w:pPr>
            <w:r>
              <w:rPr>
                <w:rFonts w:ascii="Arial" w:cs="Arial" w:eastAsia="Arial" w:hAnsi="Arial"/>
                <w:sz w:val="20"/>
                <w:szCs w:val="20"/>
                <w:color w:val="auto"/>
                <w:w w:val="88"/>
              </w:rPr>
              <w:t>0.90%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010101"/>
            </w:tcBorders>
          </w:tcPr>
          <w:p>
            <w:pPr>
              <w:spacing w:after="0"/>
              <w:rPr>
                <w:sz w:val="21"/>
                <w:szCs w:val="21"/>
                <w:color w:val="auto"/>
              </w:rPr>
            </w:pPr>
          </w:p>
        </w:tc>
        <w:tc>
          <w:tcPr>
            <w:tcW w:w="212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88"/>
              </w:rPr>
              <w:t>0.90%</w:t>
            </w:r>
          </w:p>
        </w:tc>
        <w:tc>
          <w:tcPr>
            <w:tcW w:w="1820" w:type="dxa"/>
            <w:vAlign w:val="bottom"/>
            <w:tcBorders>
              <w:right w:val="single" w:sz="8" w:color="010101"/>
            </w:tcBorders>
          </w:tcPr>
          <w:p>
            <w:pPr>
              <w:jc w:val="center"/>
              <w:ind w:left="61"/>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253"/>
        </w:trPr>
        <w:tc>
          <w:tcPr>
            <w:tcW w:w="980" w:type="dxa"/>
            <w:vAlign w:val="bottom"/>
            <w:tcBorders>
              <w:left w:val="single" w:sz="8" w:color="010101"/>
              <w:right w:val="single" w:sz="8" w:color="010101"/>
            </w:tcBorders>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Borders>
              <w:right w:val="single" w:sz="8" w:color="010101"/>
            </w:tcBorders>
            <w:gridSpan w:val="4"/>
          </w:tcPr>
          <w:p>
            <w:pPr>
              <w:ind w:left="100"/>
              <w:spacing w:after="0"/>
              <w:rPr>
                <w:sz w:val="20"/>
                <w:szCs w:val="20"/>
                <w:color w:val="auto"/>
              </w:rPr>
            </w:pPr>
            <w:r>
              <w:rPr>
                <w:rFonts w:ascii="Arial" w:cs="Arial" w:eastAsia="Arial" w:hAnsi="Arial"/>
                <w:sz w:val="20"/>
                <w:szCs w:val="20"/>
                <w:color w:val="auto"/>
              </w:rPr>
              <w:t>Baa1 /</w:t>
            </w:r>
          </w:p>
        </w:tc>
        <w:tc>
          <w:tcPr>
            <w:tcW w:w="1100" w:type="dxa"/>
            <w:vAlign w:val="bottom"/>
            <w:tcBorders>
              <w:right w:val="single" w:sz="8" w:color="010101"/>
            </w:tcBorders>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right w:val="single" w:sz="8" w:color="010101"/>
            </w:tcBorders>
          </w:tcPr>
          <w:p>
            <w:pPr>
              <w:spacing w:after="0"/>
              <w:rPr>
                <w:sz w:val="22"/>
                <w:szCs w:val="22"/>
                <w:color w:val="auto"/>
              </w:rPr>
            </w:pPr>
          </w:p>
        </w:tc>
        <w:tc>
          <w:tcPr>
            <w:tcW w:w="2120" w:type="dxa"/>
            <w:vAlign w:val="bottom"/>
            <w:tcBorders>
              <w:right w:val="single" w:sz="8" w:color="010101"/>
            </w:tcBorders>
          </w:tcPr>
          <w:p>
            <w:pPr>
              <w:spacing w:after="0"/>
              <w:rPr>
                <w:sz w:val="22"/>
                <w:szCs w:val="22"/>
                <w:color w:val="auto"/>
              </w:rPr>
            </w:pPr>
          </w:p>
        </w:tc>
        <w:tc>
          <w:tcPr>
            <w:tcW w:w="1820" w:type="dxa"/>
            <w:vAlign w:val="bottom"/>
            <w:tcBorders>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80" w:type="dxa"/>
            <w:vAlign w:val="bottom"/>
            <w:tcBorders>
              <w:left w:val="single" w:sz="8" w:color="010101"/>
              <w:right w:val="single" w:sz="8" w:color="010101"/>
            </w:tcBorders>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Borders>
              <w:right w:val="single" w:sz="8" w:color="010101"/>
            </w:tcBorders>
            <w:gridSpan w:val="4"/>
          </w:tcPr>
          <w:p>
            <w:pPr>
              <w:ind w:left="100"/>
              <w:spacing w:after="0"/>
              <w:rPr>
                <w:sz w:val="20"/>
                <w:szCs w:val="20"/>
                <w:color w:val="auto"/>
              </w:rPr>
            </w:pPr>
            <w:r>
              <w:rPr>
                <w:rFonts w:ascii="Arial" w:cs="Arial" w:eastAsia="Arial" w:hAnsi="Arial"/>
                <w:sz w:val="20"/>
                <w:szCs w:val="20"/>
                <w:color w:val="auto"/>
              </w:rPr>
              <w:t>BBB+</w:t>
            </w:r>
          </w:p>
        </w:tc>
        <w:tc>
          <w:tcPr>
            <w:tcW w:w="1100" w:type="dxa"/>
            <w:vAlign w:val="bottom"/>
            <w:tcBorders>
              <w:right w:val="single" w:sz="8" w:color="010101"/>
            </w:tcBorders>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right w:val="single" w:sz="8" w:color="010101"/>
            </w:tcBorders>
          </w:tcPr>
          <w:p>
            <w:pPr>
              <w:spacing w:after="0"/>
              <w:rPr>
                <w:sz w:val="23"/>
                <w:szCs w:val="23"/>
                <w:color w:val="auto"/>
              </w:rPr>
            </w:pPr>
          </w:p>
        </w:tc>
        <w:tc>
          <w:tcPr>
            <w:tcW w:w="2120" w:type="dxa"/>
            <w:vAlign w:val="bottom"/>
            <w:tcBorders>
              <w:right w:val="single" w:sz="8" w:color="010101"/>
            </w:tcBorders>
          </w:tcPr>
          <w:p>
            <w:pPr>
              <w:spacing w:after="0"/>
              <w:rPr>
                <w:sz w:val="23"/>
                <w:szCs w:val="23"/>
                <w:color w:val="auto"/>
              </w:rPr>
            </w:pPr>
          </w:p>
        </w:tc>
        <w:tc>
          <w:tcPr>
            <w:tcW w:w="1820" w:type="dxa"/>
            <w:vAlign w:val="bottom"/>
            <w:tcBorders>
              <w:right w:val="single" w:sz="8" w:color="010101"/>
            </w:tcBorders>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980" w:type="dxa"/>
            <w:vAlign w:val="bottom"/>
            <w:tcBorders>
              <w:left w:val="single" w:sz="8" w:color="010101"/>
              <w:bottom w:val="single" w:sz="8" w:color="010101"/>
              <w:right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300" w:type="dxa"/>
            <w:vAlign w:val="bottom"/>
            <w:tcBorders>
              <w:bottom w:val="single" w:sz="8" w:color="010101"/>
            </w:tcBorders>
          </w:tcPr>
          <w:p>
            <w:pPr>
              <w:spacing w:after="0"/>
              <w:rPr>
                <w:sz w:val="3"/>
                <w:szCs w:val="3"/>
                <w:color w:val="auto"/>
              </w:rPr>
            </w:pPr>
          </w:p>
        </w:tc>
        <w:tc>
          <w:tcPr>
            <w:tcW w:w="26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400" w:type="dxa"/>
            <w:vAlign w:val="bottom"/>
            <w:tcBorders>
              <w:bottom w:val="single" w:sz="8" w:color="010101"/>
              <w:right w:val="single" w:sz="8" w:color="010101"/>
            </w:tcBorders>
          </w:tcPr>
          <w:p>
            <w:pPr>
              <w:spacing w:after="0"/>
              <w:rPr>
                <w:sz w:val="3"/>
                <w:szCs w:val="3"/>
                <w:color w:val="auto"/>
              </w:rPr>
            </w:pPr>
          </w:p>
        </w:tc>
        <w:tc>
          <w:tcPr>
            <w:tcW w:w="1100" w:type="dxa"/>
            <w:vAlign w:val="bottom"/>
            <w:tcBorders>
              <w:bottom w:val="single" w:sz="8" w:color="010101"/>
              <w:right w:val="single" w:sz="8" w:color="010101"/>
            </w:tcBorders>
          </w:tcPr>
          <w:p>
            <w:pPr>
              <w:spacing w:after="0"/>
              <w:rPr>
                <w:sz w:val="3"/>
                <w:szCs w:val="3"/>
                <w:color w:val="auto"/>
              </w:rPr>
            </w:pPr>
          </w:p>
        </w:tc>
        <w:tc>
          <w:tcPr>
            <w:tcW w:w="380" w:type="dxa"/>
            <w:vAlign w:val="bottom"/>
            <w:tcBorders>
              <w:bottom w:val="single" w:sz="8" w:color="010101"/>
            </w:tcBorders>
          </w:tcPr>
          <w:p>
            <w:pPr>
              <w:spacing w:after="0"/>
              <w:rPr>
                <w:sz w:val="3"/>
                <w:szCs w:val="3"/>
                <w:color w:val="auto"/>
              </w:rPr>
            </w:pPr>
          </w:p>
        </w:tc>
        <w:tc>
          <w:tcPr>
            <w:tcW w:w="540" w:type="dxa"/>
            <w:vAlign w:val="bottom"/>
            <w:tcBorders>
              <w:bottom w:val="single" w:sz="8" w:color="010101"/>
            </w:tcBorders>
          </w:tcPr>
          <w:p>
            <w:pPr>
              <w:spacing w:after="0"/>
              <w:rPr>
                <w:sz w:val="3"/>
                <w:szCs w:val="3"/>
                <w:color w:val="auto"/>
              </w:rPr>
            </w:pPr>
          </w:p>
        </w:tc>
        <w:tc>
          <w:tcPr>
            <w:tcW w:w="5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4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320" w:type="dxa"/>
            <w:vAlign w:val="bottom"/>
            <w:tcBorders>
              <w:bottom w:val="single" w:sz="8" w:color="010101"/>
              <w:right w:val="single" w:sz="8" w:color="010101"/>
            </w:tcBorders>
          </w:tcPr>
          <w:p>
            <w:pPr>
              <w:spacing w:after="0"/>
              <w:rPr>
                <w:sz w:val="3"/>
                <w:szCs w:val="3"/>
                <w:color w:val="auto"/>
              </w:rPr>
            </w:pPr>
          </w:p>
        </w:tc>
        <w:tc>
          <w:tcPr>
            <w:tcW w:w="2120" w:type="dxa"/>
            <w:vAlign w:val="bottom"/>
            <w:tcBorders>
              <w:bottom w:val="single" w:sz="8" w:color="010101"/>
              <w:right w:val="single" w:sz="8" w:color="010101"/>
            </w:tcBorders>
          </w:tcPr>
          <w:p>
            <w:pPr>
              <w:spacing w:after="0"/>
              <w:rPr>
                <w:sz w:val="3"/>
                <w:szCs w:val="3"/>
                <w:color w:val="auto"/>
              </w:rPr>
            </w:pPr>
          </w:p>
        </w:tc>
        <w:tc>
          <w:tcPr>
            <w:tcW w:w="182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980" w:type="dxa"/>
            <w:vAlign w:val="bottom"/>
            <w:tcBorders>
              <w:left w:val="single" w:sz="8" w:color="010101"/>
              <w:right w:val="single" w:sz="8" w:color="010101"/>
            </w:tcBorders>
          </w:tcPr>
          <w:p>
            <w:pPr>
              <w:jc w:val="right"/>
              <w:ind w:right="341"/>
              <w:spacing w:after="0"/>
              <w:rPr>
                <w:sz w:val="20"/>
                <w:szCs w:val="20"/>
                <w:color w:val="auto"/>
              </w:rPr>
            </w:pPr>
            <w:r>
              <w:rPr>
                <w:rFonts w:ascii="Arial" w:cs="Arial" w:eastAsia="Arial" w:hAnsi="Arial"/>
                <w:sz w:val="20"/>
                <w:szCs w:val="20"/>
                <w:color w:val="auto"/>
              </w:rPr>
              <w:t>3</w:t>
            </w:r>
          </w:p>
        </w:tc>
        <w:tc>
          <w:tcPr>
            <w:tcW w:w="140" w:type="dxa"/>
            <w:vAlign w:val="bottom"/>
          </w:tcPr>
          <w:p>
            <w:pPr>
              <w:spacing w:after="0"/>
              <w:rPr>
                <w:sz w:val="21"/>
                <w:szCs w:val="21"/>
                <w:color w:val="auto"/>
              </w:rPr>
            </w:pPr>
          </w:p>
        </w:tc>
        <w:tc>
          <w:tcPr>
            <w:tcW w:w="1100" w:type="dxa"/>
            <w:vAlign w:val="bottom"/>
            <w:tcBorders>
              <w:right w:val="single" w:sz="8" w:color="010101"/>
            </w:tcBorders>
            <w:gridSpan w:val="4"/>
          </w:tcPr>
          <w:p>
            <w:pPr>
              <w:jc w:val="center"/>
              <w:ind w:right="280"/>
              <w:spacing w:after="0"/>
              <w:rPr>
                <w:sz w:val="20"/>
                <w:szCs w:val="20"/>
                <w:color w:val="auto"/>
              </w:rPr>
            </w:pPr>
            <w:r>
              <w:rPr>
                <w:rFonts w:ascii="Arial" w:cs="Arial" w:eastAsia="Arial" w:hAnsi="Arial"/>
                <w:sz w:val="20"/>
                <w:szCs w:val="20"/>
                <w:color w:val="auto"/>
                <w:w w:val="97"/>
              </w:rPr>
              <w:t>BBB /</w:t>
            </w:r>
          </w:p>
        </w:tc>
        <w:tc>
          <w:tcPr>
            <w:tcW w:w="110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88"/>
              </w:rPr>
              <w:t>0.125%</w:t>
            </w:r>
          </w:p>
        </w:tc>
        <w:tc>
          <w:tcPr>
            <w:tcW w:w="1460" w:type="dxa"/>
            <w:vAlign w:val="bottom"/>
            <w:gridSpan w:val="3"/>
          </w:tcPr>
          <w:p>
            <w:pPr>
              <w:jc w:val="center"/>
              <w:ind w:left="821"/>
              <w:spacing w:after="0"/>
              <w:rPr>
                <w:sz w:val="20"/>
                <w:szCs w:val="20"/>
                <w:color w:val="auto"/>
              </w:rPr>
            </w:pPr>
            <w:r>
              <w:rPr>
                <w:rFonts w:ascii="Arial" w:cs="Arial" w:eastAsia="Arial" w:hAnsi="Arial"/>
                <w:sz w:val="20"/>
                <w:szCs w:val="20"/>
                <w:color w:val="auto"/>
                <w:w w:val="88"/>
              </w:rPr>
              <w:t>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right w:val="single" w:sz="8" w:color="010101"/>
            </w:tcBorders>
          </w:tcPr>
          <w:p>
            <w:pPr>
              <w:spacing w:after="0"/>
              <w:rPr>
                <w:sz w:val="21"/>
                <w:szCs w:val="21"/>
                <w:color w:val="auto"/>
              </w:rPr>
            </w:pPr>
          </w:p>
        </w:tc>
        <w:tc>
          <w:tcPr>
            <w:tcW w:w="212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88"/>
              </w:rPr>
              <w:t>1.00%</w:t>
            </w:r>
          </w:p>
        </w:tc>
        <w:tc>
          <w:tcPr>
            <w:tcW w:w="1820" w:type="dxa"/>
            <w:vAlign w:val="bottom"/>
            <w:tcBorders>
              <w:right w:val="single" w:sz="8" w:color="010101"/>
            </w:tcBorders>
          </w:tcPr>
          <w:p>
            <w:pPr>
              <w:jc w:val="center"/>
              <w:ind w:left="61"/>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253"/>
        </w:trPr>
        <w:tc>
          <w:tcPr>
            <w:tcW w:w="980" w:type="dxa"/>
            <w:vAlign w:val="bottom"/>
            <w:tcBorders>
              <w:left w:val="single" w:sz="8" w:color="010101"/>
              <w:right w:val="single" w:sz="8" w:color="010101"/>
            </w:tcBorders>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Borders>
              <w:right w:val="single" w:sz="8" w:color="010101"/>
            </w:tcBorders>
            <w:gridSpan w:val="4"/>
          </w:tcPr>
          <w:p>
            <w:pPr>
              <w:jc w:val="center"/>
              <w:ind w:right="280"/>
              <w:spacing w:after="0"/>
              <w:rPr>
                <w:sz w:val="20"/>
                <w:szCs w:val="20"/>
                <w:color w:val="auto"/>
              </w:rPr>
            </w:pPr>
            <w:r>
              <w:rPr>
                <w:rFonts w:ascii="Arial" w:cs="Arial" w:eastAsia="Arial" w:hAnsi="Arial"/>
                <w:sz w:val="20"/>
                <w:szCs w:val="20"/>
                <w:color w:val="auto"/>
                <w:w w:val="86"/>
              </w:rPr>
              <w:t>Baa2 /</w:t>
            </w:r>
          </w:p>
        </w:tc>
        <w:tc>
          <w:tcPr>
            <w:tcW w:w="1100" w:type="dxa"/>
            <w:vAlign w:val="bottom"/>
            <w:tcBorders>
              <w:right w:val="single" w:sz="8" w:color="010101"/>
            </w:tcBorders>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right w:val="single" w:sz="8" w:color="010101"/>
            </w:tcBorders>
          </w:tcPr>
          <w:p>
            <w:pPr>
              <w:spacing w:after="0"/>
              <w:rPr>
                <w:sz w:val="22"/>
                <w:szCs w:val="22"/>
                <w:color w:val="auto"/>
              </w:rPr>
            </w:pPr>
          </w:p>
        </w:tc>
        <w:tc>
          <w:tcPr>
            <w:tcW w:w="2120" w:type="dxa"/>
            <w:vAlign w:val="bottom"/>
            <w:tcBorders>
              <w:right w:val="single" w:sz="8" w:color="010101"/>
            </w:tcBorders>
          </w:tcPr>
          <w:p>
            <w:pPr>
              <w:spacing w:after="0"/>
              <w:rPr>
                <w:sz w:val="22"/>
                <w:szCs w:val="22"/>
                <w:color w:val="auto"/>
              </w:rPr>
            </w:pPr>
          </w:p>
        </w:tc>
        <w:tc>
          <w:tcPr>
            <w:tcW w:w="1820" w:type="dxa"/>
            <w:vAlign w:val="bottom"/>
            <w:tcBorders>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80" w:type="dxa"/>
            <w:vAlign w:val="bottom"/>
            <w:tcBorders>
              <w:left w:val="single" w:sz="8" w:color="010101"/>
              <w:right w:val="single" w:sz="8" w:color="010101"/>
            </w:tcBorders>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Borders>
              <w:right w:val="single" w:sz="8" w:color="010101"/>
            </w:tcBorders>
            <w:gridSpan w:val="4"/>
          </w:tcPr>
          <w:p>
            <w:pPr>
              <w:ind w:left="160"/>
              <w:spacing w:after="0"/>
              <w:rPr>
                <w:sz w:val="20"/>
                <w:szCs w:val="20"/>
                <w:color w:val="auto"/>
              </w:rPr>
            </w:pPr>
            <w:r>
              <w:rPr>
                <w:rFonts w:ascii="Arial" w:cs="Arial" w:eastAsia="Arial" w:hAnsi="Arial"/>
                <w:sz w:val="20"/>
                <w:szCs w:val="20"/>
                <w:color w:val="auto"/>
              </w:rPr>
              <w:t>BBB</w:t>
            </w:r>
          </w:p>
        </w:tc>
        <w:tc>
          <w:tcPr>
            <w:tcW w:w="1100" w:type="dxa"/>
            <w:vAlign w:val="bottom"/>
            <w:tcBorders>
              <w:right w:val="single" w:sz="8" w:color="010101"/>
            </w:tcBorders>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right w:val="single" w:sz="8" w:color="010101"/>
            </w:tcBorders>
          </w:tcPr>
          <w:p>
            <w:pPr>
              <w:spacing w:after="0"/>
              <w:rPr>
                <w:sz w:val="23"/>
                <w:szCs w:val="23"/>
                <w:color w:val="auto"/>
              </w:rPr>
            </w:pPr>
          </w:p>
        </w:tc>
        <w:tc>
          <w:tcPr>
            <w:tcW w:w="2120" w:type="dxa"/>
            <w:vAlign w:val="bottom"/>
            <w:tcBorders>
              <w:right w:val="single" w:sz="8" w:color="010101"/>
            </w:tcBorders>
          </w:tcPr>
          <w:p>
            <w:pPr>
              <w:spacing w:after="0"/>
              <w:rPr>
                <w:sz w:val="23"/>
                <w:szCs w:val="23"/>
                <w:color w:val="auto"/>
              </w:rPr>
            </w:pPr>
          </w:p>
        </w:tc>
        <w:tc>
          <w:tcPr>
            <w:tcW w:w="1820" w:type="dxa"/>
            <w:vAlign w:val="bottom"/>
            <w:tcBorders>
              <w:right w:val="single" w:sz="8" w:color="010101"/>
            </w:tcBorders>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980" w:type="dxa"/>
            <w:vAlign w:val="bottom"/>
            <w:tcBorders>
              <w:left w:val="single" w:sz="8" w:color="010101"/>
              <w:bottom w:val="single" w:sz="8" w:color="010101"/>
              <w:right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300" w:type="dxa"/>
            <w:vAlign w:val="bottom"/>
            <w:tcBorders>
              <w:bottom w:val="single" w:sz="8" w:color="010101"/>
            </w:tcBorders>
          </w:tcPr>
          <w:p>
            <w:pPr>
              <w:spacing w:after="0"/>
              <w:rPr>
                <w:sz w:val="3"/>
                <w:szCs w:val="3"/>
                <w:color w:val="auto"/>
              </w:rPr>
            </w:pPr>
          </w:p>
        </w:tc>
        <w:tc>
          <w:tcPr>
            <w:tcW w:w="26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400" w:type="dxa"/>
            <w:vAlign w:val="bottom"/>
            <w:tcBorders>
              <w:bottom w:val="single" w:sz="8" w:color="010101"/>
              <w:right w:val="single" w:sz="8" w:color="010101"/>
            </w:tcBorders>
          </w:tcPr>
          <w:p>
            <w:pPr>
              <w:spacing w:after="0"/>
              <w:rPr>
                <w:sz w:val="3"/>
                <w:szCs w:val="3"/>
                <w:color w:val="auto"/>
              </w:rPr>
            </w:pPr>
          </w:p>
        </w:tc>
        <w:tc>
          <w:tcPr>
            <w:tcW w:w="1100" w:type="dxa"/>
            <w:vAlign w:val="bottom"/>
            <w:tcBorders>
              <w:bottom w:val="single" w:sz="8" w:color="010101"/>
              <w:right w:val="single" w:sz="8" w:color="010101"/>
            </w:tcBorders>
          </w:tcPr>
          <w:p>
            <w:pPr>
              <w:spacing w:after="0"/>
              <w:rPr>
                <w:sz w:val="3"/>
                <w:szCs w:val="3"/>
                <w:color w:val="auto"/>
              </w:rPr>
            </w:pPr>
          </w:p>
        </w:tc>
        <w:tc>
          <w:tcPr>
            <w:tcW w:w="380" w:type="dxa"/>
            <w:vAlign w:val="bottom"/>
            <w:tcBorders>
              <w:bottom w:val="single" w:sz="8" w:color="010101"/>
            </w:tcBorders>
          </w:tcPr>
          <w:p>
            <w:pPr>
              <w:spacing w:after="0"/>
              <w:rPr>
                <w:sz w:val="3"/>
                <w:szCs w:val="3"/>
                <w:color w:val="auto"/>
              </w:rPr>
            </w:pPr>
          </w:p>
        </w:tc>
        <w:tc>
          <w:tcPr>
            <w:tcW w:w="540" w:type="dxa"/>
            <w:vAlign w:val="bottom"/>
            <w:tcBorders>
              <w:bottom w:val="single" w:sz="8" w:color="010101"/>
            </w:tcBorders>
          </w:tcPr>
          <w:p>
            <w:pPr>
              <w:spacing w:after="0"/>
              <w:rPr>
                <w:sz w:val="3"/>
                <w:szCs w:val="3"/>
                <w:color w:val="auto"/>
              </w:rPr>
            </w:pPr>
          </w:p>
        </w:tc>
        <w:tc>
          <w:tcPr>
            <w:tcW w:w="5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4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320" w:type="dxa"/>
            <w:vAlign w:val="bottom"/>
            <w:tcBorders>
              <w:bottom w:val="single" w:sz="8" w:color="010101"/>
              <w:right w:val="single" w:sz="8" w:color="010101"/>
            </w:tcBorders>
          </w:tcPr>
          <w:p>
            <w:pPr>
              <w:spacing w:after="0"/>
              <w:rPr>
                <w:sz w:val="3"/>
                <w:szCs w:val="3"/>
                <w:color w:val="auto"/>
              </w:rPr>
            </w:pPr>
          </w:p>
        </w:tc>
        <w:tc>
          <w:tcPr>
            <w:tcW w:w="2120" w:type="dxa"/>
            <w:vAlign w:val="bottom"/>
            <w:tcBorders>
              <w:bottom w:val="single" w:sz="8" w:color="010101"/>
              <w:right w:val="single" w:sz="8" w:color="010101"/>
            </w:tcBorders>
          </w:tcPr>
          <w:p>
            <w:pPr>
              <w:spacing w:after="0"/>
              <w:rPr>
                <w:sz w:val="3"/>
                <w:szCs w:val="3"/>
                <w:color w:val="auto"/>
              </w:rPr>
            </w:pPr>
          </w:p>
        </w:tc>
        <w:tc>
          <w:tcPr>
            <w:tcW w:w="182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tcBorders>
              <w:left w:val="single" w:sz="8" w:color="010101"/>
              <w:right w:val="single" w:sz="8" w:color="010101"/>
            </w:tcBorders>
          </w:tcPr>
          <w:p>
            <w:pPr>
              <w:jc w:val="right"/>
              <w:ind w:right="341"/>
              <w:spacing w:after="0" w:line="193" w:lineRule="exact"/>
              <w:rPr>
                <w:sz w:val="20"/>
                <w:szCs w:val="20"/>
                <w:color w:val="auto"/>
              </w:rPr>
            </w:pPr>
            <w:r>
              <w:rPr>
                <w:rFonts w:ascii="Arial" w:cs="Arial" w:eastAsia="Arial" w:hAnsi="Arial"/>
                <w:sz w:val="20"/>
                <w:szCs w:val="20"/>
                <w:color w:val="auto"/>
              </w:rPr>
              <w:t>4</w:t>
            </w:r>
          </w:p>
        </w:tc>
        <w:tc>
          <w:tcPr>
            <w:tcW w:w="140" w:type="dxa"/>
            <w:vAlign w:val="bottom"/>
          </w:tcPr>
          <w:p>
            <w:pPr>
              <w:spacing w:after="0"/>
              <w:rPr>
                <w:sz w:val="16"/>
                <w:szCs w:val="16"/>
                <w:color w:val="auto"/>
              </w:rPr>
            </w:pPr>
          </w:p>
        </w:tc>
        <w:tc>
          <w:tcPr>
            <w:tcW w:w="1100" w:type="dxa"/>
            <w:vAlign w:val="bottom"/>
            <w:tcBorders>
              <w:right w:val="single" w:sz="8" w:color="010101"/>
            </w:tcBorders>
            <w:gridSpan w:val="4"/>
          </w:tcPr>
          <w:p>
            <w:pPr>
              <w:ind w:left="120"/>
              <w:spacing w:after="0" w:line="193" w:lineRule="exact"/>
              <w:rPr>
                <w:sz w:val="20"/>
                <w:szCs w:val="20"/>
                <w:color w:val="auto"/>
              </w:rPr>
            </w:pPr>
            <w:r>
              <w:rPr>
                <w:rFonts w:ascii="Arial" w:cs="Arial" w:eastAsia="Arial" w:hAnsi="Arial"/>
                <w:sz w:val="20"/>
                <w:szCs w:val="20"/>
                <w:color w:val="auto"/>
              </w:rPr>
              <w:t>BBB-</w:t>
            </w:r>
          </w:p>
        </w:tc>
        <w:tc>
          <w:tcPr>
            <w:tcW w:w="1100" w:type="dxa"/>
            <w:vAlign w:val="bottom"/>
            <w:tcBorders>
              <w:right w:val="single" w:sz="8" w:color="010101"/>
            </w:tcBorders>
          </w:tcPr>
          <w:p>
            <w:pPr>
              <w:jc w:val="center"/>
              <w:spacing w:after="0" w:line="193" w:lineRule="exact"/>
              <w:rPr>
                <w:sz w:val="20"/>
                <w:szCs w:val="20"/>
                <w:color w:val="auto"/>
              </w:rPr>
            </w:pPr>
            <w:r>
              <w:rPr>
                <w:rFonts w:ascii="Arial" w:cs="Arial" w:eastAsia="Arial" w:hAnsi="Arial"/>
                <w:sz w:val="20"/>
                <w:szCs w:val="20"/>
                <w:color w:val="auto"/>
                <w:w w:val="88"/>
              </w:rPr>
              <w:t>0.175%</w:t>
            </w:r>
          </w:p>
        </w:tc>
        <w:tc>
          <w:tcPr>
            <w:tcW w:w="1460" w:type="dxa"/>
            <w:vAlign w:val="bottom"/>
            <w:gridSpan w:val="3"/>
          </w:tcPr>
          <w:p>
            <w:pPr>
              <w:jc w:val="center"/>
              <w:ind w:left="821"/>
              <w:spacing w:after="0" w:line="193" w:lineRule="exact"/>
              <w:rPr>
                <w:sz w:val="20"/>
                <w:szCs w:val="20"/>
                <w:color w:val="auto"/>
              </w:rPr>
            </w:pPr>
            <w:r>
              <w:rPr>
                <w:rFonts w:ascii="Arial" w:cs="Arial" w:eastAsia="Arial" w:hAnsi="Arial"/>
                <w:sz w:val="20"/>
                <w:szCs w:val="20"/>
                <w:color w:val="auto"/>
                <w:w w:val="88"/>
              </w:rPr>
              <w:t>1.20%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right w:val="single" w:sz="8" w:color="010101"/>
            </w:tcBorders>
          </w:tcPr>
          <w:p>
            <w:pPr>
              <w:spacing w:after="0"/>
              <w:rPr>
                <w:sz w:val="16"/>
                <w:szCs w:val="16"/>
                <w:color w:val="auto"/>
              </w:rPr>
            </w:pPr>
          </w:p>
        </w:tc>
        <w:tc>
          <w:tcPr>
            <w:tcW w:w="2120" w:type="dxa"/>
            <w:vAlign w:val="bottom"/>
            <w:tcBorders>
              <w:right w:val="single" w:sz="8" w:color="010101"/>
            </w:tcBorders>
          </w:tcPr>
          <w:p>
            <w:pPr>
              <w:jc w:val="center"/>
              <w:spacing w:after="0" w:line="193" w:lineRule="exact"/>
              <w:rPr>
                <w:sz w:val="20"/>
                <w:szCs w:val="20"/>
                <w:color w:val="auto"/>
              </w:rPr>
            </w:pPr>
            <w:r>
              <w:rPr>
                <w:rFonts w:ascii="Arial" w:cs="Arial" w:eastAsia="Arial" w:hAnsi="Arial"/>
                <w:sz w:val="20"/>
                <w:szCs w:val="20"/>
                <w:color w:val="auto"/>
                <w:w w:val="88"/>
              </w:rPr>
              <w:t>1.20%</w:t>
            </w:r>
          </w:p>
        </w:tc>
        <w:tc>
          <w:tcPr>
            <w:tcW w:w="1820" w:type="dxa"/>
            <w:vAlign w:val="bottom"/>
            <w:tcBorders>
              <w:right w:val="single" w:sz="8" w:color="010101"/>
            </w:tcBorders>
          </w:tcPr>
          <w:p>
            <w:pPr>
              <w:jc w:val="center"/>
              <w:ind w:left="61"/>
              <w:spacing w:after="0" w:line="193" w:lineRule="exact"/>
              <w:rPr>
                <w:sz w:val="20"/>
                <w:szCs w:val="20"/>
                <w:color w:val="auto"/>
              </w:rPr>
            </w:pPr>
            <w:r>
              <w:rPr>
                <w:rFonts w:ascii="Arial" w:cs="Arial" w:eastAsia="Arial" w:hAnsi="Arial"/>
                <w:sz w:val="20"/>
                <w:szCs w:val="20"/>
                <w:color w:val="auto"/>
                <w:w w:val="88"/>
              </w:rPr>
              <w:t>0.20%</w:t>
            </w:r>
          </w:p>
        </w:tc>
        <w:tc>
          <w:tcPr>
            <w:tcW w:w="0" w:type="dxa"/>
            <w:vAlign w:val="bottom"/>
          </w:tcPr>
          <w:p>
            <w:pPr>
              <w:spacing w:after="0"/>
              <w:rPr>
                <w:sz w:val="1"/>
                <w:szCs w:val="1"/>
                <w:color w:val="auto"/>
              </w:rPr>
            </w:pPr>
          </w:p>
        </w:tc>
      </w:tr>
      <w:tr>
        <w:trPr>
          <w:trHeight w:val="203"/>
        </w:trPr>
        <w:tc>
          <w:tcPr>
            <w:tcW w:w="980" w:type="dxa"/>
            <w:vAlign w:val="bottom"/>
            <w:tcBorders>
              <w:left w:val="single" w:sz="8" w:color="010101"/>
              <w:right w:val="single" w:sz="8" w:color="010101"/>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right w:val="single" w:sz="8" w:color="010101"/>
            </w:tcBorders>
            <w:gridSpan w:val="4"/>
          </w:tcPr>
          <w:p>
            <w:pPr>
              <w:jc w:val="center"/>
              <w:ind w:right="300"/>
              <w:spacing w:after="0" w:line="203" w:lineRule="exact"/>
              <w:rPr>
                <w:sz w:val="20"/>
                <w:szCs w:val="20"/>
                <w:color w:val="auto"/>
              </w:rPr>
            </w:pPr>
            <w:r>
              <w:rPr>
                <w:rFonts w:ascii="Arial" w:cs="Arial" w:eastAsia="Arial" w:hAnsi="Arial"/>
                <w:sz w:val="20"/>
                <w:szCs w:val="20"/>
                <w:color w:val="auto"/>
                <w:w w:val="88"/>
              </w:rPr>
              <w:t>/Baa3 /</w:t>
            </w:r>
          </w:p>
        </w:tc>
        <w:tc>
          <w:tcPr>
            <w:tcW w:w="1100" w:type="dxa"/>
            <w:vAlign w:val="bottom"/>
            <w:tcBorders>
              <w:right w:val="single" w:sz="8" w:color="010101"/>
            </w:tcBorders>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right w:val="single" w:sz="8" w:color="010101"/>
            </w:tcBorders>
          </w:tcPr>
          <w:p>
            <w:pPr>
              <w:spacing w:after="0"/>
              <w:rPr>
                <w:sz w:val="17"/>
                <w:szCs w:val="17"/>
                <w:color w:val="auto"/>
              </w:rPr>
            </w:pPr>
          </w:p>
        </w:tc>
        <w:tc>
          <w:tcPr>
            <w:tcW w:w="2120" w:type="dxa"/>
            <w:vAlign w:val="bottom"/>
            <w:tcBorders>
              <w:right w:val="single" w:sz="8" w:color="010101"/>
            </w:tcBorders>
          </w:tcPr>
          <w:p>
            <w:pPr>
              <w:spacing w:after="0"/>
              <w:rPr>
                <w:sz w:val="17"/>
                <w:szCs w:val="17"/>
                <w:color w:val="auto"/>
              </w:rPr>
            </w:pPr>
          </w:p>
        </w:tc>
        <w:tc>
          <w:tcPr>
            <w:tcW w:w="182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980" w:type="dxa"/>
            <w:vAlign w:val="bottom"/>
            <w:tcBorders>
              <w:left w:val="single" w:sz="8" w:color="010101"/>
              <w:bottom w:val="single" w:sz="8" w:color="010101"/>
              <w:right w:val="single" w:sz="8" w:color="010101"/>
            </w:tcBorders>
          </w:tcPr>
          <w:p>
            <w:pPr>
              <w:spacing w:after="0"/>
              <w:rPr>
                <w:sz w:val="21"/>
                <w:szCs w:val="21"/>
                <w:color w:val="auto"/>
              </w:rPr>
            </w:pPr>
          </w:p>
        </w:tc>
        <w:tc>
          <w:tcPr>
            <w:tcW w:w="140" w:type="dxa"/>
            <w:vAlign w:val="bottom"/>
            <w:tcBorders>
              <w:bottom w:val="single" w:sz="8" w:color="010101"/>
            </w:tcBorders>
          </w:tcPr>
          <w:p>
            <w:pPr>
              <w:spacing w:after="0"/>
              <w:rPr>
                <w:sz w:val="21"/>
                <w:szCs w:val="21"/>
                <w:color w:val="auto"/>
              </w:rPr>
            </w:pPr>
          </w:p>
        </w:tc>
        <w:tc>
          <w:tcPr>
            <w:tcW w:w="1100" w:type="dxa"/>
            <w:vAlign w:val="bottom"/>
            <w:tcBorders>
              <w:bottom w:val="single" w:sz="8" w:color="010101"/>
              <w:right w:val="single" w:sz="8" w:color="010101"/>
            </w:tcBorders>
            <w:gridSpan w:val="4"/>
          </w:tcPr>
          <w:p>
            <w:pPr>
              <w:ind w:left="120"/>
              <w:spacing w:after="0"/>
              <w:rPr>
                <w:sz w:val="20"/>
                <w:szCs w:val="20"/>
                <w:color w:val="auto"/>
              </w:rPr>
            </w:pPr>
            <w:r>
              <w:rPr>
                <w:rFonts w:ascii="Arial" w:cs="Arial" w:eastAsia="Arial" w:hAnsi="Arial"/>
                <w:sz w:val="20"/>
                <w:szCs w:val="20"/>
                <w:color w:val="auto"/>
              </w:rPr>
              <w:t>BBB-</w:t>
            </w:r>
          </w:p>
        </w:tc>
        <w:tc>
          <w:tcPr>
            <w:tcW w:w="1100" w:type="dxa"/>
            <w:vAlign w:val="bottom"/>
            <w:tcBorders>
              <w:bottom w:val="single" w:sz="8" w:color="010101"/>
              <w:right w:val="single" w:sz="8" w:color="010101"/>
            </w:tcBorders>
          </w:tcPr>
          <w:p>
            <w:pPr>
              <w:spacing w:after="0"/>
              <w:rPr>
                <w:sz w:val="21"/>
                <w:szCs w:val="21"/>
                <w:color w:val="auto"/>
              </w:rPr>
            </w:pPr>
          </w:p>
        </w:tc>
        <w:tc>
          <w:tcPr>
            <w:tcW w:w="380" w:type="dxa"/>
            <w:vAlign w:val="bottom"/>
            <w:tcBorders>
              <w:bottom w:val="single" w:sz="8" w:color="010101"/>
            </w:tcBorders>
          </w:tcPr>
          <w:p>
            <w:pPr>
              <w:spacing w:after="0"/>
              <w:rPr>
                <w:sz w:val="21"/>
                <w:szCs w:val="21"/>
                <w:color w:val="auto"/>
              </w:rPr>
            </w:pPr>
          </w:p>
        </w:tc>
        <w:tc>
          <w:tcPr>
            <w:tcW w:w="540" w:type="dxa"/>
            <w:vAlign w:val="bottom"/>
            <w:tcBorders>
              <w:bottom w:val="single" w:sz="8" w:color="010101"/>
            </w:tcBorders>
          </w:tcPr>
          <w:p>
            <w:pPr>
              <w:spacing w:after="0"/>
              <w:rPr>
                <w:sz w:val="21"/>
                <w:szCs w:val="21"/>
                <w:color w:val="auto"/>
              </w:rPr>
            </w:pPr>
          </w:p>
        </w:tc>
        <w:tc>
          <w:tcPr>
            <w:tcW w:w="540" w:type="dxa"/>
            <w:vAlign w:val="bottom"/>
            <w:tcBorders>
              <w:bottom w:val="single" w:sz="8" w:color="010101"/>
            </w:tcBorders>
          </w:tcPr>
          <w:p>
            <w:pPr>
              <w:spacing w:after="0"/>
              <w:rPr>
                <w:sz w:val="21"/>
                <w:szCs w:val="21"/>
                <w:color w:val="auto"/>
              </w:rPr>
            </w:pPr>
          </w:p>
        </w:tc>
        <w:tc>
          <w:tcPr>
            <w:tcW w:w="100" w:type="dxa"/>
            <w:vAlign w:val="bottom"/>
            <w:tcBorders>
              <w:bottom w:val="single" w:sz="8" w:color="010101"/>
            </w:tcBorders>
          </w:tcPr>
          <w:p>
            <w:pPr>
              <w:spacing w:after="0"/>
              <w:rPr>
                <w:sz w:val="21"/>
                <w:szCs w:val="21"/>
                <w:color w:val="auto"/>
              </w:rPr>
            </w:pPr>
          </w:p>
        </w:tc>
        <w:tc>
          <w:tcPr>
            <w:tcW w:w="20" w:type="dxa"/>
            <w:vAlign w:val="bottom"/>
            <w:tcBorders>
              <w:bottom w:val="single" w:sz="8" w:color="010101"/>
            </w:tcBorders>
          </w:tcPr>
          <w:p>
            <w:pPr>
              <w:spacing w:after="0"/>
              <w:rPr>
                <w:sz w:val="21"/>
                <w:szCs w:val="21"/>
                <w:color w:val="auto"/>
              </w:rPr>
            </w:pPr>
          </w:p>
        </w:tc>
        <w:tc>
          <w:tcPr>
            <w:tcW w:w="420" w:type="dxa"/>
            <w:vAlign w:val="bottom"/>
            <w:tcBorders>
              <w:bottom w:val="single" w:sz="8" w:color="010101"/>
            </w:tcBorders>
          </w:tcPr>
          <w:p>
            <w:pPr>
              <w:spacing w:after="0"/>
              <w:rPr>
                <w:sz w:val="21"/>
                <w:szCs w:val="21"/>
                <w:color w:val="auto"/>
              </w:rPr>
            </w:pPr>
          </w:p>
        </w:tc>
        <w:tc>
          <w:tcPr>
            <w:tcW w:w="80" w:type="dxa"/>
            <w:vAlign w:val="bottom"/>
            <w:tcBorders>
              <w:bottom w:val="single" w:sz="8" w:color="010101"/>
            </w:tcBorders>
          </w:tcPr>
          <w:p>
            <w:pPr>
              <w:spacing w:after="0"/>
              <w:rPr>
                <w:sz w:val="21"/>
                <w:szCs w:val="21"/>
                <w:color w:val="auto"/>
              </w:rPr>
            </w:pPr>
          </w:p>
        </w:tc>
        <w:tc>
          <w:tcPr>
            <w:tcW w:w="320" w:type="dxa"/>
            <w:vAlign w:val="bottom"/>
            <w:tcBorders>
              <w:bottom w:val="single" w:sz="8" w:color="010101"/>
              <w:right w:val="single" w:sz="8" w:color="010101"/>
            </w:tcBorders>
          </w:tcPr>
          <w:p>
            <w:pPr>
              <w:spacing w:after="0"/>
              <w:rPr>
                <w:sz w:val="21"/>
                <w:szCs w:val="21"/>
                <w:color w:val="auto"/>
              </w:rPr>
            </w:pPr>
          </w:p>
        </w:tc>
        <w:tc>
          <w:tcPr>
            <w:tcW w:w="2120" w:type="dxa"/>
            <w:vAlign w:val="bottom"/>
            <w:tcBorders>
              <w:bottom w:val="single" w:sz="8" w:color="010101"/>
              <w:right w:val="single" w:sz="8" w:color="010101"/>
            </w:tcBorders>
          </w:tcPr>
          <w:p>
            <w:pPr>
              <w:spacing w:after="0"/>
              <w:rPr>
                <w:sz w:val="21"/>
                <w:szCs w:val="21"/>
                <w:color w:val="auto"/>
              </w:rPr>
            </w:pPr>
          </w:p>
        </w:tc>
        <w:tc>
          <w:tcPr>
            <w:tcW w:w="1820" w:type="dxa"/>
            <w:vAlign w:val="bottom"/>
            <w:tcBorders>
              <w:bottom w:val="single" w:sz="8" w:color="010101"/>
              <w:right w:val="single" w:sz="8" w:color="010101"/>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980" w:type="dxa"/>
            <w:vAlign w:val="bottom"/>
            <w:tcBorders>
              <w:left w:val="single" w:sz="8" w:color="010101"/>
              <w:right w:val="single" w:sz="8" w:color="010101"/>
            </w:tcBorders>
          </w:tcPr>
          <w:p>
            <w:pPr>
              <w:jc w:val="right"/>
              <w:ind w:right="341"/>
              <w:spacing w:after="0"/>
              <w:rPr>
                <w:sz w:val="20"/>
                <w:szCs w:val="20"/>
                <w:color w:val="auto"/>
              </w:rPr>
            </w:pPr>
            <w:r>
              <w:rPr>
                <w:rFonts w:ascii="Arial" w:cs="Arial" w:eastAsia="Arial" w:hAnsi="Arial"/>
                <w:sz w:val="20"/>
                <w:szCs w:val="20"/>
                <w:color w:val="auto"/>
              </w:rPr>
              <w:t>5</w:t>
            </w:r>
          </w:p>
        </w:tc>
        <w:tc>
          <w:tcPr>
            <w:tcW w:w="1240" w:type="dxa"/>
            <w:vAlign w:val="bottom"/>
            <w:tcBorders>
              <w:right w:val="single" w:sz="8" w:color="010101"/>
            </w:tcBorders>
            <w:gridSpan w:val="5"/>
          </w:tcPr>
          <w:p>
            <w:pPr>
              <w:ind w:left="120"/>
              <w:spacing w:after="0"/>
              <w:rPr>
                <w:sz w:val="20"/>
                <w:szCs w:val="20"/>
                <w:color w:val="auto"/>
              </w:rPr>
            </w:pPr>
            <w:r>
              <w:rPr>
                <w:rFonts w:ascii="Arial" w:cs="Arial" w:eastAsia="Arial" w:hAnsi="Arial"/>
                <w:sz w:val="20"/>
                <w:szCs w:val="20"/>
                <w:color w:val="auto"/>
              </w:rPr>
              <w:t>≤BB+ / Ba1</w:t>
            </w:r>
          </w:p>
        </w:tc>
        <w:tc>
          <w:tcPr>
            <w:tcW w:w="110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91"/>
              </w:rPr>
              <w:t>0.20%</w:t>
            </w:r>
          </w:p>
        </w:tc>
        <w:tc>
          <w:tcPr>
            <w:tcW w:w="1560" w:type="dxa"/>
            <w:vAlign w:val="bottom"/>
            <w:gridSpan w:val="4"/>
          </w:tcPr>
          <w:p>
            <w:pPr>
              <w:jc w:val="center"/>
              <w:ind w:left="721"/>
              <w:spacing w:after="0"/>
              <w:rPr>
                <w:sz w:val="20"/>
                <w:szCs w:val="20"/>
                <w:color w:val="auto"/>
              </w:rPr>
            </w:pPr>
            <w:r>
              <w:rPr>
                <w:rFonts w:ascii="Arial" w:cs="Arial" w:eastAsia="Arial" w:hAnsi="Arial"/>
                <w:sz w:val="20"/>
                <w:szCs w:val="20"/>
                <w:color w:val="auto"/>
                <w:w w:val="91"/>
              </w:rPr>
              <w:t>1.425%</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right w:val="single" w:sz="8" w:color="010101"/>
            </w:tcBorders>
          </w:tcPr>
          <w:p>
            <w:pPr>
              <w:spacing w:after="0"/>
              <w:rPr>
                <w:sz w:val="23"/>
                <w:szCs w:val="23"/>
                <w:color w:val="auto"/>
              </w:rPr>
            </w:pPr>
          </w:p>
        </w:tc>
        <w:tc>
          <w:tcPr>
            <w:tcW w:w="2120" w:type="dxa"/>
            <w:vAlign w:val="bottom"/>
            <w:tcBorders>
              <w:right w:val="single" w:sz="8" w:color="010101"/>
            </w:tcBorders>
          </w:tcPr>
          <w:p>
            <w:pPr>
              <w:jc w:val="center"/>
              <w:spacing w:after="0"/>
              <w:rPr>
                <w:sz w:val="20"/>
                <w:szCs w:val="20"/>
                <w:color w:val="auto"/>
              </w:rPr>
            </w:pPr>
            <w:r>
              <w:rPr>
                <w:rFonts w:ascii="Arial" w:cs="Arial" w:eastAsia="Arial" w:hAnsi="Arial"/>
                <w:sz w:val="20"/>
                <w:szCs w:val="20"/>
                <w:color w:val="auto"/>
                <w:w w:val="91"/>
              </w:rPr>
              <w:t>1.425%</w:t>
            </w:r>
          </w:p>
        </w:tc>
        <w:tc>
          <w:tcPr>
            <w:tcW w:w="1820" w:type="dxa"/>
            <w:vAlign w:val="bottom"/>
            <w:tcBorders>
              <w:right w:val="single" w:sz="8" w:color="010101"/>
            </w:tcBorders>
          </w:tcPr>
          <w:p>
            <w:pPr>
              <w:jc w:val="center"/>
              <w:ind w:left="61"/>
              <w:spacing w:after="0"/>
              <w:rPr>
                <w:sz w:val="20"/>
                <w:szCs w:val="20"/>
                <w:color w:val="auto"/>
              </w:rPr>
            </w:pPr>
            <w:r>
              <w:rPr>
                <w:rFonts w:ascii="Arial" w:cs="Arial" w:eastAsia="Arial" w:hAnsi="Arial"/>
                <w:sz w:val="20"/>
                <w:szCs w:val="20"/>
                <w:color w:val="auto"/>
                <w:w w:val="91"/>
              </w:rPr>
              <w:t>0.425%</w:t>
            </w:r>
          </w:p>
        </w:tc>
        <w:tc>
          <w:tcPr>
            <w:tcW w:w="0" w:type="dxa"/>
            <w:vAlign w:val="bottom"/>
          </w:tcPr>
          <w:p>
            <w:pPr>
              <w:spacing w:after="0"/>
              <w:rPr>
                <w:sz w:val="1"/>
                <w:szCs w:val="1"/>
                <w:color w:val="auto"/>
              </w:rPr>
            </w:pPr>
          </w:p>
        </w:tc>
      </w:tr>
      <w:tr>
        <w:trPr>
          <w:trHeight w:val="270"/>
        </w:trPr>
        <w:tc>
          <w:tcPr>
            <w:tcW w:w="980" w:type="dxa"/>
            <w:vAlign w:val="bottom"/>
            <w:tcBorders>
              <w:left w:val="single" w:sz="8" w:color="010101"/>
              <w:right w:val="single" w:sz="8" w:color="010101"/>
            </w:tcBorders>
          </w:tcPr>
          <w:p>
            <w:pPr>
              <w:spacing w:after="0"/>
              <w:rPr>
                <w:sz w:val="23"/>
                <w:szCs w:val="23"/>
                <w:color w:val="auto"/>
              </w:rPr>
            </w:pPr>
          </w:p>
        </w:tc>
        <w:tc>
          <w:tcPr>
            <w:tcW w:w="1240" w:type="dxa"/>
            <w:vAlign w:val="bottom"/>
            <w:tcBorders>
              <w:right w:val="single" w:sz="8" w:color="010101"/>
            </w:tcBorders>
            <w:gridSpan w:val="5"/>
          </w:tcPr>
          <w:p>
            <w:pPr>
              <w:ind w:left="120"/>
              <w:spacing w:after="0"/>
              <w:rPr>
                <w:sz w:val="20"/>
                <w:szCs w:val="20"/>
                <w:color w:val="auto"/>
              </w:rPr>
            </w:pPr>
            <w:r>
              <w:rPr>
                <w:rFonts w:ascii="Arial" w:cs="Arial" w:eastAsia="Arial" w:hAnsi="Arial"/>
                <w:sz w:val="20"/>
                <w:szCs w:val="20"/>
                <w:color w:val="auto"/>
              </w:rPr>
              <w:t>/ BB+</w:t>
            </w:r>
          </w:p>
        </w:tc>
        <w:tc>
          <w:tcPr>
            <w:tcW w:w="1100" w:type="dxa"/>
            <w:vAlign w:val="bottom"/>
            <w:tcBorders>
              <w:right w:val="single" w:sz="8" w:color="010101"/>
            </w:tcBorders>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right w:val="single" w:sz="8" w:color="010101"/>
            </w:tcBorders>
          </w:tcPr>
          <w:p>
            <w:pPr>
              <w:spacing w:after="0"/>
              <w:rPr>
                <w:sz w:val="23"/>
                <w:szCs w:val="23"/>
                <w:color w:val="auto"/>
              </w:rPr>
            </w:pPr>
          </w:p>
        </w:tc>
        <w:tc>
          <w:tcPr>
            <w:tcW w:w="2120" w:type="dxa"/>
            <w:vAlign w:val="bottom"/>
            <w:tcBorders>
              <w:right w:val="single" w:sz="8" w:color="010101"/>
            </w:tcBorders>
          </w:tcPr>
          <w:p>
            <w:pPr>
              <w:spacing w:after="0"/>
              <w:rPr>
                <w:sz w:val="23"/>
                <w:szCs w:val="23"/>
                <w:color w:val="auto"/>
              </w:rPr>
            </w:pPr>
          </w:p>
        </w:tc>
        <w:tc>
          <w:tcPr>
            <w:tcW w:w="1820" w:type="dxa"/>
            <w:vAlign w:val="bottom"/>
            <w:tcBorders>
              <w:right w:val="single" w:sz="8" w:color="010101"/>
            </w:tcBorders>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980" w:type="dxa"/>
            <w:vAlign w:val="bottom"/>
            <w:tcBorders>
              <w:left w:val="single" w:sz="8" w:color="010101"/>
              <w:bottom w:val="single" w:sz="8" w:color="010101"/>
              <w:right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300" w:type="dxa"/>
            <w:vAlign w:val="bottom"/>
            <w:tcBorders>
              <w:bottom w:val="single" w:sz="8" w:color="010101"/>
            </w:tcBorders>
          </w:tcPr>
          <w:p>
            <w:pPr>
              <w:spacing w:after="0"/>
              <w:rPr>
                <w:sz w:val="3"/>
                <w:szCs w:val="3"/>
                <w:color w:val="auto"/>
              </w:rPr>
            </w:pPr>
          </w:p>
        </w:tc>
        <w:tc>
          <w:tcPr>
            <w:tcW w:w="260" w:type="dxa"/>
            <w:vAlign w:val="bottom"/>
            <w:tcBorders>
              <w:bottom w:val="single" w:sz="8" w:color="010101"/>
            </w:tcBorders>
          </w:tcPr>
          <w:p>
            <w:pPr>
              <w:spacing w:after="0"/>
              <w:rPr>
                <w:sz w:val="3"/>
                <w:szCs w:val="3"/>
                <w:color w:val="auto"/>
              </w:rPr>
            </w:pPr>
          </w:p>
        </w:tc>
        <w:tc>
          <w:tcPr>
            <w:tcW w:w="140" w:type="dxa"/>
            <w:vAlign w:val="bottom"/>
            <w:tcBorders>
              <w:bottom w:val="single" w:sz="8" w:color="010101"/>
            </w:tcBorders>
          </w:tcPr>
          <w:p>
            <w:pPr>
              <w:spacing w:after="0"/>
              <w:rPr>
                <w:sz w:val="3"/>
                <w:szCs w:val="3"/>
                <w:color w:val="auto"/>
              </w:rPr>
            </w:pPr>
          </w:p>
        </w:tc>
        <w:tc>
          <w:tcPr>
            <w:tcW w:w="400" w:type="dxa"/>
            <w:vAlign w:val="bottom"/>
            <w:tcBorders>
              <w:bottom w:val="single" w:sz="8" w:color="010101"/>
              <w:right w:val="single" w:sz="8" w:color="010101"/>
            </w:tcBorders>
          </w:tcPr>
          <w:p>
            <w:pPr>
              <w:spacing w:after="0"/>
              <w:rPr>
                <w:sz w:val="3"/>
                <w:szCs w:val="3"/>
                <w:color w:val="auto"/>
              </w:rPr>
            </w:pPr>
          </w:p>
        </w:tc>
        <w:tc>
          <w:tcPr>
            <w:tcW w:w="1100" w:type="dxa"/>
            <w:vAlign w:val="bottom"/>
            <w:tcBorders>
              <w:bottom w:val="single" w:sz="8" w:color="010101"/>
              <w:right w:val="single" w:sz="8" w:color="010101"/>
            </w:tcBorders>
          </w:tcPr>
          <w:p>
            <w:pPr>
              <w:spacing w:after="0"/>
              <w:rPr>
                <w:sz w:val="3"/>
                <w:szCs w:val="3"/>
                <w:color w:val="auto"/>
              </w:rPr>
            </w:pPr>
          </w:p>
        </w:tc>
        <w:tc>
          <w:tcPr>
            <w:tcW w:w="380" w:type="dxa"/>
            <w:vAlign w:val="bottom"/>
            <w:tcBorders>
              <w:bottom w:val="single" w:sz="8" w:color="010101"/>
            </w:tcBorders>
          </w:tcPr>
          <w:p>
            <w:pPr>
              <w:spacing w:after="0"/>
              <w:rPr>
                <w:sz w:val="3"/>
                <w:szCs w:val="3"/>
                <w:color w:val="auto"/>
              </w:rPr>
            </w:pPr>
          </w:p>
        </w:tc>
        <w:tc>
          <w:tcPr>
            <w:tcW w:w="540" w:type="dxa"/>
            <w:vAlign w:val="bottom"/>
            <w:tcBorders>
              <w:bottom w:val="single" w:sz="8" w:color="010101"/>
            </w:tcBorders>
          </w:tcPr>
          <w:p>
            <w:pPr>
              <w:spacing w:after="0"/>
              <w:rPr>
                <w:sz w:val="3"/>
                <w:szCs w:val="3"/>
                <w:color w:val="auto"/>
              </w:rPr>
            </w:pPr>
          </w:p>
        </w:tc>
        <w:tc>
          <w:tcPr>
            <w:tcW w:w="540" w:type="dxa"/>
            <w:vAlign w:val="bottom"/>
            <w:tcBorders>
              <w:bottom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420" w:type="dxa"/>
            <w:vAlign w:val="bottom"/>
            <w:tcBorders>
              <w:bottom w:val="single" w:sz="8" w:color="010101"/>
            </w:tcBorders>
          </w:tcPr>
          <w:p>
            <w:pPr>
              <w:spacing w:after="0"/>
              <w:rPr>
                <w:sz w:val="3"/>
                <w:szCs w:val="3"/>
                <w:color w:val="auto"/>
              </w:rPr>
            </w:pPr>
          </w:p>
        </w:tc>
        <w:tc>
          <w:tcPr>
            <w:tcW w:w="80" w:type="dxa"/>
            <w:vAlign w:val="bottom"/>
            <w:tcBorders>
              <w:bottom w:val="single" w:sz="8" w:color="010101"/>
            </w:tcBorders>
          </w:tcPr>
          <w:p>
            <w:pPr>
              <w:spacing w:after="0"/>
              <w:rPr>
                <w:sz w:val="3"/>
                <w:szCs w:val="3"/>
                <w:color w:val="auto"/>
              </w:rPr>
            </w:pPr>
          </w:p>
        </w:tc>
        <w:tc>
          <w:tcPr>
            <w:tcW w:w="320" w:type="dxa"/>
            <w:vAlign w:val="bottom"/>
            <w:tcBorders>
              <w:bottom w:val="single" w:sz="8" w:color="010101"/>
              <w:right w:val="single" w:sz="8" w:color="010101"/>
            </w:tcBorders>
          </w:tcPr>
          <w:p>
            <w:pPr>
              <w:spacing w:after="0"/>
              <w:rPr>
                <w:sz w:val="3"/>
                <w:szCs w:val="3"/>
                <w:color w:val="auto"/>
              </w:rPr>
            </w:pPr>
          </w:p>
        </w:tc>
        <w:tc>
          <w:tcPr>
            <w:tcW w:w="2120" w:type="dxa"/>
            <w:vAlign w:val="bottom"/>
            <w:tcBorders>
              <w:bottom w:val="single" w:sz="8" w:color="010101"/>
              <w:right w:val="single" w:sz="8" w:color="010101"/>
            </w:tcBorders>
          </w:tcPr>
          <w:p>
            <w:pPr>
              <w:spacing w:after="0"/>
              <w:rPr>
                <w:sz w:val="3"/>
                <w:szCs w:val="3"/>
                <w:color w:val="auto"/>
              </w:rPr>
            </w:pPr>
          </w:p>
        </w:tc>
        <w:tc>
          <w:tcPr>
            <w:tcW w:w="182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9660"/>
          </w:cols>
          <w:pgMar w:left="1020" w:top="1388" w:right="1219" w:bottom="1440" w:gutter="0" w:footer="0" w:header="0"/>
        </w:sectPr>
      </w:pPr>
    </w:p>
    <w:bookmarkStart w:id="105" w:name="page106"/>
    <w:bookmarkEnd w:id="105"/>
    <w:p>
      <w:pPr>
        <w:spacing w:after="0" w:line="200" w:lineRule="exact"/>
        <w:rPr>
          <w:sz w:val="20"/>
          <w:szCs w:val="20"/>
          <w:color w:val="auto"/>
        </w:rPr>
      </w:pPr>
    </w:p>
    <w:p>
      <w:pPr>
        <w:spacing w:after="0" w:line="261" w:lineRule="exact"/>
        <w:rPr>
          <w:sz w:val="20"/>
          <w:szCs w:val="20"/>
          <w:color w:val="auto"/>
        </w:rPr>
      </w:pPr>
    </w:p>
    <w:p>
      <w:pPr>
        <w:ind w:right="40" w:firstLine="648"/>
        <w:spacing w:after="0" w:line="244" w:lineRule="auto"/>
        <w:rPr>
          <w:sz w:val="20"/>
          <w:szCs w:val="20"/>
          <w:color w:val="auto"/>
        </w:rPr>
      </w:pPr>
      <w:r>
        <w:rPr>
          <w:rFonts w:ascii="Arial" w:cs="Arial" w:eastAsia="Arial" w:hAnsi="Arial"/>
          <w:sz w:val="19"/>
          <w:szCs w:val="19"/>
          <w:color w:val="auto"/>
        </w:rPr>
        <w:t>Initially, the Applicable Rate shall be determined based upon Pricing Level 4. Thereafter, each change in the Applicable Rate resulting from a publicly announced change in the Debt Rating shall be effective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S&amp;P or Fitch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8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Time</w:t>
      </w:r>
      <w:r>
        <w:rPr>
          <w:rFonts w:ascii="Arial" w:cs="Arial" w:eastAsia="Arial" w:hAnsi="Arial"/>
          <w:sz w:val="22"/>
          <w:szCs w:val="22"/>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Bank</w:t>
      </w:r>
      <w:r>
        <w:rPr>
          <w:rFonts w:ascii="Arial" w:cs="Arial" w:eastAsia="Arial" w:hAnsi="Arial"/>
          <w:sz w:val="22"/>
          <w:szCs w:val="22"/>
          <w:color w:val="auto"/>
        </w:rPr>
        <w:t>” has the meaning assigned to such term in the definition of “Cash Equivalents.”</w:t>
      </w:r>
    </w:p>
    <w:p>
      <w:pPr>
        <w:spacing w:after="0" w:line="20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Fund that is administered or managed by (a) a Lender, (b) an Affiliate of a Lender or (c) an entity or an Affiliate of an entity that administers or manages a Lender.</w:t>
      </w:r>
    </w:p>
    <w:p>
      <w:pPr>
        <w:spacing w:after="0" w:line="19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Arrangers</w:t>
      </w:r>
      <w:r>
        <w:rPr>
          <w:rFonts w:ascii="Arial" w:cs="Arial" w:eastAsia="Arial" w:hAnsi="Arial"/>
          <w:sz w:val="21"/>
          <w:szCs w:val="21"/>
          <w:color w:val="auto"/>
        </w:rPr>
        <w:t>” means, collectively, BofA Securities, Inc., Barclays Bank PLC, BNP Paribas Securities Corp., Citibank, N.A., Deutsche Bank Securities Inc., DNB Markets, Inc., Goldman Sachs Bank USA, ING Bank N.V., Dublin Branch, JPMorgan Chase Bank, N.A., Mizuho Bank, Ltd., Morgan Stanley MUFG Loan Partners, LLC, acting through Morgan Stanley Senior Funding, Inc. and MUFG Bank, Ltd., PNC Capital Markets LLC and RBC Capital Markets, LLC, as lead arrangers and bookrunners, as lead arrangers and bookrunners.</w:t>
      </w:r>
    </w:p>
    <w:p>
      <w:pPr>
        <w:spacing w:after="0" w:line="20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means an assignment and assumption agreement entered into by a Lender and an assignee (with the consent of any party whose consent is required by Section 9.04 of this Agreement), and accepted by the Administrative Agent,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any other form (including electronic documentation generated by use of an electronic platform) approved by the Administrative Agent.</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Receivables Indebtedness</w:t>
      </w:r>
      <w:r>
        <w:rPr>
          <w:rFonts w:ascii="Arial" w:cs="Arial" w:eastAsia="Arial" w:hAnsi="Arial"/>
          <w:sz w:val="22"/>
          <w:szCs w:val="22"/>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sectPr>
          <w:pgSz w:w="11900" w:h="16838" w:orient="portrait"/>
          <w:cols w:equalWidth="0" w:num="1">
            <w:col w:w="10440"/>
          </w:cols>
          <w:pgMar w:left="1020" w:top="1440" w:right="439" w:bottom="1440" w:gutter="0" w:footer="0" w:header="0"/>
        </w:sectPr>
      </w:pPr>
    </w:p>
    <w:bookmarkStart w:id="106" w:name="page107"/>
    <w:bookmarkEnd w:id="106"/>
    <w:p>
      <w:pPr>
        <w:spacing w:after="0" w:line="83" w:lineRule="exact"/>
        <w:rPr>
          <w:sz w:val="20"/>
          <w:szCs w:val="20"/>
          <w:color w:val="auto"/>
        </w:rPr>
      </w:pPr>
    </w:p>
    <w:p>
      <w:pPr>
        <w:ind w:left="640" w:right="740"/>
        <w:spacing w:after="0" w:line="39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Augmenting Lender</w:t>
      </w:r>
      <w:r>
        <w:rPr>
          <w:rFonts w:ascii="Arial" w:cs="Arial" w:eastAsia="Arial" w:hAnsi="Arial"/>
          <w:sz w:val="22"/>
          <w:szCs w:val="22"/>
          <w:color w:val="auto"/>
        </w:rPr>
        <w:t>” has the meaning assigned to such term in Section 2.19(a). “</w:t>
      </w:r>
      <w:r>
        <w:rPr>
          <w:rFonts w:ascii="Arial" w:cs="Arial" w:eastAsia="Arial" w:hAnsi="Arial"/>
          <w:sz w:val="22"/>
          <w:szCs w:val="22"/>
          <w:u w:val="single" w:color="auto"/>
          <w:color w:val="auto"/>
        </w:rPr>
        <w:t>Auto-Extension Letter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of Credit</w:t>
      </w:r>
      <w:r>
        <w:rPr>
          <w:rFonts w:ascii="Arial" w:cs="Arial" w:eastAsia="Arial" w:hAnsi="Arial"/>
          <w:sz w:val="22"/>
          <w:szCs w:val="22"/>
          <w:color w:val="auto"/>
        </w:rPr>
        <w:t>” has the meaning set forth in Section 2.05(b)(iii).</w:t>
      </w:r>
    </w:p>
    <w:p>
      <w:pPr>
        <w:spacing w:after="0" w:line="1" w:lineRule="exact"/>
        <w:rPr>
          <w:sz w:val="20"/>
          <w:szCs w:val="20"/>
          <w:color w:val="auto"/>
        </w:rPr>
      </w:pPr>
    </w:p>
    <w:p>
      <w:pPr>
        <w:jc w:val="both"/>
        <w:ind w:right="20"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Availability Period</w:t>
      </w:r>
      <w:r>
        <w:rPr>
          <w:rFonts w:ascii="Arial" w:cs="Arial" w:eastAsia="Arial" w:hAnsi="Arial"/>
          <w:sz w:val="21"/>
          <w:szCs w:val="21"/>
          <w:color w:val="auto"/>
        </w:rPr>
        <w:t>” means the period from and including the Closing Date to but excluding the earlier of (a) (i) with respect to Revolving Commitments made pursuant to Section 2.01, the initial Revolving Credit Maturity Date, (ii) with respect to any Revolving Extension Series, the applicable Revolving Credit Maturity Date and (iii) with respect to any Swingline Loans, the initial Revolving Credit Maturity Date or, to the extent the Commitment of the Swingline Lender has been extended pursuant to a Revolving Extension Series, the Latest Maturity Date and (b) with respect to any Class of Revolving Commitments or the commitment of the Swingline Lender to make Swingline Loans, the date such Class of Revolving Commitments or such commitment to make Swingline Loans, as the case may be, is terminated in accordance with the provisions of this Agreement.</w:t>
      </w:r>
    </w:p>
    <w:p>
      <w:pPr>
        <w:spacing w:after="0" w:line="20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Available Tenor</w:t>
      </w:r>
      <w:r>
        <w:rPr>
          <w:rFonts w:ascii="Arial" w:cs="Arial" w:eastAsia="Arial" w:hAnsi="Arial"/>
          <w:sz w:val="21"/>
          <w:szCs w:val="21"/>
          <w:color w:val="FF0000"/>
          <w:strike w:val="1"/>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for such Benchmark, as applicable, pursuant to this Agreement as of such date.</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99" w:lineRule="exact"/>
        <w:rPr>
          <w:sz w:val="20"/>
          <w:szCs w:val="20"/>
          <w:color w:val="auto"/>
        </w:rPr>
      </w:pPr>
    </w:p>
    <w:p>
      <w:pPr>
        <w:jc w:val="both"/>
        <w:ind w:right="20"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Legislation</w:t>
      </w:r>
      <w:r>
        <w:rPr>
          <w:rFonts w:ascii="Arial" w:cs="Arial" w:eastAsia="Arial" w:hAnsi="Arial"/>
          <w:sz w:val="21"/>
          <w:szCs w:val="21"/>
          <w:color w:val="auto"/>
        </w:rPr>
        <w:t>” means</w:t>
      </w:r>
      <w:r>
        <w:rPr>
          <w:rFonts w:ascii="Arial" w:cs="Arial" w:eastAsia="Arial" w:hAnsi="Arial"/>
          <w:sz w:val="21"/>
          <w:szCs w:val="21"/>
          <w:color w:val="0000FF"/>
        </w:rPr>
        <w:t>,</w:t>
      </w:r>
      <w:r>
        <w:rPr>
          <w:rFonts w:ascii="Arial" w:cs="Arial" w:eastAsia="Arial" w:hAnsi="Arial"/>
          <w:sz w:val="21"/>
          <w:szCs w:val="21"/>
          <w:color w:val="auto"/>
        </w:rPr>
        <w:t xml:space="preserve"> (a) with respect to any EEA Member Country implementing Article 55 of Directive 2014/59/EU of the European Parliament and of the Council of the European Union, the implementing law, </w:t>
      </w:r>
      <w:r>
        <w:rPr>
          <w:rFonts w:ascii="Arial" w:cs="Arial" w:eastAsia="Arial" w:hAnsi="Arial"/>
          <w:sz w:val="21"/>
          <w:szCs w:val="21"/>
          <w:u w:val="single" w:color="auto"/>
          <w:color w:val="0000FF"/>
        </w:rPr>
        <w:t>rule,</w:t>
      </w:r>
      <w:r>
        <w:rPr>
          <w:rFonts w:ascii="Arial" w:cs="Arial" w:eastAsia="Arial" w:hAnsi="Arial"/>
          <w:sz w:val="21"/>
          <w:szCs w:val="21"/>
          <w:color w:val="auto"/>
        </w:rPr>
        <w:t xml:space="preserve"> regulation or requirement for such EEA Member Country from time to time which is described in the EU Bail-In Legislation Schedule</w:t>
      </w:r>
      <w:r>
        <w:rPr>
          <w:rFonts w:ascii="Arial" w:cs="Arial" w:eastAsia="Arial" w:hAnsi="Arial"/>
          <w:sz w:val="21"/>
          <w:szCs w:val="21"/>
          <w:color w:val="0000FF"/>
        </w:rPr>
        <w:t>,</w:t>
      </w:r>
      <w:r>
        <w:rPr>
          <w:rFonts w:ascii="Arial" w:cs="Arial" w:eastAsia="Arial" w:hAnsi="Arial"/>
          <w:sz w:val="21"/>
          <w:szCs w:val="21"/>
          <w:color w:val="auto"/>
        </w:rPr>
        <w:t xml:space="preserv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of America</w:t>
      </w:r>
      <w:r>
        <w:rPr>
          <w:rFonts w:ascii="Arial" w:cs="Arial" w:eastAsia="Arial" w:hAnsi="Arial"/>
          <w:sz w:val="22"/>
          <w:szCs w:val="22"/>
          <w:color w:val="auto"/>
        </w:rPr>
        <w:t>” means Bank of America, N.A. and its permitted successors and assigns.</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of interest per annum equal to the highest of (a) the Federal Funds Effective Rate in effect on such day plus 1/2 of 1%, (b) the rate of interest in effect for such day as publicly announced from time to time by Bank of America as its “prime rate,” and (c) </w:t>
      </w:r>
      <w:r>
        <w:rPr>
          <w:rFonts w:ascii="Arial" w:cs="Arial" w:eastAsia="Arial" w:hAnsi="Arial"/>
          <w:sz w:val="19"/>
          <w:szCs w:val="19"/>
          <w:color w:val="FF0000"/>
          <w:strike w:val="1"/>
        </w:rPr>
        <w:t>the Eurocurrency Rate in effect on such</w:t>
      </w:r>
      <w:r>
        <w:rPr>
          <w:rFonts w:ascii="Arial" w:cs="Arial" w:eastAsia="Arial" w:hAnsi="Arial"/>
          <w:sz w:val="19"/>
          <w:szCs w:val="19"/>
          <w:color w:val="auto"/>
        </w:rPr>
        <w:t xml:space="preserve"> </w:t>
      </w:r>
      <w:r>
        <w:rPr>
          <w:rFonts w:ascii="Arial" w:cs="Arial" w:eastAsia="Arial" w:hAnsi="Arial"/>
          <w:sz w:val="19"/>
          <w:szCs w:val="19"/>
          <w:color w:val="FF0000"/>
          <w:strike w:val="1"/>
        </w:rPr>
        <w:t>day</w:t>
      </w:r>
      <w:r>
        <w:rPr>
          <w:rFonts w:ascii="Arial" w:cs="Arial" w:eastAsia="Arial" w:hAnsi="Arial"/>
          <w:sz w:val="19"/>
          <w:szCs w:val="19"/>
          <w:u w:val="single" w:color="auto"/>
          <w:color w:val="0000FF"/>
          <w:strike w:val="1"/>
        </w:rPr>
        <w:t>Term SOFR for a one-month Interest Period beginning on such day (or, if such day is not a U.S. Government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Securities Business Day, the immediately preceding U.S. Government Securities Business Day)</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plus 1.00%,</w:t>
      </w:r>
      <w:r>
        <w:rPr>
          <w:rFonts w:ascii="Arial" w:cs="Arial" w:eastAsia="Arial" w:hAnsi="Arial"/>
          <w:sz w:val="19"/>
          <w:szCs w:val="19"/>
          <w:color w:val="0000FF"/>
          <w:strike w:val="1"/>
        </w:rPr>
        <w:t xml:space="preserve"> </w:t>
      </w:r>
      <w:r>
        <w:rPr>
          <w:rFonts w:ascii="Arial" w:cs="Arial" w:eastAsia="Arial" w:hAnsi="Arial"/>
          <w:sz w:val="19"/>
          <w:szCs w:val="19"/>
          <w:i w:val="1"/>
          <w:iCs w:val="1"/>
          <w:color w:val="000000"/>
          <w:strike w:val="1"/>
        </w:rPr>
        <w:t>provided</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that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w:t>
      </w:r>
    </w:p>
    <w:p>
      <w:pPr>
        <w:sectPr>
          <w:pgSz w:w="11900" w:h="16838" w:orient="portrait"/>
          <w:cols w:equalWidth="0" w:num="1">
            <w:col w:w="10440"/>
          </w:cols>
          <w:pgMar w:left="1020" w:top="1440" w:right="439" w:bottom="1440" w:gutter="0" w:footer="0" w:header="0"/>
        </w:sectPr>
      </w:pPr>
    </w:p>
    <w:bookmarkStart w:id="107" w:name="page108"/>
    <w:bookmarkEnd w:id="107"/>
    <w:p>
      <w:pPr>
        <w:jc w:val="both"/>
        <w:ind w:right="40"/>
        <w:spacing w:after="0" w:line="224" w:lineRule="auto"/>
        <w:rPr>
          <w:sz w:val="20"/>
          <w:szCs w:val="20"/>
          <w:color w:val="auto"/>
        </w:rPr>
      </w:pPr>
      <w:r>
        <w:rPr>
          <w:rFonts w:ascii="Arial" w:cs="Arial" w:eastAsia="Arial" w:hAnsi="Arial"/>
          <w:sz w:val="21"/>
          <w:szCs w:val="21"/>
          <w:color w:val="auto"/>
        </w:rPr>
        <w:t>be priced at, above, or below such announced rate. Any change in such prime rate announced by Bank of America shall take effect at the opening of business on the day specified in the public announcement of such change. “Base Rate,” when used in reference to any Loan or Borrowing, refers to whether such Loan, or the Loans comprising such Borrowing, are bearing interest at a rate determined by reference to the Base Rate. If the Base Rate is being used as an alternate rate of interest pursuant to Section 2.07 hereof, then the Base Rate shall be the greater of clauses (a) and (b) above and shall be determined without reference to clause (c) above.</w:t>
      </w:r>
    </w:p>
    <w:p>
      <w:pPr>
        <w:spacing w:after="0" w:line="200"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w:t>
      </w:r>
      <w:r>
        <w:rPr>
          <w:rFonts w:ascii="Arial" w:cs="Arial" w:eastAsia="Arial" w:hAnsi="Arial"/>
          <w:sz w:val="22"/>
          <w:szCs w:val="22"/>
          <w:color w:val="auto"/>
        </w:rPr>
        <w:t>” means a Loan that bears interest at a rate based on the definition of “Base Rate.” All Base Rate Loans shall be denominated in Dollars.</w:t>
      </w:r>
    </w:p>
    <w:p>
      <w:pPr>
        <w:spacing w:after="0" w:line="186" w:lineRule="exact"/>
        <w:rPr>
          <w:sz w:val="20"/>
          <w:szCs w:val="20"/>
          <w:color w:val="auto"/>
        </w:rPr>
      </w:pPr>
    </w:p>
    <w:p>
      <w:pPr>
        <w:jc w:val="both"/>
        <w:ind w:right="40" w:firstLine="648"/>
        <w:spacing w:after="0" w:line="218"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Benchmark</w:t>
      </w:r>
      <w:r>
        <w:rPr>
          <w:rFonts w:ascii="Arial" w:cs="Arial" w:eastAsia="Arial" w:hAnsi="Arial"/>
          <w:sz w:val="22"/>
          <w:szCs w:val="22"/>
          <w:color w:val="FF0000"/>
          <w:strike w:val="1"/>
        </w:rPr>
        <w:t xml:space="preserve">” means, initially, LIBOR; </w:t>
      </w:r>
      <w:r>
        <w:rPr>
          <w:rFonts w:ascii="Arial" w:cs="Arial" w:eastAsia="Arial" w:hAnsi="Arial"/>
          <w:sz w:val="22"/>
          <w:szCs w:val="22"/>
          <w:u w:val="single" w:color="auto"/>
          <w:color w:val="FF0000"/>
          <w:strike w:val="1"/>
        </w:rPr>
        <w:t>provided</w:t>
      </w:r>
      <w:r>
        <w:rPr>
          <w:rFonts w:ascii="Arial" w:cs="Arial" w:eastAsia="Arial" w:hAnsi="Arial"/>
          <w:sz w:val="22"/>
          <w:szCs w:val="22"/>
          <w:color w:val="FF0000"/>
          <w:strike w:val="1"/>
        </w:rPr>
        <w:t xml:space="preserve"> that if a replacement of the Benchmark has occurred pursuant to Section 2.07(b),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Benchmark Replacement</w:t>
      </w:r>
      <w:r>
        <w:rPr>
          <w:rFonts w:ascii="Arial" w:cs="Arial" w:eastAsia="Arial" w:hAnsi="Arial"/>
          <w:sz w:val="22"/>
          <w:szCs w:val="22"/>
          <w:color w:val="FF0000"/>
          <w:strike w:val="1"/>
        </w:rPr>
        <w:t>” means:</w:t>
      </w:r>
    </w:p>
    <w:p>
      <w:pPr>
        <w:spacing w:after="0" w:line="220" w:lineRule="exact"/>
        <w:rPr>
          <w:sz w:val="20"/>
          <w:szCs w:val="20"/>
          <w:color w:val="auto"/>
        </w:rPr>
      </w:pPr>
    </w:p>
    <w:p>
      <w:pPr>
        <w:ind w:right="40" w:firstLine="640"/>
        <w:spacing w:after="0" w:line="232" w:lineRule="auto"/>
        <w:tabs>
          <w:tab w:leader="none" w:pos="1251" w:val="left"/>
        </w:tabs>
        <w:numPr>
          <w:ilvl w:val="0"/>
          <w:numId w:val="67"/>
        </w:numPr>
        <w:rPr>
          <w:rFonts w:ascii="Arial" w:cs="Arial" w:eastAsia="Arial" w:hAnsi="Arial"/>
          <w:sz w:val="22"/>
          <w:szCs w:val="22"/>
          <w:color w:val="FF0000"/>
          <w:strike w:val="1"/>
        </w:rPr>
      </w:pPr>
      <w:r>
        <w:rPr>
          <w:rFonts w:ascii="Arial" w:cs="Arial" w:eastAsia="Arial" w:hAnsi="Arial"/>
          <w:sz w:val="22"/>
          <w:szCs w:val="22"/>
          <w:color w:val="FF0000"/>
          <w:strike w:val="1"/>
        </w:rPr>
        <w:t>For purposes of Section 2.07(d)(i), the first alternative set forth below that can be determined by the Administrative Agent:</w:t>
      </w:r>
    </w:p>
    <w:p>
      <w:pPr>
        <w:spacing w:after="0" w:line="185" w:lineRule="exact"/>
        <w:rPr>
          <w:rFonts w:ascii="Arial" w:cs="Arial" w:eastAsia="Arial" w:hAnsi="Arial"/>
          <w:sz w:val="22"/>
          <w:szCs w:val="22"/>
          <w:color w:val="FF0000"/>
          <w:strike w:val="1"/>
        </w:rPr>
      </w:pPr>
    </w:p>
    <w:p>
      <w:pPr>
        <w:jc w:val="both"/>
        <w:ind w:left="640" w:right="40" w:firstLine="648"/>
        <w:spacing w:after="0" w:line="218" w:lineRule="auto"/>
        <w:tabs>
          <w:tab w:leader="none" w:pos="1892" w:val="left"/>
        </w:tabs>
        <w:numPr>
          <w:ilvl w:val="1"/>
          <w:numId w:val="67"/>
        </w:numPr>
        <w:rPr>
          <w:rFonts w:ascii="Arial" w:cs="Arial" w:eastAsia="Arial" w:hAnsi="Arial"/>
          <w:sz w:val="22"/>
          <w:szCs w:val="22"/>
          <w:color w:val="FF0000"/>
          <w:strike w:val="1"/>
        </w:rPr>
      </w:pPr>
      <w:r>
        <w:rPr>
          <w:rFonts w:ascii="Arial" w:cs="Arial" w:eastAsia="Arial" w:hAnsi="Arial"/>
          <w:sz w:val="22"/>
          <w:szCs w:val="22"/>
          <w:color w:val="FF0000"/>
          <w:strike w:val="1"/>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or</w:t>
      </w:r>
    </w:p>
    <w:p>
      <w:pPr>
        <w:spacing w:after="0" w:line="201" w:lineRule="exact"/>
        <w:rPr>
          <w:rFonts w:ascii="Arial" w:cs="Arial" w:eastAsia="Arial" w:hAnsi="Arial"/>
          <w:sz w:val="22"/>
          <w:szCs w:val="22"/>
          <w:color w:val="FF0000"/>
          <w:strike w:val="1"/>
        </w:rPr>
      </w:pPr>
    </w:p>
    <w:p>
      <w:pPr>
        <w:ind w:left="1900" w:hanging="612"/>
        <w:spacing w:after="0"/>
        <w:tabs>
          <w:tab w:leader="none" w:pos="1900" w:val="left"/>
        </w:tabs>
        <w:numPr>
          <w:ilvl w:val="1"/>
          <w:numId w:val="67"/>
        </w:numPr>
        <w:rPr>
          <w:rFonts w:ascii="Arial" w:cs="Arial" w:eastAsia="Arial" w:hAnsi="Arial"/>
          <w:sz w:val="22"/>
          <w:szCs w:val="22"/>
          <w:color w:val="FF0000"/>
          <w:strike w:val="1"/>
        </w:rPr>
      </w:pPr>
      <w:r>
        <w:rPr>
          <w:rFonts w:ascii="Arial" w:cs="Arial" w:eastAsia="Arial" w:hAnsi="Arial"/>
          <w:sz w:val="22"/>
          <w:szCs w:val="22"/>
          <w:color w:val="FF0000"/>
          <w:strike w:val="1"/>
        </w:rPr>
        <w:t>the sum of: (i) Daily Simple SOFR and (ii) 0.11448% (11.448 basis points);</w:t>
      </w:r>
    </w:p>
    <w:p>
      <w:pPr>
        <w:spacing w:after="0" w:line="206" w:lineRule="exact"/>
        <w:rPr>
          <w:sz w:val="20"/>
          <w:szCs w:val="20"/>
          <w:color w:val="auto"/>
        </w:rPr>
      </w:pPr>
    </w:p>
    <w:p>
      <w:pPr>
        <w:jc w:val="both"/>
        <w:ind w:left="640"/>
        <w:spacing w:after="0" w:line="247" w:lineRule="auto"/>
        <w:rPr>
          <w:sz w:val="20"/>
          <w:szCs w:val="20"/>
          <w:color w:val="auto"/>
        </w:rPr>
      </w:pPr>
      <w:r>
        <w:rPr>
          <w:rFonts w:ascii="Arial" w:cs="Arial" w:eastAsia="Arial" w:hAnsi="Arial"/>
          <w:sz w:val="19"/>
          <w:szCs w:val="19"/>
          <w:u w:val="single" w:color="auto"/>
          <w:color w:val="FF0000"/>
          <w:strike w:val="1"/>
        </w:rPr>
        <w:t xml:space="preserve">provided </w:t>
      </w:r>
      <w:r>
        <w:rPr>
          <w:rFonts w:ascii="Arial" w:cs="Arial" w:eastAsia="Arial" w:hAnsi="Arial"/>
          <w:sz w:val="19"/>
          <w:szCs w:val="19"/>
          <w:color w:val="FF0000"/>
          <w:strike w:val="1"/>
        </w:rPr>
        <w:t>that, if initially LIBOR is replaced with the rate contained in clause (b) above (Daily Simple SOFR plus</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the applicable 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94" w:lineRule="exact"/>
        <w:rPr>
          <w:sz w:val="20"/>
          <w:szCs w:val="20"/>
          <w:color w:val="auto"/>
        </w:rPr>
      </w:pPr>
    </w:p>
    <w:p>
      <w:pPr>
        <w:jc w:val="both"/>
        <w:ind w:right="40" w:firstLine="640"/>
        <w:spacing w:after="0" w:line="247" w:lineRule="auto"/>
        <w:tabs>
          <w:tab w:leader="none" w:pos="1251" w:val="left"/>
        </w:tabs>
        <w:numPr>
          <w:ilvl w:val="0"/>
          <w:numId w:val="68"/>
        </w:numPr>
        <w:rPr>
          <w:rFonts w:ascii="Arial" w:cs="Arial" w:eastAsia="Arial" w:hAnsi="Arial"/>
          <w:sz w:val="19"/>
          <w:szCs w:val="19"/>
          <w:color w:val="FF0000"/>
          <w:strike w:val="1"/>
        </w:rPr>
      </w:pPr>
      <w:r>
        <w:rPr>
          <w:rFonts w:ascii="Arial" w:cs="Arial" w:eastAsia="Arial" w:hAnsi="Arial"/>
          <w:sz w:val="19"/>
          <w:szCs w:val="19"/>
          <w:color w:val="FF0000"/>
          <w:strike w:val="1"/>
        </w:rPr>
        <w:t xml:space="preserve">For purposes of Section 2.07(d)(ii),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U.S. dollar-denominated syndicated credit facilities at such time;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the Benchmark Replacement as determined pursuant to clause (1) or (2) above would be less than 0.00%, the Benchmark Replacement will be deemed to be 0.00% for the purposes of this Agreement and the other Loan Documents.</w:t>
      </w:r>
    </w:p>
    <w:p>
      <w:pPr>
        <w:spacing w:after="0" w:line="194"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21"/>
          <w:szCs w:val="21"/>
          <w:color w:val="FF0000"/>
          <w:strike w:val="1"/>
        </w:rPr>
        <w:t>Any Benchmark Replacement shall be applied in a manner consistent with market practice; provided that to the extent such market practice is not administratively feasible for the Administrative Agent, such Benchmark Replacement shall be applied in a manner as otherwise reasonably determined by the Administrative Agent.</w:t>
      </w:r>
    </w:p>
    <w:p>
      <w:pPr>
        <w:sectPr>
          <w:pgSz w:w="11900" w:h="16838" w:orient="portrait"/>
          <w:cols w:equalWidth="0" w:num="1">
            <w:col w:w="10440"/>
          </w:cols>
          <w:pgMar w:left="1020" w:top="1401" w:right="439" w:bottom="1440" w:gutter="0" w:footer="0" w:header="0"/>
        </w:sectPr>
      </w:pPr>
    </w:p>
    <w:bookmarkStart w:id="108" w:name="page109"/>
    <w:bookmarkEnd w:id="108"/>
    <w:p>
      <w:pPr>
        <w:jc w:val="both"/>
        <w:ind w:right="40" w:firstLine="648"/>
        <w:spacing w:after="0" w:line="219"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Benchmark Replacement Conforming Changes</w:t>
      </w:r>
      <w:r>
        <w:rPr>
          <w:rFonts w:ascii="Arial" w:cs="Arial" w:eastAsia="Arial" w:hAnsi="Arial"/>
          <w:sz w:val="21"/>
          <w:szCs w:val="21"/>
          <w:color w:val="FF0000"/>
          <w:strike w:val="1"/>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0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Benchmark Transition Event</w:t>
      </w:r>
      <w:r>
        <w:rPr>
          <w:rFonts w:ascii="Arial" w:cs="Arial" w:eastAsia="Arial" w:hAnsi="Arial"/>
          <w:sz w:val="21"/>
          <w:szCs w:val="21"/>
          <w:color w:val="FF0000"/>
          <w:strike w:val="1"/>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232" w:lineRule="exact"/>
        <w:rPr>
          <w:sz w:val="20"/>
          <w:szCs w:val="20"/>
          <w:color w:val="auto"/>
        </w:rPr>
      </w:pPr>
    </w:p>
    <w:p>
      <w:pPr>
        <w:ind w:right="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required by the Beneficial Ownership Regulation.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06" w:lineRule="exact"/>
        <w:rPr>
          <w:sz w:val="20"/>
          <w:szCs w:val="20"/>
          <w:color w:val="auto"/>
        </w:rPr>
      </w:pPr>
    </w:p>
    <w:p>
      <w:pPr>
        <w:jc w:val="right"/>
        <w:ind w:left="120" w:right="20"/>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Governors of the Federal Reserve System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right="1880"/>
        <w:spacing w:after="0" w:line="39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in the preamble hereto. “</w:t>
      </w:r>
      <w:r>
        <w:rPr>
          <w:rFonts w:ascii="Arial" w:cs="Arial" w:eastAsia="Arial" w:hAnsi="Arial"/>
          <w:sz w:val="22"/>
          <w:szCs w:val="22"/>
          <w:u w:val="single" w:color="auto"/>
          <w:color w:val="auto"/>
        </w:rPr>
        <w:t>Borrower Materials</w:t>
      </w:r>
      <w:r>
        <w:rPr>
          <w:rFonts w:ascii="Arial" w:cs="Arial" w:eastAsia="Arial" w:hAnsi="Arial"/>
          <w:sz w:val="22"/>
          <w:szCs w:val="22"/>
          <w:color w:val="auto"/>
        </w:rPr>
        <w:t>” has the meaning set forth in Section 5.01.</w:t>
      </w:r>
    </w:p>
    <w:p>
      <w:pPr>
        <w:spacing w:after="0" w:line="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means (a) Revolving Loans of the same Type, made, converted or continued on the same date and, in the case of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Loans and Alternative Currency Term Rate Loans, as to which a single Interest Period is in effect or (b) a Swingline Loan.</w:t>
      </w:r>
    </w:p>
    <w:p>
      <w:pPr>
        <w:spacing w:after="0" w:line="186" w:lineRule="exact"/>
        <w:rPr>
          <w:sz w:val="20"/>
          <w:szCs w:val="20"/>
          <w:color w:val="auto"/>
        </w:rPr>
      </w:pPr>
    </w:p>
    <w:p>
      <w:pPr>
        <w:jc w:val="both"/>
        <w:ind w:right="4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Minimum</w:t>
      </w:r>
      <w:r>
        <w:rPr>
          <w:rFonts w:ascii="Arial" w:cs="Arial" w:eastAsia="Arial" w:hAnsi="Arial"/>
          <w:sz w:val="22"/>
          <w:szCs w:val="22"/>
          <w:color w:val="auto"/>
        </w:rPr>
        <w:t xml:space="preserve">” means (a) with respect to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Daily Floating Rate Loans, $1,000,000 and (b) with respect to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Loans or Alternative Currency Loans, the Dollar Equivalent of $5,000,000;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Loans denominated in any Alternative Currency other than Euros, Sterling or Yen, such amount as may be specified by the Administrative Agent.</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Multiple</w:t>
      </w:r>
      <w:r>
        <w:rPr>
          <w:rFonts w:ascii="Arial" w:cs="Arial" w:eastAsia="Arial" w:hAnsi="Arial"/>
          <w:sz w:val="22"/>
          <w:szCs w:val="22"/>
          <w:color w:val="auto"/>
        </w:rPr>
        <w:t xml:space="preserve">” means (a) with respect to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Daily Floating Rate Loans,</w:t>
      </w:r>
    </w:p>
    <w:p>
      <w:pPr>
        <w:sectPr>
          <w:pgSz w:w="11900" w:h="16838" w:orient="portrait"/>
          <w:cols w:equalWidth="0" w:num="1">
            <w:col w:w="10440"/>
          </w:cols>
          <w:pgMar w:left="1020" w:top="1347" w:right="439" w:bottom="1440" w:gutter="0" w:footer="0" w:header="0"/>
        </w:sectPr>
      </w:pPr>
    </w:p>
    <w:bookmarkStart w:id="109" w:name="page110"/>
    <w:bookmarkEnd w:id="109"/>
    <w:p>
      <w:pPr>
        <w:jc w:val="both"/>
        <w:spacing w:after="0" w:line="223" w:lineRule="auto"/>
        <w:rPr>
          <w:sz w:val="20"/>
          <w:szCs w:val="20"/>
          <w:color w:val="auto"/>
        </w:rPr>
      </w:pPr>
      <w:r>
        <w:rPr>
          <w:rFonts w:ascii="Arial" w:cs="Arial" w:eastAsia="Arial" w:hAnsi="Arial"/>
          <w:sz w:val="22"/>
          <w:szCs w:val="22"/>
          <w:color w:val="auto"/>
        </w:rPr>
        <w:t xml:space="preserve">$100,000 and (b) with respect to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Loans or Alternative Currency Loans, the Dollar Equivalent of $1,000,000;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Loans denominated in any Alternative Currency other than Euros, Sterling or Yen, such amount as may be specified by the Administrative Agent.</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Request</w:t>
      </w:r>
      <w:r>
        <w:rPr>
          <w:rFonts w:ascii="Arial" w:cs="Arial" w:eastAsia="Arial" w:hAnsi="Arial"/>
          <w:sz w:val="21"/>
          <w:szCs w:val="21"/>
          <w:color w:val="auto"/>
        </w:rPr>
        <w:t>” means a request by the Borrower for a Borrowing in accordance with Section 2.03.</w:t>
      </w:r>
    </w:p>
    <w:p>
      <w:pPr>
        <w:spacing w:after="0" w:line="218" w:lineRule="exact"/>
        <w:rPr>
          <w:sz w:val="20"/>
          <w:szCs w:val="20"/>
          <w:color w:val="auto"/>
        </w:rPr>
      </w:pPr>
    </w:p>
    <w:p>
      <w:pPr>
        <w:jc w:val="both"/>
        <w:ind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or other day on which commercial banks are authorized to close under the Laws of, or are in fact closed in, the state where the Administrative Agent’s Office is located and:</w:t>
      </w:r>
    </w:p>
    <w:p>
      <w:pPr>
        <w:spacing w:after="0" w:line="199" w:lineRule="exact"/>
        <w:rPr>
          <w:sz w:val="20"/>
          <w:szCs w:val="20"/>
          <w:color w:val="auto"/>
        </w:rPr>
      </w:pPr>
    </w:p>
    <w:p>
      <w:pPr>
        <w:jc w:val="both"/>
        <w:ind w:left="640" w:right="40" w:firstLine="648"/>
        <w:spacing w:after="0" w:line="214" w:lineRule="auto"/>
        <w:tabs>
          <w:tab w:leader="none" w:pos="1892" w:val="left"/>
        </w:tabs>
        <w:numPr>
          <w:ilvl w:val="0"/>
          <w:numId w:val="69"/>
        </w:numPr>
        <w:rPr>
          <w:rFonts w:ascii="Arial" w:cs="Arial" w:eastAsia="Arial" w:hAnsi="Arial"/>
          <w:sz w:val="22"/>
          <w:szCs w:val="22"/>
          <w:color w:val="FF0000"/>
          <w:strike w:val="1"/>
        </w:rPr>
      </w:pPr>
      <w:r>
        <w:rPr>
          <w:rFonts w:ascii="Arial" w:cs="Arial" w:eastAsia="Arial" w:hAnsi="Arial"/>
          <w:sz w:val="22"/>
          <w:szCs w:val="22"/>
          <w:color w:val="FF0000"/>
          <w:strike w:val="1"/>
        </w:rPr>
        <w:t>if such day relates to any interest rate settings as to a Eurocurrency Loan or a LIBOR Daily Floating Rate Loan, any fundings, disbursements, settlements and payments in Dollars in respect of any such Eurocurrency Loan or such LIBOR Daily Floating Rate Loan, or any other dealings in Dollars to be carried out pursuant to this Agreement in respect of any such Eurocurrency Loan or such LIBOR Daily Floating Rate Loan, means any such day on which dealings in deposits in Dollars are conducted by and between banks in the London interbank eurodollar market;</w:t>
      </w:r>
    </w:p>
    <w:p>
      <w:pPr>
        <w:spacing w:after="0" w:line="199" w:lineRule="exact"/>
        <w:rPr>
          <w:sz w:val="20"/>
          <w:szCs w:val="20"/>
          <w:color w:val="auto"/>
        </w:rPr>
      </w:pPr>
    </w:p>
    <w:p>
      <w:pPr>
        <w:ind w:left="1900" w:hanging="612"/>
        <w:spacing w:after="0"/>
        <w:tabs>
          <w:tab w:leader="none" w:pos="1900" w:val="left"/>
        </w:tabs>
        <w:numPr>
          <w:ilvl w:val="1"/>
          <w:numId w:val="70"/>
        </w:numPr>
        <w:rPr>
          <w:rFonts w:ascii="Arial" w:cs="Arial" w:eastAsia="Arial" w:hAnsi="Arial"/>
          <w:sz w:val="22"/>
          <w:szCs w:val="22"/>
          <w:color w:val="0000FF"/>
        </w:rPr>
      </w:pPr>
      <w:r>
        <w:rPr>
          <w:rFonts w:ascii="Arial" w:cs="Arial" w:eastAsia="Arial" w:hAnsi="Arial"/>
          <w:sz w:val="22"/>
          <w:szCs w:val="22"/>
          <w:u w:val="single" w:color="auto"/>
          <w:color w:val="0000FF"/>
        </w:rPr>
        <w:t>[reserved];</w:t>
      </w:r>
    </w:p>
    <w:p>
      <w:pPr>
        <w:spacing w:after="0" w:line="368" w:lineRule="exact"/>
        <w:rPr>
          <w:rFonts w:ascii="Arial" w:cs="Arial" w:eastAsia="Arial" w:hAnsi="Arial"/>
          <w:sz w:val="22"/>
          <w:szCs w:val="22"/>
          <w:color w:val="0000FF"/>
        </w:rPr>
      </w:pPr>
    </w:p>
    <w:p>
      <w:pPr>
        <w:jc w:val="both"/>
        <w:ind w:left="640" w:right="40" w:firstLine="648"/>
        <w:spacing w:after="0" w:line="257" w:lineRule="auto"/>
        <w:tabs>
          <w:tab w:leader="none" w:pos="1891"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71" w:lineRule="exact"/>
        <w:rPr>
          <w:rFonts w:ascii="Arial" w:cs="Arial" w:eastAsia="Arial" w:hAnsi="Arial"/>
          <w:sz w:val="19"/>
          <w:szCs w:val="19"/>
          <w:color w:val="auto"/>
        </w:rPr>
      </w:pPr>
    </w:p>
    <w:p>
      <w:pPr>
        <w:ind w:left="1900" w:hanging="612"/>
        <w:spacing w:after="0"/>
        <w:tabs>
          <w:tab w:leader="none" w:pos="1900"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such day relates to any interest rate settings as to an Alternative Currency Loan denominated in</w:t>
      </w:r>
    </w:p>
    <w:p>
      <w:pPr>
        <w:spacing w:after="0" w:line="15" w:lineRule="exact"/>
        <w:rPr>
          <w:rFonts w:ascii="Arial" w:cs="Arial" w:eastAsia="Arial" w:hAnsi="Arial"/>
          <w:sz w:val="19"/>
          <w:szCs w:val="19"/>
          <w:color w:val="auto"/>
        </w:rPr>
      </w:pPr>
    </w:p>
    <w:p>
      <w:pPr>
        <w:ind w:left="640"/>
        <w:spacing w:after="0" w:line="224" w:lineRule="auto"/>
        <w:tabs>
          <w:tab w:leader="none" w:pos="904" w:val="left"/>
        </w:tabs>
        <w:numPr>
          <w:ilvl w:val="0"/>
          <w:numId w:val="71"/>
        </w:numPr>
        <w:rPr>
          <w:rFonts w:ascii="Arial" w:cs="Arial" w:eastAsia="Arial" w:hAnsi="Arial"/>
          <w:sz w:val="22"/>
          <w:szCs w:val="22"/>
          <w:color w:val="auto"/>
        </w:rPr>
      </w:pPr>
      <w:r>
        <w:rPr>
          <w:rFonts w:ascii="Arial" w:cs="Arial" w:eastAsia="Arial" w:hAnsi="Arial"/>
          <w:sz w:val="22"/>
          <w:szCs w:val="22"/>
          <w:color w:val="auto"/>
        </w:rPr>
        <w:t>Sterling, means a day other than a day banks are closed for general business in London because such day is a Saturday, Sunday or a legal holiday</w:t>
      </w:r>
    </w:p>
    <w:p>
      <w:pPr>
        <w:spacing w:after="0" w:line="239" w:lineRule="exact"/>
        <w:rPr>
          <w:sz w:val="20"/>
          <w:szCs w:val="20"/>
          <w:color w:val="auto"/>
        </w:rPr>
      </w:pPr>
    </w:p>
    <w:p>
      <w:pPr>
        <w:ind w:left="640" w:right="240"/>
        <w:spacing w:after="0" w:line="232" w:lineRule="auto"/>
        <w:rPr>
          <w:sz w:val="20"/>
          <w:szCs w:val="20"/>
          <w:color w:val="auto"/>
        </w:rPr>
      </w:pPr>
      <w:r>
        <w:rPr>
          <w:rFonts w:ascii="Arial" w:cs="Arial" w:eastAsia="Arial" w:hAnsi="Arial"/>
          <w:sz w:val="22"/>
          <w:szCs w:val="22"/>
          <w:color w:val="auto"/>
        </w:rPr>
        <w:t xml:space="preserve">under the laws of the United Kingdom; and (ii) Yen, means a day other than when banks are closed for general business in Japan; </w:t>
      </w:r>
      <w:r>
        <w:rPr>
          <w:rFonts w:ascii="Arial" w:cs="Arial" w:eastAsia="Arial" w:hAnsi="Arial"/>
          <w:sz w:val="22"/>
          <w:szCs w:val="22"/>
          <w:color w:val="FF0000"/>
          <w:strike w:val="1"/>
        </w:rPr>
        <w:t>and</w:t>
      </w:r>
    </w:p>
    <w:p>
      <w:pPr>
        <w:spacing w:after="0" w:line="199" w:lineRule="exact"/>
        <w:rPr>
          <w:sz w:val="20"/>
          <w:szCs w:val="20"/>
          <w:color w:val="auto"/>
        </w:rPr>
      </w:pPr>
    </w:p>
    <w:p>
      <w:pPr>
        <w:jc w:val="both"/>
        <w:ind w:left="640" w:right="40" w:firstLine="648"/>
        <w:spacing w:after="0" w:line="218" w:lineRule="auto"/>
        <w:tabs>
          <w:tab w:leader="none" w:pos="1891" w:val="left"/>
        </w:tabs>
        <w:numPr>
          <w:ilvl w:val="0"/>
          <w:numId w:val="72"/>
        </w:numPr>
        <w:rPr>
          <w:rFonts w:ascii="Arial" w:cs="Arial" w:eastAsia="Arial" w:hAnsi="Arial"/>
          <w:sz w:val="22"/>
          <w:szCs w:val="22"/>
          <w:color w:val="0000FF"/>
        </w:rPr>
      </w:pPr>
      <w:r>
        <w:rPr>
          <w:rFonts w:ascii="Arial" w:cs="Arial" w:eastAsia="Arial" w:hAnsi="Arial"/>
          <w:sz w:val="22"/>
          <w:szCs w:val="22"/>
          <w:u w:val="single" w:color="auto"/>
          <w:color w:val="0000FF"/>
        </w:rPr>
        <w:t>if such day relates to any interest rate settings as to an Alternative Currency Loan denominated in a currency other than, Euro, Sterling or Japanese Yen, means any such day on which dealings in deposits in the relevant currency are conducted by and between banks in the applicable offshore interbank market for such currency; and</w:t>
      </w:r>
    </w:p>
    <w:p>
      <w:pPr>
        <w:spacing w:after="0" w:line="187" w:lineRule="exact"/>
        <w:rPr>
          <w:rFonts w:ascii="Arial" w:cs="Arial" w:eastAsia="Arial" w:hAnsi="Arial"/>
          <w:sz w:val="22"/>
          <w:szCs w:val="22"/>
          <w:color w:val="0000FF"/>
        </w:rPr>
      </w:pPr>
    </w:p>
    <w:p>
      <w:pPr>
        <w:jc w:val="both"/>
        <w:ind w:left="640" w:right="40" w:firstLine="648"/>
        <w:spacing w:after="0" w:line="252" w:lineRule="auto"/>
        <w:tabs>
          <w:tab w:leader="none" w:pos="1892" w:val="left"/>
        </w:tabs>
        <w:numPr>
          <w:ilvl w:val="0"/>
          <w:numId w:val="72"/>
        </w:numPr>
        <w:rPr>
          <w:rFonts w:ascii="Arial" w:cs="Arial" w:eastAsia="Arial" w:hAnsi="Arial"/>
          <w:sz w:val="19"/>
          <w:szCs w:val="19"/>
          <w:color w:val="0000FF"/>
        </w:rPr>
      </w:pPr>
      <w:r>
        <w:rPr>
          <w:rFonts w:ascii="Arial" w:cs="Arial" w:eastAsia="Arial" w:hAnsi="Arial"/>
          <w:sz w:val="19"/>
          <w:szCs w:val="19"/>
          <w:color w:val="FF0000"/>
          <w:strike w:val="1"/>
        </w:rPr>
        <w:t>(d)</w:t>
      </w:r>
      <w:r>
        <w:rPr>
          <w:rFonts w:ascii="Arial" w:cs="Arial" w:eastAsia="Arial" w:hAnsi="Arial"/>
          <w:sz w:val="19"/>
          <w:szCs w:val="19"/>
          <w:color w:val="FF0000"/>
        </w:rPr>
        <w:t xml:space="preserve"> </w:t>
      </w:r>
      <w:r>
        <w:rPr>
          <w:rFonts w:ascii="Arial" w:cs="Arial" w:eastAsia="Arial" w:hAnsi="Arial"/>
          <w:sz w:val="19"/>
          <w:szCs w:val="19"/>
          <w:color w:val="000000"/>
        </w:rPr>
        <w:t>if such day relates to any fundings, disbursements, settlements and payments in a currency</w:t>
      </w:r>
      <w:r>
        <w:rPr>
          <w:rFonts w:ascii="Arial" w:cs="Arial" w:eastAsia="Arial" w:hAnsi="Arial"/>
          <w:sz w:val="19"/>
          <w:szCs w:val="19"/>
          <w:color w:val="FF0000"/>
        </w:rPr>
        <w:t xml:space="preserve"> </w:t>
      </w:r>
      <w:r>
        <w:rPr>
          <w:rFonts w:ascii="Arial" w:cs="Arial" w:eastAsia="Arial" w:hAnsi="Arial"/>
          <w:sz w:val="19"/>
          <w:szCs w:val="19"/>
          <w:color w:val="000000"/>
        </w:rPr>
        <w:t>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9"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 Obligations</w:t>
      </w:r>
      <w:r>
        <w:rPr>
          <w:rFonts w:ascii="Arial" w:cs="Arial" w:eastAsia="Arial" w:hAnsi="Arial"/>
          <w:sz w:val="21"/>
          <w:szCs w:val="21"/>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sectPr>
          <w:pgSz w:w="11900" w:h="16838" w:orient="portrait"/>
          <w:cols w:equalWidth="0" w:num="1">
            <w:col w:w="10440"/>
          </w:cols>
          <w:pgMar w:left="1020" w:top="1347" w:right="439" w:bottom="1440" w:gutter="0" w:footer="0" w:header="0"/>
        </w:sectPr>
      </w:pPr>
    </w:p>
    <w:bookmarkStart w:id="110" w:name="page111"/>
    <w:bookmarkEnd w:id="110"/>
    <w:p>
      <w:pPr>
        <w:spacing w:after="0" w:line="164" w:lineRule="exact"/>
        <w:rPr>
          <w:sz w:val="20"/>
          <w:szCs w:val="20"/>
          <w:color w:val="auto"/>
        </w:rPr>
      </w:pPr>
    </w:p>
    <w:p>
      <w:pPr>
        <w:jc w:val="both"/>
        <w:ind w:left="8" w:right="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Captive Insurance Subsidiary</w:t>
      </w:r>
      <w:r>
        <w:rPr>
          <w:rFonts w:ascii="Arial" w:cs="Arial" w:eastAsia="Arial" w:hAnsi="Arial"/>
          <w:sz w:val="19"/>
          <w:szCs w:val="19"/>
          <w:color w:val="auto"/>
        </w:rPr>
        <w:t>” means American Triumvirate Insurance Company, a Vermont corporation or any successor thereto, so long as such Subsidiary is maintained as a special purpose self-insurance subsidiary.</w:t>
      </w:r>
    </w:p>
    <w:p>
      <w:pPr>
        <w:spacing w:after="0" w:line="132" w:lineRule="exact"/>
        <w:rPr>
          <w:sz w:val="20"/>
          <w:szCs w:val="20"/>
          <w:color w:val="auto"/>
        </w:rPr>
      </w:pPr>
    </w:p>
    <w:p>
      <w:pPr>
        <w:jc w:val="both"/>
        <w:ind w:left="8"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card obligations</w:t>
      </w:r>
      <w:r>
        <w:rPr>
          <w:rFonts w:ascii="Arial" w:cs="Arial" w:eastAsia="Arial" w:hAnsi="Arial"/>
          <w:sz w:val="22"/>
          <w:szCs w:val="22"/>
          <w:color w:val="auto"/>
        </w:rPr>
        <w:t>” means any Loan Party or any Subsidiary’s participation in commercial (or purchasing) card programs.</w:t>
      </w:r>
    </w:p>
    <w:p>
      <w:pPr>
        <w:spacing w:after="0" w:line="199" w:lineRule="exact"/>
        <w:rPr>
          <w:sz w:val="20"/>
          <w:szCs w:val="20"/>
          <w:color w:val="auto"/>
        </w:rPr>
      </w:pPr>
    </w:p>
    <w:p>
      <w:pPr>
        <w:jc w:val="both"/>
        <w:ind w:left="8" w:right="4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for the benefit of the applicable Issuing Bank and the Revolving Lenders, as collateral for the L/C Exposure, cash or deposit account balances pursuant to documentation in form and substance reasonably satisfactory to the Administrative Agent and such Issuing Bank (which documents are hereby consented to by the Revolving Lenders). Cash Collateral shall be maintained in blocked, non-interest bearing deposit accounts at Bank of America.</w:t>
      </w:r>
    </w:p>
    <w:p>
      <w:pPr>
        <w:spacing w:after="0" w:line="189" w:lineRule="exact"/>
        <w:rPr>
          <w:sz w:val="20"/>
          <w:szCs w:val="20"/>
          <w:color w:val="auto"/>
        </w:rPr>
      </w:pPr>
    </w:p>
    <w:p>
      <w:pPr>
        <w:ind w:left="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206" w:lineRule="exact"/>
        <w:rPr>
          <w:sz w:val="20"/>
          <w:szCs w:val="20"/>
          <w:color w:val="auto"/>
        </w:rPr>
      </w:pPr>
    </w:p>
    <w:p>
      <w:pPr>
        <w:jc w:val="both"/>
        <w:ind w:left="8" w:firstLine="640"/>
        <w:spacing w:after="0" w:line="223" w:lineRule="auto"/>
        <w:tabs>
          <w:tab w:leader="none" w:pos="1259" w:val="left"/>
        </w:tabs>
        <w:numPr>
          <w:ilvl w:val="1"/>
          <w:numId w:val="73"/>
        </w:numPr>
        <w:rPr>
          <w:rFonts w:ascii="Arial" w:cs="Arial" w:eastAsia="Arial" w:hAnsi="Arial"/>
          <w:sz w:val="22"/>
          <w:szCs w:val="22"/>
          <w:color w:val="auto"/>
        </w:rPr>
      </w:pPr>
      <w:r>
        <w:rPr>
          <w:rFonts w:ascii="Arial" w:cs="Arial" w:eastAsia="Arial" w:hAnsi="Arial"/>
          <w:sz w:val="22"/>
          <w:szCs w:val="22"/>
          <w:color w:val="auto"/>
        </w:rPr>
        <w:t>any evidence of Indebtedness issued or directly and fully guaranteed or insured by the government or any agency or instrumentality of (i) the United States, (ii) the United Kingdom or (iii) any member nation of the European Union;</w:t>
      </w:r>
    </w:p>
    <w:p>
      <w:pPr>
        <w:spacing w:after="0" w:line="199" w:lineRule="exact"/>
        <w:rPr>
          <w:rFonts w:ascii="Arial" w:cs="Arial" w:eastAsia="Arial" w:hAnsi="Arial"/>
          <w:sz w:val="22"/>
          <w:szCs w:val="22"/>
          <w:color w:val="auto"/>
        </w:rPr>
      </w:pPr>
    </w:p>
    <w:p>
      <w:pPr>
        <w:jc w:val="both"/>
        <w:ind w:left="8" w:firstLine="640"/>
        <w:spacing w:after="0" w:line="226" w:lineRule="auto"/>
        <w:tabs>
          <w:tab w:leader="none" w:pos="1259" w:val="left"/>
        </w:tabs>
        <w:numPr>
          <w:ilvl w:val="1"/>
          <w:numId w:val="73"/>
        </w:numPr>
        <w:rPr>
          <w:rFonts w:ascii="Arial" w:cs="Arial" w:eastAsia="Arial" w:hAnsi="Arial"/>
          <w:sz w:val="21"/>
          <w:szCs w:val="21"/>
          <w:color w:val="auto"/>
        </w:rPr>
      </w:pPr>
      <w:r>
        <w:rPr>
          <w:rFonts w:ascii="Arial" w:cs="Arial" w:eastAsia="Arial" w:hAnsi="Arial"/>
          <w:sz w:val="21"/>
          <w:szCs w:val="21"/>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Arial" w:cs="Arial" w:eastAsia="Arial" w:hAnsi="Arial"/>
          <w:sz w:val="21"/>
          <w:szCs w:val="21"/>
          <w:u w:val="single" w:color="auto"/>
          <w:color w:val="auto"/>
        </w:rPr>
        <w:t>Approved Bank</w:t>
      </w:r>
      <w:r>
        <w:rPr>
          <w:rFonts w:ascii="Arial" w:cs="Arial" w:eastAsia="Arial" w:hAnsi="Arial"/>
          <w:sz w:val="21"/>
          <w:szCs w:val="21"/>
          <w:color w:val="auto"/>
        </w:rPr>
        <w:t>”). Issues with only one short-term credit rating must have a minimum credit rating of A 1, P 1 or F 1;</w:t>
      </w:r>
    </w:p>
    <w:p>
      <w:pPr>
        <w:spacing w:after="0" w:line="186" w:lineRule="exact"/>
        <w:rPr>
          <w:rFonts w:ascii="Arial" w:cs="Arial" w:eastAsia="Arial" w:hAnsi="Arial"/>
          <w:sz w:val="21"/>
          <w:szCs w:val="21"/>
          <w:color w:val="auto"/>
        </w:rPr>
      </w:pPr>
    </w:p>
    <w:p>
      <w:pPr>
        <w:jc w:val="both"/>
        <w:ind w:left="8" w:firstLine="640"/>
        <w:spacing w:after="0" w:line="257" w:lineRule="auto"/>
        <w:tabs>
          <w:tab w:leader="none" w:pos="1259" w:val="left"/>
        </w:tabs>
        <w:numPr>
          <w:ilvl w:val="1"/>
          <w:numId w:val="73"/>
        </w:numPr>
        <w:rPr>
          <w:rFonts w:ascii="Arial" w:cs="Arial" w:eastAsia="Arial" w:hAnsi="Arial"/>
          <w:sz w:val="19"/>
          <w:szCs w:val="19"/>
          <w:color w:val="auto"/>
        </w:rPr>
      </w:pPr>
      <w:r>
        <w:rPr>
          <w:rFonts w:ascii="Arial" w:cs="Arial" w:eastAsia="Arial" w:hAnsi="Arial"/>
          <w:sz w:val="19"/>
          <w:szCs w:val="19"/>
          <w:color w:val="auto"/>
        </w:rPr>
        <w:t>commercial paper, including asset-backed commercial paper, and floating or fixed rate notes issued by an Approved Bank or a corporation or special purpose vehicle (other than an 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84" w:lineRule="exact"/>
        <w:rPr>
          <w:rFonts w:ascii="Arial" w:cs="Arial" w:eastAsia="Arial" w:hAnsi="Arial"/>
          <w:sz w:val="19"/>
          <w:szCs w:val="19"/>
          <w:color w:val="auto"/>
        </w:rPr>
      </w:pPr>
    </w:p>
    <w:p>
      <w:pPr>
        <w:ind w:left="8" w:right="40" w:firstLine="640"/>
        <w:spacing w:after="0" w:line="232" w:lineRule="auto"/>
        <w:tabs>
          <w:tab w:leader="none" w:pos="1259" w:val="left"/>
        </w:tabs>
        <w:numPr>
          <w:ilvl w:val="1"/>
          <w:numId w:val="73"/>
        </w:numPr>
        <w:rPr>
          <w:rFonts w:ascii="Arial" w:cs="Arial" w:eastAsia="Arial" w:hAnsi="Arial"/>
          <w:sz w:val="22"/>
          <w:szCs w:val="22"/>
          <w:color w:val="auto"/>
        </w:rPr>
      </w:pPr>
      <w:r>
        <w:rPr>
          <w:rFonts w:ascii="Arial" w:cs="Arial" w:eastAsia="Arial" w:hAnsi="Arial"/>
          <w:sz w:val="22"/>
          <w:szCs w:val="22"/>
          <w:color w:val="auto"/>
        </w:rPr>
        <w:t>asset-backed securities rated AAA by Moody’s, S&amp;P, or Fitch, with weighted average lives of 3 years or less (measured to the next maturity date);</w:t>
      </w:r>
    </w:p>
    <w:p>
      <w:pPr>
        <w:spacing w:after="0" w:line="199" w:lineRule="exact"/>
        <w:rPr>
          <w:rFonts w:ascii="Arial" w:cs="Arial" w:eastAsia="Arial" w:hAnsi="Arial"/>
          <w:sz w:val="22"/>
          <w:szCs w:val="22"/>
          <w:color w:val="auto"/>
        </w:rPr>
      </w:pPr>
    </w:p>
    <w:p>
      <w:pPr>
        <w:jc w:val="both"/>
        <w:ind w:left="8" w:right="40" w:firstLine="640"/>
        <w:spacing w:after="0" w:line="247" w:lineRule="auto"/>
        <w:tabs>
          <w:tab w:leader="none" w:pos="1259" w:val="left"/>
        </w:tabs>
        <w:numPr>
          <w:ilvl w:val="1"/>
          <w:numId w:val="73"/>
        </w:numPr>
        <w:rPr>
          <w:rFonts w:ascii="Arial" w:cs="Arial" w:eastAsia="Arial" w:hAnsi="Arial"/>
          <w:sz w:val="19"/>
          <w:szCs w:val="19"/>
          <w:color w:val="auto"/>
        </w:rPr>
      </w:pPr>
      <w:r>
        <w:rPr>
          <w:rFonts w:ascii="Arial" w:cs="Arial" w:eastAsia="Arial" w:hAnsi="Arial"/>
          <w:sz w:val="19"/>
          <w:szCs w:val="19"/>
          <w:color w:val="auto"/>
        </w:rPr>
        <w:t>repurchase agreements and reverse repurchase agreements relating to marketable direct obligations issued or unconditionally guaranteed or insured by the government or any agency or instrumentality of (i) the United States,</w:t>
      </w:r>
    </w:p>
    <w:p>
      <w:pPr>
        <w:ind w:left="8" w:right="40" w:hanging="8"/>
        <w:spacing w:after="0" w:line="224" w:lineRule="auto"/>
        <w:tabs>
          <w:tab w:leader="none" w:pos="338"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United Kingdom or (iii) any member nation of the European Union maturing within 365 days from the date of acquisition;</w:t>
      </w:r>
    </w:p>
    <w:p>
      <w:pPr>
        <w:spacing w:after="0" w:line="184" w:lineRule="exact"/>
        <w:rPr>
          <w:rFonts w:ascii="Arial" w:cs="Arial" w:eastAsia="Arial" w:hAnsi="Arial"/>
          <w:sz w:val="22"/>
          <w:szCs w:val="22"/>
          <w:color w:val="auto"/>
        </w:rPr>
      </w:pPr>
    </w:p>
    <w:p>
      <w:pPr>
        <w:ind w:left="8" w:right="40" w:firstLine="640"/>
        <w:spacing w:after="0" w:line="232" w:lineRule="auto"/>
        <w:tabs>
          <w:tab w:leader="none" w:pos="1259" w:val="left"/>
        </w:tabs>
        <w:numPr>
          <w:ilvl w:val="1"/>
          <w:numId w:val="74"/>
        </w:numPr>
        <w:rPr>
          <w:rFonts w:ascii="Arial" w:cs="Arial" w:eastAsia="Arial" w:hAnsi="Arial"/>
          <w:sz w:val="22"/>
          <w:szCs w:val="22"/>
          <w:color w:val="auto"/>
        </w:rPr>
      </w:pPr>
      <w:r>
        <w:rPr>
          <w:rFonts w:ascii="Arial" w:cs="Arial" w:eastAsia="Arial" w:hAnsi="Arial"/>
          <w:sz w:val="22"/>
          <w:szCs w:val="22"/>
          <w:color w:val="auto"/>
        </w:rPr>
        <w:t>money market funds which invest substantially all of their assets in assets described in the preceding clauses (1) through (5); and</w:t>
      </w:r>
    </w:p>
    <w:p>
      <w:pPr>
        <w:spacing w:after="0" w:line="199" w:lineRule="exact"/>
        <w:rPr>
          <w:rFonts w:ascii="Arial" w:cs="Arial" w:eastAsia="Arial" w:hAnsi="Arial"/>
          <w:sz w:val="22"/>
          <w:szCs w:val="22"/>
          <w:color w:val="auto"/>
        </w:rPr>
      </w:pPr>
    </w:p>
    <w:p>
      <w:pPr>
        <w:jc w:val="both"/>
        <w:ind w:left="8" w:right="40" w:firstLine="640"/>
        <w:spacing w:after="0" w:line="257" w:lineRule="auto"/>
        <w:tabs>
          <w:tab w:leader="none" w:pos="1259" w:val="left"/>
        </w:tabs>
        <w:numPr>
          <w:ilvl w:val="1"/>
          <w:numId w:val="74"/>
        </w:numPr>
        <w:rPr>
          <w:rFonts w:ascii="Arial" w:cs="Arial" w:eastAsia="Arial" w:hAnsi="Arial"/>
          <w:sz w:val="19"/>
          <w:szCs w:val="19"/>
          <w:color w:val="auto"/>
        </w:rPr>
      </w:pPr>
      <w:r>
        <w:rPr>
          <w:rFonts w:ascii="Arial" w:cs="Arial" w:eastAsia="Arial" w:hAnsi="Arial"/>
          <w:sz w:val="19"/>
          <w:szCs w:val="19"/>
          <w:color w:val="auto"/>
        </w:rPr>
        <w:t>instruments equivalent to those referred to in clauses (1) through (6) above denominated in any Alternative Currency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71" w:lineRule="exact"/>
        <w:rPr>
          <w:sz w:val="20"/>
          <w:szCs w:val="20"/>
          <w:color w:val="auto"/>
        </w:rPr>
      </w:pPr>
    </w:p>
    <w:p>
      <w:pPr>
        <w:ind w:left="8" w:right="440"/>
        <w:spacing w:after="0" w:line="23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except in the case of clauses (4) and (5) above, the maximum maturity date of individual securities or deposits will be 3 years or less at the time of purchase or deposit.</w:t>
      </w:r>
    </w:p>
    <w:p>
      <w:pPr>
        <w:sectPr>
          <w:pgSz w:w="11900" w:h="16838" w:orient="portrait"/>
          <w:cols w:equalWidth="0" w:num="1">
            <w:col w:w="10448"/>
          </w:cols>
          <w:pgMar w:left="1012" w:top="1440" w:right="439" w:bottom="1440" w:gutter="0" w:footer="0" w:header="0"/>
        </w:sectPr>
      </w:pPr>
    </w:p>
    <w:bookmarkStart w:id="111" w:name="page112"/>
    <w:bookmarkEnd w:id="111"/>
    <w:p>
      <w:pPr>
        <w:jc w:val="both"/>
        <w:ind w:left="8"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acquisition of beneficial ownership, directly or indirectly, by any Person or group (within the meaning of the Securities Exchange Act of 1934 and the rules of the SEC thereunder as in effect on the Closing Date) of Equity Interests representing more than 35% of the aggregate ordinary voting power represented by the issued and outstanding Equity Interests of the Borrower.</w:t>
      </w:r>
    </w:p>
    <w:p>
      <w:pPr>
        <w:spacing w:after="0" w:line="199" w:lineRule="exact"/>
        <w:rPr>
          <w:sz w:val="20"/>
          <w:szCs w:val="20"/>
          <w:color w:val="auto"/>
        </w:rPr>
      </w:pPr>
    </w:p>
    <w:p>
      <w:pPr>
        <w:ind w:left="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(a) the adoption of any law, treaty, rule or regulation after the date of this Agreement,</w:t>
      </w:r>
    </w:p>
    <w:p>
      <w:pPr>
        <w:spacing w:after="0" w:line="16" w:lineRule="exact"/>
        <w:rPr>
          <w:sz w:val="20"/>
          <w:szCs w:val="20"/>
          <w:color w:val="auto"/>
        </w:rPr>
      </w:pPr>
    </w:p>
    <w:p>
      <w:pPr>
        <w:jc w:val="both"/>
        <w:ind w:left="8" w:right="40" w:hanging="8"/>
        <w:spacing w:after="0" w:line="242" w:lineRule="auto"/>
        <w:tabs>
          <w:tab w:leader="none" w:pos="323"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any change in any law, treaty,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w:t>
      </w:r>
    </w:p>
    <w:p>
      <w:pPr>
        <w:sectPr>
          <w:pgSz w:w="11900" w:h="16838" w:orient="portrait"/>
          <w:cols w:equalWidth="0" w:num="1">
            <w:col w:w="10448"/>
          </w:cols>
          <w:pgMar w:left="1012" w:top="1347" w:right="439" w:bottom="1440" w:gutter="0" w:footer="0" w:header="0"/>
        </w:sectPr>
      </w:pPr>
    </w:p>
    <w:bookmarkStart w:id="112" w:name="page113"/>
    <w:bookmarkEnd w:id="112"/>
    <w:p>
      <w:pPr>
        <w:ind w:left="8" w:right="40"/>
        <w:spacing w:after="0" w:line="232" w:lineRule="auto"/>
        <w:rPr>
          <w:sz w:val="20"/>
          <w:szCs w:val="20"/>
          <w:color w:val="auto"/>
        </w:rPr>
      </w:pPr>
      <w:r>
        <w:rPr>
          <w:rFonts w:ascii="Arial" w:cs="Arial" w:eastAsia="Arial" w:hAnsi="Arial"/>
          <w:sz w:val="22"/>
          <w:szCs w:val="22"/>
          <w:color w:val="auto"/>
        </w:rPr>
        <w:t>pursuant to Basel III, shall in each case be deemed to be a “Change in Law”, regardless of the date enacted, adopted or issued.</w:t>
      </w:r>
    </w:p>
    <w:p>
      <w:pPr>
        <w:spacing w:after="0" w:line="199" w:lineRule="exact"/>
        <w:rPr>
          <w:sz w:val="20"/>
          <w:szCs w:val="20"/>
          <w:color w:val="auto"/>
        </w:rPr>
      </w:pPr>
    </w:p>
    <w:p>
      <w:pPr>
        <w:ind w:left="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has the meaning assigned to such term in Section 9.14.</w:t>
      </w:r>
    </w:p>
    <w:p>
      <w:pPr>
        <w:spacing w:after="0" w:line="206" w:lineRule="exact"/>
        <w:rPr>
          <w:sz w:val="20"/>
          <w:szCs w:val="20"/>
          <w:color w:val="auto"/>
        </w:rPr>
      </w:pPr>
    </w:p>
    <w:p>
      <w:pPr>
        <w:jc w:val="both"/>
        <w:ind w:left="8"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(a) when used with respect to Commitments, refers to whether such Commitment is a Revolving Commitment or an Extended Revolving Commitment of a given Revolving Extension Series, (b) when used with respect to Loans or a Borrowing, refers to whether such Loans, or the Loans comprising such Borrowing, are Loans under Revolving Commitments or Loans under Extended Revolving Commitments of a given Revolving Extension Series and</w:t>
      </w:r>
    </w:p>
    <w:p>
      <w:pPr>
        <w:spacing w:after="0" w:line="1" w:lineRule="exact"/>
        <w:rPr>
          <w:sz w:val="20"/>
          <w:szCs w:val="20"/>
          <w:color w:val="auto"/>
        </w:rPr>
      </w:pPr>
    </w:p>
    <w:p>
      <w:pPr>
        <w:ind w:left="8" w:hanging="8"/>
        <w:spacing w:after="0" w:line="224" w:lineRule="auto"/>
        <w:tabs>
          <w:tab w:leader="none" w:pos="331" w:val="left"/>
        </w:tabs>
        <w:numPr>
          <w:ilvl w:val="0"/>
          <w:numId w:val="76"/>
        </w:numPr>
        <w:rPr>
          <w:rFonts w:ascii="Arial" w:cs="Arial" w:eastAsia="Arial" w:hAnsi="Arial"/>
          <w:sz w:val="22"/>
          <w:szCs w:val="22"/>
          <w:color w:val="auto"/>
        </w:rPr>
      </w:pPr>
      <w:r>
        <w:rPr>
          <w:rFonts w:ascii="Arial" w:cs="Arial" w:eastAsia="Arial" w:hAnsi="Arial"/>
          <w:sz w:val="22"/>
          <w:szCs w:val="22"/>
          <w:color w:val="auto"/>
        </w:rPr>
        <w:t>when used with respect to Lenders, refers to whether such Lender has a Loan or Commitment with respect to a particular Class of Loans or Commitments.</w:t>
      </w:r>
    </w:p>
    <w:p>
      <w:pPr>
        <w:spacing w:after="0" w:line="198" w:lineRule="exact"/>
        <w:rPr>
          <w:sz w:val="20"/>
          <w:szCs w:val="20"/>
          <w:color w:val="auto"/>
        </w:rPr>
      </w:pPr>
    </w:p>
    <w:p>
      <w:pPr>
        <w:jc w:val="both"/>
        <w:ind w:left="8"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on which all the conditions specified in Section 4.01 of this Agreement are satisfied (or waived in accordance with Section 9.02 of this Agreement).</w:t>
      </w:r>
    </w:p>
    <w:p>
      <w:pPr>
        <w:spacing w:after="0" w:line="199" w:lineRule="exact"/>
        <w:rPr>
          <w:sz w:val="20"/>
          <w:szCs w:val="20"/>
          <w:color w:val="auto"/>
        </w:rPr>
      </w:pPr>
    </w:p>
    <w:p>
      <w:pPr>
        <w:jc w:val="both"/>
        <w:ind w:left="8" w:right="20" w:firstLine="648"/>
        <w:spacing w:after="0" w:line="232" w:lineRule="auto"/>
        <w:rPr>
          <w:sz w:val="20"/>
          <w:szCs w:val="20"/>
          <w:color w:val="auto"/>
        </w:rPr>
      </w:pPr>
      <w:r>
        <w:rPr>
          <w:rFonts w:ascii="Arial" w:cs="Arial" w:eastAsia="Arial" w:hAnsi="Arial"/>
          <w:sz w:val="22"/>
          <w:szCs w:val="22"/>
          <w:u w:val="single" w:color="auto"/>
          <w:color w:val="0000FF"/>
        </w:rPr>
        <w:t>“CME” means CME Group Benchmark Administration Limited as administrator of the forward-looking term SOFR (or a successor administrator).</w:t>
      </w:r>
    </w:p>
    <w:p>
      <w:pPr>
        <w:spacing w:after="0" w:line="105" w:lineRule="exact"/>
        <w:rPr>
          <w:sz w:val="20"/>
          <w:szCs w:val="20"/>
          <w:color w:val="auto"/>
        </w:rPr>
      </w:pPr>
    </w:p>
    <w:p>
      <w:pPr>
        <w:ind w:left="64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U.S. Internal Revenue Code of 1986, as amended from time to time. “</w:t>
      </w:r>
      <w:r>
        <w:rPr>
          <w:rFonts w:ascii="Arial" w:cs="Arial" w:eastAsia="Arial" w:hAnsi="Arial"/>
          <w:sz w:val="21"/>
          <w:szCs w:val="21"/>
          <w:u w:val="single" w:color="auto"/>
          <w:color w:val="auto"/>
        </w:rPr>
        <w:t>Combination</w:t>
      </w:r>
    </w:p>
    <w:p>
      <w:pPr>
        <w:spacing w:after="0" w:line="285" w:lineRule="exact"/>
        <w:rPr>
          <w:sz w:val="20"/>
          <w:szCs w:val="20"/>
          <w:color w:val="auto"/>
        </w:rPr>
      </w:pPr>
    </w:p>
    <w:p>
      <w:pPr>
        <w:ind w:left="648"/>
        <w:spacing w:after="0"/>
        <w:rPr>
          <w:sz w:val="20"/>
          <w:szCs w:val="20"/>
          <w:color w:val="auto"/>
        </w:rPr>
      </w:pPr>
      <w:r>
        <w:rPr>
          <w:rFonts w:ascii="Arial" w:cs="Arial" w:eastAsia="Arial" w:hAnsi="Arial"/>
          <w:sz w:val="22"/>
          <w:szCs w:val="22"/>
          <w:u w:val="single" w:color="auto"/>
          <w:color w:val="auto"/>
        </w:rPr>
        <w:t>Transactions</w:t>
      </w:r>
      <w:r>
        <w:rPr>
          <w:rFonts w:ascii="Arial" w:cs="Arial" w:eastAsia="Arial" w:hAnsi="Arial"/>
          <w:sz w:val="22"/>
          <w:szCs w:val="22"/>
          <w:color w:val="auto"/>
        </w:rPr>
        <w:t>” means the combination and separation transactions by and</w:t>
      </w:r>
    </w:p>
    <w:p>
      <w:pPr>
        <w:spacing w:after="0" w:line="125" w:lineRule="exact"/>
        <w:rPr>
          <w:sz w:val="20"/>
          <w:szCs w:val="20"/>
          <w:color w:val="auto"/>
        </w:rPr>
      </w:pPr>
    </w:p>
    <w:p>
      <w:pPr>
        <w:jc w:val="both"/>
        <w:ind w:left="8" w:right="20"/>
        <w:spacing w:after="0" w:line="218" w:lineRule="auto"/>
        <w:rPr>
          <w:sz w:val="20"/>
          <w:szCs w:val="20"/>
          <w:color w:val="auto"/>
        </w:rPr>
      </w:pPr>
      <w:r>
        <w:rPr>
          <w:rFonts w:ascii="Arial" w:cs="Arial" w:eastAsia="Arial" w:hAnsi="Arial"/>
          <w:sz w:val="22"/>
          <w:szCs w:val="22"/>
          <w:color w:val="auto"/>
        </w:rPr>
        <w:t>among Pfizer Inc. (“</w:t>
      </w:r>
      <w:r>
        <w:rPr>
          <w:rFonts w:ascii="Arial" w:cs="Arial" w:eastAsia="Arial" w:hAnsi="Arial"/>
          <w:sz w:val="22"/>
          <w:szCs w:val="22"/>
          <w:u w:val="single" w:color="auto"/>
          <w:color w:val="auto"/>
        </w:rPr>
        <w:t>Pfizer</w:t>
      </w:r>
      <w:r>
        <w:rPr>
          <w:rFonts w:ascii="Arial" w:cs="Arial" w:eastAsia="Arial" w:hAnsi="Arial"/>
          <w:sz w:val="22"/>
          <w:szCs w:val="22"/>
          <w:color w:val="auto"/>
        </w:rPr>
        <w:t>”), the Borrower and Mylan N.V., including but not limited to the separation of Pfizer’s global, primarily offpatent branded and generic established medicine business and the combination of such business with Mylan N.V., the borrowings and other financings related thereto, and the payment of fees and expenses associated therewith.</w:t>
      </w:r>
    </w:p>
    <w:p>
      <w:pPr>
        <w:spacing w:after="0" w:line="201" w:lineRule="exact"/>
        <w:rPr>
          <w:sz w:val="20"/>
          <w:szCs w:val="20"/>
          <w:color w:val="auto"/>
        </w:rPr>
      </w:pPr>
    </w:p>
    <w:p>
      <w:pPr>
        <w:ind w:left="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a Revolving Commitment.</w:t>
      </w:r>
    </w:p>
    <w:p>
      <w:pPr>
        <w:spacing w:after="0" w:line="206" w:lineRule="exact"/>
        <w:rPr>
          <w:sz w:val="20"/>
          <w:szCs w:val="20"/>
          <w:color w:val="auto"/>
        </w:rPr>
      </w:pPr>
    </w:p>
    <w:p>
      <w:pPr>
        <w:jc w:val="both"/>
        <w:ind w:left="8"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w:t>
      </w:r>
      <w:r>
        <w:rPr>
          <w:rFonts w:ascii="Arial" w:cs="Arial" w:eastAsia="Arial" w:hAnsi="Arial"/>
          <w:sz w:val="19"/>
          <w:szCs w:val="19"/>
          <w:color w:val="auto"/>
        </w:rPr>
        <w:t>” means this Agreement, any Loan Document and any document, amendment, approval, consent, information, notice, certificate, request, statement, disclosure or authorization related to any Loan Document.</w:t>
      </w:r>
    </w:p>
    <w:p>
      <w:pPr>
        <w:spacing w:after="0" w:line="146" w:lineRule="exact"/>
        <w:rPr>
          <w:sz w:val="20"/>
          <w:szCs w:val="20"/>
          <w:color w:val="auto"/>
        </w:rPr>
      </w:pPr>
    </w:p>
    <w:p>
      <w:pPr>
        <w:jc w:val="both"/>
        <w:ind w:left="8" w:firstLine="648"/>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Conforming Changes</w:t>
      </w:r>
      <w:r>
        <w:rPr>
          <w:rFonts w:ascii="Arial" w:cs="Arial" w:eastAsia="Arial" w:hAnsi="Arial"/>
          <w:sz w:val="21"/>
          <w:szCs w:val="21"/>
          <w:color w:val="auto"/>
        </w:rPr>
        <w:t xml:space="preserve">” means, with respect to the use, administration of or any conventions associated with </w:t>
      </w:r>
      <w:r>
        <w:rPr>
          <w:rFonts w:ascii="Arial" w:cs="Arial" w:eastAsia="Arial" w:hAnsi="Arial"/>
          <w:sz w:val="21"/>
          <w:szCs w:val="21"/>
          <w:u w:val="single" w:color="auto"/>
          <w:color w:val="0000FF"/>
        </w:rPr>
        <w:t>SOFR,</w:t>
      </w:r>
      <w:r>
        <w:rPr>
          <w:rFonts w:ascii="Arial" w:cs="Arial" w:eastAsia="Arial" w:hAnsi="Arial"/>
          <w:sz w:val="21"/>
          <w:szCs w:val="21"/>
          <w:color w:val="0000FF"/>
        </w:rPr>
        <w:t xml:space="preserve"> </w:t>
      </w:r>
      <w:r>
        <w:rPr>
          <w:rFonts w:ascii="Arial" w:cs="Arial" w:eastAsia="Arial" w:hAnsi="Arial"/>
          <w:sz w:val="21"/>
          <w:szCs w:val="21"/>
          <w:color w:val="000000"/>
        </w:rPr>
        <w:t>SONIA</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 EURIBOR, TIBOR</w:t>
      </w:r>
      <w:r>
        <w:rPr>
          <w:rFonts w:ascii="Arial" w:cs="Arial" w:eastAsia="Arial" w:hAnsi="Arial"/>
          <w:sz w:val="21"/>
          <w:szCs w:val="21"/>
          <w:color w:val="0000FF"/>
        </w:rPr>
        <w:t xml:space="preserve"> </w:t>
      </w:r>
      <w:r>
        <w:rPr>
          <w:rFonts w:ascii="Arial" w:cs="Arial" w:eastAsia="Arial" w:hAnsi="Arial"/>
          <w:sz w:val="21"/>
          <w:szCs w:val="21"/>
          <w:color w:val="000000"/>
        </w:rPr>
        <w:t>or any proposed Successor Rate for an Agreed Currency</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or Term SOFR</w:t>
      </w:r>
      <w:r>
        <w:rPr>
          <w:rFonts w:ascii="Arial" w:cs="Arial" w:eastAsia="Arial" w:hAnsi="Arial"/>
          <w:sz w:val="21"/>
          <w:szCs w:val="21"/>
          <w:color w:val="000000"/>
        </w:rPr>
        <w:t>, as</w:t>
      </w:r>
      <w:r>
        <w:rPr>
          <w:rFonts w:ascii="Arial" w:cs="Arial" w:eastAsia="Arial" w:hAnsi="Arial"/>
          <w:sz w:val="21"/>
          <w:szCs w:val="21"/>
          <w:color w:val="0000FF"/>
        </w:rPr>
        <w:t xml:space="preserve"> </w:t>
      </w:r>
      <w:r>
        <w:rPr>
          <w:rFonts w:ascii="Arial" w:cs="Arial" w:eastAsia="Arial" w:hAnsi="Arial"/>
          <w:sz w:val="21"/>
          <w:szCs w:val="21"/>
          <w:color w:val="000000"/>
        </w:rPr>
        <w:t>applicable, any conforming changes to the definitions of “</w:t>
      </w:r>
      <w:r>
        <w:rPr>
          <w:rFonts w:ascii="Arial" w:cs="Arial" w:eastAsia="Arial" w:hAnsi="Arial"/>
          <w:sz w:val="21"/>
          <w:szCs w:val="21"/>
          <w:u w:val="single" w:color="auto"/>
          <w:color w:val="0000FF"/>
        </w:rPr>
        <w:t>Base Rate”, “SOFR”, “</w:t>
      </w:r>
      <w:r>
        <w:rPr>
          <w:rFonts w:ascii="Arial" w:cs="Arial" w:eastAsia="Arial" w:hAnsi="Arial"/>
          <w:sz w:val="21"/>
          <w:szCs w:val="21"/>
          <w:color w:val="000000"/>
        </w:rPr>
        <w:t xml:space="preserve">SONIA”, </w:t>
      </w:r>
      <w:r>
        <w:rPr>
          <w:rFonts w:ascii="Arial" w:cs="Arial" w:eastAsia="Arial" w:hAnsi="Arial"/>
          <w:sz w:val="21"/>
          <w:szCs w:val="21"/>
          <w:u w:val="single" w:color="auto"/>
          <w:color w:val="0000FF"/>
        </w:rPr>
        <w:t>“EURIBOR”, “TIBOR”,</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“Term SOFR” and</w:t>
      </w:r>
      <w:r>
        <w:rPr>
          <w:rFonts w:ascii="Arial" w:cs="Arial" w:eastAsia="Arial" w:hAnsi="Arial"/>
          <w:sz w:val="21"/>
          <w:szCs w:val="21"/>
          <w:color w:val="0000FF"/>
        </w:rPr>
        <w:t xml:space="preserve"> </w:t>
      </w:r>
      <w:r>
        <w:rPr>
          <w:rFonts w:ascii="Arial" w:cs="Arial" w:eastAsia="Arial" w:hAnsi="Arial"/>
          <w:sz w:val="21"/>
          <w:szCs w:val="21"/>
          <w:color w:val="000000"/>
        </w:rPr>
        <w:t>“Interest Period”, timing and frequency of determining rates and making payments of interest and</w:t>
      </w:r>
      <w:r>
        <w:rPr>
          <w:rFonts w:ascii="Arial" w:cs="Arial" w:eastAsia="Arial" w:hAnsi="Arial"/>
          <w:sz w:val="21"/>
          <w:szCs w:val="21"/>
          <w:color w:val="0000FF"/>
        </w:rPr>
        <w:t xml:space="preserve"> </w:t>
      </w:r>
      <w:r>
        <w:rPr>
          <w:rFonts w:ascii="Arial" w:cs="Arial" w:eastAsia="Arial" w:hAnsi="Arial"/>
          <w:sz w:val="21"/>
          <w:szCs w:val="21"/>
          <w:color w:val="000000"/>
        </w:rPr>
        <w:t>other technical, administrative or operational matters (including, for the avoidance of doubt, the definition</w:t>
      </w:r>
      <w:r>
        <w:rPr>
          <w:rFonts w:ascii="Arial" w:cs="Arial" w:eastAsia="Arial" w:hAnsi="Arial"/>
          <w:sz w:val="21"/>
          <w:szCs w:val="21"/>
          <w:u w:val="single" w:color="auto"/>
          <w:color w:val="0000FF"/>
        </w:rPr>
        <w:t>s</w:t>
      </w:r>
      <w:r>
        <w:rPr>
          <w:rFonts w:ascii="Arial" w:cs="Arial" w:eastAsia="Arial" w:hAnsi="Arial"/>
          <w:sz w:val="21"/>
          <w:szCs w:val="21"/>
          <w:color w:val="000000"/>
        </w:rPr>
        <w:t xml:space="preserve"> of “</w:t>
      </w:r>
      <w:r>
        <w:rPr>
          <w:rFonts w:ascii="Arial" w:cs="Arial" w:eastAsia="Arial" w:hAnsi="Arial"/>
          <w:sz w:val="21"/>
          <w:szCs w:val="21"/>
          <w:u w:val="single" w:color="auto"/>
          <w:color w:val="0000FF"/>
        </w:rPr>
        <w:t>Business</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Day” and “U.S. Government Securities</w:t>
      </w:r>
      <w:r>
        <w:rPr>
          <w:rFonts w:ascii="Arial" w:cs="Arial" w:eastAsia="Arial" w:hAnsi="Arial"/>
          <w:sz w:val="21"/>
          <w:szCs w:val="21"/>
          <w:color w:val="0000FF"/>
        </w:rPr>
        <w:t xml:space="preserve"> </w:t>
      </w:r>
      <w:r>
        <w:rPr>
          <w:rFonts w:ascii="Arial" w:cs="Arial" w:eastAsia="Arial" w:hAnsi="Arial"/>
          <w:sz w:val="21"/>
          <w:szCs w:val="21"/>
          <w:color w:val="000000"/>
        </w:rPr>
        <w:t>Business Day”, timing of borrowing requests or prepayment, conversion or</w:t>
      </w:r>
      <w:r>
        <w:rPr>
          <w:rFonts w:ascii="Arial" w:cs="Arial" w:eastAsia="Arial" w:hAnsi="Arial"/>
          <w:sz w:val="21"/>
          <w:szCs w:val="21"/>
          <w:color w:val="0000FF"/>
        </w:rPr>
        <w:t xml:space="preserve"> </w:t>
      </w:r>
      <w:r>
        <w:rPr>
          <w:rFonts w:ascii="Arial" w:cs="Arial" w:eastAsia="Arial" w:hAnsi="Arial"/>
          <w:sz w:val="21"/>
          <w:szCs w:val="21"/>
          <w:color w:val="000000"/>
        </w:rPr>
        <w:t xml:space="preserve">continuation notices and length of lookback periods) as may be appropriate, in the </w:t>
      </w:r>
      <w:r>
        <w:rPr>
          <w:rFonts w:ascii="Arial" w:cs="Arial" w:eastAsia="Arial" w:hAnsi="Arial"/>
          <w:sz w:val="21"/>
          <w:szCs w:val="21"/>
          <w:u w:val="single" w:color="auto"/>
          <w:color w:val="0000FF"/>
        </w:rPr>
        <w:t>reasonable</w:t>
      </w:r>
      <w:r>
        <w:rPr>
          <w:rFonts w:ascii="Arial" w:cs="Arial" w:eastAsia="Arial" w:hAnsi="Arial"/>
          <w:sz w:val="21"/>
          <w:szCs w:val="21"/>
          <w:color w:val="000000"/>
        </w:rPr>
        <w:t xml:space="preserve"> discretion of the Administrative Agent</w:t>
      </w:r>
      <w:r>
        <w:rPr>
          <w:rFonts w:ascii="Arial" w:cs="Arial" w:eastAsia="Arial" w:hAnsi="Arial"/>
          <w:sz w:val="21"/>
          <w:szCs w:val="21"/>
          <w:u w:val="single" w:color="auto"/>
          <w:color w:val="0000FF"/>
        </w:rPr>
        <w:t>, after consultation with the Borrower</w:t>
      </w:r>
      <w:r>
        <w:rPr>
          <w:rFonts w:ascii="Arial" w:cs="Arial" w:eastAsia="Arial" w:hAnsi="Arial"/>
          <w:sz w:val="21"/>
          <w:szCs w:val="21"/>
          <w:color w:val="000000"/>
        </w:rPr>
        <w: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w:t>
      </w:r>
    </w:p>
    <w:p>
      <w:pPr>
        <w:sectPr>
          <w:pgSz w:w="11900" w:h="16838" w:orient="portrait"/>
          <w:cols w:equalWidth="0" w:num="1">
            <w:col w:w="10448"/>
          </w:cols>
          <w:pgMar w:left="1012" w:top="1401" w:right="439" w:bottom="1440" w:gutter="0" w:footer="0" w:header="0"/>
        </w:sectPr>
      </w:pPr>
    </w:p>
    <w:bookmarkStart w:id="113" w:name="page114"/>
    <w:bookmarkEnd w:id="113"/>
    <w:p>
      <w:pPr>
        <w:ind w:left="9" w:right="60"/>
        <w:spacing w:after="0" w:line="232" w:lineRule="auto"/>
        <w:rPr>
          <w:sz w:val="20"/>
          <w:szCs w:val="20"/>
          <w:color w:val="auto"/>
        </w:rPr>
      </w:pPr>
      <w:r>
        <w:rPr>
          <w:rFonts w:ascii="Arial" w:cs="Arial" w:eastAsia="Arial" w:hAnsi="Arial"/>
          <w:sz w:val="22"/>
          <w:szCs w:val="22"/>
          <w:color w:val="auto"/>
        </w:rPr>
        <w:t>reasonably necessary</w:t>
      </w:r>
      <w:r>
        <w:rPr>
          <w:rFonts w:ascii="Arial" w:cs="Arial" w:eastAsia="Arial" w:hAnsi="Arial"/>
          <w:sz w:val="22"/>
          <w:szCs w:val="22"/>
          <w:u w:val="single" w:color="auto"/>
          <w:color w:val="0000FF"/>
        </w:rPr>
        <w:t>, after consultation with the Borrower,</w:t>
      </w:r>
      <w:r>
        <w:rPr>
          <w:rFonts w:ascii="Arial" w:cs="Arial" w:eastAsia="Arial" w:hAnsi="Arial"/>
          <w:sz w:val="22"/>
          <w:szCs w:val="22"/>
          <w:color w:val="auto"/>
        </w:rPr>
        <w:t xml:space="preserve"> in connection with the administration of this Agreement and any other Loan Document).</w:t>
      </w:r>
    </w:p>
    <w:p>
      <w:pPr>
        <w:spacing w:after="0" w:line="199" w:lineRule="exact"/>
        <w:rPr>
          <w:sz w:val="20"/>
          <w:szCs w:val="20"/>
          <w:color w:val="auto"/>
        </w:rPr>
      </w:pPr>
    </w:p>
    <w:p>
      <w:pPr>
        <w:jc w:val="both"/>
        <w:ind w:left="9" w:firstLine="648"/>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 obligations or other derivative instruments entered into for the purpose of hedging interest rate risk, net of gains on such hedging obligations, and costs of surety bonds in connection with financing activities, (ii) 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 (vi) 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Borrower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Arial" w:cs="Arial" w:eastAsia="Arial" w:hAnsi="Arial"/>
          <w:sz w:val="19"/>
          <w:szCs w:val="19"/>
          <w:u w:val="single" w:color="auto"/>
          <w:color w:val="auto"/>
        </w:rPr>
        <w:t>Schedule 2.03</w:t>
      </w:r>
      <w:r>
        <w:rPr>
          <w:rFonts w:ascii="Arial" w:cs="Arial" w:eastAsia="Arial" w:hAnsi="Arial"/>
          <w:sz w:val="19"/>
          <w:szCs w:val="19"/>
          <w:color w:val="auto"/>
        </w:rPr>
        <w:t xml:space="preserve">, (ix) income of any non-wholly owned Subsidiaries and deductions attributable to minority interests, (x) any non-cash costs or expenses incurred by the Borrower or any Subsidiary pursuant to any management equity plan or stock plan, (xi) expenses with respect to casualty events, (xii) the amount of net cost savings in connection with any acquisition of an Acquired Entity or Business or otherwise projected by the Borrower in good faith to be realized as a result of specified actions taken prior to the last day of such period (calculated on a pro forma basis as though such cost savings had been realized since the first day of such period), net of the amount of actual benefits realized during such period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connection with (1) the Combination Transactions, such actions have been taken within 24 months after the closing date of the Combination Transactions and</w:t>
      </w:r>
    </w:p>
    <w:p>
      <w:pPr>
        <w:spacing w:after="0" w:line="1" w:lineRule="exact"/>
        <w:rPr>
          <w:sz w:val="20"/>
          <w:szCs w:val="20"/>
          <w:color w:val="auto"/>
        </w:rPr>
      </w:pPr>
    </w:p>
    <w:p>
      <w:pPr>
        <w:jc w:val="both"/>
        <w:ind w:left="9" w:hanging="9"/>
        <w:spacing w:after="0" w:line="239" w:lineRule="auto"/>
        <w:tabs>
          <w:tab w:leader="none" w:pos="335"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any other acquisition of an Acquired Entity or Business, such actions have been taken within 12 months after the closing date of an acquisition of an Acquired Entity or Business and (B) no cost savings shall be added pursuant to this clause (xii) to the extent 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to the extent included in Consolidated Net Income, the sum of (xvi) any unusual, infrequent or extraordinary income or gains, (xvii) any other non-cash income or gains (except to the extent representing (x) an accrual for future cash income or in respect of which cash was received in a prior period or (y) the reversal of any cash reserves established in a prior period), and (xviii) any cash payment made with respect to any non-cash items added back in computing Consolidated EBITDA in a prior period pursuant to clause (vi) above), all calculated for the Borrower and its Subsidiaries (other than the Captive Insurance Subsidiary) in accordance with GAAP on a consolidated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included in Consolidated Net Income, (A) there shall be excluded in determining Consolidated EBITDA</w:t>
      </w:r>
    </w:p>
    <w:p>
      <w:pPr>
        <w:sectPr>
          <w:pgSz w:w="11900" w:h="16838" w:orient="portrait"/>
          <w:cols w:equalWidth="0" w:num="1">
            <w:col w:w="10449"/>
          </w:cols>
          <w:pgMar w:left="1011" w:top="1401" w:right="439" w:bottom="1440" w:gutter="0" w:footer="0" w:header="0"/>
        </w:sectPr>
      </w:pPr>
    </w:p>
    <w:bookmarkStart w:id="114" w:name="page115"/>
    <w:bookmarkEnd w:id="114"/>
    <w:p>
      <w:pPr>
        <w:ind w:left="8"/>
        <w:spacing w:after="0" w:line="213" w:lineRule="auto"/>
        <w:rPr>
          <w:sz w:val="20"/>
          <w:szCs w:val="20"/>
          <w:color w:val="auto"/>
        </w:rPr>
      </w:pPr>
      <w:r>
        <w:rPr>
          <w:rFonts w:ascii="Arial" w:cs="Arial" w:eastAsia="Arial" w:hAnsi="Arial"/>
          <w:sz w:val="22"/>
          <w:szCs w:val="22"/>
          <w:color w:val="auto"/>
        </w:rPr>
        <w:t>currency translation gains and losses related to currency remeasurements of Indebtedness (including the net loss or gain resulting from Swap Agreements for currency exchange risk) and</w:t>
      </w:r>
    </w:p>
    <w:p>
      <w:pPr>
        <w:spacing w:after="0" w:line="1" w:lineRule="exact"/>
        <w:rPr>
          <w:sz w:val="20"/>
          <w:szCs w:val="20"/>
          <w:color w:val="auto"/>
        </w:rPr>
      </w:pPr>
    </w:p>
    <w:p>
      <w:pPr>
        <w:ind w:left="8" w:right="20" w:hanging="8"/>
        <w:spacing w:after="0" w:line="224" w:lineRule="auto"/>
        <w:tabs>
          <w:tab w:leader="none" w:pos="376"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there shall be excluded in determining Consolidated EBITDA for any period any adjustments resulting from the application of SFAS 133.</w:t>
      </w:r>
    </w:p>
    <w:p>
      <w:pPr>
        <w:spacing w:after="0" w:line="198" w:lineRule="exact"/>
        <w:rPr>
          <w:sz w:val="20"/>
          <w:szCs w:val="20"/>
          <w:color w:val="auto"/>
        </w:rPr>
      </w:pPr>
    </w:p>
    <w:p>
      <w:pPr>
        <w:jc w:val="both"/>
        <w:ind w:left="8"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xml:space="preserve">”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 (iii) amortization of deferred financing fees and (iv) expensing of bridge or other financing fees) of the Borrower and its Subsidiaries (other than the Captive Insurance Subsidiary) calculated on a consolidated basis for such period in accordance with GAAP </w:t>
      </w:r>
      <w:r>
        <w:rPr>
          <w:rFonts w:ascii="Arial" w:cs="Arial" w:eastAsia="Arial" w:hAnsi="Arial"/>
          <w:sz w:val="19"/>
          <w:szCs w:val="19"/>
          <w:u w:val="single" w:color="auto"/>
          <w:color w:val="auto"/>
        </w:rPr>
        <w:t>plus</w:t>
      </w:r>
      <w:r>
        <w:rPr>
          <w:rFonts w:ascii="Arial" w:cs="Arial" w:eastAsia="Arial" w:hAnsi="Arial"/>
          <w:sz w:val="19"/>
          <w:szCs w:val="19"/>
          <w:color w:val="auto"/>
        </w:rPr>
        <w:t>, without duplication: (a) imputed interest attributable to Capital Lease Obligations of the Borrower and its Subsidiaries (other than the Captive Insurance Subsidiary) for such period, (b) commissions, discounts and other fees and charges owed by the Borrower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Borrower and its Subsidiaries (other than the Captive Insurance Subsidiary) for such period, (d) cash contributions to any employee stock ownership plan or similar trust made by the Borrower or any of its Subsidiaries to the extent such contributions are used by such plan or trust to pay interest or fees to any Person (other than the Borrower or a wholly owned Subsidiary) in connection with Indebtedness incurred by such plan or trust for such period, (e) all interest paid or payable with respect to discontinued operations of the Borrower or any of its Subsidiaries for such period, (f) the interest portion of any deferred payment obligations of the Borrower or any of its Subsidiaries (other than the Captive Insurance Subsidiary) for such period, (g) all interest on any Indebtedness of the Borrower or any of its Subsidiaries (other than the Captive Insurance Subsidiary) of the type described in clause (e) or (f) of the definition of “Indebtedness” for such period and (h) the interest component of all Attributable Receivables Indebtedness of the Borrower and its Subsidiaries (other than the Captive Insurance Subsidiary).</w:t>
      </w:r>
    </w:p>
    <w:p>
      <w:pPr>
        <w:spacing w:after="0" w:line="200" w:lineRule="exact"/>
        <w:rPr>
          <w:sz w:val="20"/>
          <w:szCs w:val="20"/>
          <w:color w:val="auto"/>
        </w:rPr>
      </w:pPr>
    </w:p>
    <w:p>
      <w:pPr>
        <w:spacing w:after="0" w:line="204" w:lineRule="exact"/>
        <w:rPr>
          <w:sz w:val="20"/>
          <w:szCs w:val="20"/>
          <w:color w:val="auto"/>
        </w:rPr>
      </w:pPr>
    </w:p>
    <w:p>
      <w:pPr>
        <w:jc w:val="both"/>
        <w:ind w:left="8"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Leverage Ratio</w:t>
      </w:r>
      <w:r>
        <w:rPr>
          <w:rFonts w:ascii="Arial" w:cs="Arial" w:eastAsia="Arial" w:hAnsi="Arial"/>
          <w:sz w:val="22"/>
          <w:szCs w:val="22"/>
          <w:color w:val="auto"/>
        </w:rPr>
        <w:t>” means, for any Test Period, the ratio of (a) Consolidated Total Indebtedness net of Unrestricted Cash of the Borrower and its Subsidiaries in an amount not exceeding $1,000,000,000 as of the last day of such Test Period to (b) Consolidated EBITDA for such Test Period.</w:t>
      </w:r>
    </w:p>
    <w:p>
      <w:pPr>
        <w:spacing w:after="0" w:line="240" w:lineRule="exact"/>
        <w:rPr>
          <w:sz w:val="20"/>
          <w:szCs w:val="20"/>
          <w:color w:val="auto"/>
        </w:rPr>
      </w:pPr>
    </w:p>
    <w:p>
      <w:pPr>
        <w:jc w:val="both"/>
        <w:ind w:left="8" w:right="4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calculating Consolidated Net Income of the Borrower and its Subsidiaries for any period,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w:t>
      </w:r>
    </w:p>
    <w:p>
      <w:pPr>
        <w:sectPr>
          <w:pgSz w:w="11900" w:h="16838" w:orient="portrait"/>
          <w:cols w:equalWidth="0" w:num="1">
            <w:col w:w="10448"/>
          </w:cols>
          <w:pgMar w:left="1012" w:top="1347" w:right="439" w:bottom="1440" w:gutter="0" w:footer="0" w:header="0"/>
        </w:sectPr>
      </w:pPr>
    </w:p>
    <w:bookmarkStart w:id="115" w:name="page116"/>
    <w:bookmarkEnd w:id="115"/>
    <w:p>
      <w:pPr>
        <w:jc w:val="both"/>
        <w:ind w:left="9" w:right="60"/>
        <w:spacing w:after="0" w:line="210" w:lineRule="auto"/>
        <w:rPr>
          <w:sz w:val="20"/>
          <w:szCs w:val="20"/>
          <w:color w:val="auto"/>
        </w:rPr>
      </w:pPr>
      <w:r>
        <w:rPr>
          <w:rFonts w:ascii="Arial" w:cs="Arial" w:eastAsia="Arial" w:hAnsi="Arial"/>
          <w:sz w:val="22"/>
          <w:szCs w:val="22"/>
          <w:color w:val="auto"/>
        </w:rPr>
        <w:t>transaction, (e) any amortization of deferred charges resulting from the application of “Accounting Principles Board Opinion No. APB 14-1 — Accounting for Convertible Debt Instruments” that may be settled in cash upon conversion (including partial cash settlement) and</w:t>
      </w:r>
    </w:p>
    <w:p>
      <w:pPr>
        <w:spacing w:after="0" w:line="2" w:lineRule="exact"/>
        <w:rPr>
          <w:sz w:val="20"/>
          <w:szCs w:val="20"/>
          <w:color w:val="auto"/>
        </w:rPr>
      </w:pPr>
    </w:p>
    <w:p>
      <w:pPr>
        <w:jc w:val="both"/>
        <w:ind w:left="9" w:right="40" w:hanging="8"/>
        <w:spacing w:after="0" w:line="237" w:lineRule="auto"/>
        <w:tabs>
          <w:tab w:leader="none" w:pos="616"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income (loss) for such period attributable to the early extinguishment of Indebtedness, together with any related provision for taxes on any such income. There shall be excluded from Consolidated Net Income for any period</w:t>
      </w:r>
    </w:p>
    <w:p>
      <w:pPr>
        <w:jc w:val="both"/>
        <w:ind w:left="9" w:right="40" w:hanging="8"/>
        <w:spacing w:after="0" w:line="242" w:lineRule="auto"/>
        <w:tabs>
          <w:tab w:leader="none" w:pos="291" w:val="left"/>
        </w:tabs>
        <w:numPr>
          <w:ilvl w:val="0"/>
          <w:numId w:val="80"/>
        </w:numPr>
        <w:rPr>
          <w:rFonts w:ascii="Arial" w:cs="Arial" w:eastAsia="Arial" w:hAnsi="Arial"/>
          <w:sz w:val="19"/>
          <w:szCs w:val="19"/>
          <w:color w:val="auto"/>
        </w:rPr>
      </w:pPr>
      <w:r>
        <w:rPr>
          <w:rFonts w:ascii="Arial" w:cs="Arial" w:eastAsia="Arial" w:hAnsi="Arial"/>
          <w:sz w:val="19"/>
          <w:szCs w:val="19"/>
          <w:color w:val="auto"/>
        </w:rPr>
        <w:t>any gains or losses resulting from any reappraisal, revaluation or write-up or write-down of assets (including any gains and losses attributable to movement in the mark-to-market valuation of (1) any Permitted Convertible Indebtedness, (2) any Permitted Bond Hedge Transaction, (3) any Permitted Warrant Transaction and (4) 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Borrower and its Subsidiaries), as a result of any acquisition, or the amortization or write-off of any amounts thereof.</w:t>
      </w:r>
    </w:p>
    <w:p>
      <w:pPr>
        <w:spacing w:after="0" w:line="200" w:lineRule="exact"/>
        <w:rPr>
          <w:sz w:val="20"/>
          <w:szCs w:val="20"/>
          <w:color w:val="auto"/>
        </w:rPr>
      </w:pPr>
    </w:p>
    <w:p>
      <w:pPr>
        <w:jc w:val="both"/>
        <w:ind w:left="9" w:right="2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Tangible Assets</w:t>
      </w:r>
      <w:r>
        <w:rPr>
          <w:rFonts w:ascii="Arial" w:cs="Arial" w:eastAsia="Arial" w:hAnsi="Arial"/>
          <w:sz w:val="19"/>
          <w:szCs w:val="19"/>
          <w:color w:val="auto"/>
        </w:rPr>
        <w:t>” means, with respect to the Borrower,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Borrower and its Subsidiaries delivered pursuant to Section 5.01(a) or Section 5.01(b).</w:t>
      </w:r>
    </w:p>
    <w:p>
      <w:pPr>
        <w:spacing w:after="0" w:line="171" w:lineRule="exact"/>
        <w:rPr>
          <w:sz w:val="20"/>
          <w:szCs w:val="20"/>
          <w:color w:val="auto"/>
        </w:rPr>
      </w:pPr>
    </w:p>
    <w:p>
      <w:pPr>
        <w:ind w:left="9"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Subsidiaries</w:t>
      </w:r>
      <w:r>
        <w:rPr>
          <w:rFonts w:ascii="Arial" w:cs="Arial" w:eastAsia="Arial" w:hAnsi="Arial"/>
          <w:sz w:val="22"/>
          <w:szCs w:val="22"/>
          <w:color w:val="auto"/>
        </w:rPr>
        <w:t>” means Subsidiaries that would be consolidated with the Borrower in accordance with GAAP.</w:t>
      </w:r>
    </w:p>
    <w:p>
      <w:pPr>
        <w:spacing w:after="0" w:line="199" w:lineRule="exact"/>
        <w:rPr>
          <w:sz w:val="20"/>
          <w:szCs w:val="20"/>
          <w:color w:val="auto"/>
        </w:rPr>
      </w:pPr>
    </w:p>
    <w:p>
      <w:pPr>
        <w:ind w:left="9" w:right="6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Assets</w:t>
      </w:r>
      <w:r>
        <w:rPr>
          <w:rFonts w:ascii="Arial" w:cs="Arial" w:eastAsia="Arial" w:hAnsi="Arial"/>
          <w:sz w:val="21"/>
          <w:szCs w:val="21"/>
          <w:color w:val="auto"/>
        </w:rPr>
        <w:t>” means, as of the date of any determination thereof, total assets of the Borrower and its Subsidiaries calculated in accordance with GAAP on a consolidated basis as of such date.</w:t>
      </w:r>
    </w:p>
    <w:p>
      <w:pPr>
        <w:spacing w:after="0" w:line="232" w:lineRule="exact"/>
        <w:rPr>
          <w:sz w:val="20"/>
          <w:szCs w:val="20"/>
          <w:color w:val="auto"/>
        </w:rPr>
      </w:pPr>
    </w:p>
    <w:p>
      <w:pPr>
        <w:jc w:val="both"/>
        <w:ind w:left="9"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Indebtedness</w:t>
      </w:r>
      <w:r>
        <w:rPr>
          <w:rFonts w:ascii="Arial" w:cs="Arial" w:eastAsia="Arial" w:hAnsi="Arial"/>
          <w:sz w:val="19"/>
          <w:szCs w:val="19"/>
          <w:color w:val="auto"/>
        </w:rPr>
        <w:t>” means at any time the sum, without duplication, of (i) the aggregate principal amount of Indebtedness of the Borrower and its Subsidiaries (other than the Captive Insurance Subsidiary) outstanding as of such time calculated on a consolidated basis (other than Indebtedness described in clause (h), (i) or (j) of the definition of “Indebtedness” (provided that there shall be included in Consolidated Total Indebtedness, any Indebtedness</w:t>
      </w:r>
    </w:p>
    <w:p>
      <w:pPr>
        <w:spacing w:after="0" w:line="1" w:lineRule="exact"/>
        <w:rPr>
          <w:sz w:val="20"/>
          <w:szCs w:val="20"/>
          <w:color w:val="auto"/>
        </w:rPr>
      </w:pPr>
    </w:p>
    <w:p>
      <w:pPr>
        <w:jc w:val="both"/>
        <w:ind w:left="9" w:hanging="9"/>
        <w:spacing w:after="0" w:line="237" w:lineRule="auto"/>
        <w:tabs>
          <w:tab w:leader="none" w:pos="32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in respect of drawings under the items in such clauses (h) and (i) to the extent not reimbursed within two Business Days after the date of such drawing and (y) in respect of any Swap Agreement entered into for speculative purposes))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principal amount of any obligations of any Person (other than the Borrower or any Subsidiary) of the type described in the foregoing clause (i) that are Guaranteed by the Borrower or any Subsidiary (whether or not reflected on a consolidated balance sheet of the Borrower).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w:t>
      </w:r>
    </w:p>
    <w:p>
      <w:pPr>
        <w:spacing w:after="0" w:line="2" w:lineRule="exact"/>
        <w:rPr>
          <w:rFonts w:ascii="Arial" w:cs="Arial" w:eastAsia="Arial" w:hAnsi="Arial"/>
          <w:sz w:val="19"/>
          <w:szCs w:val="19"/>
          <w:color w:val="auto"/>
        </w:rPr>
      </w:pPr>
    </w:p>
    <w:p>
      <w:pPr>
        <w:jc w:val="both"/>
        <w:ind w:left="9" w:right="60" w:hanging="8"/>
        <w:spacing w:after="0" w:line="214" w:lineRule="auto"/>
        <w:tabs>
          <w:tab w:leader="none" w:pos="612" w:val="left"/>
        </w:tabs>
        <w:numPr>
          <w:ilvl w:val="0"/>
          <w:numId w:val="82"/>
        </w:numPr>
        <w:rPr>
          <w:rFonts w:ascii="Arial" w:cs="Arial" w:eastAsia="Arial" w:hAnsi="Arial"/>
          <w:sz w:val="22"/>
          <w:szCs w:val="22"/>
          <w:color w:val="auto"/>
        </w:rPr>
      </w:pPr>
      <w:r>
        <w:rPr>
          <w:rFonts w:ascii="Arial" w:cs="Arial" w:eastAsia="Arial" w:hAnsi="Arial"/>
          <w:sz w:val="22"/>
          <w:szCs w:val="22"/>
          <w:color w:val="auto"/>
        </w:rPr>
        <w:t>below) to redeem such Acquisition Indebtedness if (a) 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ectPr>
          <w:pgSz w:w="11900" w:h="16838" w:orient="portrait"/>
          <w:cols w:equalWidth="0" w:num="1">
            <w:col w:w="10469"/>
          </w:cols>
          <w:pgMar w:left="1011" w:top="1401" w:right="419" w:bottom="1440" w:gutter="0" w:footer="0" w:header="0"/>
        </w:sectPr>
      </w:pPr>
    </w:p>
    <w:bookmarkStart w:id="116" w:name="page117"/>
    <w:bookmarkEnd w:id="116"/>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with respect to any Person, the power, directly or indirectly, to direct or cause the direction of the management and policies of such Person, whether by contract or otherwise.</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Event</w:t>
      </w:r>
      <w:r>
        <w:rPr>
          <w:rFonts w:ascii="Arial" w:cs="Arial" w:eastAsia="Arial" w:hAnsi="Arial"/>
          <w:sz w:val="22"/>
          <w:szCs w:val="22"/>
          <w:color w:val="auto"/>
        </w:rPr>
        <w:t>” means each of the following: (a) a Borrowing and (b) an L/C Credit Extension.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Exposure</w:t>
      </w:r>
      <w:r>
        <w:rPr>
          <w:rFonts w:ascii="Arial" w:cs="Arial" w:eastAsia="Arial" w:hAnsi="Arial"/>
          <w:sz w:val="19"/>
          <w:szCs w:val="19"/>
          <w:color w:val="auto"/>
        </w:rPr>
        <w:t>” means, as to any Lender at any time, such Lender’s Revolving Credit Exposure at such time.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has the meaning set forth in paragraph (l) of Article VIII.</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Daily Simple SOFR</w:t>
      </w:r>
      <w:r>
        <w:rPr>
          <w:rFonts w:ascii="Arial" w:cs="Arial" w:eastAsia="Arial" w:hAnsi="Arial"/>
          <w:sz w:val="22"/>
          <w:szCs w:val="22"/>
          <w:color w:val="FF0000"/>
          <w:strike w:val="1"/>
        </w:rPr>
        <w:t>” with respect to any applicable determination date means the</w:t>
      </w:r>
    </w:p>
    <w:p>
      <w:pPr>
        <w:jc w:val="both"/>
        <w:ind w:right="60"/>
        <w:spacing w:after="0" w:line="217" w:lineRule="auto"/>
        <w:rPr>
          <w:sz w:val="20"/>
          <w:szCs w:val="20"/>
          <w:color w:val="auto"/>
        </w:rPr>
      </w:pPr>
      <w:r>
        <w:rPr>
          <w:rFonts w:ascii="Arial" w:cs="Arial" w:eastAsia="Arial" w:hAnsi="Arial"/>
          <w:sz w:val="22"/>
          <w:szCs w:val="22"/>
          <w:color w:val="FF0000"/>
          <w:strike w:val="1"/>
        </w:rPr>
        <w:t>secured overnight financing rate (“</w:t>
      </w:r>
      <w:r>
        <w:rPr>
          <w:rFonts w:ascii="Arial" w:cs="Arial" w:eastAsia="Arial" w:hAnsi="Arial"/>
          <w:sz w:val="22"/>
          <w:szCs w:val="22"/>
          <w:u w:val="single" w:color="auto"/>
          <w:color w:val="FF0000"/>
          <w:strike w:val="1"/>
        </w:rPr>
        <w:t>SOFR</w:t>
      </w:r>
      <w:r>
        <w:rPr>
          <w:rFonts w:ascii="Arial" w:cs="Arial" w:eastAsia="Arial" w:hAnsi="Arial"/>
          <w:sz w:val="22"/>
          <w:szCs w:val="22"/>
          <w:color w:val="FF0000"/>
          <w:strike w:val="1"/>
        </w:rPr>
        <w:t>”) published on such date by the Federal Reserve Bank of New York, as the administrator of the benchmark (or a successor administrator) on the Federal Reserve Bank of New York’s website (or any successor source).</w:t>
      </w:r>
    </w:p>
    <w:p>
      <w:pPr>
        <w:spacing w:after="0" w:line="200"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Rating</w:t>
      </w:r>
      <w:r>
        <w:rPr>
          <w:rFonts w:ascii="Arial" w:cs="Arial" w:eastAsia="Arial" w:hAnsi="Arial"/>
          <w:sz w:val="22"/>
          <w:szCs w:val="22"/>
          <w:color w:val="auto"/>
        </w:rPr>
        <w:t>” means, as of any date of determination, the rating as determined by Fitch, S&amp;P and Moody’s (collectively, the “</w:t>
      </w:r>
      <w:r>
        <w:rPr>
          <w:rFonts w:ascii="Arial" w:cs="Arial" w:eastAsia="Arial" w:hAnsi="Arial"/>
          <w:sz w:val="22"/>
          <w:szCs w:val="22"/>
          <w:u w:val="single" w:color="auto"/>
          <w:color w:val="auto"/>
        </w:rPr>
        <w:t>Debt Ratings</w:t>
      </w:r>
      <w:r>
        <w:rPr>
          <w:rFonts w:ascii="Arial" w:cs="Arial" w:eastAsia="Arial" w:hAnsi="Arial"/>
          <w:sz w:val="22"/>
          <w:szCs w:val="22"/>
          <w:color w:val="auto"/>
        </w:rPr>
        <w:t xml:space="preserve">”) of the Borrower’s non-credit-enhanced, senior unsecured long-term debt;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6" w:lineRule="exact"/>
        <w:rPr>
          <w:sz w:val="20"/>
          <w:szCs w:val="20"/>
          <w:color w:val="auto"/>
        </w:rPr>
      </w:pPr>
    </w:p>
    <w:p>
      <w:pPr>
        <w:ind w:right="220" w:firstLine="1288"/>
        <w:spacing w:after="0" w:line="232" w:lineRule="auto"/>
        <w:tabs>
          <w:tab w:leader="none" w:pos="19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all three Debt Ratings are in effect, and two or more ratings are at the same Pricing Level, that Pricing Level will apply;</w:t>
      </w:r>
    </w:p>
    <w:p>
      <w:pPr>
        <w:spacing w:after="0" w:line="200" w:lineRule="exact"/>
        <w:rPr>
          <w:rFonts w:ascii="Arial" w:cs="Arial" w:eastAsia="Arial" w:hAnsi="Arial"/>
          <w:sz w:val="22"/>
          <w:szCs w:val="22"/>
          <w:color w:val="auto"/>
        </w:rPr>
      </w:pPr>
    </w:p>
    <w:p>
      <w:pPr>
        <w:spacing w:after="0" w:line="296" w:lineRule="exact"/>
        <w:rPr>
          <w:rFonts w:ascii="Arial" w:cs="Arial" w:eastAsia="Arial" w:hAnsi="Arial"/>
          <w:sz w:val="22"/>
          <w:szCs w:val="22"/>
          <w:color w:val="auto"/>
        </w:rPr>
      </w:pPr>
    </w:p>
    <w:p>
      <w:pPr>
        <w:ind w:right="60" w:firstLine="1288"/>
        <w:spacing w:after="0" w:line="232" w:lineRule="auto"/>
        <w:tabs>
          <w:tab w:leader="none" w:pos="1899"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all three Debt Ratings are in effect, each at a different Pricing Level, the Pricing Level of the middle Debt Rating shall apply;</w:t>
      </w:r>
    </w:p>
    <w:p>
      <w:pPr>
        <w:spacing w:after="0" w:line="185" w:lineRule="exact"/>
        <w:rPr>
          <w:rFonts w:ascii="Arial" w:cs="Arial" w:eastAsia="Arial" w:hAnsi="Arial"/>
          <w:sz w:val="22"/>
          <w:szCs w:val="22"/>
          <w:color w:val="auto"/>
        </w:rPr>
      </w:pPr>
    </w:p>
    <w:p>
      <w:pPr>
        <w:jc w:val="both"/>
        <w:ind w:firstLine="1288"/>
        <w:spacing w:after="0" w:line="218" w:lineRule="auto"/>
        <w:tabs>
          <w:tab w:leader="none" w:pos="19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only two Debt Ratings are in effect, the Pricing Level of the higher of such Debt Ratings shall apply (with the Debt Rating for Pricing Level 1 being the highest and the Debt Rating for Pricing Level 4 being the lowest), unless the ratings differential is two levels or more, in which case the Pricing Level that is one level lower than the Pricing Level of the higher Debt Rating shall apply;</w:t>
      </w:r>
    </w:p>
    <w:p>
      <w:pPr>
        <w:spacing w:after="0" w:line="201" w:lineRule="exact"/>
        <w:rPr>
          <w:rFonts w:ascii="Arial" w:cs="Arial" w:eastAsia="Arial" w:hAnsi="Arial"/>
          <w:sz w:val="22"/>
          <w:szCs w:val="22"/>
          <w:color w:val="auto"/>
        </w:rPr>
      </w:pPr>
    </w:p>
    <w:p>
      <w:pPr>
        <w:ind w:left="1940" w:hanging="652"/>
        <w:spacing w:after="0"/>
        <w:tabs>
          <w:tab w:leader="none" w:pos="19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there exists only one Debt Rating, such Debt Rating shall apply; and</w:t>
      </w:r>
    </w:p>
    <w:p>
      <w:pPr>
        <w:spacing w:after="0" w:line="125" w:lineRule="exact"/>
        <w:rPr>
          <w:rFonts w:ascii="Arial" w:cs="Arial" w:eastAsia="Arial" w:hAnsi="Arial"/>
          <w:sz w:val="22"/>
          <w:szCs w:val="22"/>
          <w:color w:val="auto"/>
        </w:rPr>
      </w:pPr>
    </w:p>
    <w:p>
      <w:pPr>
        <w:ind w:left="1900" w:hanging="612"/>
        <w:spacing w:after="0"/>
        <w:tabs>
          <w:tab w:leader="none" w:pos="1900" w:val="left"/>
        </w:tabs>
        <w:numPr>
          <w:ilvl w:val="0"/>
          <w:numId w:val="83"/>
        </w:numPr>
        <w:rPr>
          <w:rFonts w:ascii="Arial" w:cs="Arial" w:eastAsia="Arial" w:hAnsi="Arial"/>
          <w:sz w:val="21"/>
          <w:szCs w:val="21"/>
          <w:color w:val="auto"/>
        </w:rPr>
      </w:pPr>
      <w:r>
        <w:rPr>
          <w:rFonts w:ascii="Arial" w:cs="Arial" w:eastAsia="Arial" w:hAnsi="Arial"/>
          <w:sz w:val="21"/>
          <w:szCs w:val="21"/>
          <w:color w:val="auto"/>
        </w:rPr>
        <w:t>if no Debt Rating is available, Pricing Level 5 shall apply. “</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Bankruptcy Code of the United States, and all other</w:t>
      </w:r>
    </w:p>
    <w:p>
      <w:pPr>
        <w:spacing w:after="0" w:line="112" w:lineRule="exact"/>
        <w:rPr>
          <w:sz w:val="20"/>
          <w:szCs w:val="20"/>
          <w:color w:val="auto"/>
        </w:rPr>
      </w:pPr>
    </w:p>
    <w:p>
      <w:pPr>
        <w:jc w:val="both"/>
        <w:ind w:right="40"/>
        <w:spacing w:after="0" w:line="223" w:lineRule="auto"/>
        <w:rPr>
          <w:sz w:val="20"/>
          <w:szCs w:val="20"/>
          <w:color w:val="auto"/>
        </w:rPr>
      </w:pPr>
      <w:r>
        <w:rPr>
          <w:rFonts w:ascii="Arial" w:cs="Arial" w:eastAsia="Arial" w:hAnsi="Arial"/>
          <w:sz w:val="22"/>
          <w:szCs w:val="22"/>
          <w:color w:val="auto"/>
        </w:rPr>
        <w:t>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99" w:lineRule="exact"/>
        <w:rPr>
          <w:sz w:val="20"/>
          <w:szCs w:val="20"/>
          <w:color w:val="auto"/>
        </w:rPr>
      </w:pPr>
    </w:p>
    <w:p>
      <w:pPr>
        <w:jc w:val="both"/>
        <w:ind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has the meaning set forth in Section 2.12(f).</w:t>
      </w:r>
    </w:p>
    <w:p>
      <w:pPr>
        <w:spacing w:after="0" w:line="220"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Defaulting Lender</w:t>
      </w:r>
      <w:r>
        <w:rPr>
          <w:rFonts w:ascii="Arial" w:cs="Arial" w:eastAsia="Arial" w:hAnsi="Arial"/>
          <w:sz w:val="21"/>
          <w:szCs w:val="21"/>
          <w:color w:val="auto"/>
        </w:rPr>
        <w:t>” means any Lender that (a) has failed to (i) fund all or any portion of any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w:t>
      </w:r>
    </w:p>
    <w:p>
      <w:pPr>
        <w:sectPr>
          <w:pgSz w:w="11900" w:h="16838" w:orient="portrait"/>
          <w:cols w:equalWidth="0" w:num="1">
            <w:col w:w="10440"/>
          </w:cols>
          <w:pgMar w:left="1020" w:top="1347" w:right="439" w:bottom="1440" w:gutter="0" w:footer="0" w:header="0"/>
        </w:sectPr>
      </w:pPr>
    </w:p>
    <w:bookmarkStart w:id="117" w:name="page118"/>
    <w:bookmarkEnd w:id="117"/>
    <w:p>
      <w:pPr>
        <w:jc w:val="both"/>
        <w:ind w:left="9"/>
        <w:spacing w:after="0" w:line="238" w:lineRule="auto"/>
        <w:rPr>
          <w:sz w:val="20"/>
          <w:szCs w:val="20"/>
          <w:color w:val="auto"/>
        </w:rPr>
      </w:pPr>
      <w:r>
        <w:rPr>
          <w:rFonts w:ascii="Arial" w:cs="Arial" w:eastAsia="Arial" w:hAnsi="Arial"/>
          <w:sz w:val="19"/>
          <w:szCs w:val="19"/>
          <w:color w:val="auto"/>
        </w:rPr>
        <w:t>to be paid by it hereunder (including in respect of its participation in Letters of Credit or Swingline Loans) within two Business Days of the date when due, (b) has notified the Borrower, the Administrative Agent or any Issuing Bank or Swingline Lender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w:t>
      </w:r>
    </w:p>
    <w:p>
      <w:pPr>
        <w:spacing w:after="0" w:line="4" w:lineRule="exact"/>
        <w:rPr>
          <w:sz w:val="20"/>
          <w:szCs w:val="20"/>
          <w:color w:val="auto"/>
        </w:rPr>
      </w:pPr>
    </w:p>
    <w:p>
      <w:pPr>
        <w:jc w:val="both"/>
        <w:ind w:left="9" w:hanging="9"/>
        <w:spacing w:after="0" w:line="217" w:lineRule="auto"/>
        <w:tabs>
          <w:tab w:leader="none" w:pos="319"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through (d) above shall be conclusive and binding absent manifest error, and such Lender shall be deemed to be a Defaulting Lender (subject to Section 2.22(b)) upon delivery of written notice of such determination to the Borrower, each Issuing Bank, the Swingline Lender and each Lender.</w:t>
      </w:r>
    </w:p>
    <w:p>
      <w:pPr>
        <w:spacing w:after="0" w:line="200" w:lineRule="exact"/>
        <w:rPr>
          <w:sz w:val="20"/>
          <w:szCs w:val="20"/>
          <w:color w:val="auto"/>
        </w:rPr>
      </w:pPr>
    </w:p>
    <w:p>
      <w:pPr>
        <w:jc w:val="both"/>
        <w:ind w:left="9" w:right="2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Disclosed Matters</w:t>
      </w:r>
      <w:r>
        <w:rPr>
          <w:rFonts w:ascii="Arial" w:cs="Arial" w:eastAsia="Arial" w:hAnsi="Arial"/>
          <w:sz w:val="21"/>
          <w:szCs w:val="21"/>
          <w:color w:val="auto"/>
        </w:rPr>
        <w:t xml:space="preserve">” means the actions, suits and proceedings and the environmental matters disclosed (a) in any reports, schedules, forms, proxy statements, prospectuses (including prospectus supplements), registration statements and other information filed by the Borrower with the SEC or furnished by the Borrower to the SEC pursuant to the Securities Exchange Act, in each case, filed or furnished before the Closing Date and which are available to the Lenders before the Closing Date and (b) on </w:t>
      </w:r>
      <w:r>
        <w:rPr>
          <w:rFonts w:ascii="Arial" w:cs="Arial" w:eastAsia="Arial" w:hAnsi="Arial"/>
          <w:sz w:val="21"/>
          <w:szCs w:val="21"/>
          <w:u w:val="single" w:color="auto"/>
          <w:color w:val="auto"/>
        </w:rPr>
        <w:t>Schedule 3.06</w:t>
      </w:r>
      <w:r>
        <w:rPr>
          <w:rFonts w:ascii="Arial" w:cs="Arial" w:eastAsia="Arial" w:hAnsi="Arial"/>
          <w:sz w:val="21"/>
          <w:szCs w:val="21"/>
          <w:color w:val="auto"/>
        </w:rPr>
        <w:t>.</w:t>
      </w:r>
    </w:p>
    <w:p>
      <w:pPr>
        <w:spacing w:after="0" w:line="186" w:lineRule="exact"/>
        <w:rPr>
          <w:sz w:val="20"/>
          <w:szCs w:val="20"/>
          <w:color w:val="auto"/>
        </w:rPr>
      </w:pPr>
    </w:p>
    <w:p>
      <w:pPr>
        <w:jc w:val="both"/>
        <w:ind w:left="9" w:right="20"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Loans and all other Obligations that are accrued and payable and the termination of the Commitments and the expiration, cancellation, termination or cash collateralization of any Letters of Credit in accordance with the terms hereof), (b) is redeemable at the option of the holder thereof (other than solely for Qualified Equity Interests and except as permitted in clause</w:t>
      </w:r>
    </w:p>
    <w:p>
      <w:pPr>
        <w:spacing w:after="0" w:line="4" w:lineRule="exact"/>
        <w:rPr>
          <w:sz w:val="20"/>
          <w:szCs w:val="20"/>
          <w:color w:val="auto"/>
        </w:rPr>
      </w:pPr>
    </w:p>
    <w:p>
      <w:pPr>
        <w:jc w:val="both"/>
        <w:ind w:left="9" w:right="20" w:hanging="8"/>
        <w:spacing w:after="0" w:line="237" w:lineRule="auto"/>
        <w:tabs>
          <w:tab w:leader="none" w:pos="613" w:val="left"/>
        </w:tabs>
        <w:numPr>
          <w:ilvl w:val="0"/>
          <w:numId w:val="85"/>
        </w:numPr>
        <w:rPr>
          <w:rFonts w:ascii="Arial" w:cs="Arial" w:eastAsia="Arial" w:hAnsi="Arial"/>
          <w:sz w:val="19"/>
          <w:szCs w:val="19"/>
          <w:color w:val="auto"/>
        </w:rPr>
      </w:pPr>
      <w:r>
        <w:rPr>
          <w:rFonts w:ascii="Arial" w:cs="Arial" w:eastAsia="Arial" w:hAnsi="Arial"/>
          <w:sz w:val="19"/>
          <w:szCs w:val="19"/>
          <w:color w:val="auto"/>
        </w:rPr>
        <w:t>above), in whole or in part, (c) requires the scheduled payments of dividends in cash (for this purpose, dividends shall not be considered required if the issuer has the option to permit them to accrue, cumulate, accrete or increase in liquidation preference or if the Borrower has the option to pay such dividends solely in Qualified Equity Interests), or</w:t>
      </w:r>
    </w:p>
    <w:p>
      <w:pPr>
        <w:ind w:left="309" w:hanging="308"/>
        <w:spacing w:after="0"/>
        <w:tabs>
          <w:tab w:leader="none" w:pos="309" w:val="left"/>
        </w:tabs>
        <w:numPr>
          <w:ilvl w:val="0"/>
          <w:numId w:val="86"/>
        </w:numPr>
        <w:rPr>
          <w:rFonts w:ascii="Arial" w:cs="Arial" w:eastAsia="Arial" w:hAnsi="Arial"/>
          <w:sz w:val="21"/>
          <w:szCs w:val="21"/>
          <w:color w:val="auto"/>
        </w:rPr>
      </w:pPr>
      <w:r>
        <w:rPr>
          <w:rFonts w:ascii="Arial" w:cs="Arial" w:eastAsia="Arial" w:hAnsi="Arial"/>
          <w:sz w:val="21"/>
          <w:szCs w:val="21"/>
          <w:color w:val="auto"/>
        </w:rPr>
        <w:t>is or becomes convertible into or exchangeable for Indebtedness or any other Equity Interests that would</w:t>
      </w:r>
    </w:p>
    <w:p>
      <w:pPr>
        <w:sectPr>
          <w:pgSz w:w="11900" w:h="16838" w:orient="portrait"/>
          <w:cols w:equalWidth="0" w:num="1">
            <w:col w:w="10429"/>
          </w:cols>
          <w:pgMar w:left="1011" w:top="1347" w:right="459" w:bottom="1440" w:gutter="0" w:footer="0" w:header="0"/>
        </w:sectPr>
      </w:pPr>
    </w:p>
    <w:bookmarkStart w:id="118" w:name="page119"/>
    <w:bookmarkEnd w:id="118"/>
    <w:p>
      <w:pPr>
        <w:spacing w:after="0"/>
        <w:rPr>
          <w:sz w:val="20"/>
          <w:szCs w:val="20"/>
          <w:color w:val="auto"/>
        </w:rPr>
      </w:pPr>
      <w:r>
        <w:rPr>
          <w:rFonts w:ascii="Arial" w:cs="Arial" w:eastAsia="Arial" w:hAnsi="Arial"/>
          <w:sz w:val="19"/>
          <w:szCs w:val="19"/>
          <w:color w:val="auto"/>
        </w:rPr>
        <w:t>constitute Disqualified Equity Interests, in each case, prior to the date that is 91 days after the Latest Maturity Date.</w:t>
      </w:r>
    </w:p>
    <w:p>
      <w:pPr>
        <w:spacing w:after="0" w:line="25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money of the United States of America.</w:t>
      </w:r>
    </w:p>
    <w:p>
      <w:pPr>
        <w:spacing w:after="0" w:line="206"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 Subsidiary organized under the laws of a jurisdiction located in the United States of America.</w:t>
      </w:r>
    </w:p>
    <w:p>
      <w:pPr>
        <w:spacing w:after="0" w:line="199" w:lineRule="exact"/>
        <w:rPr>
          <w:sz w:val="20"/>
          <w:szCs w:val="20"/>
          <w:color w:val="auto"/>
        </w:rPr>
      </w:pPr>
    </w:p>
    <w:p>
      <w:pPr>
        <w:jc w:val="both"/>
        <w:ind w:right="40" w:firstLine="648"/>
        <w:spacing w:after="0" w:line="216"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Early Opt-in Effective Date</w:t>
      </w:r>
      <w:r>
        <w:rPr>
          <w:rFonts w:ascii="Arial" w:cs="Arial" w:eastAsia="Arial" w:hAnsi="Arial"/>
          <w:sz w:val="22"/>
          <w:szCs w:val="22"/>
          <w:color w:val="FF0000"/>
          <w:strike w:val="1"/>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Early Opt-in Election</w:t>
      </w:r>
      <w:r>
        <w:rPr>
          <w:rFonts w:ascii="Arial" w:cs="Arial" w:eastAsia="Arial" w:hAnsi="Arial"/>
          <w:sz w:val="22"/>
          <w:szCs w:val="22"/>
          <w:color w:val="FF0000"/>
          <w:strike w:val="1"/>
        </w:rPr>
        <w:t>” means the occurrence of:</w:t>
      </w:r>
    </w:p>
    <w:p>
      <w:pPr>
        <w:spacing w:after="0" w:line="206" w:lineRule="exact"/>
        <w:rPr>
          <w:sz w:val="20"/>
          <w:szCs w:val="20"/>
          <w:color w:val="auto"/>
        </w:rPr>
      </w:pPr>
    </w:p>
    <w:p>
      <w:pPr>
        <w:jc w:val="both"/>
        <w:ind w:right="40" w:firstLine="640"/>
        <w:spacing w:after="0" w:line="257" w:lineRule="auto"/>
        <w:tabs>
          <w:tab w:leader="none" w:pos="1251" w:val="left"/>
        </w:tabs>
        <w:numPr>
          <w:ilvl w:val="0"/>
          <w:numId w:val="87"/>
        </w:numPr>
        <w:rPr>
          <w:rFonts w:ascii="Arial" w:cs="Arial" w:eastAsia="Arial" w:hAnsi="Arial"/>
          <w:sz w:val="19"/>
          <w:szCs w:val="19"/>
          <w:color w:val="FF0000"/>
          <w:strike w:val="1"/>
        </w:rPr>
      </w:pPr>
      <w:r>
        <w:rPr>
          <w:rFonts w:ascii="Arial" w:cs="Arial" w:eastAsia="Arial" w:hAnsi="Arial"/>
          <w:sz w:val="19"/>
          <w:szCs w:val="19"/>
          <w:color w:val="FF0000"/>
          <w:strike w:val="1"/>
        </w:rPr>
        <w:t>a determination by the Administrative Agent, or a notification by the Borrower to the Administrative Agent that the Borrower has made a determination, that U.S. dollar-denominated syndicated credit facilities currently being executed, or that include language similar to that contained in Section 2.07(d), are being executed or amended (as applicable) to incorporate or adopt a new benchmark interest rate to replace LIBOR; and</w:t>
      </w:r>
    </w:p>
    <w:p>
      <w:pPr>
        <w:spacing w:after="0" w:line="184" w:lineRule="exact"/>
        <w:rPr>
          <w:rFonts w:ascii="Arial" w:cs="Arial" w:eastAsia="Arial" w:hAnsi="Arial"/>
          <w:sz w:val="19"/>
          <w:szCs w:val="19"/>
          <w:color w:val="FF0000"/>
          <w:strike w:val="1"/>
        </w:rPr>
      </w:pPr>
    </w:p>
    <w:p>
      <w:pPr>
        <w:ind w:firstLine="640"/>
        <w:spacing w:after="0" w:line="298" w:lineRule="auto"/>
        <w:tabs>
          <w:tab w:leader="none" w:pos="1251" w:val="left"/>
        </w:tabs>
        <w:numPr>
          <w:ilvl w:val="0"/>
          <w:numId w:val="87"/>
        </w:numPr>
        <w:rPr>
          <w:rFonts w:ascii="Arial" w:cs="Arial" w:eastAsia="Arial" w:hAnsi="Arial"/>
          <w:sz w:val="19"/>
          <w:szCs w:val="19"/>
          <w:color w:val="FF0000"/>
          <w:strike w:val="1"/>
        </w:rPr>
      </w:pPr>
      <w:r>
        <w:rPr>
          <w:rFonts w:ascii="Arial" w:cs="Arial" w:eastAsia="Arial" w:hAnsi="Arial"/>
          <w:sz w:val="19"/>
          <w:szCs w:val="19"/>
          <w:color w:val="FF0000"/>
          <w:strike w:val="1"/>
        </w:rPr>
        <w:t>the joint election by the Administrative Agent and the Borrower to replace LIBOR with a Benchmark Replacement and the provision by the Administrative Agent of written notice of such election to the Lenders.</w:t>
      </w:r>
    </w:p>
    <w:p>
      <w:pPr>
        <w:spacing w:after="0" w:line="132" w:lineRule="exact"/>
        <w:rPr>
          <w:sz w:val="20"/>
          <w:szCs w:val="20"/>
          <w:color w:val="auto"/>
        </w:rPr>
      </w:pPr>
    </w:p>
    <w:p>
      <w:pPr>
        <w:jc w:val="both"/>
        <w:ind w:right="4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Financial Institution</w:t>
      </w:r>
      <w:r>
        <w:rPr>
          <w:rFonts w:ascii="Arial" w:cs="Arial" w:eastAsia="Arial" w:hAnsi="Arial"/>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member state of the European Union, Iceland, Liechtenstein and Norway.</w:t>
      </w:r>
    </w:p>
    <w:p>
      <w:pPr>
        <w:spacing w:after="0" w:line="254"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Copy</w:t>
      </w:r>
      <w:r>
        <w:rPr>
          <w:rFonts w:ascii="Arial" w:cs="Arial" w:eastAsia="Arial" w:hAnsi="Arial"/>
          <w:sz w:val="22"/>
          <w:szCs w:val="22"/>
          <w:color w:val="auto"/>
        </w:rPr>
        <w:t>” has the meaning assigned in Section 9.16(b).</w:t>
      </w:r>
    </w:p>
    <w:p>
      <w:pPr>
        <w:spacing w:after="0" w:line="220"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Record</w:t>
      </w:r>
      <w:r>
        <w:rPr>
          <w:rFonts w:ascii="Arial" w:cs="Arial" w:eastAsia="Arial" w:hAnsi="Arial"/>
          <w:sz w:val="22"/>
          <w:szCs w:val="22"/>
          <w:color w:val="auto"/>
        </w:rPr>
        <w:t>” has the meaning assigned to such term by 15 USC §7006, as it may be amended from time to time.</w:t>
      </w:r>
    </w:p>
    <w:p>
      <w:pPr>
        <w:spacing w:after="0" w:line="186"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Signature</w:t>
      </w:r>
      <w:r>
        <w:rPr>
          <w:rFonts w:ascii="Arial" w:cs="Arial" w:eastAsia="Arial" w:hAnsi="Arial"/>
          <w:sz w:val="22"/>
          <w:szCs w:val="22"/>
          <w:color w:val="auto"/>
        </w:rPr>
        <w:t>” has the meaning assigned to such term by 15 USC §7006, as it may be amended from time to time.</w:t>
      </w:r>
    </w:p>
    <w:p>
      <w:pPr>
        <w:sectPr>
          <w:pgSz w:w="11900" w:h="16838" w:orient="portrait"/>
          <w:cols w:equalWidth="0" w:num="1">
            <w:col w:w="10440"/>
          </w:cols>
          <w:pgMar w:left="1020" w:top="1347" w:right="439" w:bottom="1440" w:gutter="0" w:footer="0" w:header="0"/>
        </w:sectPr>
      </w:pPr>
    </w:p>
    <w:bookmarkStart w:id="119" w:name="page120"/>
    <w:bookmarkEnd w:id="119"/>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Assignee</w:t>
      </w:r>
      <w:r>
        <w:rPr>
          <w:rFonts w:ascii="Arial" w:cs="Arial" w:eastAsia="Arial" w:hAnsi="Arial"/>
          <w:sz w:val="22"/>
          <w:szCs w:val="22"/>
          <w:color w:val="auto"/>
        </w:rPr>
        <w:t>” means any Person that meets the requirements to be an assignee under Section 9.04(b)(iii), (v) and (vi) (subject to such consents, if any, as may be required under Section 9.04(b)(iii)).</w:t>
      </w:r>
    </w:p>
    <w:p>
      <w:pPr>
        <w:spacing w:after="0" w:line="199" w:lineRule="exact"/>
        <w:rPr>
          <w:sz w:val="20"/>
          <w:szCs w:val="20"/>
          <w:color w:val="auto"/>
        </w:rPr>
      </w:pPr>
    </w:p>
    <w:p>
      <w:pPr>
        <w:ind w:right="4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EMU</w:t>
      </w:r>
      <w:r>
        <w:rPr>
          <w:rFonts w:ascii="Arial" w:cs="Arial" w:eastAsia="Arial" w:hAnsi="Arial"/>
          <w:sz w:val="21"/>
          <w:szCs w:val="21"/>
          <w:color w:val="auto"/>
        </w:rPr>
        <w:t>” means the economic and monetary union in accordance with the Treaty of Rome 1957, as amended by the Single European Act 1986, the Maastricht Treaty of 1992 and the Amsterdam Treaty of 1998.</w:t>
      </w:r>
    </w:p>
    <w:p>
      <w:pPr>
        <w:spacing w:after="0" w:line="178"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EMU Legislation</w:t>
      </w:r>
      <w:r>
        <w:rPr>
          <w:rFonts w:ascii="Arial" w:cs="Arial" w:eastAsia="Arial" w:hAnsi="Arial"/>
          <w:sz w:val="22"/>
          <w:szCs w:val="22"/>
          <w:color w:val="auto"/>
        </w:rPr>
        <w:t>” means the legislative measures of the European Council for the introduction of, changeover to or operation of a single or unified European currency.</w:t>
      </w:r>
    </w:p>
    <w:p>
      <w:pPr>
        <w:spacing w:after="0" w:line="19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in the environment on health and safety matters.</w:t>
      </w:r>
    </w:p>
    <w:p>
      <w:pPr>
        <w:spacing w:after="0" w:line="200"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such conversion, Indebtedness that is convertible into any such equity interests).</w:t>
      </w:r>
    </w:p>
    <w:p>
      <w:pPr>
        <w:spacing w:after="0" w:line="199"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rules and regulations promulgated thereunder.</w:t>
      </w:r>
    </w:p>
    <w:p>
      <w:pPr>
        <w:spacing w:after="0" w:line="186"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98"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w:t>
      </w:r>
    </w:p>
    <w:p>
      <w:pPr>
        <w:sectPr>
          <w:pgSz w:w="11900" w:h="16838" w:orient="portrait"/>
          <w:cols w:equalWidth="0" w:num="1">
            <w:col w:w="10440"/>
          </w:cols>
          <w:pgMar w:left="1020" w:top="1401" w:right="439" w:bottom="1440" w:gutter="0" w:footer="0" w:header="0"/>
        </w:sectPr>
      </w:pPr>
    </w:p>
    <w:bookmarkStart w:id="120" w:name="page121"/>
    <w:bookmarkEnd w:id="120"/>
    <w:p>
      <w:pPr>
        <w:jc w:val="both"/>
        <w:ind w:right="40"/>
        <w:spacing w:after="0" w:line="221" w:lineRule="auto"/>
        <w:rPr>
          <w:sz w:val="20"/>
          <w:szCs w:val="20"/>
          <w:color w:val="auto"/>
        </w:rPr>
      </w:pPr>
      <w:r>
        <w:rPr>
          <w:rFonts w:ascii="Arial" w:cs="Arial" w:eastAsia="Arial" w:hAnsi="Arial"/>
          <w:sz w:val="21"/>
          <w:szCs w:val="21"/>
          <w:color w:val="auto"/>
        </w:rPr>
        <w:t>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 within the meaning of Title IV of ERISA.</w:t>
      </w:r>
    </w:p>
    <w:p>
      <w:pPr>
        <w:spacing w:after="0" w:line="32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ESG</w:t>
      </w:r>
      <w:r>
        <w:rPr>
          <w:rFonts w:ascii="Arial" w:cs="Arial" w:eastAsia="Arial" w:hAnsi="Arial"/>
          <w:sz w:val="22"/>
          <w:szCs w:val="22"/>
          <w:color w:val="auto"/>
        </w:rPr>
        <w:t>” has the meaning set forth in Section 2.23. “</w:t>
      </w:r>
      <w:r>
        <w:rPr>
          <w:rFonts w:ascii="Arial" w:cs="Arial" w:eastAsia="Arial" w:hAnsi="Arial"/>
          <w:sz w:val="22"/>
          <w:szCs w:val="22"/>
          <w:u w:val="single" w:color="auto"/>
          <w:color w:val="auto"/>
        </w:rPr>
        <w:t>ESG Amendment</w:t>
      </w:r>
      <w:r>
        <w:rPr>
          <w:rFonts w:ascii="Arial" w:cs="Arial" w:eastAsia="Arial" w:hAnsi="Arial"/>
          <w:sz w:val="22"/>
          <w:szCs w:val="22"/>
          <w:color w:val="auto"/>
        </w:rPr>
        <w:t>” has the meaning set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forth in Section 2.23. “</w:t>
      </w:r>
      <w:r>
        <w:rPr>
          <w:rFonts w:ascii="Arial" w:cs="Arial" w:eastAsia="Arial" w:hAnsi="Arial"/>
          <w:sz w:val="22"/>
          <w:szCs w:val="22"/>
          <w:u w:val="single" w:color="auto"/>
          <w:color w:val="auto"/>
        </w:rPr>
        <w:t>ESG Pricing Provisions</w:t>
      </w:r>
      <w:r>
        <w:rPr>
          <w:rFonts w:ascii="Arial" w:cs="Arial" w:eastAsia="Arial" w:hAnsi="Arial"/>
          <w:sz w:val="22"/>
          <w:szCs w:val="22"/>
          <w:color w:val="auto"/>
        </w:rPr>
        <w:t>” has the meaning set forth in Section 2.23.</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EU/UK Listed Person</w:t>
      </w:r>
      <w:r>
        <w:rPr>
          <w:rFonts w:ascii="Arial" w:cs="Arial" w:eastAsia="Arial" w:hAnsi="Arial"/>
          <w:sz w:val="22"/>
          <w:szCs w:val="22"/>
          <w:color w:val="auto"/>
        </w:rPr>
        <w:t>” has the meaning assigned in Section 3.15(a).</w:t>
      </w:r>
    </w:p>
    <w:p>
      <w:pPr>
        <w:spacing w:after="0" w:line="112" w:lineRule="exact"/>
        <w:rPr>
          <w:sz w:val="20"/>
          <w:szCs w:val="20"/>
          <w:color w:val="auto"/>
        </w:rPr>
      </w:pPr>
    </w:p>
    <w:p>
      <w:pPr>
        <w:ind w:right="3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EURIBOR</w:t>
      </w:r>
      <w:r>
        <w:rPr>
          <w:rFonts w:ascii="Arial" w:cs="Arial" w:eastAsia="Arial" w:hAnsi="Arial"/>
          <w:sz w:val="21"/>
          <w:szCs w:val="21"/>
          <w:color w:val="auto"/>
        </w:rPr>
        <w:t>” has the meaning assigned to such term in the definition of “Alternative Currency Term Rate.”</w:t>
      </w:r>
    </w:p>
    <w:p>
      <w:pPr>
        <w:spacing w:after="0" w:line="3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single currency of the Participating Member States.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Eurocurrency</w:t>
      </w:r>
      <w:r>
        <w:rPr>
          <w:rFonts w:ascii="Arial" w:cs="Arial" w:eastAsia="Arial" w:hAnsi="Arial"/>
          <w:sz w:val="22"/>
          <w:szCs w:val="22"/>
          <w:color w:val="FF0000"/>
          <w:strike w:val="1"/>
        </w:rPr>
        <w:t>”, when used in reference to any Loan or Borrowing, refers to whether</w:t>
      </w:r>
    </w:p>
    <w:p>
      <w:pPr>
        <w:ind w:right="40"/>
        <w:spacing w:after="0" w:line="224" w:lineRule="auto"/>
        <w:rPr>
          <w:sz w:val="20"/>
          <w:szCs w:val="20"/>
          <w:color w:val="auto"/>
        </w:rPr>
      </w:pPr>
      <w:r>
        <w:rPr>
          <w:rFonts w:ascii="Arial" w:cs="Arial" w:eastAsia="Arial" w:hAnsi="Arial"/>
          <w:sz w:val="22"/>
          <w:szCs w:val="22"/>
          <w:color w:val="FF0000"/>
          <w:strike w:val="1"/>
        </w:rPr>
        <w:t>such Loan, or the Loans comprising such Borrowing, are bearing interest at a rate determined by reference to the Eurocurrency Rate.</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Eurocurrency Rate</w:t>
      </w:r>
      <w:r>
        <w:rPr>
          <w:rFonts w:ascii="Arial" w:cs="Arial" w:eastAsia="Arial" w:hAnsi="Arial"/>
          <w:sz w:val="22"/>
          <w:szCs w:val="22"/>
          <w:color w:val="FF0000"/>
          <w:strike w:val="1"/>
        </w:rPr>
        <w:t>” means:</w:t>
      </w:r>
    </w:p>
    <w:p>
      <w:pPr>
        <w:spacing w:after="0" w:line="206" w:lineRule="exact"/>
        <w:rPr>
          <w:sz w:val="20"/>
          <w:szCs w:val="20"/>
          <w:color w:val="auto"/>
        </w:rPr>
      </w:pPr>
    </w:p>
    <w:p>
      <w:pPr>
        <w:jc w:val="both"/>
        <w:ind w:left="640" w:firstLine="648"/>
        <w:spacing w:after="0" w:line="222" w:lineRule="auto"/>
        <w:tabs>
          <w:tab w:leader="none" w:pos="1892" w:val="left"/>
        </w:tabs>
        <w:numPr>
          <w:ilvl w:val="0"/>
          <w:numId w:val="88"/>
        </w:numPr>
        <w:rPr>
          <w:rFonts w:ascii="Arial" w:cs="Arial" w:eastAsia="Arial" w:hAnsi="Arial"/>
          <w:sz w:val="21"/>
          <w:szCs w:val="21"/>
          <w:color w:val="FF0000"/>
        </w:rPr>
      </w:pPr>
      <w:r>
        <w:rPr>
          <w:rFonts w:ascii="Arial" w:cs="Arial" w:eastAsia="Arial" w:hAnsi="Arial"/>
          <w:sz w:val="21"/>
          <w:szCs w:val="21"/>
          <w:color w:val="FF0000"/>
          <w:strike w:val="1"/>
        </w:rPr>
        <w:t>for any Interest Period with respect to any Credit Event denominated in Dollars, the rate per annum equal to the London Interbank Offered Rate as administered by ICE Benchmark Administration (or any other Person that takes over the administration of such rate for such currency for a period equal in length to such Interest Period) (“</w:t>
      </w:r>
      <w:r>
        <w:rPr>
          <w:rFonts w:ascii="Arial" w:cs="Arial" w:eastAsia="Arial" w:hAnsi="Arial"/>
          <w:sz w:val="21"/>
          <w:szCs w:val="21"/>
          <w:u w:val="single" w:color="auto"/>
          <w:color w:val="FF0000"/>
          <w:strike w:val="1"/>
        </w:rPr>
        <w:t>LIBOR</w:t>
      </w:r>
      <w:r>
        <w:rPr>
          <w:rFonts w:ascii="Arial" w:cs="Arial" w:eastAsia="Arial" w:hAnsi="Arial"/>
          <w:sz w:val="21"/>
          <w:szCs w:val="21"/>
          <w:color w:val="FF0000"/>
          <w:strike w:val="1"/>
        </w:rPr>
        <w:t>”), as published on the applicable Reuters screen page (or such other commercially available source providing such quotations as may be designated by the Administrative Agent from time to time) at or about 11:00 a.m. (London time) on the Rate Determination Date, for deposits in the relevant currency, with a term equivalent to such Interest Period;</w:t>
      </w:r>
    </w:p>
    <w:p>
      <w:pPr>
        <w:spacing w:after="0" w:line="204" w:lineRule="exact"/>
        <w:rPr>
          <w:rFonts w:ascii="Arial" w:cs="Arial" w:eastAsia="Arial" w:hAnsi="Arial"/>
          <w:sz w:val="21"/>
          <w:szCs w:val="21"/>
          <w:color w:val="FF0000"/>
        </w:rPr>
      </w:pPr>
    </w:p>
    <w:p>
      <w:pPr>
        <w:jc w:val="both"/>
        <w:ind w:left="640" w:right="40" w:firstLine="648"/>
        <w:spacing w:after="0" w:line="223" w:lineRule="auto"/>
        <w:tabs>
          <w:tab w:leader="none" w:pos="1891" w:val="left"/>
        </w:tabs>
        <w:numPr>
          <w:ilvl w:val="0"/>
          <w:numId w:val="88"/>
        </w:numPr>
        <w:rPr>
          <w:rFonts w:ascii="Arial" w:cs="Arial" w:eastAsia="Arial" w:hAnsi="Arial"/>
          <w:sz w:val="22"/>
          <w:szCs w:val="22"/>
          <w:color w:val="FF0000"/>
        </w:rPr>
      </w:pPr>
      <w:r>
        <w:rPr>
          <w:rFonts w:ascii="Arial" w:cs="Arial" w:eastAsia="Arial" w:hAnsi="Arial"/>
          <w:sz w:val="22"/>
          <w:szCs w:val="22"/>
          <w:color w:val="FF0000"/>
          <w:strike w:val="1"/>
        </w:rPr>
        <w:t>for any interest calculation with respect to a Base Rate Loan on any date, the rate per annum equal to LIBOR, at or about 11:00 a.m. London time determined two Business Days prior to such date for Dollar deposits with a term of one month commencing that day; and</w:t>
      </w:r>
    </w:p>
    <w:p>
      <w:pPr>
        <w:sectPr>
          <w:pgSz w:w="11900" w:h="16838" w:orient="portrait"/>
          <w:cols w:equalWidth="0" w:num="1">
            <w:col w:w="10440"/>
          </w:cols>
          <w:pgMar w:left="1020" w:top="1401" w:right="439" w:bottom="1440" w:gutter="0" w:footer="0" w:header="0"/>
        </w:sectPr>
      </w:pPr>
    </w:p>
    <w:bookmarkStart w:id="121" w:name="page122"/>
    <w:bookmarkEnd w:id="121"/>
    <w:p>
      <w:pPr>
        <w:ind w:left="640" w:right="600" w:firstLine="648"/>
        <w:spacing w:after="0" w:line="232" w:lineRule="auto"/>
        <w:tabs>
          <w:tab w:leader="none" w:pos="1892" w:val="left"/>
        </w:tabs>
        <w:numPr>
          <w:ilvl w:val="0"/>
          <w:numId w:val="89"/>
        </w:numPr>
        <w:rPr>
          <w:rFonts w:ascii="Arial" w:cs="Arial" w:eastAsia="Arial" w:hAnsi="Arial"/>
          <w:sz w:val="22"/>
          <w:szCs w:val="22"/>
          <w:color w:val="FF0000"/>
        </w:rPr>
      </w:pPr>
      <w:r>
        <w:rPr>
          <w:rFonts w:ascii="Arial" w:cs="Arial" w:eastAsia="Arial" w:hAnsi="Arial"/>
          <w:sz w:val="22"/>
          <w:szCs w:val="22"/>
          <w:color w:val="FF0000"/>
          <w:strike w:val="1"/>
        </w:rPr>
        <w:t>if the Eurocurrency Rate shall be less than zero percent (0%), such rate shall be deemed zero percent (0%)for purposes of this Agreement.</w:t>
      </w:r>
    </w:p>
    <w:p>
      <w:pPr>
        <w:spacing w:after="0" w:line="199" w:lineRule="exact"/>
        <w:rPr>
          <w:sz w:val="20"/>
          <w:szCs w:val="20"/>
          <w:color w:val="auto"/>
        </w:rPr>
      </w:pPr>
    </w:p>
    <w:p>
      <w:pPr>
        <w:ind w:right="100" w:firstLine="648"/>
        <w:spacing w:after="0" w:line="232"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Eurocurrency Loan</w:t>
      </w:r>
      <w:r>
        <w:rPr>
          <w:rFonts w:ascii="Arial" w:cs="Arial" w:eastAsia="Arial" w:hAnsi="Arial"/>
          <w:sz w:val="22"/>
          <w:szCs w:val="22"/>
          <w:color w:val="FF0000"/>
          <w:strike w:val="1"/>
        </w:rPr>
        <w:t>” means a Loan that bears interest at a rate based on clause (a) of the definition of “Eurocurrency Rate.” All Eurocurrency Loans shall be denominated in Dollars.</w:t>
      </w:r>
    </w:p>
    <w:p>
      <w:pPr>
        <w:spacing w:after="0" w:line="34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assigned to such term in Article VII.</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Finco</w:t>
      </w:r>
      <w:r>
        <w:rPr>
          <w:rFonts w:ascii="Arial" w:cs="Arial" w:eastAsia="Arial" w:hAnsi="Arial"/>
          <w:sz w:val="22"/>
          <w:szCs w:val="22"/>
          <w:color w:val="auto"/>
        </w:rPr>
        <w:t>” means Finco, so long as (i) it holds (directly, and together with its</w:t>
      </w:r>
    </w:p>
    <w:p>
      <w:pPr>
        <w:spacing w:after="0" w:line="125" w:lineRule="exact"/>
        <w:rPr>
          <w:sz w:val="20"/>
          <w:szCs w:val="20"/>
          <w:color w:val="auto"/>
        </w:rPr>
      </w:pPr>
    </w:p>
    <w:p>
      <w:pPr>
        <w:jc w:val="both"/>
        <w:ind w:right="60"/>
        <w:spacing w:after="0" w:line="252" w:lineRule="auto"/>
        <w:rPr>
          <w:sz w:val="20"/>
          <w:szCs w:val="20"/>
          <w:color w:val="auto"/>
        </w:rPr>
      </w:pPr>
      <w:r>
        <w:rPr>
          <w:rFonts w:ascii="Arial" w:cs="Arial" w:eastAsia="Arial" w:hAnsi="Arial"/>
          <w:sz w:val="19"/>
          <w:szCs w:val="19"/>
          <w:color w:val="auto"/>
        </w:rPr>
        <w:t>Subsidiaries), not more than de minimis assets (other than (x) any intercompany notes or receivables that relate to the repayment of principal and interest of the Finco Designated Indebtedness or (y) any proceeds from any Indebtedness of Finco (so long as such proceeds are intended to be distributed to the Borrower) or intercompany notes or receivables that relate to the distribution of such proceeds to the Borrower), (ii) it does not generate more than de minimis Consolidated EBITDA and (iii) it does not at any time guarantee any third-party Indebtedness of the Borrower.</w:t>
      </w:r>
    </w:p>
    <w:p>
      <w:pPr>
        <w:spacing w:after="0" w:line="176" w:lineRule="exact"/>
        <w:rPr>
          <w:sz w:val="20"/>
          <w:szCs w:val="20"/>
          <w:color w:val="auto"/>
        </w:rPr>
      </w:pPr>
    </w:p>
    <w:p>
      <w:pPr>
        <w:jc w:val="both"/>
        <w:ind w:right="6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withholding Taxes imposed on amounts payable to or for the account of such Lender with respect to an applicable interest in a Loan or Commitment pursuant to a law in effect on the date of which (i) such Lender acquires such interest in the Loan or Commitment (other than pursuant to an assignment request by the Borrower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and (d) withholding Taxes imposed pursuant to FATCA.</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Existing Credit Agreement</w:t>
      </w:r>
      <w:r>
        <w:rPr>
          <w:rFonts w:ascii="Arial" w:cs="Arial" w:eastAsia="Arial" w:hAnsi="Arial"/>
          <w:sz w:val="22"/>
          <w:szCs w:val="22"/>
          <w:color w:val="FF0000"/>
          <w:strike w:val="1"/>
        </w:rPr>
        <w:t>” has the meaning assigned in the preliminary statements</w:t>
      </w:r>
    </w:p>
    <w:p>
      <w:pPr>
        <w:spacing w:after="0"/>
        <w:rPr>
          <w:sz w:val="20"/>
          <w:szCs w:val="20"/>
          <w:color w:val="auto"/>
        </w:rPr>
      </w:pPr>
      <w:r>
        <w:rPr>
          <w:rFonts w:ascii="Arial" w:cs="Arial" w:eastAsia="Arial" w:hAnsi="Arial"/>
          <w:sz w:val="22"/>
          <w:szCs w:val="22"/>
          <w:color w:val="FF0000"/>
          <w:strike w:val="1"/>
        </w:rPr>
        <w:t>hereto.</w:t>
      </w:r>
    </w:p>
    <w:p>
      <w:pPr>
        <w:spacing w:after="0" w:line="215" w:lineRule="exact"/>
        <w:rPr>
          <w:sz w:val="20"/>
          <w:szCs w:val="20"/>
          <w:color w:val="auto"/>
        </w:rPr>
      </w:pPr>
    </w:p>
    <w:p>
      <w:pPr>
        <w:ind w:right="22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Lender</w:t>
      </w:r>
      <w:r>
        <w:rPr>
          <w:rFonts w:ascii="Arial" w:cs="Arial" w:eastAsia="Arial" w:hAnsi="Arial"/>
          <w:sz w:val="22"/>
          <w:szCs w:val="22"/>
          <w:color w:val="auto"/>
        </w:rPr>
        <w:t>” has the meaning assigned to such term in Section 9.04(b), (d) or (f) as the context may require.</w:t>
      </w:r>
    </w:p>
    <w:p>
      <w:pPr>
        <w:spacing w:after="0" w:line="3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Letters of Credit</w:t>
      </w:r>
      <w:r>
        <w:rPr>
          <w:rFonts w:ascii="Arial" w:cs="Arial" w:eastAsia="Arial" w:hAnsi="Arial"/>
          <w:sz w:val="21"/>
          <w:szCs w:val="21"/>
          <w:color w:val="auto"/>
        </w:rPr>
        <w:t xml:space="preserve">” means the Letters of Credit listed on </w:t>
      </w:r>
      <w:r>
        <w:rPr>
          <w:rFonts w:ascii="Arial" w:cs="Arial" w:eastAsia="Arial" w:hAnsi="Arial"/>
          <w:sz w:val="21"/>
          <w:szCs w:val="21"/>
          <w:u w:val="single" w:color="auto"/>
          <w:color w:val="auto"/>
        </w:rPr>
        <w:t>Schedule 2.05</w:t>
      </w:r>
      <w:r>
        <w:rPr>
          <w:rFonts w:ascii="Arial" w:cs="Arial" w:eastAsia="Arial" w:hAnsi="Arial"/>
          <w:sz w:val="21"/>
          <w:szCs w:val="21"/>
          <w:color w:val="auto"/>
        </w:rPr>
        <w:t>. “</w:t>
      </w:r>
      <w:r>
        <w:rPr>
          <w:rFonts w:ascii="Arial" w:cs="Arial" w:eastAsia="Arial" w:hAnsi="Arial"/>
          <w:sz w:val="21"/>
          <w:szCs w:val="21"/>
          <w:u w:val="single" w:color="auto"/>
          <w:color w:val="auto"/>
        </w:rPr>
        <w:t>Existing Loan</w:t>
      </w:r>
      <w:r>
        <w:rPr>
          <w:rFonts w:ascii="Arial" w:cs="Arial" w:eastAsia="Arial" w:hAnsi="Arial"/>
          <w:sz w:val="21"/>
          <w:szCs w:val="21"/>
          <w:color w:val="auto"/>
        </w:rPr>
        <w:t>” means the</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Revolving Loans (as defined in the </w:t>
      </w:r>
      <w:r>
        <w:rPr>
          <w:rFonts w:ascii="Arial" w:cs="Arial" w:eastAsia="Arial" w:hAnsi="Arial"/>
          <w:sz w:val="22"/>
          <w:szCs w:val="22"/>
          <w:color w:val="FF0000"/>
          <w:strike w:val="1"/>
        </w:rPr>
        <w:t>Existing</w:t>
      </w:r>
      <w:r>
        <w:rPr>
          <w:rFonts w:ascii="Arial" w:cs="Arial" w:eastAsia="Arial" w:hAnsi="Arial"/>
          <w:sz w:val="22"/>
          <w:szCs w:val="22"/>
          <w:u w:val="single" w:color="auto"/>
          <w:color w:val="0000FF"/>
        </w:rPr>
        <w:t>Original</w:t>
      </w:r>
      <w:r>
        <w:rPr>
          <w:rFonts w:ascii="Arial" w:cs="Arial" w:eastAsia="Arial" w:hAnsi="Arial"/>
          <w:sz w:val="22"/>
          <w:szCs w:val="22"/>
          <w:color w:val="auto"/>
        </w:rPr>
        <w:t xml:space="preserve"> Credit</w:t>
      </w:r>
    </w:p>
    <w:p>
      <w:pPr>
        <w:spacing w:after="0" w:line="11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 xml:space="preserve">Agreement) made to the Borrower under the </w:t>
      </w:r>
      <w:r>
        <w:rPr>
          <w:rFonts w:ascii="Arial" w:cs="Arial" w:eastAsia="Arial" w:hAnsi="Arial"/>
          <w:sz w:val="22"/>
          <w:szCs w:val="22"/>
          <w:color w:val="FF0000"/>
          <w:strike w:val="1"/>
        </w:rPr>
        <w:t>Existing</w:t>
      </w:r>
      <w:r>
        <w:rPr>
          <w:rFonts w:ascii="Arial" w:cs="Arial" w:eastAsia="Arial" w:hAnsi="Arial"/>
          <w:sz w:val="22"/>
          <w:szCs w:val="22"/>
          <w:u w:val="single" w:color="auto"/>
          <w:color w:val="0000FF"/>
        </w:rPr>
        <w:t>Original</w:t>
      </w:r>
      <w:r>
        <w:rPr>
          <w:rFonts w:ascii="Arial" w:cs="Arial" w:eastAsia="Arial" w:hAnsi="Arial"/>
          <w:sz w:val="22"/>
          <w:szCs w:val="22"/>
          <w:color w:val="auto"/>
        </w:rPr>
        <w:t xml:space="preserve"> Credit Agreement and outstanding immediately prior to the Closing Date in an aggregate principal amount of $900,000,000.</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Revolver Tranche</w:t>
      </w:r>
      <w:r>
        <w:rPr>
          <w:rFonts w:ascii="Arial" w:cs="Arial" w:eastAsia="Arial" w:hAnsi="Arial"/>
          <w:sz w:val="22"/>
          <w:szCs w:val="22"/>
          <w:color w:val="auto"/>
        </w:rPr>
        <w:t>” has the meaning assigned to such term in Section 2.21(a).</w:t>
      </w:r>
    </w:p>
    <w:p>
      <w:pPr>
        <w:sectPr>
          <w:pgSz w:w="11900" w:h="16838" w:orient="portrait"/>
          <w:cols w:equalWidth="0" w:num="1">
            <w:col w:w="10500"/>
          </w:cols>
          <w:pgMar w:left="1020" w:top="1401" w:right="379" w:bottom="1440" w:gutter="0" w:footer="0" w:header="0"/>
        </w:sectPr>
      </w:pPr>
    </w:p>
    <w:bookmarkStart w:id="122" w:name="page123"/>
    <w:bookmarkEnd w:id="122"/>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Commitments</w:t>
      </w:r>
      <w:r>
        <w:rPr>
          <w:rFonts w:ascii="Arial" w:cs="Arial" w:eastAsia="Arial" w:hAnsi="Arial"/>
          <w:sz w:val="22"/>
          <w:szCs w:val="22"/>
          <w:color w:val="auto"/>
        </w:rPr>
        <w:t>” has the meaning assigned to such term in Section 2.21(a).</w:t>
      </w:r>
    </w:p>
    <w:p>
      <w:pPr>
        <w:spacing w:after="0" w:line="220"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Extending Revolving Lender</w:t>
      </w:r>
      <w:r>
        <w:rPr>
          <w:rFonts w:ascii="Arial" w:cs="Arial" w:eastAsia="Arial" w:hAnsi="Arial"/>
          <w:sz w:val="19"/>
          <w:szCs w:val="19"/>
          <w:color w:val="auto"/>
        </w:rPr>
        <w:t>” has the meaning assigned to such term in Section 2.21(b).</w:t>
      </w:r>
    </w:p>
    <w:p>
      <w:pPr>
        <w:spacing w:after="0" w:line="241" w:lineRule="exact"/>
        <w:rPr>
          <w:sz w:val="20"/>
          <w:szCs w:val="20"/>
          <w:color w:val="auto"/>
        </w:rPr>
      </w:pPr>
    </w:p>
    <w:p>
      <w:pPr>
        <w:jc w:val="both"/>
        <w:ind w:right="20"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204" w:lineRule="exact"/>
        <w:rPr>
          <w:sz w:val="20"/>
          <w:szCs w:val="20"/>
          <w:color w:val="auto"/>
        </w:rPr>
      </w:pPr>
    </w:p>
    <w:p>
      <w:pPr>
        <w:jc w:val="right"/>
        <w:ind w:left="60"/>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if the Federal Funds Effective Rate shall be less than zero, the Federal Funds Effective Rate shall be deemed zero for purposes of this Agreement.</w:t>
      </w:r>
    </w:p>
    <w:p>
      <w:pPr>
        <w:spacing w:after="0" w:line="201" w:lineRule="exact"/>
        <w:rPr>
          <w:sz w:val="20"/>
          <w:szCs w:val="20"/>
          <w:color w:val="auto"/>
        </w:rPr>
      </w:pPr>
    </w:p>
    <w:p>
      <w:pPr>
        <w:jc w:val="both"/>
        <w:ind w:right="4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Letters</w:t>
      </w:r>
      <w:r>
        <w:rPr>
          <w:rFonts w:ascii="Arial" w:cs="Arial" w:eastAsia="Arial" w:hAnsi="Arial"/>
          <w:sz w:val="19"/>
          <w:szCs w:val="19"/>
          <w:color w:val="auto"/>
        </w:rPr>
        <w:t>” means, collectively, each of the fee letters entered into by and among the Borrower and any of the Arrangers (or any of their respective affiliates) and/or the Administrative Agent in connection with this Agreement.</w:t>
      </w:r>
    </w:p>
    <w:p>
      <w:pPr>
        <w:spacing w:after="0" w:line="132" w:lineRule="exact"/>
        <w:rPr>
          <w:sz w:val="20"/>
          <w:szCs w:val="20"/>
          <w:color w:val="auto"/>
        </w:rPr>
      </w:pPr>
    </w:p>
    <w:p>
      <w:pPr>
        <w:jc w:val="both"/>
        <w:ind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means the chief financial officer, principal accounting officer, treasurer or controller of the Borrower or the relevant Loan Party, as applicable.</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Finco</w:t>
      </w:r>
      <w:r>
        <w:rPr>
          <w:rFonts w:ascii="Arial" w:cs="Arial" w:eastAsia="Arial" w:hAnsi="Arial"/>
          <w:sz w:val="22"/>
          <w:szCs w:val="22"/>
          <w:color w:val="auto"/>
        </w:rPr>
        <w:t>” means Upjohn Finance B.V., a wholly owned financing subsidiary of the Borrower.</w:t>
      </w:r>
    </w:p>
    <w:p>
      <w:pPr>
        <w:spacing w:after="0" w:line="206" w:lineRule="exact"/>
        <w:rPr>
          <w:sz w:val="20"/>
          <w:szCs w:val="20"/>
          <w:color w:val="auto"/>
        </w:rPr>
      </w:pPr>
    </w:p>
    <w:p>
      <w:pPr>
        <w:jc w:val="both"/>
        <w:ind w:right="4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Finco Designated Indebtedness</w:t>
      </w:r>
      <w:r>
        <w:rPr>
          <w:rFonts w:ascii="Arial" w:cs="Arial" w:eastAsia="Arial" w:hAnsi="Arial"/>
          <w:sz w:val="22"/>
          <w:szCs w:val="22"/>
          <w:color w:val="auto"/>
        </w:rPr>
        <w:t xml:space="preserve">” means Indebtedness of Finco issued after the Effective Date (as defined in the </w:t>
      </w:r>
      <w:r>
        <w:rPr>
          <w:rFonts w:ascii="Arial" w:cs="Arial" w:eastAsia="Arial" w:hAnsi="Arial"/>
          <w:sz w:val="22"/>
          <w:szCs w:val="22"/>
          <w:color w:val="FF0000"/>
          <w:strike w:val="1"/>
        </w:rPr>
        <w:t>Existing</w:t>
      </w:r>
      <w:r>
        <w:rPr>
          <w:rFonts w:ascii="Arial" w:cs="Arial" w:eastAsia="Arial" w:hAnsi="Arial"/>
          <w:sz w:val="22"/>
          <w:szCs w:val="22"/>
          <w:u w:val="single" w:color="auto"/>
          <w:color w:val="0000FF"/>
        </w:rPr>
        <w:t>Original</w:t>
      </w:r>
      <w:r>
        <w:rPr>
          <w:rFonts w:ascii="Arial" w:cs="Arial" w:eastAsia="Arial" w:hAnsi="Arial"/>
          <w:sz w:val="22"/>
          <w:szCs w:val="22"/>
          <w:color w:val="FF0000"/>
        </w:rPr>
        <w:t xml:space="preserve"> </w:t>
      </w:r>
      <w:r>
        <w:rPr>
          <w:rFonts w:ascii="Arial" w:cs="Arial" w:eastAsia="Arial" w:hAnsi="Arial"/>
          <w:sz w:val="22"/>
          <w:szCs w:val="22"/>
          <w:color w:val="000000"/>
        </w:rPr>
        <w:t>Credit Agreement) and on or prior to the closing date of the Combination Transactions, the proceeds of</w:t>
      </w:r>
      <w:r>
        <w:rPr>
          <w:rFonts w:ascii="Arial" w:cs="Arial" w:eastAsia="Arial" w:hAnsi="Arial"/>
          <w:sz w:val="22"/>
          <w:szCs w:val="22"/>
          <w:color w:val="FF0000"/>
        </w:rPr>
        <w:t xml:space="preserve"> </w:t>
      </w:r>
      <w:r>
        <w:rPr>
          <w:rFonts w:ascii="Arial" w:cs="Arial" w:eastAsia="Arial" w:hAnsi="Arial"/>
          <w:sz w:val="22"/>
          <w:szCs w:val="22"/>
          <w:color w:val="000000"/>
        </w:rPr>
        <w:t xml:space="preserve">which are used to fund, in full or in part, the Borrower Cash Distribution (as defined in the </w:t>
      </w:r>
      <w:r>
        <w:rPr>
          <w:rFonts w:ascii="Arial" w:cs="Arial" w:eastAsia="Arial" w:hAnsi="Arial"/>
          <w:sz w:val="22"/>
          <w:szCs w:val="22"/>
          <w:color w:val="FF0000"/>
          <w:strike w:val="1"/>
        </w:rPr>
        <w:t>Existing</w:t>
      </w:r>
      <w:r>
        <w:rPr>
          <w:rFonts w:ascii="Arial" w:cs="Arial" w:eastAsia="Arial" w:hAnsi="Arial"/>
          <w:sz w:val="22"/>
          <w:szCs w:val="22"/>
          <w:u w:val="single" w:color="auto"/>
          <w:color w:val="0000FF"/>
        </w:rPr>
        <w:t>Original</w:t>
      </w:r>
      <w:r>
        <w:rPr>
          <w:rFonts w:ascii="Arial" w:cs="Arial" w:eastAsia="Arial" w:hAnsi="Arial"/>
          <w:sz w:val="22"/>
          <w:szCs w:val="22"/>
          <w:color w:val="000000"/>
        </w:rPr>
        <w:t xml:space="preserve"> Credit Agreement) and related transaction fees and expenses.</w:t>
      </w:r>
    </w:p>
    <w:p>
      <w:pPr>
        <w:spacing w:after="0" w:line="201" w:lineRule="exact"/>
        <w:rPr>
          <w:sz w:val="20"/>
          <w:szCs w:val="20"/>
          <w:color w:val="auto"/>
        </w:rPr>
      </w:pPr>
    </w:p>
    <w:p>
      <w:pPr>
        <w:jc w:val="both"/>
        <w:ind w:right="60" w:firstLine="648"/>
        <w:spacing w:after="0" w:line="223" w:lineRule="auto"/>
        <w:rPr>
          <w:sz w:val="20"/>
          <w:szCs w:val="20"/>
          <w:color w:val="auto"/>
        </w:rPr>
      </w:pPr>
      <w:r>
        <w:rPr>
          <w:rFonts w:ascii="Arial" w:cs="Arial" w:eastAsia="Arial" w:hAnsi="Arial"/>
          <w:sz w:val="22"/>
          <w:szCs w:val="22"/>
          <w:u w:val="single" w:color="auto"/>
          <w:color w:val="0000FF"/>
        </w:rPr>
        <w:t>“First Amendment” means that certain LIBOR Transition Amendment to Amended and Restated Revolving Credit Agreement, dated as of the First Amendment Effective Date, by and among the Borrower, the Guarantors, the Lenders and Issuing Bank party thereto and the Administrative Agent.</w:t>
      </w:r>
    </w:p>
    <w:p>
      <w:pPr>
        <w:sectPr>
          <w:pgSz w:w="11900" w:h="16838" w:orient="portrait"/>
          <w:cols w:equalWidth="0" w:num="1">
            <w:col w:w="10440"/>
          </w:cols>
          <w:pgMar w:left="1020" w:top="1401" w:right="439" w:bottom="1440" w:gutter="0" w:footer="0" w:header="0"/>
        </w:sectPr>
      </w:pPr>
    </w:p>
    <w:bookmarkStart w:id="123" w:name="page124"/>
    <w:bookmarkEnd w:id="123"/>
    <w:p>
      <w:pPr>
        <w:ind w:left="640"/>
        <w:spacing w:after="0"/>
        <w:rPr>
          <w:sz w:val="20"/>
          <w:szCs w:val="20"/>
          <w:color w:val="auto"/>
        </w:rPr>
      </w:pPr>
      <w:r>
        <w:rPr>
          <w:rFonts w:ascii="Arial" w:cs="Arial" w:eastAsia="Arial" w:hAnsi="Arial"/>
          <w:sz w:val="22"/>
          <w:szCs w:val="22"/>
          <w:u w:val="single" w:color="auto"/>
          <w:color w:val="0000FF"/>
        </w:rPr>
        <w:t>“First Amendment Effective Date” means April 28, 2023.</w:t>
      </w:r>
    </w:p>
    <w:p>
      <w:pPr>
        <w:spacing w:after="0" w:line="3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Fitch</w:t>
      </w:r>
      <w:r>
        <w:rPr>
          <w:rFonts w:ascii="Arial" w:cs="Arial" w:eastAsia="Arial" w:hAnsi="Arial"/>
          <w:sz w:val="19"/>
          <w:szCs w:val="19"/>
          <w:color w:val="auto"/>
        </w:rPr>
        <w:t>” means Fitch Ratings, Inc., or any successor to its rating agency business. “</w:t>
      </w:r>
      <w:r>
        <w:rPr>
          <w:rFonts w:ascii="Arial" w:cs="Arial" w:eastAsia="Arial" w:hAnsi="Arial"/>
          <w:sz w:val="19"/>
          <w:szCs w:val="19"/>
          <w:u w:val="single" w:color="auto"/>
          <w:color w:val="auto"/>
        </w:rPr>
        <w:t>Foreign Jurisdiction Deposit</w:t>
      </w:r>
      <w:r>
        <w:rPr>
          <w:rFonts w:ascii="Arial" w:cs="Arial" w:eastAsia="Arial" w:hAnsi="Arial"/>
          <w:sz w:val="19"/>
          <w:szCs w:val="19"/>
          <w:color w:val="auto"/>
        </w:rPr>
        <w:t>”</w:t>
      </w:r>
    </w:p>
    <w:p>
      <w:pPr>
        <w:spacing w:after="0" w:line="30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means a deposit or Guarantee incurred in the ordinary</w:t>
      </w:r>
    </w:p>
    <w:p>
      <w:pPr>
        <w:spacing w:after="0" w:line="125" w:lineRule="exact"/>
        <w:rPr>
          <w:sz w:val="20"/>
          <w:szCs w:val="20"/>
          <w:color w:val="auto"/>
        </w:rPr>
      </w:pPr>
    </w:p>
    <w:p>
      <w:pPr>
        <w:ind w:right="780"/>
        <w:spacing w:after="0" w:line="232" w:lineRule="auto"/>
        <w:rPr>
          <w:sz w:val="20"/>
          <w:szCs w:val="20"/>
          <w:color w:val="auto"/>
        </w:rPr>
      </w:pPr>
      <w:r>
        <w:rPr>
          <w:rFonts w:ascii="Arial" w:cs="Arial" w:eastAsia="Arial" w:hAnsi="Arial"/>
          <w:sz w:val="22"/>
          <w:szCs w:val="22"/>
          <w:color w:val="auto"/>
        </w:rPr>
        <w:t>course of business and required by any Governmental Authority in a foreign jurisdiction as a condition of doing business in such jurisdiction.</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resident or organized under the laws of a jurisdiction other than that in which the Borrower is resident for tax purposes.</w:t>
      </w:r>
    </w:p>
    <w:p>
      <w:pPr>
        <w:spacing w:after="0" w:line="19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Obligor</w:t>
      </w:r>
      <w:r>
        <w:rPr>
          <w:rFonts w:ascii="Arial" w:cs="Arial" w:eastAsia="Arial" w:hAnsi="Arial"/>
          <w:sz w:val="22"/>
          <w:szCs w:val="22"/>
          <w:color w:val="auto"/>
        </w:rPr>
        <w:t>” means a Loan Party that is resident or organized under the laws of a jurisdiction other than that in which the Borrower is resident, incorporated or organized.</w:t>
      </w:r>
    </w:p>
    <w:p>
      <w:pPr>
        <w:spacing w:after="0" w:line="186"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w:t>
      </w:r>
      <w:r>
        <w:rPr>
          <w:rFonts w:ascii="Arial" w:cs="Arial" w:eastAsia="Arial" w:hAnsi="Arial"/>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9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 means generally accepted accounting principles in the United States of America as in effect from time to time (except with respect to accounting for capital leases, as to which such principles in effect on December 31, 2018 shall apply), including those set forth in the Financial Accounting Standards Board’s “Accounting Standards Codification” or in such other statements by such other entity as approved by a significant segment of the accounting profession.</w:t>
      </w:r>
    </w:p>
    <w:p>
      <w:pPr>
        <w:spacing w:after="0" w:line="19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26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The amount of any Guarantee of any guaranteeing person shall be deemed to be the lower of (a) an amount equal to the stated or determinable amount of the</w:t>
      </w:r>
    </w:p>
    <w:p>
      <w:pPr>
        <w:sectPr>
          <w:pgSz w:w="11900" w:h="16838" w:orient="portrait"/>
          <w:cols w:equalWidth="0" w:num="1">
            <w:col w:w="10440"/>
          </w:cols>
          <w:pgMar w:left="1020" w:top="1401" w:right="439" w:bottom="1440" w:gutter="0" w:footer="0" w:header="0"/>
        </w:sectPr>
      </w:pPr>
    </w:p>
    <w:bookmarkStart w:id="124" w:name="page125"/>
    <w:bookmarkEnd w:id="124"/>
    <w:p>
      <w:pPr>
        <w:jc w:val="both"/>
        <w:ind w:left="8" w:right="40"/>
        <w:spacing w:after="0" w:line="252" w:lineRule="auto"/>
        <w:rPr>
          <w:sz w:val="20"/>
          <w:szCs w:val="20"/>
          <w:color w:val="auto"/>
        </w:rPr>
      </w:pPr>
      <w:r>
        <w:rPr>
          <w:rFonts w:ascii="Arial" w:cs="Arial" w:eastAsia="Arial" w:hAnsi="Arial"/>
          <w:sz w:val="19"/>
          <w:szCs w:val="19"/>
          <w:color w:val="auto"/>
        </w:rPr>
        <w:t>primary obligation, or portion thereof, in respect of which such Guarantee is made and (b) 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w:t>
      </w:r>
    </w:p>
    <w:p>
      <w:pPr>
        <w:spacing w:after="0" w:line="189" w:lineRule="exact"/>
        <w:rPr>
          <w:sz w:val="20"/>
          <w:szCs w:val="20"/>
          <w:color w:val="auto"/>
        </w:rPr>
      </w:pPr>
    </w:p>
    <w:p>
      <w:pPr>
        <w:jc w:val="both"/>
        <w:ind w:left="8"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 Agreement</w:t>
      </w:r>
      <w:r>
        <w:rPr>
          <w:rFonts w:ascii="Arial" w:cs="Arial" w:eastAsia="Arial" w:hAnsi="Arial"/>
          <w:sz w:val="22"/>
          <w:szCs w:val="22"/>
          <w:color w:val="auto"/>
        </w:rPr>
        <w:t>” means the Guarantee set forth in Article X or other form of guarantee agreement reasonably acceptable to the Administrative Agent and the Borrower.</w:t>
      </w:r>
    </w:p>
    <w:p>
      <w:pPr>
        <w:spacing w:after="0" w:line="186" w:lineRule="exact"/>
        <w:rPr>
          <w:sz w:val="20"/>
          <w:szCs w:val="20"/>
          <w:color w:val="auto"/>
        </w:rPr>
      </w:pPr>
    </w:p>
    <w:p>
      <w:pPr>
        <w:jc w:val="both"/>
        <w:ind w:left="8"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means, each Affiliate or Subsidiary of the Borrower (including each Mylan Guarantor), if any, that provides a guarantee of the Obligations pursuant to Section 5.09 or otherwise.</w:t>
      </w:r>
    </w:p>
    <w:p>
      <w:pPr>
        <w:spacing w:after="0" w:line="118" w:lineRule="exact"/>
        <w:rPr>
          <w:sz w:val="20"/>
          <w:szCs w:val="20"/>
          <w:color w:val="auto"/>
        </w:rPr>
      </w:pPr>
    </w:p>
    <w:p>
      <w:pPr>
        <w:ind w:left="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 Joinder Agreement</w:t>
      </w:r>
      <w:r>
        <w:rPr>
          <w:rFonts w:ascii="Arial" w:cs="Arial" w:eastAsia="Arial" w:hAnsi="Arial"/>
          <w:sz w:val="22"/>
          <w:szCs w:val="22"/>
          <w:color w:val="auto"/>
        </w:rPr>
        <w:t>” has the meaning assigned in Section 5.09.</w:t>
      </w:r>
    </w:p>
    <w:p>
      <w:pPr>
        <w:spacing w:after="0" w:line="287" w:lineRule="exact"/>
        <w:rPr>
          <w:sz w:val="20"/>
          <w:szCs w:val="20"/>
          <w:color w:val="auto"/>
        </w:rPr>
      </w:pPr>
    </w:p>
    <w:p>
      <w:pPr>
        <w:ind w:left="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or radioactive substances or wastes and all</w:t>
      </w:r>
    </w:p>
    <w:p>
      <w:pPr>
        <w:spacing w:after="0" w:line="112" w:lineRule="exact"/>
        <w:rPr>
          <w:sz w:val="20"/>
          <w:szCs w:val="20"/>
          <w:color w:val="auto"/>
        </w:rPr>
      </w:pPr>
    </w:p>
    <w:p>
      <w:pPr>
        <w:jc w:val="both"/>
        <w:ind w:left="8" w:right="20"/>
        <w:spacing w:after="0" w:line="234" w:lineRule="auto"/>
        <w:rPr>
          <w:sz w:val="20"/>
          <w:szCs w:val="20"/>
          <w:color w:val="auto"/>
        </w:rPr>
      </w:pPr>
      <w:r>
        <w:rPr>
          <w:rFonts w:ascii="Arial" w:cs="Arial" w:eastAsia="Arial" w:hAnsi="Arial"/>
          <w:sz w:val="21"/>
          <w:szCs w:val="21"/>
          <w:color w:val="auto"/>
        </w:rPr>
        <w:t>hazardous or toxic substances, wastes or other pollutants, including petroleum or petroleum distillates, asbestos or asbestos containing materials, polychlorinated biphenyls, radon gas and all other substances or wastes (including infectious or medical wastes) of any nature regulated pursuant to any Environmental Law.</w:t>
      </w:r>
    </w:p>
    <w:p>
      <w:pPr>
        <w:spacing w:after="0" w:line="320" w:lineRule="exact"/>
        <w:rPr>
          <w:sz w:val="20"/>
          <w:szCs w:val="20"/>
          <w:color w:val="auto"/>
        </w:rPr>
      </w:pPr>
    </w:p>
    <w:p>
      <w:pPr>
        <w:ind w:left="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Honor Date</w:t>
      </w:r>
      <w:r>
        <w:rPr>
          <w:rFonts w:ascii="Arial" w:cs="Arial" w:eastAsia="Arial" w:hAnsi="Arial"/>
          <w:sz w:val="22"/>
          <w:szCs w:val="22"/>
          <w:color w:val="auto"/>
        </w:rPr>
        <w:t>” has the meaning set forth in Section 2.05(c)(i).</w:t>
      </w:r>
    </w:p>
    <w:p>
      <w:pPr>
        <w:spacing w:after="0" w:line="206" w:lineRule="exact"/>
        <w:rPr>
          <w:sz w:val="20"/>
          <w:szCs w:val="20"/>
          <w:color w:val="auto"/>
        </w:rPr>
      </w:pPr>
    </w:p>
    <w:p>
      <w:pPr>
        <w:ind w:left="64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Increased Commitments</w:t>
      </w:r>
      <w:r>
        <w:rPr>
          <w:rFonts w:ascii="Arial" w:cs="Arial" w:eastAsia="Arial" w:hAnsi="Arial"/>
          <w:sz w:val="21"/>
          <w:szCs w:val="21"/>
          <w:color w:val="auto"/>
        </w:rPr>
        <w:t>” has the meaning assigned to such term in Section 2.19(a). “</w:t>
      </w:r>
      <w:r>
        <w:rPr>
          <w:rFonts w:ascii="Arial" w:cs="Arial" w:eastAsia="Arial" w:hAnsi="Arial"/>
          <w:sz w:val="21"/>
          <w:szCs w:val="21"/>
          <w:u w:val="single" w:color="auto"/>
          <w:color w:val="auto"/>
        </w:rPr>
        <w:t>Increasing Lender</w:t>
      </w:r>
      <w:r>
        <w:rPr>
          <w:rFonts w:ascii="Arial" w:cs="Arial" w:eastAsia="Arial" w:hAnsi="Arial"/>
          <w:sz w:val="21"/>
          <w:szCs w:val="21"/>
          <w:color w:val="auto"/>
        </w:rPr>
        <w:t>”</w:t>
      </w:r>
    </w:p>
    <w:p>
      <w:pPr>
        <w:spacing w:after="0" w:line="231" w:lineRule="exact"/>
        <w:rPr>
          <w:sz w:val="20"/>
          <w:szCs w:val="20"/>
          <w:color w:val="auto"/>
        </w:rPr>
      </w:pPr>
    </w:p>
    <w:p>
      <w:pPr>
        <w:ind w:left="648"/>
        <w:spacing w:after="0"/>
        <w:rPr>
          <w:sz w:val="20"/>
          <w:szCs w:val="20"/>
          <w:color w:val="auto"/>
        </w:rPr>
      </w:pPr>
      <w:r>
        <w:rPr>
          <w:rFonts w:ascii="Arial" w:cs="Arial" w:eastAsia="Arial" w:hAnsi="Arial"/>
          <w:sz w:val="22"/>
          <w:szCs w:val="22"/>
          <w:color w:val="auto"/>
        </w:rPr>
        <w:t>has the meaning assigned to such term in Section 2.19(a).</w:t>
      </w:r>
    </w:p>
    <w:p>
      <w:pPr>
        <w:spacing w:after="0" w:line="98" w:lineRule="exact"/>
        <w:rPr>
          <w:sz w:val="20"/>
          <w:szCs w:val="20"/>
          <w:color w:val="auto"/>
        </w:rPr>
      </w:pPr>
    </w:p>
    <w:p>
      <w:pPr>
        <w:ind w:left="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w:t>
      </w:r>
    </w:p>
    <w:p>
      <w:pPr>
        <w:spacing w:after="0" w:line="16" w:lineRule="exact"/>
        <w:rPr>
          <w:sz w:val="20"/>
          <w:szCs w:val="20"/>
          <w:color w:val="auto"/>
        </w:rPr>
      </w:pPr>
    </w:p>
    <w:p>
      <w:pPr>
        <w:jc w:val="both"/>
        <w:ind w:left="8" w:hanging="8"/>
        <w:spacing w:after="0"/>
        <w:tabs>
          <w:tab w:leader="none" w:pos="337" w:val="left"/>
        </w:tabs>
        <w:numPr>
          <w:ilvl w:val="0"/>
          <w:numId w:val="90"/>
        </w:numPr>
        <w:rPr>
          <w:rFonts w:ascii="Arial" w:cs="Arial" w:eastAsia="Arial" w:hAnsi="Arial"/>
          <w:sz w:val="19"/>
          <w:szCs w:val="19"/>
          <w:color w:val="auto"/>
        </w:rPr>
      </w:pPr>
      <w:r>
        <w:rPr>
          <w:rFonts w:ascii="Arial" w:cs="Arial" w:eastAsia="Arial" w:hAnsi="Arial"/>
          <w:sz w:val="19"/>
          <w:szCs w:val="19"/>
          <w:color w:val="auto"/>
        </w:rPr>
        <w:t>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 (e) 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w:t>
      </w:r>
    </w:p>
    <w:p>
      <w:pPr>
        <w:sectPr>
          <w:pgSz w:w="11900" w:h="16838" w:orient="portrait"/>
          <w:cols w:equalWidth="0" w:num="1">
            <w:col w:w="10448"/>
          </w:cols>
          <w:pgMar w:left="1012" w:top="1401" w:right="439" w:bottom="1440" w:gutter="0" w:footer="0" w:header="0"/>
        </w:sectPr>
      </w:pPr>
    </w:p>
    <w:bookmarkStart w:id="125" w:name="page126"/>
    <w:bookmarkEnd w:id="125"/>
    <w:p>
      <w:pPr>
        <w:jc w:val="both"/>
        <w:ind w:right="20"/>
        <w:spacing w:after="0" w:line="242" w:lineRule="auto"/>
        <w:rPr>
          <w:sz w:val="20"/>
          <w:szCs w:val="20"/>
          <w:color w:val="auto"/>
        </w:rPr>
      </w:pPr>
      <w:r>
        <w:rPr>
          <w:rFonts w:ascii="Arial" w:cs="Arial" w:eastAsia="Arial" w:hAnsi="Arial"/>
          <w:sz w:val="19"/>
          <w:szCs w:val="19"/>
          <w:color w:val="auto"/>
        </w:rPr>
        <w:t xml:space="preserve">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time of closing, the amount of any such payment is not determinable or is contingent and, to the extent such payment thereafter becomes fixed and determined and no longer contingent, the amount is paid within 60 days thereafter and included as Indebtedness of such Person.</w:t>
      </w:r>
    </w:p>
    <w:p>
      <w:pPr>
        <w:spacing w:after="0" w:line="201"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307" w:lineRule="exact"/>
        <w:rPr>
          <w:sz w:val="20"/>
          <w:szCs w:val="20"/>
          <w:color w:val="auto"/>
        </w:rPr>
      </w:pPr>
    </w:p>
    <w:p>
      <w:pPr>
        <w:ind w:left="640" w:right="2020"/>
        <w:spacing w:after="0" w:line="39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has the meaning set forth in Section 9.03(b). “</w:t>
      </w:r>
      <w:r>
        <w:rPr>
          <w:rFonts w:ascii="Arial" w:cs="Arial" w:eastAsia="Arial" w:hAnsi="Arial"/>
          <w:sz w:val="22"/>
          <w:szCs w:val="22"/>
          <w:u w:val="single" w:color="auto"/>
          <w:color w:val="auto"/>
        </w:rPr>
        <w:t>Information</w:t>
      </w:r>
      <w:r>
        <w:rPr>
          <w:rFonts w:ascii="Arial" w:cs="Arial" w:eastAsia="Arial" w:hAnsi="Arial"/>
          <w:sz w:val="22"/>
          <w:szCs w:val="22"/>
          <w:color w:val="auto"/>
        </w:rPr>
        <w:t>” has the meaning specified in Section 9.12.</w:t>
      </w:r>
    </w:p>
    <w:p>
      <w:pPr>
        <w:spacing w:after="0" w:line="1"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means a request by the Borrower to convert or continue a Revolving Borrowing in accordance with Section 2.03.</w:t>
      </w:r>
    </w:p>
    <w:p>
      <w:pPr>
        <w:spacing w:after="0" w:line="19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xml:space="preserve">” means, (a) as to any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Term SOFR</w:t>
      </w:r>
      <w:r>
        <w:rPr>
          <w:rFonts w:ascii="Arial" w:cs="Arial" w:eastAsia="Arial" w:hAnsi="Arial"/>
          <w:sz w:val="21"/>
          <w:szCs w:val="21"/>
          <w:color w:val="auto"/>
        </w:rPr>
        <w:t xml:space="preserve"> Loan, the last day of each Interest Period applicable to such Loan and the </w:t>
      </w:r>
      <w:r>
        <w:rPr>
          <w:rFonts w:ascii="Arial" w:cs="Arial" w:eastAsia="Arial" w:hAnsi="Arial"/>
          <w:sz w:val="21"/>
          <w:szCs w:val="21"/>
          <w:u w:val="single" w:color="auto"/>
          <w:color w:val="0000FF"/>
        </w:rPr>
        <w:t>Revolving Credit</w:t>
      </w:r>
      <w:r>
        <w:rPr>
          <w:rFonts w:ascii="Arial" w:cs="Arial" w:eastAsia="Arial" w:hAnsi="Arial"/>
          <w:sz w:val="21"/>
          <w:szCs w:val="21"/>
          <w:color w:val="auto"/>
        </w:rPr>
        <w:t xml:space="preserve"> Maturity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if any Interest Period for a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Term SOFR</w:t>
      </w:r>
      <w:r>
        <w:rPr>
          <w:rFonts w:ascii="Arial" w:cs="Arial" w:eastAsia="Arial" w:hAnsi="Arial"/>
          <w:sz w:val="21"/>
          <w:szCs w:val="21"/>
          <w:color w:val="FF0000"/>
        </w:rPr>
        <w:t xml:space="preserve"> </w:t>
      </w:r>
      <w:r>
        <w:rPr>
          <w:rFonts w:ascii="Arial" w:cs="Arial" w:eastAsia="Arial" w:hAnsi="Arial"/>
          <w:sz w:val="21"/>
          <w:szCs w:val="21"/>
          <w:color w:val="000000"/>
        </w:rPr>
        <w:t>Loan exceeds three months, the respective dates that fall every three months after the</w:t>
      </w:r>
      <w:r>
        <w:rPr>
          <w:rFonts w:ascii="Arial" w:cs="Arial" w:eastAsia="Arial" w:hAnsi="Arial"/>
          <w:sz w:val="21"/>
          <w:szCs w:val="21"/>
          <w:color w:val="FF0000"/>
        </w:rPr>
        <w:t xml:space="preserve"> </w:t>
      </w:r>
      <w:r>
        <w:rPr>
          <w:rFonts w:ascii="Arial" w:cs="Arial" w:eastAsia="Arial" w:hAnsi="Arial"/>
          <w:sz w:val="21"/>
          <w:szCs w:val="21"/>
          <w:color w:val="000000"/>
        </w:rPr>
        <w:t xml:space="preserve">beginning of such Interest Period shall also be Interest Payment Dates; (b) as to any </w:t>
      </w:r>
      <w:r>
        <w:rPr>
          <w:rFonts w:ascii="Arial" w:cs="Arial" w:eastAsia="Arial" w:hAnsi="Arial"/>
          <w:sz w:val="21"/>
          <w:szCs w:val="21"/>
          <w:color w:val="FF0000"/>
          <w:strike w:val="1"/>
        </w:rPr>
        <w:t>LIBOR</w:t>
      </w:r>
      <w:r>
        <w:rPr>
          <w:rFonts w:ascii="Arial" w:cs="Arial" w:eastAsia="Arial" w:hAnsi="Arial"/>
          <w:sz w:val="21"/>
          <w:szCs w:val="21"/>
          <w:u w:val="single" w:color="auto"/>
          <w:color w:val="0000FF"/>
        </w:rPr>
        <w:t>SOFR</w:t>
      </w:r>
      <w:r>
        <w:rPr>
          <w:rFonts w:ascii="Arial" w:cs="Arial" w:eastAsia="Arial" w:hAnsi="Arial"/>
          <w:sz w:val="21"/>
          <w:szCs w:val="21"/>
          <w:color w:val="000000"/>
        </w:rPr>
        <w:t xml:space="preserve"> Daily Floating Rate </w:t>
      </w:r>
      <w:r>
        <w:rPr>
          <w:rFonts w:ascii="Arial" w:cs="Arial" w:eastAsia="Arial" w:hAnsi="Arial"/>
          <w:sz w:val="21"/>
          <w:szCs w:val="21"/>
          <w:color w:val="FF0000"/>
          <w:strike w:val="1"/>
        </w:rPr>
        <w:t>Loan, any Alternative Currency Daily Rate</w:t>
      </w:r>
      <w:r>
        <w:rPr>
          <w:rFonts w:ascii="Arial" w:cs="Arial" w:eastAsia="Arial" w:hAnsi="Arial"/>
          <w:sz w:val="21"/>
          <w:szCs w:val="21"/>
          <w:color w:val="FF0000"/>
        </w:rPr>
        <w:t xml:space="preserve"> </w:t>
      </w:r>
      <w:r>
        <w:rPr>
          <w:rFonts w:ascii="Arial" w:cs="Arial" w:eastAsia="Arial" w:hAnsi="Arial"/>
          <w:sz w:val="21"/>
          <w:szCs w:val="21"/>
          <w:color w:val="000000"/>
        </w:rPr>
        <w:t>Loan or Base Rate Loan (other than a Swingline Loan and other than as</w:t>
      </w:r>
      <w:r>
        <w:rPr>
          <w:rFonts w:ascii="Arial" w:cs="Arial" w:eastAsia="Arial" w:hAnsi="Arial"/>
          <w:sz w:val="21"/>
          <w:szCs w:val="21"/>
          <w:color w:val="FF0000"/>
        </w:rPr>
        <w:t xml:space="preserve"> </w:t>
      </w:r>
      <w:r>
        <w:rPr>
          <w:rFonts w:ascii="Arial" w:cs="Arial" w:eastAsia="Arial" w:hAnsi="Arial"/>
          <w:sz w:val="21"/>
          <w:szCs w:val="21"/>
          <w:color w:val="000000"/>
        </w:rPr>
        <w:t xml:space="preserve">specified in the immediately following sub-clause </w:t>
      </w:r>
      <w:r>
        <w:rPr>
          <w:rFonts w:ascii="Arial" w:cs="Arial" w:eastAsia="Arial" w:hAnsi="Arial"/>
          <w:sz w:val="21"/>
          <w:szCs w:val="21"/>
          <w:u w:val="single" w:color="auto"/>
          <w:color w:val="000000"/>
        </w:rPr>
        <w:t>(c)</w:t>
      </w:r>
      <w:r>
        <w:rPr>
          <w:rFonts w:ascii="Arial" w:cs="Arial" w:eastAsia="Arial" w:hAnsi="Arial"/>
          <w:sz w:val="21"/>
          <w:szCs w:val="21"/>
          <w:color w:val="000000"/>
        </w:rPr>
        <w:t xml:space="preserve">), the last Business Day of each March, June, September and December and the </w:t>
      </w:r>
      <w:r>
        <w:rPr>
          <w:rFonts w:ascii="Arial" w:cs="Arial" w:eastAsia="Arial" w:hAnsi="Arial"/>
          <w:sz w:val="21"/>
          <w:szCs w:val="21"/>
          <w:u w:val="single" w:color="auto"/>
          <w:color w:val="0000FF"/>
        </w:rPr>
        <w:t>Revolving Credit</w:t>
      </w:r>
      <w:r>
        <w:rPr>
          <w:rFonts w:ascii="Arial" w:cs="Arial" w:eastAsia="Arial" w:hAnsi="Arial"/>
          <w:sz w:val="21"/>
          <w:szCs w:val="21"/>
          <w:color w:val="000000"/>
        </w:rPr>
        <w:t xml:space="preserve"> Maturity Date; (c) as to any Loan that bears interest at a rate based on </w:t>
      </w:r>
      <w:r>
        <w:rPr>
          <w:rFonts w:ascii="Arial" w:cs="Arial" w:eastAsia="Arial" w:hAnsi="Arial"/>
          <w:sz w:val="21"/>
          <w:szCs w:val="21"/>
          <w:color w:val="FF0000"/>
          <w:strike w:val="1"/>
        </w:rPr>
        <w:t>Daily Simple</w:t>
      </w:r>
      <w:r>
        <w:rPr>
          <w:rFonts w:ascii="Arial" w:cs="Arial" w:eastAsia="Arial" w:hAnsi="Arial"/>
          <w:sz w:val="21"/>
          <w:szCs w:val="21"/>
          <w:color w:val="000000"/>
        </w:rPr>
        <w:t xml:space="preserve"> </w:t>
      </w:r>
      <w:r>
        <w:rPr>
          <w:rFonts w:ascii="Arial" w:cs="Arial" w:eastAsia="Arial" w:hAnsi="Arial"/>
          <w:sz w:val="21"/>
          <w:szCs w:val="21"/>
          <w:color w:val="FF0000"/>
          <w:strike w:val="1"/>
        </w:rPr>
        <w:t>SOFR or SONIA</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SONIA or any Alternative Currency Daily Rate Loan</w:t>
      </w:r>
      <w:r>
        <w:rPr>
          <w:rFonts w:ascii="Arial" w:cs="Arial" w:eastAsia="Arial" w:hAnsi="Arial"/>
          <w:sz w:val="21"/>
          <w:szCs w:val="21"/>
          <w:color w:val="000000"/>
        </w:rPr>
        <w:t>, the last Business Day of each month and the</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Revolving Credit</w:t>
      </w:r>
      <w:r>
        <w:rPr>
          <w:rFonts w:ascii="Arial" w:cs="Arial" w:eastAsia="Arial" w:hAnsi="Arial"/>
          <w:sz w:val="21"/>
          <w:szCs w:val="21"/>
          <w:color w:val="0000FF"/>
        </w:rPr>
        <w:t xml:space="preserve"> </w:t>
      </w:r>
      <w:r>
        <w:rPr>
          <w:rFonts w:ascii="Arial" w:cs="Arial" w:eastAsia="Arial" w:hAnsi="Arial"/>
          <w:sz w:val="21"/>
          <w:szCs w:val="21"/>
          <w:color w:val="000000"/>
        </w:rPr>
        <w:t>Maturity Date; (d) as to any Alternative Currency Term Rate Loan, the last day of each Interest Period</w:t>
      </w:r>
      <w:r>
        <w:rPr>
          <w:rFonts w:ascii="Arial" w:cs="Arial" w:eastAsia="Arial" w:hAnsi="Arial"/>
          <w:sz w:val="21"/>
          <w:szCs w:val="21"/>
          <w:color w:val="0000FF"/>
        </w:rPr>
        <w:t xml:space="preserve"> </w:t>
      </w:r>
      <w:r>
        <w:rPr>
          <w:rFonts w:ascii="Arial" w:cs="Arial" w:eastAsia="Arial" w:hAnsi="Arial"/>
          <w:sz w:val="21"/>
          <w:szCs w:val="21"/>
          <w:color w:val="000000"/>
        </w:rPr>
        <w:t xml:space="preserve">applicable to such Loan; </w:t>
      </w:r>
      <w:r>
        <w:rPr>
          <w:rFonts w:ascii="Arial" w:cs="Arial" w:eastAsia="Arial" w:hAnsi="Arial"/>
          <w:sz w:val="21"/>
          <w:szCs w:val="21"/>
          <w:u w:val="single" w:color="auto"/>
          <w:color w:val="000000"/>
        </w:rPr>
        <w:t>provided</w:t>
      </w:r>
      <w:r>
        <w:rPr>
          <w:rFonts w:ascii="Arial" w:cs="Arial" w:eastAsia="Arial" w:hAnsi="Arial"/>
          <w:sz w:val="21"/>
          <w:szCs w:val="21"/>
          <w:color w:val="000000"/>
        </w:rPr>
        <w:t>, however, that if any Interest Period for an Alternative Currency Term Rate Loan exceeds three months, the respective dates that fall every three months after the beginning of such Interest Period shall be Interest Payment Dates and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 with respect to any Swingline Loan, the day that such Loan is required to be repaid.</w:t>
      </w:r>
    </w:p>
    <w:p>
      <w:pPr>
        <w:spacing w:after="0" w:line="202"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means with respect to any Borrowing of a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Loan or of an Alternative Currency Term Rate Loan under any Class of Commitments, the period commencing on the date of such Borrowing and ending on the numerically corresponding</w:t>
      </w:r>
    </w:p>
    <w:p>
      <w:pPr>
        <w:sectPr>
          <w:pgSz w:w="11900" w:h="16838" w:orient="portrait"/>
          <w:cols w:equalWidth="0" w:num="1">
            <w:col w:w="10440"/>
          </w:cols>
          <w:pgMar w:left="1020" w:top="1401" w:right="439" w:bottom="1440" w:gutter="0" w:footer="0" w:header="0"/>
        </w:sectPr>
      </w:pPr>
    </w:p>
    <w:bookmarkStart w:id="126" w:name="page127"/>
    <w:bookmarkEnd w:id="126"/>
    <w:p>
      <w:pPr>
        <w:jc w:val="both"/>
        <w:spacing w:after="0" w:line="241" w:lineRule="auto"/>
        <w:rPr>
          <w:sz w:val="20"/>
          <w:szCs w:val="20"/>
          <w:color w:val="auto"/>
        </w:rPr>
      </w:pPr>
      <w:r>
        <w:rPr>
          <w:rFonts w:ascii="Arial" w:cs="Arial" w:eastAsia="Arial" w:hAnsi="Arial"/>
          <w:sz w:val="19"/>
          <w:szCs w:val="19"/>
          <w:color w:val="auto"/>
        </w:rPr>
        <w:t xml:space="preserve">day in the calendar month that is one, </w:t>
      </w:r>
      <w:r>
        <w:rPr>
          <w:rFonts w:ascii="Arial" w:cs="Arial" w:eastAsia="Arial" w:hAnsi="Arial"/>
          <w:sz w:val="19"/>
          <w:szCs w:val="19"/>
          <w:color w:val="FF0000"/>
          <w:strike w:val="1"/>
        </w:rPr>
        <w:t>two,</w:t>
      </w:r>
      <w:r>
        <w:rPr>
          <w:rFonts w:ascii="Arial" w:cs="Arial" w:eastAsia="Arial" w:hAnsi="Arial"/>
          <w:sz w:val="19"/>
          <w:szCs w:val="19"/>
          <w:color w:val="auto"/>
        </w:rPr>
        <w:t xml:space="preserve"> three or six months thereafter (in each case, subject to availability </w:t>
      </w:r>
      <w:r>
        <w:rPr>
          <w:rFonts w:ascii="Arial" w:cs="Arial" w:eastAsia="Arial" w:hAnsi="Arial"/>
          <w:sz w:val="19"/>
          <w:szCs w:val="19"/>
          <w:u w:val="single" w:color="auto"/>
          <w:color w:val="0000FF"/>
        </w:rPr>
        <w:t>for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interest rate applicable to the relevant currency or currencies</w:t>
      </w:r>
      <w:r>
        <w:rPr>
          <w:rFonts w:ascii="Arial" w:cs="Arial" w:eastAsia="Arial" w:hAnsi="Arial"/>
          <w:sz w:val="19"/>
          <w:szCs w:val="19"/>
          <w:color w:val="000000"/>
        </w:rPr>
        <w:t>), or such other period that is twelve months or less</w:t>
      </w:r>
      <w:r>
        <w:rPr>
          <w:rFonts w:ascii="Arial" w:cs="Arial" w:eastAsia="Arial" w:hAnsi="Arial"/>
          <w:sz w:val="19"/>
          <w:szCs w:val="19"/>
          <w:color w:val="0000FF"/>
        </w:rPr>
        <w:t xml:space="preserve"> </w:t>
      </w:r>
      <w:r>
        <w:rPr>
          <w:rFonts w:ascii="Arial" w:cs="Arial" w:eastAsia="Arial" w:hAnsi="Arial"/>
          <w:sz w:val="19"/>
          <w:szCs w:val="19"/>
          <w:color w:val="000000"/>
        </w:rPr>
        <w:t xml:space="preserve">requested by the Borrower and that is consented to by all the Lenders </w:t>
      </w:r>
      <w:r>
        <w:rPr>
          <w:rFonts w:ascii="Arial" w:cs="Arial" w:eastAsia="Arial" w:hAnsi="Arial"/>
          <w:sz w:val="19"/>
          <w:szCs w:val="19"/>
          <w:u w:val="single" w:color="auto"/>
          <w:color w:val="0000FF"/>
        </w:rPr>
        <w:t>and the Administrative Agent (in the case of each</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requested Interest Period, subject to availability)</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FF"/>
        </w:rPr>
        <w:t xml:space="preserve"> </w:t>
      </w:r>
      <w:r>
        <w:rPr>
          <w:rFonts w:ascii="Arial" w:cs="Arial" w:eastAsia="Arial" w:hAnsi="Arial"/>
          <w:sz w:val="19"/>
          <w:szCs w:val="19"/>
          <w:color w:val="000000"/>
        </w:rPr>
        <w:t>that (i) if any Interest Period would end on a day other than a</w:t>
      </w:r>
      <w:r>
        <w:rPr>
          <w:rFonts w:ascii="Arial" w:cs="Arial" w:eastAsia="Arial" w:hAnsi="Arial"/>
          <w:sz w:val="19"/>
          <w:szCs w:val="19"/>
          <w:color w:val="0000FF"/>
        </w:rPr>
        <w:t xml:space="preserve"> </w:t>
      </w:r>
      <w:r>
        <w:rPr>
          <w:rFonts w:ascii="Arial" w:cs="Arial" w:eastAsia="Arial" w:hAnsi="Arial"/>
          <w:sz w:val="19"/>
          <w:szCs w:val="19"/>
          <w:color w:val="000000"/>
        </w:rPr>
        <w:t xml:space="preserve">Business Day, such Interest Period shall be extended to the next succeeding Business Day unless, in the case of a Borrowing of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Loan or of an Alternative Currency Term Rate Loan only, such next succeeding Business Day would fall in the next calendar month, in which case such Interest Period shall end on the next preceding Business Day, (ii) any Interest Period pertaining to a Borrowing of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Loan or of an Alternative Currency Term Rate Loan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Revolving Credit Maturity Date with respect to such Class.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9"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 to exceed the original amount of such Investment and (ii) in the event the Borrower or any Subsidiary (an “</w:t>
      </w:r>
      <w:r>
        <w:rPr>
          <w:rFonts w:ascii="Arial" w:cs="Arial" w:eastAsia="Arial" w:hAnsi="Arial"/>
          <w:sz w:val="19"/>
          <w:szCs w:val="19"/>
          <w:u w:val="single" w:color="auto"/>
          <w:color w:val="auto"/>
        </w:rPr>
        <w:t>Initial Investing Person</w:t>
      </w:r>
      <w:r>
        <w:rPr>
          <w:rFonts w:ascii="Arial" w:cs="Arial" w:eastAsia="Arial" w:hAnsi="Arial"/>
          <w:sz w:val="19"/>
          <w:szCs w:val="19"/>
          <w:color w:val="auto"/>
        </w:rPr>
        <w:t>”) transfers an amount of cash or other Property (the “</w:t>
      </w:r>
      <w:r>
        <w:rPr>
          <w:rFonts w:ascii="Arial" w:cs="Arial" w:eastAsia="Arial" w:hAnsi="Arial"/>
          <w:sz w:val="19"/>
          <w:szCs w:val="19"/>
          <w:u w:val="single" w:color="auto"/>
          <w:color w:val="auto"/>
        </w:rPr>
        <w:t>Invested Amount</w:t>
      </w:r>
      <w:r>
        <w:rPr>
          <w:rFonts w:ascii="Arial" w:cs="Arial" w:eastAsia="Arial" w:hAnsi="Arial"/>
          <w:sz w:val="19"/>
          <w:szCs w:val="19"/>
          <w:color w:val="auto"/>
        </w:rPr>
        <w:t>”) for purposes of permitting the Borrower or one or more other Subsidiaries to ultimately make an Investment of the Invested Amount in the Borrower, any Subsidiary or any other Person (the Person in which such Investment is ultimately made, the “</w:t>
      </w:r>
      <w:r>
        <w:rPr>
          <w:rFonts w:ascii="Arial" w:cs="Arial" w:eastAsia="Arial" w:hAnsi="Arial"/>
          <w:sz w:val="19"/>
          <w:szCs w:val="19"/>
          <w:u w:val="single" w:color="auto"/>
          <w:color w:val="auto"/>
        </w:rPr>
        <w:t>Subject</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through a series of substantially concurrent intermediate transfers of the Invested Amount to the Borrower or one or more other Subsidiaries other than the Subject Person (each an “</w:t>
      </w:r>
      <w:r>
        <w:rPr>
          <w:rFonts w:ascii="Arial" w:cs="Arial" w:eastAsia="Arial" w:hAnsi="Arial"/>
          <w:sz w:val="19"/>
          <w:szCs w:val="19"/>
          <w:u w:val="single" w:color="auto"/>
          <w:color w:val="auto"/>
        </w:rPr>
        <w:t>Intermediate Investing Person</w:t>
      </w:r>
      <w:r>
        <w:rPr>
          <w:rFonts w:ascii="Arial" w:cs="Arial" w:eastAsia="Arial" w:hAnsi="Arial"/>
          <w:sz w:val="19"/>
          <w:szCs w:val="19"/>
          <w:color w:val="auto"/>
        </w:rPr>
        <w:t>”), including through the incurrence or repayment of intercompany Indebtedness, 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60"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ISP</w:t>
      </w:r>
      <w:r>
        <w:rPr>
          <w:rFonts w:ascii="Arial" w:cs="Arial" w:eastAsia="Arial" w:hAnsi="Arial"/>
          <w:sz w:val="22"/>
          <w:szCs w:val="22"/>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Documents</w:t>
      </w:r>
      <w:r>
        <w:rPr>
          <w:rFonts w:ascii="Arial" w:cs="Arial" w:eastAsia="Arial" w:hAnsi="Arial"/>
          <w:sz w:val="22"/>
          <w:szCs w:val="22"/>
          <w:color w:val="auto"/>
        </w:rPr>
        <w:t>” means with respect to any Letter of Credit, the Letter of Credit Application, and any other document, agreement and instrument entered into by the applicable Issuing Bank and the Borrower (or any Subsidiary) or in favor of the applicable Issuing Bank and relating to such Letter of Credit.</w:t>
      </w:r>
    </w:p>
    <w:p>
      <w:pPr>
        <w:sectPr>
          <w:pgSz w:w="11900" w:h="16838" w:orient="portrait"/>
          <w:cols w:equalWidth="0" w:num="1">
            <w:col w:w="10420"/>
          </w:cols>
          <w:pgMar w:left="1020" w:top="1401" w:right="459" w:bottom="1440" w:gutter="0" w:footer="0" w:header="0"/>
        </w:sectPr>
      </w:pPr>
    </w:p>
    <w:bookmarkStart w:id="127" w:name="page128"/>
    <w:bookmarkEnd w:id="127"/>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means Bank of America, Goldman Sachs Bank USA and any other Lender (subject to such Lender’s consent) designated by the Borrower and consented to by the Administrative Agent (such consent not to be unreasonably withheld or delayed) that becomes an Issuing Bank, in each case in its capacity as an issuer of Letters of Credit hereunder, and any successors in such capacity as provided in Section 9.04. An Issuing Bank may, in its discretion, arrange for one or more Letters of Credit to be issued by Affiliates of such Issuing Bank, in which case the term “</w:t>
      </w:r>
      <w:r>
        <w:rPr>
          <w:rFonts w:ascii="Arial" w:cs="Arial" w:eastAsia="Arial" w:hAnsi="Arial"/>
          <w:sz w:val="19"/>
          <w:szCs w:val="19"/>
          <w:u w:val="single" w:color="auto"/>
          <w:color w:val="auto"/>
        </w:rPr>
        <w:t>Issuing Bank</w:t>
      </w:r>
      <w:r>
        <w:rPr>
          <w:rFonts w:ascii="Arial" w:cs="Arial" w:eastAsia="Arial" w:hAnsi="Arial"/>
          <w:sz w:val="19"/>
          <w:szCs w:val="19"/>
          <w:color w:val="auto"/>
        </w:rPr>
        <w:t>” shall include any such Affiliate with respect to Letters of Credit issued by such Affiliate.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KPIs</w:t>
      </w:r>
      <w:r>
        <w:rPr>
          <w:rFonts w:ascii="Arial" w:cs="Arial" w:eastAsia="Arial" w:hAnsi="Arial"/>
          <w:sz w:val="22"/>
          <w:szCs w:val="22"/>
          <w:color w:val="auto"/>
        </w:rPr>
        <w:t>” has the meaning set forth in Section 2.23.</w:t>
      </w:r>
    </w:p>
    <w:p>
      <w:pPr>
        <w:spacing w:after="0" w:line="206"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Latest Maturity Date</w:t>
      </w:r>
      <w:r>
        <w:rPr>
          <w:rFonts w:ascii="Arial" w:cs="Arial" w:eastAsia="Arial" w:hAnsi="Arial"/>
          <w:sz w:val="21"/>
          <w:szCs w:val="21"/>
          <w:color w:val="auto"/>
        </w:rPr>
        <w:t>” means, at any date of determination, the latest Revolving Credit Maturity Date applicable to any Class of Loans or Commitments hereunder at such time, including the latest termination date of any Extended Revolving Commitment, as extended in accordance with this Agreement from time to time.</w:t>
      </w:r>
    </w:p>
    <w:p>
      <w:pPr>
        <w:spacing w:after="0" w:line="198" w:lineRule="exact"/>
        <w:rPr>
          <w:sz w:val="20"/>
          <w:szCs w:val="20"/>
          <w:color w:val="auto"/>
        </w:rPr>
      </w:pPr>
    </w:p>
    <w:p>
      <w:pPr>
        <w:jc w:val="both"/>
        <w:ind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means, collectively, all international, foreign, Federal, state and local statutes, treaties, rules, guidelines, regulations, ordinances, codes and administrative or judicial precedents or authorities.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Fees</w:t>
      </w:r>
      <w:r>
        <w:rPr>
          <w:rFonts w:ascii="Arial" w:cs="Arial" w:eastAsia="Arial" w:hAnsi="Arial"/>
          <w:sz w:val="22"/>
          <w:szCs w:val="22"/>
          <w:color w:val="auto"/>
        </w:rPr>
        <w:t>” has the meaning set forth in Section 2.11(b)(i).</w:t>
      </w:r>
    </w:p>
    <w:p>
      <w:pPr>
        <w:spacing w:after="0" w:line="206" w:lineRule="exact"/>
        <w:rPr>
          <w:sz w:val="20"/>
          <w:szCs w:val="20"/>
          <w:color w:val="auto"/>
        </w:rPr>
      </w:pPr>
    </w:p>
    <w:p>
      <w:pPr>
        <w:jc w:val="both"/>
        <w:ind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Advance</w:t>
      </w:r>
      <w:r>
        <w:rPr>
          <w:rFonts w:ascii="Arial" w:cs="Arial" w:eastAsia="Arial" w:hAnsi="Arial"/>
          <w:sz w:val="22"/>
          <w:szCs w:val="22"/>
          <w:color w:val="auto"/>
        </w:rPr>
        <w:t>” means, with respect to each Revolving Lender, such Revolving Lender’s funding of its participation in any L/C Borrowing in accordance with its Applicable Percentage. All L/C Advances shall be denominated in Dollars.</w:t>
      </w:r>
    </w:p>
    <w:p>
      <w:pPr>
        <w:spacing w:after="0" w:line="19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Borrowing</w:t>
      </w:r>
      <w:r>
        <w:rPr>
          <w:rFonts w:ascii="Arial" w:cs="Arial" w:eastAsia="Arial" w:hAnsi="Arial"/>
          <w:sz w:val="22"/>
          <w:szCs w:val="22"/>
          <w:color w:val="auto"/>
        </w:rPr>
        <w:t>” means an extension of credit resulting from an L/C Disbursement under any Letter of Credit which has not been reimbursed on the date when made or refinanced as a Base Rate Loan Borrowing. All L/C Borrowings shall be denominated in Dollars.</w:t>
      </w:r>
    </w:p>
    <w:p>
      <w:pPr>
        <w:spacing w:after="0" w:line="186"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Credit Extension</w:t>
      </w:r>
      <w:r>
        <w:rPr>
          <w:rFonts w:ascii="Arial" w:cs="Arial" w:eastAsia="Arial" w:hAnsi="Arial"/>
          <w:sz w:val="22"/>
          <w:szCs w:val="22"/>
          <w:color w:val="auto"/>
        </w:rPr>
        <w:t>” means, with respect to any Letter of Credit, the issuance thereof or extension of the expiry date thereof, or the increase of the amount thereof.</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 Issuing Bank pursuant to a Letter of</w:t>
      </w:r>
    </w:p>
    <w:p>
      <w:pPr>
        <w:spacing w:after="0"/>
        <w:rPr>
          <w:sz w:val="20"/>
          <w:szCs w:val="20"/>
          <w:color w:val="auto"/>
        </w:rPr>
      </w:pPr>
      <w:r>
        <w:rPr>
          <w:rFonts w:ascii="Arial" w:cs="Arial" w:eastAsia="Arial" w:hAnsi="Arial"/>
          <w:sz w:val="22"/>
          <w:szCs w:val="22"/>
          <w:color w:val="auto"/>
        </w:rPr>
        <w:t>Credit.</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Exposure</w:t>
      </w:r>
      <w:r>
        <w:rPr>
          <w:rFonts w:ascii="Arial" w:cs="Arial" w:eastAsia="Arial" w:hAnsi="Arial"/>
          <w:sz w:val="22"/>
          <w:szCs w:val="22"/>
          <w:color w:val="auto"/>
        </w:rPr>
        <w:t>” means, at any time, the sum of (a) the aggregate Outstanding Amount of</w:t>
      </w:r>
    </w:p>
    <w:p>
      <w:pPr>
        <w:ind w:right="700"/>
        <w:spacing w:after="0" w:line="224" w:lineRule="auto"/>
        <w:rPr>
          <w:sz w:val="20"/>
          <w:szCs w:val="20"/>
          <w:color w:val="auto"/>
        </w:rPr>
      </w:pPr>
      <w:r>
        <w:rPr>
          <w:rFonts w:ascii="Arial" w:cs="Arial" w:eastAsia="Arial" w:hAnsi="Arial"/>
          <w:sz w:val="22"/>
          <w:szCs w:val="22"/>
          <w:color w:val="auto"/>
        </w:rPr>
        <w:t>all Letters of Credit at such time plus (b) the aggregate Outstanding Amount of all L/C Disbursements, including Unreimbursed Amounts, that have not yet been reimbursed by or on</w:t>
      </w:r>
    </w:p>
    <w:p>
      <w:pPr>
        <w:sectPr>
          <w:pgSz w:w="11900" w:h="16838" w:orient="portrait"/>
          <w:cols w:equalWidth="0" w:num="1">
            <w:col w:w="10440"/>
          </w:cols>
          <w:pgMar w:left="1020" w:top="1347" w:right="439" w:bottom="1440" w:gutter="0" w:footer="0" w:header="0"/>
        </w:sectPr>
      </w:pPr>
    </w:p>
    <w:bookmarkStart w:id="128" w:name="page129"/>
    <w:bookmarkEnd w:id="128"/>
    <w:p>
      <w:pPr>
        <w:jc w:val="both"/>
        <w:spacing w:after="0" w:line="249" w:lineRule="auto"/>
        <w:rPr>
          <w:sz w:val="20"/>
          <w:szCs w:val="20"/>
          <w:color w:val="auto"/>
        </w:rPr>
      </w:pPr>
      <w:r>
        <w:rPr>
          <w:rFonts w:ascii="Arial" w:cs="Arial" w:eastAsia="Arial" w:hAnsi="Arial"/>
          <w:sz w:val="19"/>
          <w:szCs w:val="19"/>
          <w:color w:val="auto"/>
        </w:rPr>
        <w:t>behalf of the Borrower at such time. The L/C Exposure of any Revolving Lender at any time shall be its Applicable Percentage of the total L/C Exposure at such time. For purposes of computing the amount available to be drawn under any Letter of Credit, the amount of such Letter of Credit shall be determined in accordance with Section 1.11.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6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 Sublimit</w:t>
      </w:r>
      <w:r>
        <w:rPr>
          <w:rFonts w:ascii="Arial" w:cs="Arial" w:eastAsia="Arial" w:hAnsi="Arial"/>
          <w:sz w:val="19"/>
          <w:szCs w:val="19"/>
          <w:color w:val="auto"/>
        </w:rPr>
        <w:t xml:space="preserve">” means $300,000,000;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Letters of Credit for which Bank of America (together with its successors and assigns) acts as Issuing Bank shall not exceed $150,000,000 at any time (as such amount may be increased from time to time in the sole discretion of Bank of America, so long as such amount does not exceed the L/C Exposure Sublimit and notice of such increase is provided to the Administrative Agent) and (ii) the Letters of Credit for which Goldman Sachs Bank USA (together with its successors and assigns) acts as Issuing Bank shall not exceed $150,000,000 at any time (as such amount may be increased from time to time in the sole discretion of Goldman Sachs Bank USA, so long as such amount does not exceed the L/C Exposure Sublimit).</w:t>
      </w:r>
    </w:p>
    <w:p>
      <w:pPr>
        <w:spacing w:after="0" w:line="194"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and any other Person that shall have become a Lender hereunder pursuant to Section 2.19 or pursuant to an Assignment and Assumption, other than any such Person that ceases to be a party hereto pursuant to an Assignment and Assumption. Unless the context otherwise requires, the term “Lenders” includes the Swingline Lender.</w:t>
      </w:r>
    </w:p>
    <w:p>
      <w:pPr>
        <w:spacing w:after="0" w:line="201"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Parties</w:t>
      </w:r>
      <w:r>
        <w:rPr>
          <w:rFonts w:ascii="Arial" w:cs="Arial" w:eastAsia="Arial" w:hAnsi="Arial"/>
          <w:sz w:val="22"/>
          <w:szCs w:val="22"/>
          <w:color w:val="auto"/>
        </w:rPr>
        <w:t>” means, collectively, the Administrative Agent, the Lenders (including the Swingline Lender), the Issuing Banks and each co-agent or sub-agent appointed by the Administrative Agent from time to time pursuant to clause (e) of Article VIII.</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Lending Office</w:t>
      </w:r>
      <w:r>
        <w:rPr>
          <w:rFonts w:ascii="Arial" w:cs="Arial" w:eastAsia="Arial" w:hAnsi="Arial"/>
          <w:sz w:val="22"/>
          <w:szCs w:val="22"/>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a Letter of Credit issued pursuant to Section 2.05. “</w:t>
      </w:r>
      <w:r>
        <w:rPr>
          <w:rFonts w:ascii="Arial" w:cs="Arial" w:eastAsia="Arial" w:hAnsi="Arial"/>
          <w:sz w:val="19"/>
          <w:szCs w:val="19"/>
          <w:u w:val="single" w:color="auto"/>
          <w:color w:val="auto"/>
        </w:rPr>
        <w:t>Letter of Credit Application</w:t>
      </w:r>
      <w:r>
        <w:rPr>
          <w:rFonts w:ascii="Arial" w:cs="Arial" w:eastAsia="Arial" w:hAnsi="Arial"/>
          <w:sz w:val="19"/>
          <w:szCs w:val="19"/>
          <w:color w:val="auto"/>
        </w:rPr>
        <w:t>” means</w:t>
      </w:r>
    </w:p>
    <w:p>
      <w:pPr>
        <w:spacing w:after="0" w:line="30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 application and agreement for the issuance or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amendment of a Letter of Credit in the form from time to time in use by the applicable Issuing Bank.</w:t>
      </w:r>
    </w:p>
    <w:p>
      <w:pPr>
        <w:spacing w:after="0" w:line="28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Expiration Date</w:t>
      </w:r>
      <w:r>
        <w:rPr>
          <w:rFonts w:ascii="Arial" w:cs="Arial" w:eastAsia="Arial" w:hAnsi="Arial"/>
          <w:sz w:val="22"/>
          <w:szCs w:val="22"/>
          <w:color w:val="auto"/>
        </w:rPr>
        <w:t>” means the day that is five Business Days prior to (a) the initial Revolving Credit Maturity Date or (b) if the Commitment of each applicable Issuing Bank is extended pursuant to a Revolving Extension Series, the Latest Maturity Date (or, in each case, if such day is not a Business Day, the next preceding Business Day).</w:t>
      </w:r>
    </w:p>
    <w:p>
      <w:pPr>
        <w:sectPr>
          <w:pgSz w:w="11900" w:h="16838" w:orient="portrait"/>
          <w:cols w:equalWidth="0" w:num="1">
            <w:col w:w="10440"/>
          </w:cols>
          <w:pgMar w:left="1020" w:top="1401" w:right="439" w:bottom="1440" w:gutter="0" w:footer="0" w:header="0"/>
        </w:sectPr>
      </w:pPr>
    </w:p>
    <w:bookmarkStart w:id="129" w:name="page130"/>
    <w:bookmarkEnd w:id="129"/>
    <w:p>
      <w:pPr>
        <w:ind w:left="64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LIBOR</w:t>
      </w:r>
      <w:r>
        <w:rPr>
          <w:rFonts w:ascii="Arial" w:cs="Arial" w:eastAsia="Arial" w:hAnsi="Arial"/>
          <w:sz w:val="22"/>
          <w:szCs w:val="22"/>
          <w:color w:val="FF0000"/>
          <w:strike w:val="1"/>
        </w:rPr>
        <w:t>” has the meaning specified in the definition of Eurocurrency Rate.</w:t>
      </w:r>
    </w:p>
    <w:p>
      <w:pPr>
        <w:spacing w:after="0" w:line="220" w:lineRule="exact"/>
        <w:rPr>
          <w:sz w:val="20"/>
          <w:szCs w:val="20"/>
          <w:color w:val="auto"/>
        </w:rPr>
      </w:pPr>
    </w:p>
    <w:p>
      <w:pPr>
        <w:jc w:val="both"/>
        <w:ind w:right="20" w:firstLine="648"/>
        <w:spacing w:after="0" w:line="220"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LIBOR Daily Floating Rate</w:t>
      </w:r>
      <w:r>
        <w:rPr>
          <w:rFonts w:ascii="Arial" w:cs="Arial" w:eastAsia="Arial" w:hAnsi="Arial"/>
          <w:sz w:val="21"/>
          <w:szCs w:val="21"/>
          <w:color w:val="FF0000"/>
          <w:strike w:val="1"/>
        </w:rPr>
        <w:t>” means, as of any date of determination, the rate per annum equal to the London Interbank Offered Rate as administered by ICE Benchmark Administration (or any other Person that takes over the administration of such rate) for Dollars for delivery on the date in question for a one month Interest Period beginning on that date as published on the applicable Reuters screen page (or such other commercially available source providing such quotations as may be designated by the Administrative Agent from time to time) at approximately 11:00 a.m., London time, two Business Days prior to the date in question, as adjusted from time to time in the Administrative Agent’s sole discretion for reserve requirements, deposit insurance assessment rates and other regulatory costs; provided that if the LIBOR Daily Floating Rate shall be less than zero percent (0%), such rate shall be deemed zero percent (0%) for purposes of this Agreement. The LIBOR Daily Floating Rate is a fluctuating rate of interest which can change on each Business Day.</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LIBOR Daily Floating Rate Loan</w:t>
      </w:r>
      <w:r>
        <w:rPr>
          <w:rFonts w:ascii="Arial" w:cs="Arial" w:eastAsia="Arial" w:hAnsi="Arial"/>
          <w:sz w:val="19"/>
          <w:szCs w:val="19"/>
          <w:color w:val="FF0000"/>
          <w:strike w:val="1"/>
        </w:rPr>
        <w:t>” means a Loan that bears interest based on the LIBOR Daily Floating Rate.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LIBOR Daily Floating Rate Loans shall be denominated in Dollars.</w:t>
      </w:r>
    </w:p>
    <w:p>
      <w:pPr>
        <w:spacing w:after="0" w:line="202"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9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any Guarantee Agreement, any Guarantor Joinder Agreement, any Issuer Documents, any promissory notes executed and delivered pursuant to Section 2.09(e) and any amendments, waivers, supplements or other modifications to any of the foregoing.</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the Borrower and the Guarantors from time to time party hereto, if</w:t>
      </w:r>
    </w:p>
    <w:p>
      <w:pPr>
        <w:spacing w:after="0"/>
        <w:rPr>
          <w:sz w:val="20"/>
          <w:szCs w:val="20"/>
          <w:color w:val="auto"/>
        </w:rPr>
      </w:pPr>
      <w:r>
        <w:rPr>
          <w:rFonts w:ascii="Arial" w:cs="Arial" w:eastAsia="Arial" w:hAnsi="Arial"/>
          <w:sz w:val="22"/>
          <w:szCs w:val="22"/>
          <w:color w:val="auto"/>
        </w:rPr>
        <w:t>any.</w:t>
      </w:r>
    </w:p>
    <w:p>
      <w:pPr>
        <w:spacing w:after="0" w:line="215" w:lineRule="exact"/>
        <w:rPr>
          <w:sz w:val="20"/>
          <w:szCs w:val="20"/>
          <w:color w:val="auto"/>
        </w:rPr>
      </w:pPr>
    </w:p>
    <w:p>
      <w:pPr>
        <w:ind w:right="29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 pursuant to this Agreement.</w:t>
      </w:r>
    </w:p>
    <w:p>
      <w:pPr>
        <w:spacing w:after="0" w:line="199"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business, assets, property or financial condition of the Borrower and its Subsidiaries taken as a whole or (b) the validity or enforceability of this Agreement or any and all other Loan Documents, or the rights and remedies of the Administrative Agent and the Lenders thereunder.</w:t>
      </w:r>
    </w:p>
    <w:p>
      <w:pPr>
        <w:spacing w:after="0" w:line="173"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means Indebtedness (other than the Loans and Letters of Credit), of any one or more of the Loan Parties and their Subsidiaries in an aggregate principal amount exceeding $250,000,000.</w:t>
      </w:r>
    </w:p>
    <w:p>
      <w:pPr>
        <w:spacing w:after="0" w:line="178"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Subsidiary</w:t>
      </w:r>
      <w:r>
        <w:rPr>
          <w:rFonts w:ascii="Arial" w:cs="Arial" w:eastAsia="Arial" w:hAnsi="Arial"/>
          <w:sz w:val="22"/>
          <w:szCs w:val="22"/>
          <w:color w:val="auto"/>
        </w:rPr>
        <w:t>” means any Guarantor or any Subsidiary (or group of Subsidiaries as to which a specified condition applies) that would be a “significant subsidiary” under Rule 1-02(w) of Regulation S-X.</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has the meaning assigned to such term in Section 9.14.</w:t>
      </w:r>
    </w:p>
    <w:p>
      <w:pPr>
        <w:sectPr>
          <w:pgSz w:w="11900" w:h="16838" w:orient="portrait"/>
          <w:cols w:equalWidth="0" w:num="1">
            <w:col w:w="10440"/>
          </w:cols>
          <w:pgMar w:left="1020" w:top="1401" w:right="439" w:bottom="1440" w:gutter="0" w:footer="0" w:header="0"/>
        </w:sectPr>
      </w:pPr>
    </w:p>
    <w:bookmarkStart w:id="130" w:name="page131"/>
    <w:bookmarkEnd w:id="130"/>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206"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Mylan Guarantors</w:t>
      </w:r>
      <w:r>
        <w:rPr>
          <w:rFonts w:ascii="Arial" w:cs="Arial" w:eastAsia="Arial" w:hAnsi="Arial"/>
          <w:sz w:val="22"/>
          <w:szCs w:val="22"/>
          <w:color w:val="auto"/>
        </w:rPr>
        <w:t>” means each Affiliate or Subsidiary of the Borrower, including Mylan Inc., that is an issuer or guarantor of any Mylan Notes or is otherwise required to provide a guarantee of the Obligations pursuant to Section 5.09.</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Mylan Indentures</w:t>
      </w:r>
      <w:r>
        <w:rPr>
          <w:rFonts w:ascii="Arial" w:cs="Arial" w:eastAsia="Arial" w:hAnsi="Arial"/>
          <w:sz w:val="22"/>
          <w:szCs w:val="22"/>
          <w:color w:val="auto"/>
        </w:rPr>
        <w:t>” means the following:</w:t>
      </w:r>
    </w:p>
    <w:p>
      <w:pPr>
        <w:spacing w:after="0" w:line="220" w:lineRule="exact"/>
        <w:rPr>
          <w:sz w:val="20"/>
          <w:szCs w:val="20"/>
          <w:color w:val="auto"/>
        </w:rPr>
      </w:pPr>
    </w:p>
    <w:p>
      <w:pPr>
        <w:ind w:firstLine="1288"/>
        <w:spacing w:after="0" w:line="232" w:lineRule="auto"/>
        <w:tabs>
          <w:tab w:leader="none" w:pos="1900"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Indenture dated as of December 21, 2012, among Mylan Inc., as issuer, the subsidiaries party thereto, and The Bank of New York Mellon, as trustee;</w:t>
      </w:r>
    </w:p>
    <w:p>
      <w:pPr>
        <w:spacing w:after="0" w:line="185" w:lineRule="exact"/>
        <w:rPr>
          <w:rFonts w:ascii="Arial" w:cs="Arial" w:eastAsia="Arial" w:hAnsi="Arial"/>
          <w:sz w:val="22"/>
          <w:szCs w:val="22"/>
          <w:color w:val="010000"/>
        </w:rPr>
      </w:pPr>
    </w:p>
    <w:p>
      <w:pPr>
        <w:ind w:right="40" w:firstLine="1288"/>
        <w:spacing w:after="0" w:line="298" w:lineRule="auto"/>
        <w:tabs>
          <w:tab w:leader="none" w:pos="1899"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First supplemental indenture dated as of February 27, 2015, among Mylan Inc., as issuer, Mylan N.V., as guarantor, and The Bank of New York Mellon, as trustee, to the indenture dated as of December 21, 2012;</w:t>
      </w:r>
    </w:p>
    <w:p>
      <w:pPr>
        <w:spacing w:after="0" w:line="145" w:lineRule="exact"/>
        <w:rPr>
          <w:rFonts w:ascii="Arial" w:cs="Arial" w:eastAsia="Arial" w:hAnsi="Arial"/>
          <w:sz w:val="19"/>
          <w:szCs w:val="19"/>
          <w:color w:val="010000"/>
        </w:rPr>
      </w:pPr>
    </w:p>
    <w:p>
      <w:pPr>
        <w:ind w:right="40" w:firstLine="1288"/>
        <w:spacing w:after="0" w:line="298" w:lineRule="auto"/>
        <w:tabs>
          <w:tab w:leader="none" w:pos="1900"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Second supplemental indenture dated as of March 12, 2015, among Mylan Inc., as issuer, Mylan N.V., as parent, and The Bank of New York Mellon, as trustee, to the indenture dated as of December 21, 2012;</w:t>
      </w:r>
    </w:p>
    <w:p>
      <w:pPr>
        <w:spacing w:after="0" w:line="132" w:lineRule="exact"/>
        <w:rPr>
          <w:rFonts w:ascii="Arial" w:cs="Arial" w:eastAsia="Arial" w:hAnsi="Arial"/>
          <w:sz w:val="19"/>
          <w:szCs w:val="19"/>
          <w:color w:val="010000"/>
        </w:rPr>
      </w:pPr>
    </w:p>
    <w:p>
      <w:pPr>
        <w:jc w:val="both"/>
        <w:ind w:right="20" w:firstLine="1288"/>
        <w:spacing w:after="0" w:line="223" w:lineRule="auto"/>
        <w:tabs>
          <w:tab w:leader="none" w:pos="1899"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Third supplemental indenture dated as of November 16, 2020, by and among Mylan Inc., the Borrower, Utah Acquisition Sub Inc., Mylan II B.V. and the Bank of New York Mellon, as trustee, to the indenture dated as of December 21, 2012;</w:t>
      </w:r>
    </w:p>
    <w:p>
      <w:pPr>
        <w:spacing w:after="0" w:line="199" w:lineRule="exact"/>
        <w:rPr>
          <w:rFonts w:ascii="Arial" w:cs="Arial" w:eastAsia="Arial" w:hAnsi="Arial"/>
          <w:sz w:val="22"/>
          <w:szCs w:val="22"/>
          <w:color w:val="010000"/>
        </w:rPr>
      </w:pPr>
    </w:p>
    <w:p>
      <w:pPr>
        <w:ind w:right="40" w:firstLine="1288"/>
        <w:spacing w:after="0" w:line="232" w:lineRule="auto"/>
        <w:tabs>
          <w:tab w:leader="none" w:pos="1900"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Indenture dated as of November 29, 2013, by and between Mylan Inc., as issuer, and The Bank of New York Mellon, as trustee;</w:t>
      </w:r>
    </w:p>
    <w:p>
      <w:pPr>
        <w:spacing w:after="0" w:line="199" w:lineRule="exact"/>
        <w:rPr>
          <w:rFonts w:ascii="Arial" w:cs="Arial" w:eastAsia="Arial" w:hAnsi="Arial"/>
          <w:sz w:val="22"/>
          <w:szCs w:val="22"/>
          <w:color w:val="010000"/>
        </w:rPr>
      </w:pPr>
    </w:p>
    <w:p>
      <w:pPr>
        <w:ind w:right="40" w:firstLine="1288"/>
        <w:spacing w:after="0" w:line="247" w:lineRule="auto"/>
        <w:tabs>
          <w:tab w:leader="none" w:pos="1903" w:val="left"/>
        </w:tabs>
        <w:numPr>
          <w:ilvl w:val="0"/>
          <w:numId w:val="91"/>
        </w:numPr>
        <w:rPr>
          <w:rFonts w:ascii="Arial" w:cs="Arial" w:eastAsia="Arial" w:hAnsi="Arial"/>
          <w:sz w:val="21"/>
          <w:szCs w:val="21"/>
          <w:color w:val="010000"/>
        </w:rPr>
      </w:pPr>
      <w:r>
        <w:rPr>
          <w:rFonts w:ascii="Arial" w:cs="Arial" w:eastAsia="Arial" w:hAnsi="Arial"/>
          <w:sz w:val="21"/>
          <w:szCs w:val="21"/>
          <w:color w:val="auto"/>
        </w:rPr>
        <w:t>First supplemental indenture dated as of November 29, 2013, by and between Mylan Inc., as issuer, and The Bank of New York Mellon, as trustee, to the indenture dated as of November 29, 2013;</w:t>
      </w:r>
    </w:p>
    <w:p>
      <w:pPr>
        <w:spacing w:after="0" w:line="177" w:lineRule="exact"/>
        <w:rPr>
          <w:rFonts w:ascii="Arial" w:cs="Arial" w:eastAsia="Arial" w:hAnsi="Arial"/>
          <w:sz w:val="21"/>
          <w:szCs w:val="21"/>
          <w:color w:val="010000"/>
        </w:rPr>
      </w:pPr>
    </w:p>
    <w:p>
      <w:pPr>
        <w:jc w:val="both"/>
        <w:ind w:right="40" w:firstLine="1288"/>
        <w:spacing w:after="0" w:line="223" w:lineRule="auto"/>
        <w:tabs>
          <w:tab w:leader="none" w:pos="1899"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Second supplemental indenture dated as of February 27, 2015, among Mylan Inc., as issuer, Mylan N.V., as guarantor, and The Bank of New York Mellon, as trustee, to the indenture dated as of November 29, 2013;</w:t>
      </w:r>
    </w:p>
    <w:p>
      <w:pPr>
        <w:spacing w:after="0" w:line="199" w:lineRule="exact"/>
        <w:rPr>
          <w:rFonts w:ascii="Arial" w:cs="Arial" w:eastAsia="Arial" w:hAnsi="Arial"/>
          <w:sz w:val="22"/>
          <w:szCs w:val="22"/>
          <w:color w:val="010000"/>
        </w:rPr>
      </w:pPr>
    </w:p>
    <w:p>
      <w:pPr>
        <w:ind w:right="40" w:firstLine="1288"/>
        <w:spacing w:after="0" w:line="298" w:lineRule="auto"/>
        <w:tabs>
          <w:tab w:leader="none" w:pos="1899"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Third supplemental indenture dated as of March 12, 2015, among Mylan Inc., as issuer, Mylan N.V., as parent, and The Bank of New York Mellon, as trustee, to the indenture dated as of November 29, 2013;</w:t>
      </w:r>
    </w:p>
    <w:p>
      <w:pPr>
        <w:spacing w:after="0" w:line="132" w:lineRule="exact"/>
        <w:rPr>
          <w:rFonts w:ascii="Arial" w:cs="Arial" w:eastAsia="Arial" w:hAnsi="Arial"/>
          <w:sz w:val="19"/>
          <w:szCs w:val="19"/>
          <w:color w:val="010000"/>
        </w:rPr>
      </w:pPr>
    </w:p>
    <w:p>
      <w:pPr>
        <w:jc w:val="both"/>
        <w:ind w:right="40" w:firstLine="1288"/>
        <w:spacing w:after="0" w:line="223" w:lineRule="auto"/>
        <w:tabs>
          <w:tab w:leader="none" w:pos="1905"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Fourth supplemental indenture dated as of November 16, 2020, by and among Mylan, Inc., the Borrower, Utah Acquisition Sub Inc., Mylan II B.V. and the Bank of New York Mellon, as trustee, to the indenture dated as of November 29, 2013;</w:t>
      </w:r>
    </w:p>
    <w:p>
      <w:pPr>
        <w:spacing w:after="0" w:line="199" w:lineRule="exact"/>
        <w:rPr>
          <w:rFonts w:ascii="Arial" w:cs="Arial" w:eastAsia="Arial" w:hAnsi="Arial"/>
          <w:sz w:val="22"/>
          <w:szCs w:val="22"/>
          <w:color w:val="010000"/>
        </w:rPr>
      </w:pPr>
    </w:p>
    <w:p>
      <w:pPr>
        <w:ind w:right="40" w:firstLine="1288"/>
        <w:spacing w:after="0" w:line="232" w:lineRule="auto"/>
        <w:tabs>
          <w:tab w:leader="none" w:pos="1905"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Indenture dated as of June 9, 2016, among Mylan N.V., as issuer, Mylan Inc., as guarantor, and The Bank of New York Mellon, as trustee;</w:t>
      </w:r>
    </w:p>
    <w:p>
      <w:pPr>
        <w:sectPr>
          <w:pgSz w:w="11900" w:h="16838" w:orient="portrait"/>
          <w:cols w:equalWidth="0" w:num="1">
            <w:col w:w="10440"/>
          </w:cols>
          <w:pgMar w:left="1020" w:top="1401" w:right="439" w:bottom="1440" w:gutter="0" w:footer="0" w:header="0"/>
        </w:sectPr>
      </w:pPr>
    </w:p>
    <w:bookmarkStart w:id="131" w:name="page132"/>
    <w:bookmarkEnd w:id="131"/>
    <w:p>
      <w:pPr>
        <w:spacing w:after="0" w:line="204" w:lineRule="exact"/>
        <w:rPr>
          <w:sz w:val="20"/>
          <w:szCs w:val="20"/>
          <w:color w:val="auto"/>
        </w:rPr>
      </w:pPr>
    </w:p>
    <w:p>
      <w:pPr>
        <w:jc w:val="both"/>
        <w:ind w:right="40" w:firstLine="1288"/>
        <w:spacing w:after="0" w:line="223" w:lineRule="auto"/>
        <w:tabs>
          <w:tab w:leader="none" w:pos="1899"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First supplemental indenture dated as of November 16, 2020, by and among Mylan, Inc., the Borrower, Utah Acquisition Sub Inc., Mylan II B.V. and the Bank of New York Mellon, as trustee, to the indenture dated as of June 9, 2016;</w:t>
      </w:r>
    </w:p>
    <w:p>
      <w:pPr>
        <w:spacing w:after="0" w:line="199" w:lineRule="exact"/>
        <w:rPr>
          <w:rFonts w:ascii="Arial" w:cs="Arial" w:eastAsia="Arial" w:hAnsi="Arial"/>
          <w:sz w:val="22"/>
          <w:szCs w:val="22"/>
          <w:color w:val="010000"/>
        </w:rPr>
      </w:pPr>
    </w:p>
    <w:p>
      <w:pPr>
        <w:ind w:right="40" w:firstLine="1288"/>
        <w:spacing w:after="0" w:line="232" w:lineRule="auto"/>
        <w:tabs>
          <w:tab w:leader="none" w:pos="1905"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Indenture dated as of November 22, 2016, among Mylan N.V., as issuer, Mylan Inc., as guarantor, and Citibank, N.A., London Branch, as trustee;</w:t>
      </w:r>
    </w:p>
    <w:p>
      <w:pPr>
        <w:spacing w:after="0" w:line="185" w:lineRule="exact"/>
        <w:rPr>
          <w:rFonts w:ascii="Arial" w:cs="Arial" w:eastAsia="Arial" w:hAnsi="Arial"/>
          <w:sz w:val="22"/>
          <w:szCs w:val="22"/>
          <w:color w:val="010000"/>
        </w:rPr>
      </w:pPr>
    </w:p>
    <w:p>
      <w:pPr>
        <w:jc w:val="both"/>
        <w:ind w:right="40" w:firstLine="1288"/>
        <w:spacing w:after="0" w:line="223" w:lineRule="auto"/>
        <w:tabs>
          <w:tab w:leader="none" w:pos="1905"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First supplemental indenture dated as of November 16, 2020, by and among Mylan, Inc., the Borrower, Utah Acquisition Sub Inc., Mylan II B.V. and Citibank, N.A., London Branch, as trustee, to the indenture dated as of November 22, 2016;</w:t>
      </w:r>
    </w:p>
    <w:p>
      <w:pPr>
        <w:spacing w:after="0" w:line="199" w:lineRule="exact"/>
        <w:rPr>
          <w:rFonts w:ascii="Arial" w:cs="Arial" w:eastAsia="Arial" w:hAnsi="Arial"/>
          <w:sz w:val="22"/>
          <w:szCs w:val="22"/>
          <w:color w:val="010000"/>
        </w:rPr>
      </w:pPr>
    </w:p>
    <w:p>
      <w:pPr>
        <w:ind w:right="40" w:firstLine="1288"/>
        <w:spacing w:after="0" w:line="232" w:lineRule="auto"/>
        <w:tabs>
          <w:tab w:leader="none" w:pos="1899"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Indenture dated as of April 9, 2018, by and between Mylan Inc., as issuer, Mylan N.V., as guarantor, and The Bank of New York Mellon, as trustee;</w:t>
      </w:r>
    </w:p>
    <w:p>
      <w:pPr>
        <w:spacing w:after="0" w:line="199" w:lineRule="exact"/>
        <w:rPr>
          <w:rFonts w:ascii="Arial" w:cs="Arial" w:eastAsia="Arial" w:hAnsi="Arial"/>
          <w:sz w:val="22"/>
          <w:szCs w:val="22"/>
          <w:color w:val="010000"/>
        </w:rPr>
      </w:pPr>
    </w:p>
    <w:p>
      <w:pPr>
        <w:jc w:val="both"/>
        <w:ind w:right="40" w:firstLine="1288"/>
        <w:spacing w:after="0" w:line="223" w:lineRule="auto"/>
        <w:tabs>
          <w:tab w:leader="none" w:pos="1899"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First supplemental indenture dated as of November 16, 2020, by and among Mylan, Inc., the Borrower, Utah Acquisition Sub Inc., Mylan II B.V. and the Bank of New York Mellon, as trustee, to the indenture dated as of April 9, 2018;</w:t>
      </w:r>
    </w:p>
    <w:p>
      <w:pPr>
        <w:spacing w:after="0" w:line="166" w:lineRule="exact"/>
        <w:rPr>
          <w:rFonts w:ascii="Arial" w:cs="Arial" w:eastAsia="Arial" w:hAnsi="Arial"/>
          <w:sz w:val="22"/>
          <w:szCs w:val="22"/>
          <w:color w:val="010000"/>
        </w:rPr>
      </w:pPr>
    </w:p>
    <w:p>
      <w:pPr>
        <w:ind w:left="1940" w:hanging="652"/>
        <w:spacing w:after="0"/>
        <w:tabs>
          <w:tab w:leader="none" w:pos="1940"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Indenture dated as of May 23, 2018, by and between Mylan Inc., as issuer,</w:t>
      </w:r>
    </w:p>
    <w:p>
      <w:pPr>
        <w:spacing w:after="0"/>
        <w:rPr>
          <w:sz w:val="20"/>
          <w:szCs w:val="20"/>
          <w:color w:val="auto"/>
        </w:rPr>
      </w:pPr>
      <w:r>
        <w:rPr>
          <w:rFonts w:ascii="Arial" w:cs="Arial" w:eastAsia="Arial" w:hAnsi="Arial"/>
          <w:sz w:val="22"/>
          <w:szCs w:val="22"/>
          <w:color w:val="auto"/>
        </w:rPr>
        <w:t>Mylan N.V., as guarantor, and Citibank, N.A., London Branch, as trustee; and</w:t>
      </w:r>
    </w:p>
    <w:p>
      <w:pPr>
        <w:spacing w:after="0" w:line="202" w:lineRule="exact"/>
        <w:rPr>
          <w:sz w:val="20"/>
          <w:szCs w:val="20"/>
          <w:color w:val="auto"/>
        </w:rPr>
      </w:pPr>
    </w:p>
    <w:p>
      <w:pPr>
        <w:jc w:val="both"/>
        <w:ind w:right="40" w:firstLine="1288"/>
        <w:spacing w:after="0" w:line="223" w:lineRule="auto"/>
        <w:tabs>
          <w:tab w:leader="none" w:pos="1899"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First supplemental indenture dated as of November 16, 2020, by and among Mylan, Inc., the Borrower, Utah Acquisition Sub Inc., Mylan II B.V. and Citibank, N.A., London Branch, as trustee, to the indenture dated as of May 23, 2018.</w:t>
      </w:r>
    </w:p>
    <w:p>
      <w:pPr>
        <w:spacing w:after="0" w:line="186"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Mylan Notes</w:t>
      </w:r>
      <w:r>
        <w:rPr>
          <w:rFonts w:ascii="Arial" w:cs="Arial" w:eastAsia="Arial" w:hAnsi="Arial"/>
          <w:sz w:val="22"/>
          <w:szCs w:val="22"/>
          <w:color w:val="auto"/>
        </w:rPr>
        <w:t>” means any senior notes issued by Mylan N.V. and Mylan Inc., as applicable, under the Mylan Indentures that are outstanding.</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Lender</w:t>
      </w:r>
      <w:r>
        <w:rPr>
          <w:rFonts w:ascii="Arial" w:cs="Arial" w:eastAsia="Arial" w:hAnsi="Arial"/>
          <w:sz w:val="19"/>
          <w:szCs w:val="19"/>
          <w:color w:val="auto"/>
        </w:rPr>
        <w:t>” has the meaning assigned to such term in Section 9.04(b), (d) or (f) as the context may require.</w:t>
      </w:r>
    </w:p>
    <w:p>
      <w:pPr>
        <w:spacing w:after="0" w:line="37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Non-Extension Notice Date</w:t>
      </w:r>
      <w:r>
        <w:rPr>
          <w:rFonts w:ascii="Arial" w:cs="Arial" w:eastAsia="Arial" w:hAnsi="Arial"/>
          <w:sz w:val="22"/>
          <w:szCs w:val="22"/>
          <w:color w:val="auto"/>
        </w:rPr>
        <w:t>” has the meaning set forth in Section 2.05(b)(iii).</w:t>
      </w:r>
    </w:p>
    <w:p>
      <w:pPr>
        <w:spacing w:after="0" w:line="85" w:lineRule="exact"/>
        <w:rPr>
          <w:sz w:val="20"/>
          <w:szCs w:val="20"/>
          <w:color w:val="auto"/>
        </w:rPr>
      </w:pPr>
    </w:p>
    <w:p>
      <w:pPr>
        <w:ind w:left="600"/>
        <w:spacing w:after="0"/>
        <w:rPr>
          <w:sz w:val="20"/>
          <w:szCs w:val="20"/>
          <w:color w:val="auto"/>
        </w:rPr>
      </w:pPr>
      <w:r>
        <w:rPr>
          <w:rFonts w:ascii="Arial" w:cs="Arial" w:eastAsia="Arial" w:hAnsi="Arial"/>
          <w:sz w:val="22"/>
          <w:szCs w:val="22"/>
          <w:u w:val="single" w:color="auto"/>
          <w:color w:val="0000FF"/>
        </w:rPr>
        <w:t>“Non-SOFR Successor Rate” has the meaning specified in Section 2.07(c).</w:t>
      </w:r>
    </w:p>
    <w:p>
      <w:pPr>
        <w:spacing w:after="0" w:line="220"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promissory note made by the Borrower in favor of a Lender evidencing Loans made by such Lender to the Borrower, substantially in the form of Exhibit B.</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 Issuing Banks, their respective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reimbursement or other monetary obligations incurred or any of the Letters of Credit or other instruments at any time evidencing any thereof), in each case whether now existing or hereafter arising, whether all such</w:t>
      </w:r>
    </w:p>
    <w:p>
      <w:pPr>
        <w:sectPr>
          <w:pgSz w:w="11900" w:h="16838" w:orient="portrait"/>
          <w:cols w:equalWidth="0" w:num="1">
            <w:col w:w="10440"/>
          </w:cols>
          <w:pgMar w:left="1020" w:top="1440" w:right="439" w:bottom="1440" w:gutter="0" w:footer="0" w:header="0"/>
        </w:sectPr>
      </w:pPr>
    </w:p>
    <w:bookmarkStart w:id="132" w:name="page133"/>
    <w:bookmarkEnd w:id="132"/>
    <w:p>
      <w:pPr>
        <w:spacing w:after="0" w:line="298" w:lineRule="auto"/>
        <w:rPr>
          <w:sz w:val="20"/>
          <w:szCs w:val="20"/>
          <w:color w:val="auto"/>
        </w:rPr>
      </w:pPr>
      <w:r>
        <w:rPr>
          <w:rFonts w:ascii="Arial" w:cs="Arial" w:eastAsia="Arial" w:hAnsi="Arial"/>
          <w:sz w:val="19"/>
          <w:szCs w:val="19"/>
          <w:color w:val="auto"/>
        </w:rPr>
        <w:t>obligations arise or accrue before or after the commencement of any bankruptcy, insolvency or receivership proceedings (and whether or not such claims, interest, costs, expenses or fees are allowed or allowable in any such proceeding).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means the Office of Foreign Assets Control of the United States Department of the Treasury.</w:t>
      </w:r>
    </w:p>
    <w:p>
      <w:pPr>
        <w:spacing w:after="0" w:line="339" w:lineRule="exact"/>
        <w:rPr>
          <w:sz w:val="20"/>
          <w:szCs w:val="20"/>
          <w:color w:val="auto"/>
        </w:rPr>
      </w:pPr>
    </w:p>
    <w:p>
      <w:pPr>
        <w:ind w:left="680" w:right="1760"/>
        <w:spacing w:after="0" w:line="39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 Countries</w:t>
      </w:r>
      <w:r>
        <w:rPr>
          <w:rFonts w:ascii="Arial" w:cs="Arial" w:eastAsia="Arial" w:hAnsi="Arial"/>
          <w:sz w:val="22"/>
          <w:szCs w:val="22"/>
          <w:color w:val="auto"/>
        </w:rPr>
        <w:t>” has the meaning assigned in Section 3.15. “</w:t>
      </w:r>
      <w:r>
        <w:rPr>
          <w:rFonts w:ascii="Arial" w:cs="Arial" w:eastAsia="Arial" w:hAnsi="Arial"/>
          <w:sz w:val="22"/>
          <w:szCs w:val="22"/>
          <w:u w:val="single" w:color="auto"/>
          <w:color w:val="auto"/>
        </w:rPr>
        <w:t>OFAC Listed Person</w:t>
      </w:r>
      <w:r>
        <w:rPr>
          <w:rFonts w:ascii="Arial" w:cs="Arial" w:eastAsia="Arial" w:hAnsi="Arial"/>
          <w:sz w:val="22"/>
          <w:szCs w:val="22"/>
          <w:color w:val="auto"/>
        </w:rPr>
        <w:t>” has the meaning assigned in Section 3.15.</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0000FF"/>
        </w:rPr>
        <w:t>“Original Credit Agreement” has the meaning assigned in the preliminary statements here to.</w:t>
      </w:r>
    </w:p>
    <w:p>
      <w:pPr>
        <w:sectPr>
          <w:pgSz w:w="11900" w:h="16838" w:orient="portrait"/>
          <w:cols w:equalWidth="0" w:num="1">
            <w:col w:w="10460"/>
          </w:cols>
          <w:pgMar w:left="980" w:top="1400" w:right="459" w:bottom="1440" w:gutter="0" w:footer="0" w:header="0"/>
        </w:sectPr>
      </w:pPr>
    </w:p>
    <w:bookmarkStart w:id="133" w:name="page134"/>
    <w:bookmarkEnd w:id="133"/>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Currency</w:t>
      </w:r>
      <w:r>
        <w:rPr>
          <w:rFonts w:ascii="Arial" w:cs="Arial" w:eastAsia="Arial" w:hAnsi="Arial"/>
          <w:sz w:val="22"/>
          <w:szCs w:val="22"/>
          <w:color w:val="auto"/>
        </w:rPr>
        <w:t>" has the meaning assigned in Section 2.17(a).</w:t>
      </w:r>
    </w:p>
    <w:p>
      <w:pPr>
        <w:spacing w:after="0" w:line="206"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Connection Taxes</w:t>
      </w:r>
      <w:r>
        <w:rPr>
          <w:rFonts w:ascii="Arial" w:cs="Arial" w:eastAsia="Arial" w:hAnsi="Arial"/>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0" w:lineRule="exact"/>
        <w:rPr>
          <w:sz w:val="20"/>
          <w:szCs w:val="20"/>
          <w:color w:val="auto"/>
        </w:rPr>
      </w:pPr>
    </w:p>
    <w:p>
      <w:pPr>
        <w:jc w:val="both"/>
        <w:ind w:left="40" w:right="20" w:firstLine="648"/>
        <w:spacing w:after="0" w:line="223"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Other Rate Early Opt-in</w:t>
      </w:r>
      <w:r>
        <w:rPr>
          <w:rFonts w:ascii="Arial" w:cs="Arial" w:eastAsia="Arial" w:hAnsi="Arial"/>
          <w:sz w:val="22"/>
          <w:szCs w:val="22"/>
          <w:color w:val="FF0000"/>
          <w:strike w:val="1"/>
        </w:rPr>
        <w:t>” means the Administrative Agent and the Borrower have elected to replace LIBOR with a Benchmark Replacement other than a SOFR-based rate pursuant to (x) an Early Opt-in Election and (y) Section 2.07(d)(ii) and paragraph (2) of the definition of “Benchmark Replacement”.</w:t>
      </w:r>
    </w:p>
    <w:p>
      <w:pPr>
        <w:spacing w:after="0" w:line="186" w:lineRule="exact"/>
        <w:rPr>
          <w:sz w:val="20"/>
          <w:szCs w:val="20"/>
          <w:color w:val="auto"/>
        </w:rPr>
      </w:pPr>
    </w:p>
    <w:p>
      <w:pPr>
        <w:jc w:val="both"/>
        <w:ind w:left="4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98" w:lineRule="exact"/>
        <w:rPr>
          <w:sz w:val="20"/>
          <w:szCs w:val="20"/>
          <w:color w:val="auto"/>
        </w:rPr>
      </w:pPr>
    </w:p>
    <w:p>
      <w:pPr>
        <w:jc w:val="both"/>
        <w:ind w:left="40"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(i) with respect to Loans on any date, the Dollar Equivalent amount of the aggregate outstanding principal amount thereof after giving effect to any borrowings and prepayments or repayments of such Loans occurring on such date; (ii) with respect to Swingline Loans on any date, the aggregate outstanding principal amount thereof after giving effect to any borrowings and prepayments or repayments of such Swingline Loans occurring on such date; and (iii) with respect to any L/C Exposure on any date, the Dollar Equivalent amount of the aggregate outstanding amount of such L/C Exposure on such date after giving effect to any L/C Credit Extension occurring on such date and any other changes in the aggregate amount of the L/C Exposure as of such date, including as a result of any reimbursements by the Borrower of Unreimbursed Amounts.</w:t>
      </w:r>
    </w:p>
    <w:p>
      <w:pPr>
        <w:spacing w:after="0" w:line="179" w:lineRule="exact"/>
        <w:rPr>
          <w:sz w:val="20"/>
          <w:szCs w:val="20"/>
          <w:color w:val="auto"/>
        </w:rPr>
      </w:pPr>
    </w:p>
    <w:p>
      <w:pPr>
        <w:jc w:val="both"/>
        <w:ind w:left="4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Rate</w:t>
      </w:r>
      <w:r>
        <w:rPr>
          <w:rFonts w:ascii="Arial" w:cs="Arial" w:eastAsia="Arial" w:hAnsi="Arial"/>
          <w:sz w:val="22"/>
          <w:szCs w:val="22"/>
          <w:color w:val="auto"/>
        </w:rPr>
        <w:t>” means, for any day, (a) with respect to any amount denominated in Dollars, the greater of (i) the Federal Funds Effective Rate and (ii) an overnight rate reasonably</w:t>
      </w:r>
    </w:p>
    <w:p>
      <w:pPr>
        <w:sectPr>
          <w:pgSz w:w="11900" w:h="16838" w:orient="portrait"/>
          <w:cols w:equalWidth="0" w:num="1">
            <w:col w:w="10480"/>
          </w:cols>
          <w:pgMar w:left="980" w:top="752" w:right="439" w:bottom="1440" w:gutter="0" w:footer="0" w:header="0"/>
        </w:sectPr>
      </w:pPr>
    </w:p>
    <w:bookmarkStart w:id="134" w:name="page135"/>
    <w:bookmarkEnd w:id="134"/>
    <w:p>
      <w:pPr>
        <w:ind w:left="8" w:right="60"/>
        <w:spacing w:after="0" w:line="213" w:lineRule="auto"/>
        <w:rPr>
          <w:sz w:val="20"/>
          <w:szCs w:val="20"/>
          <w:color w:val="auto"/>
        </w:rPr>
      </w:pPr>
      <w:r>
        <w:rPr>
          <w:rFonts w:ascii="Arial" w:cs="Arial" w:eastAsia="Arial" w:hAnsi="Arial"/>
          <w:sz w:val="22"/>
          <w:szCs w:val="22"/>
          <w:color w:val="auto"/>
        </w:rPr>
        <w:t>determined by the Administrative Agent, the applicable Issuing Bank, or the Swingline Lender, as the case may be, in accordance with banking industry rules on interbank compensation, and</w:t>
      </w:r>
    </w:p>
    <w:p>
      <w:pPr>
        <w:spacing w:after="0" w:line="1" w:lineRule="exact"/>
        <w:rPr>
          <w:sz w:val="20"/>
          <w:szCs w:val="20"/>
          <w:color w:val="auto"/>
        </w:rPr>
      </w:pPr>
    </w:p>
    <w:p>
      <w:pPr>
        <w:jc w:val="both"/>
        <w:ind w:left="8" w:right="40" w:hanging="8"/>
        <w:spacing w:after="0" w:line="217" w:lineRule="auto"/>
        <w:tabs>
          <w:tab w:leader="none" w:pos="611" w:val="left"/>
        </w:tabs>
        <w:numPr>
          <w:ilvl w:val="0"/>
          <w:numId w:val="94"/>
        </w:numPr>
        <w:rPr>
          <w:rFonts w:ascii="Arial" w:cs="Arial" w:eastAsia="Arial" w:hAnsi="Arial"/>
          <w:sz w:val="22"/>
          <w:szCs w:val="22"/>
          <w:color w:val="auto"/>
        </w:rPr>
      </w:pPr>
      <w:r>
        <w:rPr>
          <w:rFonts w:ascii="Arial" w:cs="Arial" w:eastAsia="Arial" w:hAnsi="Arial"/>
          <w:sz w:val="22"/>
          <w:szCs w:val="22"/>
          <w:color w:val="auto"/>
        </w:rPr>
        <w:t>with respect to any amount denominated in an Alternative Currency, an overnight rate reasonably determined by the Administrative Agent or the applicable Issuing Bank, as the case may be, in accordance with banking industry rules on interbank compensation.</w:t>
      </w:r>
    </w:p>
    <w:p>
      <w:pPr>
        <w:spacing w:after="0" w:line="322" w:lineRule="exact"/>
        <w:rPr>
          <w:sz w:val="20"/>
          <w:szCs w:val="20"/>
          <w:color w:val="auto"/>
        </w:rPr>
      </w:pPr>
    </w:p>
    <w:p>
      <w:pPr>
        <w:ind w:left="648" w:right="2180"/>
        <w:spacing w:after="0" w:line="39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has the meaning set forth in Section 9.04(d). “</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set forth in Section 9.04(d).</w:t>
      </w:r>
    </w:p>
    <w:p>
      <w:pPr>
        <w:spacing w:after="0" w:line="1" w:lineRule="exact"/>
        <w:rPr>
          <w:sz w:val="20"/>
          <w:szCs w:val="20"/>
          <w:color w:val="auto"/>
        </w:rPr>
      </w:pPr>
    </w:p>
    <w:p>
      <w:pPr>
        <w:ind w:left="8" w:right="4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Participating Member State</w:t>
      </w:r>
      <w:r>
        <w:rPr>
          <w:rFonts w:ascii="Arial" w:cs="Arial" w:eastAsia="Arial" w:hAnsi="Arial"/>
          <w:sz w:val="21"/>
          <w:szCs w:val="21"/>
          <w:color w:val="auto"/>
        </w:rPr>
        <w:t>” means any member state of the European Union that has the Euro as its lawful currency in accordance with legislation of the European Union relating to Economic and Monetary Union.</w:t>
      </w:r>
    </w:p>
    <w:p>
      <w:pPr>
        <w:spacing w:after="0" w:line="191" w:lineRule="exact"/>
        <w:rPr>
          <w:sz w:val="20"/>
          <w:szCs w:val="20"/>
          <w:color w:val="auto"/>
        </w:rPr>
      </w:pPr>
    </w:p>
    <w:p>
      <w:pPr>
        <w:ind w:left="8"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86" w:lineRule="exact"/>
        <w:rPr>
          <w:sz w:val="20"/>
          <w:szCs w:val="20"/>
          <w:color w:val="auto"/>
        </w:rPr>
      </w:pPr>
    </w:p>
    <w:p>
      <w:pPr>
        <w:jc w:val="both"/>
        <w:ind w:left="8"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Bond Hedge Transaction</w:t>
      </w:r>
      <w:r>
        <w:rPr>
          <w:rFonts w:ascii="Arial" w:cs="Arial" w:eastAsia="Arial" w:hAnsi="Arial"/>
          <w:sz w:val="19"/>
          <w:szCs w:val="19"/>
          <w:color w:val="auto"/>
        </w:rPr>
        <w:t xml:space="preserve">” means (a) any call option or capped call option (or substantively equivalent derivative transaction) on the Borrower’s common stock purchased by the Borrower in connection with an incurrence of Permitted Convertible Indebtedness and (b) any call option or capped call option (or substantively equivalent derivative transaction) replacing or refinancing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sum of (i) the purchase price for any Permitted Bond Hedge Transaction occurring after the Closing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purchase price for any Permitted Bond Hedge Transaction it is refinancing or replacing, if any,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99" w:lineRule="exact"/>
        <w:rPr>
          <w:sz w:val="20"/>
          <w:szCs w:val="20"/>
          <w:color w:val="auto"/>
        </w:rPr>
      </w:pPr>
    </w:p>
    <w:p>
      <w:pPr>
        <w:jc w:val="both"/>
        <w:ind w:left="8"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Convertible Indebtedness</w:t>
      </w:r>
      <w:r>
        <w:rPr>
          <w:rFonts w:ascii="Arial" w:cs="Arial" w:eastAsia="Arial" w:hAnsi="Arial"/>
          <w:sz w:val="22"/>
          <w:szCs w:val="22"/>
          <w:color w:val="auto"/>
        </w:rPr>
        <w:t>” means Indebtedness of the Borrower or any Subsidiary (which may be Guaranteed by the Guarantors) that is (a) convertible into common stock of the Borrower (and cash in lieu of fractional shares) and/or cash (in an amount determined by reference to the price of such common stock) or (b) sold as units with call options, warrants, rights or obligations to purchase (or substantially equivalent derivative transactions) that are exercisable for common stock of the Borrower and/or cash (in an amount determined by reference to the price of such common stock).</w:t>
      </w:r>
    </w:p>
    <w:p>
      <w:pPr>
        <w:spacing w:after="0" w:line="186" w:lineRule="exact"/>
        <w:rPr>
          <w:sz w:val="20"/>
          <w:szCs w:val="20"/>
          <w:color w:val="auto"/>
        </w:rPr>
      </w:pPr>
    </w:p>
    <w:p>
      <w:pPr>
        <w:ind w:left="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20" w:lineRule="exact"/>
        <w:rPr>
          <w:sz w:val="20"/>
          <w:szCs w:val="20"/>
          <w:color w:val="auto"/>
        </w:rPr>
      </w:pPr>
    </w:p>
    <w:p>
      <w:pPr>
        <w:ind w:left="648" w:right="40" w:firstLine="648"/>
        <w:spacing w:after="0" w:line="298" w:lineRule="auto"/>
        <w:tabs>
          <w:tab w:leader="none" w:pos="19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Liens imposed by law for taxes, assessments or other governmental charges that are not overdue for a period of more than thirty (30) days or are being contested in compliance with Section 5.04;</w:t>
      </w:r>
    </w:p>
    <w:p>
      <w:pPr>
        <w:spacing w:after="0" w:line="145" w:lineRule="exact"/>
        <w:rPr>
          <w:rFonts w:ascii="Arial" w:cs="Arial" w:eastAsia="Arial" w:hAnsi="Arial"/>
          <w:sz w:val="19"/>
          <w:szCs w:val="19"/>
          <w:color w:val="auto"/>
        </w:rPr>
      </w:pPr>
    </w:p>
    <w:p>
      <w:pPr>
        <w:ind w:left="648" w:right="20" w:firstLine="648"/>
        <w:spacing w:after="0" w:line="232" w:lineRule="auto"/>
        <w:tabs>
          <w:tab w:leader="none" w:pos="1899" w:val="left"/>
        </w:tabs>
        <w:numPr>
          <w:ilvl w:val="0"/>
          <w:numId w:val="95"/>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landlords’, workmen’s, suppliers’ and other Liens imposed by law, arising in the ordinary</w:t>
      </w:r>
    </w:p>
    <w:p>
      <w:pPr>
        <w:sectPr>
          <w:pgSz w:w="11900" w:h="16838" w:orient="portrait"/>
          <w:cols w:equalWidth="0" w:num="1">
            <w:col w:w="10448"/>
          </w:cols>
          <w:pgMar w:left="1012" w:top="1400" w:right="439" w:bottom="1440" w:gutter="0" w:footer="0" w:header="0"/>
        </w:sectPr>
      </w:pPr>
    </w:p>
    <w:bookmarkStart w:id="135" w:name="page136"/>
    <w:bookmarkEnd w:id="135"/>
    <w:p>
      <w:pPr>
        <w:spacing w:after="0" w:line="204" w:lineRule="exact"/>
        <w:rPr>
          <w:sz w:val="20"/>
          <w:szCs w:val="20"/>
          <w:color w:val="auto"/>
        </w:rPr>
      </w:pPr>
    </w:p>
    <w:p>
      <w:pPr>
        <w:ind w:left="640" w:right="660"/>
        <w:spacing w:after="0" w:line="232" w:lineRule="auto"/>
        <w:rPr>
          <w:sz w:val="20"/>
          <w:szCs w:val="20"/>
          <w:color w:val="auto"/>
        </w:rPr>
      </w:pPr>
      <w:r>
        <w:rPr>
          <w:rFonts w:ascii="Arial" w:cs="Arial" w:eastAsia="Arial" w:hAnsi="Arial"/>
          <w:sz w:val="22"/>
          <w:szCs w:val="22"/>
          <w:color w:val="auto"/>
        </w:rPr>
        <w:t>course of business and securing obligations that are not overdue by more than sixty (60) days or are being contested in compliance with Section 5.04;</w:t>
      </w:r>
    </w:p>
    <w:p>
      <w:pPr>
        <w:spacing w:after="0" w:line="199" w:lineRule="exact"/>
        <w:rPr>
          <w:sz w:val="20"/>
          <w:szCs w:val="20"/>
          <w:color w:val="auto"/>
        </w:rPr>
      </w:pPr>
    </w:p>
    <w:p>
      <w:pPr>
        <w:jc w:val="both"/>
        <w:ind w:left="640" w:right="40" w:firstLine="648"/>
        <w:spacing w:after="0" w:line="249" w:lineRule="auto"/>
        <w:tabs>
          <w:tab w:leader="none" w:pos="1892" w:val="left"/>
        </w:tabs>
        <w:numPr>
          <w:ilvl w:val="0"/>
          <w:numId w:val="96"/>
        </w:numPr>
        <w:rPr>
          <w:rFonts w:ascii="Arial" w:cs="Arial" w:eastAsia="Arial" w:hAnsi="Arial"/>
          <w:sz w:val="19"/>
          <w:szCs w:val="19"/>
          <w:color w:val="auto"/>
        </w:rPr>
      </w:pPr>
      <w:r>
        <w:rPr>
          <w:rFonts w:ascii="Arial" w:cs="Arial" w:eastAsia="Arial" w:hAnsi="Arial"/>
          <w:sz w:val="19"/>
          <w:szCs w:val="19"/>
          <w:color w:val="auto"/>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Borrower or any Subsidiary;</w:t>
      </w:r>
    </w:p>
    <w:p>
      <w:pPr>
        <w:spacing w:after="0" w:line="178" w:lineRule="exact"/>
        <w:rPr>
          <w:rFonts w:ascii="Arial" w:cs="Arial" w:eastAsia="Arial" w:hAnsi="Arial"/>
          <w:sz w:val="19"/>
          <w:szCs w:val="19"/>
          <w:color w:val="auto"/>
        </w:rPr>
      </w:pPr>
    </w:p>
    <w:p>
      <w:pPr>
        <w:jc w:val="both"/>
        <w:ind w:left="640" w:right="40" w:firstLine="648"/>
        <w:spacing w:after="0" w:line="218" w:lineRule="auto"/>
        <w:tabs>
          <w:tab w:leader="none" w:pos="18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spacing w:after="0" w:line="201" w:lineRule="exact"/>
        <w:rPr>
          <w:rFonts w:ascii="Arial" w:cs="Arial" w:eastAsia="Arial" w:hAnsi="Arial"/>
          <w:sz w:val="22"/>
          <w:szCs w:val="22"/>
          <w:color w:val="auto"/>
        </w:rPr>
      </w:pPr>
    </w:p>
    <w:p>
      <w:pPr>
        <w:ind w:left="640" w:right="40" w:firstLine="648"/>
        <w:spacing w:after="0" w:line="232" w:lineRule="auto"/>
        <w:tabs>
          <w:tab w:leader="none" w:pos="1892" w:val="left"/>
        </w:tabs>
        <w:numPr>
          <w:ilvl w:val="0"/>
          <w:numId w:val="96"/>
        </w:numPr>
        <w:rPr>
          <w:rFonts w:ascii="Arial" w:cs="Arial" w:eastAsia="Arial" w:hAnsi="Arial"/>
          <w:sz w:val="22"/>
          <w:szCs w:val="22"/>
          <w:color w:val="auto"/>
        </w:rPr>
      </w:pPr>
      <w:r>
        <w:rPr>
          <w:rFonts w:ascii="Arial" w:cs="Arial" w:eastAsia="Arial" w:hAnsi="Arial"/>
          <w:sz w:val="22"/>
          <w:szCs w:val="22"/>
          <w:color w:val="auto"/>
        </w:rPr>
        <w:t>Liens in respect of judgments, decrees, attachments or awards that do not constitute an Event of Default under clause (k) of Article VII;</w:t>
      </w:r>
    </w:p>
    <w:p>
      <w:pPr>
        <w:spacing w:after="0" w:line="199" w:lineRule="exact"/>
        <w:rPr>
          <w:rFonts w:ascii="Arial" w:cs="Arial" w:eastAsia="Arial" w:hAnsi="Arial"/>
          <w:sz w:val="22"/>
          <w:szCs w:val="22"/>
          <w:color w:val="auto"/>
        </w:rPr>
      </w:pPr>
    </w:p>
    <w:p>
      <w:pPr>
        <w:jc w:val="both"/>
        <w:ind w:left="640" w:right="40" w:firstLine="648"/>
        <w:spacing w:after="0" w:line="257" w:lineRule="auto"/>
        <w:tabs>
          <w:tab w:leader="none" w:pos="1895" w:val="left"/>
        </w:tabs>
        <w:numPr>
          <w:ilvl w:val="0"/>
          <w:numId w:val="96"/>
        </w:numPr>
        <w:rPr>
          <w:rFonts w:ascii="Arial" w:cs="Arial" w:eastAsia="Arial" w:hAnsi="Arial"/>
          <w:sz w:val="19"/>
          <w:szCs w:val="19"/>
          <w:color w:val="auto"/>
        </w:rPr>
      </w:pPr>
      <w:r>
        <w:rPr>
          <w:rFonts w:ascii="Arial" w:cs="Arial" w:eastAsia="Arial" w:hAnsi="Arial"/>
          <w:sz w:val="19"/>
          <w:szCs w:val="19"/>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Borrower or any Subsidiary; and</w:t>
      </w:r>
    </w:p>
    <w:p>
      <w:pPr>
        <w:spacing w:after="0" w:line="171" w:lineRule="exact"/>
        <w:rPr>
          <w:rFonts w:ascii="Arial" w:cs="Arial" w:eastAsia="Arial" w:hAnsi="Arial"/>
          <w:sz w:val="19"/>
          <w:szCs w:val="19"/>
          <w:color w:val="auto"/>
        </w:rPr>
      </w:pPr>
    </w:p>
    <w:p>
      <w:pPr>
        <w:jc w:val="both"/>
        <w:ind w:left="640" w:right="20" w:firstLine="648"/>
        <w:spacing w:after="0" w:line="223" w:lineRule="auto"/>
        <w:tabs>
          <w:tab w:leader="none" w:pos="18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interest or title of a lessor, sublessor, licensor or sublicensor under any lease, sub-lease, license or sublicense entered into by the Borrower or any of its Subsidiaries as a part of its business and covering only the assets so leased;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“Permitted Encumbrances” shall not include any Lien securing Indebtedness.</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Receivables Facility</w:t>
      </w:r>
      <w:r>
        <w:rPr>
          <w:rFonts w:ascii="Arial" w:cs="Arial" w:eastAsia="Arial" w:hAnsi="Arial"/>
          <w:sz w:val="19"/>
          <w:szCs w:val="19"/>
          <w:color w:val="auto"/>
        </w:rPr>
        <w:t>” means any receivables facility or facilities created under the Permitted Receivables Facility Documents from time to time, providing for the sale or pledge by the Borrower and/or one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Borrower and/or the respective Receivables Sellers, in each case as more fully set forth in the Permitted Receivables Facility Documents.</w:t>
      </w:r>
    </w:p>
    <w:p>
      <w:pPr>
        <w:sectPr>
          <w:pgSz w:w="11900" w:h="16838" w:orient="portrait"/>
          <w:cols w:equalWidth="0" w:num="1">
            <w:col w:w="10440"/>
          </w:cols>
          <w:pgMar w:left="1020" w:top="1440" w:right="439" w:bottom="1440" w:gutter="0" w:footer="0" w:header="0"/>
        </w:sectPr>
      </w:pPr>
    </w:p>
    <w:bookmarkStart w:id="136" w:name="page137"/>
    <w:bookmarkEnd w:id="136"/>
    <w:p>
      <w:pPr>
        <w:jc w:val="both"/>
        <w:ind w:right="2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Receivables Facility Assets</w:t>
      </w:r>
      <w:r>
        <w:rPr>
          <w:rFonts w:ascii="Arial" w:cs="Arial" w:eastAsia="Arial" w:hAnsi="Arial"/>
          <w:sz w:val="22"/>
          <w:szCs w:val="22"/>
          <w:color w:val="auto"/>
        </w:rPr>
        <w:t>” means (i) Receivables (whether now existing or arising in the future) of the Borrower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Borrower and its Subsidiaries secured by Receivables (whether now existing or arising in the future) of the Borrower and its Subsidiaries which are made pursuant to a Permitted Receivables Facility.</w:t>
      </w:r>
    </w:p>
    <w:p>
      <w:pPr>
        <w:spacing w:after="0" w:line="19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Receivables Facility Documents</w:t>
      </w:r>
      <w:r>
        <w:rPr>
          <w:rFonts w:ascii="Arial" w:cs="Arial" w:eastAsia="Arial" w:hAnsi="Arial"/>
          <w:sz w:val="19"/>
          <w:szCs w:val="19"/>
          <w:color w:val="auto"/>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Borrower) either (i) the terms as so amended, modified, supplemented, refinanced or replaced are reasonably customary for transactions of this type or (ii)(x) any such amendments, modifications, supplements, refinancings or replacements do not impose any conditions or requirements on the Borrower or any of its Subsidiaries that, taken as a whole, are more restrictive in any material respect than those in existence immediately prior to any such amendment, modification, supplement, refinancing or replacement as determined by the Borrower in good faith and (y) any such amendments, modifications, supplements, refinancings or replacements are not adverse in any material respect to the interests of the Lenders as determined by the Borrower in good faith.</w:t>
      </w:r>
    </w:p>
    <w:p>
      <w:pPr>
        <w:spacing w:after="0" w:line="187"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Receivables Related Assets</w:t>
      </w:r>
      <w:r>
        <w:rPr>
          <w:rFonts w:ascii="Arial" w:cs="Arial" w:eastAsia="Arial" w:hAnsi="Arial"/>
          <w:sz w:val="21"/>
          <w:szCs w:val="21"/>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98"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xml:space="preserve">” means, with respect to any Person, any amendment, modification, refinancing, refunding, renewal, replacement or extension of any Indebtedness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the amount equal to any existing commitments unutilized thereunder) shall be permitted if such excess amount is then permitted under Section 6.01 and reduces the otherwise permitted Indebtedness under Section 6.01), (b) other than with respect to Permitted Refinancing Indebtedness in respect of Indebtedness</w:t>
      </w:r>
    </w:p>
    <w:p>
      <w:pPr>
        <w:sectPr>
          <w:pgSz w:w="11900" w:h="16838" w:orient="portrait"/>
          <w:cols w:equalWidth="0" w:num="1">
            <w:col w:w="10460"/>
          </w:cols>
          <w:pgMar w:left="1020" w:top="1400" w:right="419" w:bottom="1440" w:gutter="0" w:footer="0" w:header="0"/>
        </w:sectPr>
      </w:pPr>
    </w:p>
    <w:bookmarkStart w:id="137" w:name="page138"/>
    <w:bookmarkEnd w:id="137"/>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permitted pursuant to Section 6.01(d), such modification, refinancing, refunding, renewal, replacement or extension has a final maturity date equal to or later than the earlier of (x) the final maturity date of the Indebtedness so modified, refinanced, refunded, renewed, replaced or extended and (y) the date which is 91 days after the Latest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Latest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w:t>
      </w:r>
    </w:p>
    <w:p>
      <w:pPr>
        <w:spacing w:after="0" w:line="201" w:lineRule="exact"/>
        <w:rPr>
          <w:sz w:val="20"/>
          <w:szCs w:val="20"/>
          <w:color w:val="auto"/>
        </w:rPr>
      </w:pPr>
    </w:p>
    <w:p>
      <w:pPr>
        <w:jc w:val="right"/>
        <w:ind w:left="900"/>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Warrant Transaction</w:t>
      </w:r>
      <w:r>
        <w:rPr>
          <w:rFonts w:ascii="Arial" w:cs="Arial" w:eastAsia="Arial" w:hAnsi="Arial"/>
          <w:sz w:val="22"/>
          <w:szCs w:val="22"/>
          <w:color w:val="auto"/>
        </w:rPr>
        <w:t>” means any call options, warrants or rights to purchase (or substantively equivalent derivative transactions) on common stock of the Borrower purchased by the Borrower substantially concurrently with a Permitted Bond Hedge Transaction.</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9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has the meaning set forth in Section 5.01.</w:t>
      </w:r>
    </w:p>
    <w:p>
      <w:pPr>
        <w:spacing w:after="0" w:line="206"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Post-Acquisition Period</w:t>
      </w:r>
      <w:r>
        <w:rPr>
          <w:rFonts w:ascii="Arial" w:cs="Arial" w:eastAsia="Arial" w:hAnsi="Arial"/>
          <w:sz w:val="22"/>
          <w:szCs w:val="22"/>
          <w:color w:val="auto"/>
        </w:rPr>
        <w:t>” means, with respect to (a) the Combination Transactions, the period beginning on the closing date of the Combination Transactions, and ending on the two year anniversary thereof, and (b) any other acquisition, the period beginning on the date such acquisition is consummated and ending on the one-year anniversary of the date on which such acquisition is consummated.</w:t>
      </w:r>
    </w:p>
    <w:p>
      <w:pPr>
        <w:spacing w:after="0" w:line="24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Pricing Level</w:t>
      </w:r>
      <w:r>
        <w:rPr>
          <w:rFonts w:ascii="Arial" w:cs="Arial" w:eastAsia="Arial" w:hAnsi="Arial"/>
          <w:sz w:val="22"/>
          <w:szCs w:val="22"/>
          <w:color w:val="auto"/>
        </w:rPr>
        <w:t>” means the applicable pricing level under the column titled ‘Pricing Level’ in the table set forth in the definition of “Applicable Rate”.</w:t>
      </w:r>
    </w:p>
    <w:p>
      <w:pPr>
        <w:spacing w:after="0" w:line="106"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Adjustment</w:t>
      </w:r>
      <w:r>
        <w:rPr>
          <w:rFonts w:ascii="Arial" w:cs="Arial" w:eastAsia="Arial" w:hAnsi="Arial"/>
          <w:sz w:val="19"/>
          <w:szCs w:val="19"/>
          <w:color w:val="auto"/>
        </w:rPr>
        <w:t>” means, for any applicable period of measurement that includes all or any part of a fiscal quarter included in the Post-Acquisition Period, with respect to the Consolidated EBITDA of the applicable Acquired Entity or Business or the Consolidated EBITDA of the Borrower, the pro forma increase or decrease in such Consolidated EBITDA, projected by the Borrower in good faith as a result of (a) actions that have been taken during</w:t>
      </w:r>
    </w:p>
    <w:p>
      <w:pPr>
        <w:sectPr>
          <w:pgSz w:w="11900" w:h="16838" w:orient="portrait"/>
          <w:cols w:equalWidth="0" w:num="1">
            <w:col w:w="10440"/>
          </w:cols>
          <w:pgMar w:left="1020" w:top="1440" w:right="439" w:bottom="1440" w:gutter="0" w:footer="0" w:header="0"/>
        </w:sectPr>
      </w:pPr>
    </w:p>
    <w:bookmarkStart w:id="138" w:name="page139"/>
    <w:bookmarkEnd w:id="138"/>
    <w:p>
      <w:pPr>
        <w:jc w:val="both"/>
        <w:spacing w:after="0" w:line="211" w:lineRule="auto"/>
        <w:rPr>
          <w:sz w:val="20"/>
          <w:szCs w:val="20"/>
          <w:color w:val="auto"/>
        </w:rPr>
      </w:pPr>
      <w:r>
        <w:rPr>
          <w:rFonts w:ascii="Arial" w:cs="Arial" w:eastAsia="Arial" w:hAnsi="Arial"/>
          <w:sz w:val="22"/>
          <w:szCs w:val="22"/>
          <w:color w:val="auto"/>
        </w:rPr>
        <w:t xml:space="preserve">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Borrower and its Subsidiaries and, in each case, which are expected to have a continuing impact on the consolidated financial results of the Borrower, calculated assuming that such actions had been taken on, or such costs had been incurred since, the first day of such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20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xml:space="preserve">”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Equity Interests in any Subsidiary of the Borrower owned by the Borrower or any of its Subsidiaries or any division, product line, or facility used for operations of the Borrower or any of its Subsidiaries, shall be excluded, and (ii) in the case of an acquisition or Investment described in the definition of “Specified Transaction,” shall be included, (b) any retirement of Indebtedness and (c) any Indebtedness incurred or assumed by the Borrower or any of the Subsidiaries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limiting the application of the Pro Forma Adjustment pursuant to clause (A) above (but without duplication thereof), the foregoing pro forma adjustments may be applied to any such test or covenant solely to the extent that such adjustments are (x) consistent with the definition of Consolidated EBITDA and give effect to events (including operating expense reductions) that are in the good faith determination of the Borrower reasonably identifiable and factually supportable and (y) expected to have a continuing impact on the consolidated financial results of the Borrower and its Subsidiaries.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Prohibition</w:t>
      </w:r>
      <w:r>
        <w:rPr>
          <w:rFonts w:ascii="Arial" w:cs="Arial" w:eastAsia="Arial" w:hAnsi="Arial"/>
          <w:sz w:val="22"/>
          <w:szCs w:val="22"/>
          <w:color w:val="auto"/>
        </w:rPr>
        <w:t>” has the meaning assigned in Section 10.01.</w:t>
      </w:r>
    </w:p>
    <w:p>
      <w:pPr>
        <w:spacing w:after="0" w:line="220"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means any right or interest in or to property of any kind whatsoever, whether real, personal or mixed and whether tangible or intangible, including Equity Interests.</w:t>
      </w:r>
    </w:p>
    <w:p>
      <w:pPr>
        <w:spacing w:after="0" w:line="199"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has the meaning assigned in Section 5.01.</w:t>
      </w:r>
    </w:p>
    <w:p>
      <w:pPr>
        <w:spacing w:after="0" w:line="220" w:lineRule="exact"/>
        <w:rPr>
          <w:sz w:val="20"/>
          <w:szCs w:val="20"/>
          <w:color w:val="auto"/>
        </w:rPr>
      </w:pPr>
    </w:p>
    <w:p>
      <w:pPr>
        <w:jc w:val="both"/>
        <w:ind w:right="40"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Acquisition</w:t>
      </w:r>
      <w:r>
        <w:rPr>
          <w:rFonts w:ascii="Arial" w:cs="Arial" w:eastAsia="Arial" w:hAnsi="Arial"/>
          <w:sz w:val="21"/>
          <w:szCs w:val="21"/>
          <w:color w:val="auto"/>
        </w:rPr>
        <w:t xml:space="preserve">” means the acquisition by the Borrower or a Subsidiary of an Acquired Entity or Business which acquisition has been designated to the Lenders by a Responsible Officer of the Borrower as a “Qualified Acquisition” so long as, on a Pro Forma Basis, the Consolidated Leverage Ratio as of the last day of the most recently completed Test Period (for which financial statements have been delivered pursuant to Section 5.01(a) or (b)) prior to such acquisition would be at least 3.25 to 1.0;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designation may be made with respect to any acquisition prior to the end of the fourth full fiscal quarter following the completion of the most recently consummated Qualified Acquisition unless the ConsolidatedLeverage Ratio as of the last day of the most recently completed Test Period (for which financial statements have been delivered pursuant to Section 5.01(a) or (b)) prior to the consummation of such acquisition was no greater than 3.0 to 1.0.</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Equity Interests</w:t>
      </w:r>
      <w:r>
        <w:rPr>
          <w:rFonts w:ascii="Arial" w:cs="Arial" w:eastAsia="Arial" w:hAnsi="Arial"/>
          <w:sz w:val="19"/>
          <w:szCs w:val="19"/>
          <w:color w:val="auto"/>
        </w:rPr>
        <w:t>” means Equity Interests of the Borrower other than Disqualified Equity Interests.</w:t>
      </w:r>
    </w:p>
    <w:p>
      <w:pPr>
        <w:spacing w:after="0" w:line="254"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 Determination Date</w:t>
      </w:r>
      <w:r>
        <w:rPr>
          <w:rFonts w:ascii="Arial" w:cs="Arial" w:eastAsia="Arial" w:hAnsi="Arial"/>
          <w:sz w:val="22"/>
          <w:szCs w:val="22"/>
          <w:color w:val="auto"/>
        </w:rPr>
        <w:t>” means, for any Interest Period, two (2) Business Days prior to the commencement of such Interest Period (or such other day as is generally treated as the</w:t>
      </w:r>
    </w:p>
    <w:p>
      <w:pPr>
        <w:sectPr>
          <w:pgSz w:w="11900" w:h="16838" w:orient="portrait"/>
          <w:cols w:equalWidth="0" w:num="1">
            <w:col w:w="10440"/>
          </w:cols>
          <w:pgMar w:left="1020" w:top="1400" w:right="439" w:bottom="1440" w:gutter="0" w:footer="0" w:header="0"/>
        </w:sectPr>
      </w:pPr>
    </w:p>
    <w:bookmarkStart w:id="139" w:name="page140"/>
    <w:bookmarkEnd w:id="139"/>
    <w:p>
      <w:pPr>
        <w:jc w:val="both"/>
        <w:ind w:right="20"/>
        <w:spacing w:after="0" w:line="234" w:lineRule="auto"/>
        <w:rPr>
          <w:sz w:val="20"/>
          <w:szCs w:val="20"/>
          <w:color w:val="auto"/>
        </w:rPr>
      </w:pPr>
      <w:r>
        <w:rPr>
          <w:rFonts w:ascii="Arial" w:cs="Arial" w:eastAsia="Arial" w:hAnsi="Arial"/>
          <w:sz w:val="21"/>
          <w:szCs w:val="21"/>
          <w:color w:val="auto"/>
        </w:rPr>
        <w:t xml:space="preserve">rate fixing day by market practice in such interbank market, as determined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98"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w:t>
      </w:r>
      <w:r>
        <w:rPr>
          <w:rFonts w:ascii="Arial" w:cs="Arial" w:eastAsia="Arial" w:hAnsi="Arial"/>
          <w:sz w:val="22"/>
          <w:szCs w:val="22"/>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86" w:lineRule="exact"/>
        <w:rPr>
          <w:sz w:val="20"/>
          <w:szCs w:val="20"/>
          <w:color w:val="auto"/>
        </w:rPr>
      </w:pPr>
    </w:p>
    <w:p>
      <w:pPr>
        <w:jc w:val="both"/>
        <w:ind w:right="4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Entity</w:t>
      </w:r>
      <w:r>
        <w:rPr>
          <w:rFonts w:ascii="Arial" w:cs="Arial" w:eastAsia="Arial" w:hAnsi="Arial"/>
          <w:sz w:val="19"/>
          <w:szCs w:val="19"/>
          <w:color w:val="auto"/>
        </w:rPr>
        <w:t>” means a wholly owned Subsidiary of the Borrower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8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Sellers</w:t>
      </w:r>
      <w:r>
        <w:rPr>
          <w:rFonts w:ascii="Arial" w:cs="Arial" w:eastAsia="Arial" w:hAnsi="Arial"/>
          <w:sz w:val="22"/>
          <w:szCs w:val="22"/>
          <w:color w:val="auto"/>
        </w:rPr>
        <w:t>” means the Borrower and those Subsidiaries (other than Receivables Entities) that are from time to time party to the Permitted Receivables Facility Documents.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the Administrative Agent, any Lender, and any Issuing Bank, as applicable.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set forth in Section 9.04(c).</w:t>
      </w:r>
    </w:p>
    <w:p>
      <w:pPr>
        <w:spacing w:after="0" w:line="3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S-X</w:t>
      </w:r>
      <w:r>
        <w:rPr>
          <w:rFonts w:ascii="Arial" w:cs="Arial" w:eastAsia="Arial" w:hAnsi="Arial"/>
          <w:sz w:val="19"/>
          <w:szCs w:val="19"/>
          <w:color w:val="auto"/>
        </w:rPr>
        <w:t>” means Regulation S-X under the Securities Act of 1933, as amended. “</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with respect to any Person, such Person’s Affiliates and the</w:t>
      </w:r>
    </w:p>
    <w:p>
      <w:pPr>
        <w:spacing w:after="0" w:line="112" w:lineRule="exact"/>
        <w:rPr>
          <w:sz w:val="20"/>
          <w:szCs w:val="20"/>
          <w:color w:val="auto"/>
        </w:rPr>
      </w:pPr>
    </w:p>
    <w:p>
      <w:pPr>
        <w:jc w:val="both"/>
        <w:ind w:right="60"/>
        <w:spacing w:after="0" w:line="232" w:lineRule="auto"/>
        <w:rPr>
          <w:sz w:val="20"/>
          <w:szCs w:val="20"/>
          <w:color w:val="auto"/>
        </w:rPr>
      </w:pPr>
      <w:r>
        <w:rPr>
          <w:rFonts w:ascii="Arial" w:cs="Arial" w:eastAsia="Arial" w:hAnsi="Arial"/>
          <w:sz w:val="22"/>
          <w:szCs w:val="22"/>
          <w:color w:val="auto"/>
        </w:rPr>
        <w:t>partners, directors, officers, employees, agents, trustees and administrators of such Person and of such Person’s Affiliates.</w:t>
      </w:r>
    </w:p>
    <w:p>
      <w:pPr>
        <w:spacing w:after="0" w:line="199"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Relevant Governmental Body</w:t>
      </w:r>
      <w:r>
        <w:rPr>
          <w:rFonts w:ascii="Arial" w:cs="Arial" w:eastAsia="Arial" w:hAnsi="Arial"/>
          <w:sz w:val="21"/>
          <w:szCs w:val="21"/>
          <w:color w:val="FF0000"/>
          <w:strike w:val="1"/>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ectPr>
          <w:pgSz w:w="11900" w:h="16838" w:orient="portrait"/>
          <w:cols w:equalWidth="0" w:num="1">
            <w:col w:w="10440"/>
          </w:cols>
          <w:pgMar w:left="1020" w:top="1346" w:right="439" w:bottom="1440" w:gutter="0" w:footer="0" w:header="0"/>
        </w:sectPr>
      </w:pPr>
    </w:p>
    <w:bookmarkStart w:id="140" w:name="page141"/>
    <w:bookmarkEnd w:id="140"/>
    <w:p>
      <w:pPr>
        <w:ind w:left="8"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Rate</w:t>
      </w:r>
      <w:r>
        <w:rPr>
          <w:rFonts w:ascii="Arial" w:cs="Arial" w:eastAsia="Arial" w:hAnsi="Arial"/>
          <w:sz w:val="22"/>
          <w:szCs w:val="22"/>
          <w:color w:val="auto"/>
        </w:rPr>
        <w:t xml:space="preserve">” means with respect to any Credit Event denominated in (a) Dollars, </w:t>
      </w:r>
      <w:r>
        <w:rPr>
          <w:rFonts w:ascii="Arial" w:cs="Arial" w:eastAsia="Arial" w:hAnsi="Arial"/>
          <w:sz w:val="22"/>
          <w:szCs w:val="22"/>
          <w:color w:val="FF0000"/>
          <w:strike w:val="1"/>
        </w:rPr>
        <w:t>Eurocurrency Rate or</w:t>
      </w:r>
      <w:r>
        <w:rPr>
          <w:rFonts w:ascii="Arial" w:cs="Arial" w:eastAsia="Arial" w:hAnsi="Arial"/>
          <w:sz w:val="22"/>
          <w:szCs w:val="22"/>
          <w:color w:val="auto"/>
        </w:rPr>
        <w:t xml:space="preserve"> </w:t>
      </w:r>
      <w:r>
        <w:rPr>
          <w:rFonts w:ascii="Arial" w:cs="Arial" w:eastAsia="Arial" w:hAnsi="Arial"/>
          <w:sz w:val="22"/>
          <w:szCs w:val="22"/>
          <w:color w:val="FF0000"/>
          <w:strike w:val="1"/>
        </w:rPr>
        <w:t>LIBOR Daily Floating Rate, as applicable</w:t>
      </w:r>
      <w:r>
        <w:rPr>
          <w:rFonts w:ascii="Arial" w:cs="Arial" w:eastAsia="Arial" w:hAnsi="Arial"/>
          <w:sz w:val="22"/>
          <w:szCs w:val="22"/>
          <w:u w:val="single" w:color="auto"/>
          <w:color w:val="0000FF"/>
        </w:rPr>
        <w:t>SOFR</w:t>
      </w:r>
      <w:r>
        <w:rPr>
          <w:rFonts w:ascii="Arial" w:cs="Arial" w:eastAsia="Arial" w:hAnsi="Arial"/>
          <w:sz w:val="22"/>
          <w:szCs w:val="22"/>
          <w:color w:val="000000"/>
        </w:rPr>
        <w:t>, (b) Sterling, SONIA,</w:t>
      </w:r>
    </w:p>
    <w:p>
      <w:pPr>
        <w:spacing w:after="0" w:line="64" w:lineRule="exact"/>
        <w:rPr>
          <w:sz w:val="20"/>
          <w:szCs w:val="20"/>
          <w:color w:val="auto"/>
        </w:rPr>
      </w:pPr>
    </w:p>
    <w:p>
      <w:pPr>
        <w:ind w:left="648" w:right="1340" w:hanging="648"/>
        <w:spacing w:after="0" w:line="390" w:lineRule="auto"/>
        <w:tabs>
          <w:tab w:leader="none" w:pos="645" w:val="left"/>
        </w:tabs>
        <w:numPr>
          <w:ilvl w:val="0"/>
          <w:numId w:val="97"/>
        </w:numPr>
        <w:rPr>
          <w:rFonts w:ascii="Arial" w:cs="Arial" w:eastAsia="Arial" w:hAnsi="Arial"/>
          <w:sz w:val="22"/>
          <w:szCs w:val="22"/>
          <w:color w:val="auto"/>
        </w:rPr>
      </w:pPr>
      <w:r>
        <w:rPr>
          <w:rFonts w:ascii="Arial" w:cs="Arial" w:eastAsia="Arial" w:hAnsi="Arial"/>
          <w:sz w:val="22"/>
          <w:szCs w:val="22"/>
          <w:color w:val="auto"/>
        </w:rPr>
        <w:t>Euros, EURIBOR and (d) Japanese Yen, TIBOR, as applicable. “</w:t>
      </w:r>
      <w:r>
        <w:rPr>
          <w:rFonts w:ascii="Arial" w:cs="Arial" w:eastAsia="Arial" w:hAnsi="Arial"/>
          <w:sz w:val="22"/>
          <w:szCs w:val="22"/>
          <w:u w:val="single" w:color="auto"/>
          <w:color w:val="auto"/>
        </w:rPr>
        <w:t>Removal Effective Date</w:t>
      </w:r>
      <w:r>
        <w:rPr>
          <w:rFonts w:ascii="Arial" w:cs="Arial" w:eastAsia="Arial" w:hAnsi="Arial"/>
          <w:sz w:val="22"/>
          <w:szCs w:val="22"/>
          <w:color w:val="auto"/>
        </w:rPr>
        <w:t xml:space="preserve">” has the meaning set forth in clause (f)(ii) of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 w:lineRule="exact"/>
        <w:rPr>
          <w:sz w:val="20"/>
          <w:szCs w:val="20"/>
          <w:color w:val="auto"/>
        </w:rPr>
      </w:pPr>
    </w:p>
    <w:p>
      <w:pPr>
        <w:jc w:val="both"/>
        <w:ind w:left="8" w:right="4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means, at any time, Lenders having Credit Exposure and unused Commitments representing more than 50% of the sum of the total Credit Exposure and unused Commitments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 of, and the portion of the Credit Exposure held or deemed held by, any Defaulting Lender shall be excluded for purposes of making a determination of Required Lenders.</w:t>
      </w:r>
    </w:p>
    <w:p>
      <w:pPr>
        <w:spacing w:after="0" w:line="269" w:lineRule="exact"/>
        <w:rPr>
          <w:sz w:val="20"/>
          <w:szCs w:val="20"/>
          <w:color w:val="auto"/>
        </w:rPr>
      </w:pPr>
    </w:p>
    <w:p>
      <w:pPr>
        <w:ind w:left="648" w:right="520"/>
        <w:spacing w:after="0" w:line="3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Rescindable Amount</w:t>
      </w:r>
      <w:r>
        <w:rPr>
          <w:rFonts w:ascii="Arial" w:cs="Arial" w:eastAsia="Arial" w:hAnsi="Arial"/>
          <w:sz w:val="22"/>
          <w:szCs w:val="22"/>
          <w:color w:val="auto"/>
        </w:rPr>
        <w:t>” has the meaning as defined in Section 2.17(d)</w:t>
      </w:r>
      <w:r>
        <w:rPr>
          <w:rFonts w:ascii="Arial" w:cs="Arial" w:eastAsia="Arial" w:hAnsi="Arial"/>
          <w:sz w:val="19"/>
          <w:szCs w:val="19"/>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Resignation Effective Date</w:t>
      </w:r>
      <w:r>
        <w:rPr>
          <w:rFonts w:ascii="Arial" w:cs="Arial" w:eastAsia="Arial" w:hAnsi="Arial"/>
          <w:sz w:val="22"/>
          <w:szCs w:val="22"/>
          <w:color w:val="auto"/>
        </w:rPr>
        <w:t xml:space="preserve">” has the meaning set forth in clause (f)(i) of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2" w:lineRule="exact"/>
        <w:rPr>
          <w:sz w:val="20"/>
          <w:szCs w:val="20"/>
          <w:color w:val="auto"/>
        </w:rPr>
      </w:pPr>
    </w:p>
    <w:p>
      <w:pPr>
        <w:ind w:left="8"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99" w:lineRule="exact"/>
        <w:rPr>
          <w:sz w:val="20"/>
          <w:szCs w:val="20"/>
          <w:color w:val="auto"/>
        </w:rPr>
      </w:pPr>
    </w:p>
    <w:p>
      <w:pPr>
        <w:jc w:val="both"/>
        <w:ind w:left="8"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means (a) the chief executive officer, executive director, president, vice president, chief financial officer, treasurer, assistant treasurer or controller of the Borrower or another Loan Party, as context shall require, and (b)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or another Loan Party shall be conclusively presumed to have been authorized by all necessary corporate, partnership and/or other action on the part of the Borrower or such Loan Party and such Responsible Officer shall be conclusively presumed to have acted on behalf of the Borrower or such Loan Party.</w:t>
      </w:r>
    </w:p>
    <w:p>
      <w:pPr>
        <w:spacing w:after="0" w:line="199" w:lineRule="exact"/>
        <w:rPr>
          <w:sz w:val="20"/>
          <w:szCs w:val="20"/>
          <w:color w:val="auto"/>
        </w:rPr>
      </w:pPr>
    </w:p>
    <w:p>
      <w:pPr>
        <w:ind w:left="8"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Cash</w:t>
      </w:r>
      <w:r>
        <w:rPr>
          <w:rFonts w:ascii="Arial" w:cs="Arial" w:eastAsia="Arial" w:hAnsi="Arial"/>
          <w:sz w:val="22"/>
          <w:szCs w:val="22"/>
          <w:color w:val="auto"/>
        </w:rPr>
        <w:t>” means, for any Person, any amount of cash of such Person that is contractually required to be set aside, segregated or otherwise reserved.</w:t>
      </w:r>
    </w:p>
    <w:p>
      <w:pPr>
        <w:spacing w:after="0" w:line="51" w:lineRule="exact"/>
        <w:rPr>
          <w:sz w:val="20"/>
          <w:szCs w:val="20"/>
          <w:color w:val="auto"/>
        </w:rPr>
      </w:pPr>
    </w:p>
    <w:p>
      <w:pPr>
        <w:jc w:val="both"/>
        <w:ind w:left="8" w:right="2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Payments</w:t>
      </w:r>
      <w:r>
        <w:rPr>
          <w:rFonts w:ascii="Arial" w:cs="Arial" w:eastAsia="Arial" w:hAnsi="Arial"/>
          <w:sz w:val="19"/>
          <w:szCs w:val="19"/>
          <w:color w:val="auto"/>
        </w:rPr>
        <w:t>” means any dividend or other distribution (whether in cash, securities or other property (other than Qualified Equity Interests)), with respect to any Equity Interests in the Borrower, or any payment (whether in cash, securities or other property (other than Qualified Equity Interests)),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76" w:lineRule="exact"/>
        <w:rPr>
          <w:sz w:val="20"/>
          <w:szCs w:val="20"/>
          <w:color w:val="auto"/>
        </w:rPr>
      </w:pPr>
    </w:p>
    <w:p>
      <w:pPr>
        <w:jc w:val="both"/>
        <w:ind w:left="8" w:right="40"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Revaluation Date</w:t>
      </w:r>
      <w:r>
        <w:rPr>
          <w:rFonts w:ascii="Arial" w:cs="Arial" w:eastAsia="Arial" w:hAnsi="Arial"/>
          <w:sz w:val="21"/>
          <w:szCs w:val="21"/>
          <w:color w:val="auto"/>
        </w:rPr>
        <w:t xml:space="preserve">” means (a) with respect to any Loan, each of the following: (i) each date of a Borrowing of an Alternative Currency Loan, (ii) each date of a continuation of an Alternative Currency Term Rate Loan pursuant to </w:t>
      </w:r>
      <w:r>
        <w:rPr>
          <w:rFonts w:ascii="Arial" w:cs="Arial" w:eastAsia="Arial" w:hAnsi="Arial"/>
          <w:sz w:val="21"/>
          <w:szCs w:val="21"/>
          <w:u w:val="single" w:color="auto"/>
          <w:color w:val="auto"/>
        </w:rPr>
        <w:t>Section 2.02</w:t>
      </w:r>
      <w:r>
        <w:rPr>
          <w:rFonts w:ascii="Arial" w:cs="Arial" w:eastAsia="Arial" w:hAnsi="Arial"/>
          <w:sz w:val="21"/>
          <w:szCs w:val="21"/>
          <w:color w:val="auto"/>
        </w:rPr>
        <w:t>,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(iii) each date of any payment by any Issuing Bank under any Letter of Credit denominated in an Alternative Currency, (iv) the first Business Day of each month following the issuance of a Letter of Credit and (v) such additional dates as the Administrative Agent or the Issuing Banks shall determine or the Required Lenders shall require.</w:t>
      </w:r>
    </w:p>
    <w:p>
      <w:pPr>
        <w:sectPr>
          <w:pgSz w:w="11900" w:h="16838" w:orient="portrait"/>
          <w:cols w:equalWidth="0" w:num="1">
            <w:col w:w="10468"/>
          </w:cols>
          <w:pgMar w:left="1012" w:top="1400" w:right="419" w:bottom="1440" w:gutter="0" w:footer="0" w:header="0"/>
        </w:sectPr>
      </w:pPr>
    </w:p>
    <w:bookmarkStart w:id="141" w:name="page142"/>
    <w:bookmarkEnd w:id="141"/>
    <w:p>
      <w:pPr>
        <w:ind w:firstLine="648"/>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Commitment</w:t>
      </w:r>
      <w:r>
        <w:rPr>
          <w:rFonts w:ascii="Arial" w:cs="Arial" w:eastAsia="Arial" w:hAnsi="Arial"/>
          <w:sz w:val="21"/>
          <w:szCs w:val="21"/>
          <w:color w:val="auto"/>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Credit Exposure hereunder, as such commitment may be (a) reduced from time to time pursuant to Section 2.08, (b) increased from time to time pursuant to Section 2.19 and (c) reduced, increased or extended from time to time pursuant to (i) assignments by or to such Lender pursuant to Section 9.04 of this Agreement or (ii) a Revolving Extension Amendment. The initial amount of each Lender’s Revolving Commitment is set forth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or in the Assignment and Assumption pursuant to which such Lender shall have assumed its Revolving Commitment or any Revolving Extension Amendment to which it is a party, as applicable. The initial aggregate amount of the Lenders’ Revolving Commitments is $4,000,000,000.</w:t>
      </w:r>
    </w:p>
    <w:p>
      <w:pPr>
        <w:spacing w:after="0" w:line="203"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Exposure</w:t>
      </w:r>
      <w:r>
        <w:rPr>
          <w:rFonts w:ascii="Arial" w:cs="Arial" w:eastAsia="Arial" w:hAnsi="Arial"/>
          <w:sz w:val="21"/>
          <w:szCs w:val="21"/>
          <w:color w:val="auto"/>
        </w:rPr>
        <w:t>” means, with respect to any Lender at any time, the sum of the outstanding Dollar Equivalent of such Lender’s Revolving Loans, L/C Exposure and Swingline Exposure at such time.</w:t>
      </w:r>
    </w:p>
    <w:p>
      <w:pPr>
        <w:spacing w:after="0" w:line="178"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Maturity Date</w:t>
      </w:r>
      <w:r>
        <w:rPr>
          <w:rFonts w:ascii="Arial" w:cs="Arial" w:eastAsia="Arial" w:hAnsi="Arial"/>
          <w:sz w:val="21"/>
          <w:szCs w:val="21"/>
          <w:color w:val="auto"/>
        </w:rPr>
        <w:t>” means (i) with respect to the Revolving Commitments made pursuant to Section 2.01, the date that is five years from the Closing Date, or (ii) with respect to any Extended Revolving Commitments of any Revolving Extension Series, the maturity date set forth in the Revolving Extension Amendment with respect to such Revolving Extension Series; provided in each case that if such day is not a Business Day, the Revolving Credit Maturity Date shall be the Business Day immediately preceding such day.</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Extension Amendment</w:t>
      </w:r>
      <w:r>
        <w:rPr>
          <w:rFonts w:ascii="Arial" w:cs="Arial" w:eastAsia="Arial" w:hAnsi="Arial"/>
          <w:sz w:val="22"/>
          <w:szCs w:val="22"/>
          <w:color w:val="auto"/>
        </w:rPr>
        <w:t>” has the meaning assigned to such term in Section 2.21(c).</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Extension Request</w:t>
      </w:r>
      <w:r>
        <w:rPr>
          <w:rFonts w:ascii="Arial" w:cs="Arial" w:eastAsia="Arial" w:hAnsi="Arial"/>
          <w:sz w:val="22"/>
          <w:szCs w:val="22"/>
          <w:color w:val="auto"/>
        </w:rPr>
        <w:t>” has the meaning assigned to such term in Section 2.21(a).</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Extension Series</w:t>
      </w:r>
      <w:r>
        <w:rPr>
          <w:rFonts w:ascii="Arial" w:cs="Arial" w:eastAsia="Arial" w:hAnsi="Arial"/>
          <w:sz w:val="19"/>
          <w:szCs w:val="19"/>
          <w:color w:val="auto"/>
        </w:rPr>
        <w:t>” has the meaning assigned to such term in Section 2.21(e). “</w:t>
      </w:r>
      <w:r>
        <w:rPr>
          <w:rFonts w:ascii="Arial" w:cs="Arial" w:eastAsia="Arial" w:hAnsi="Arial"/>
          <w:sz w:val="19"/>
          <w:szCs w:val="19"/>
          <w:u w:val="single" w:color="auto"/>
          <w:color w:val="auto"/>
        </w:rPr>
        <w:t>Revolving Lender</w:t>
      </w:r>
      <w:r>
        <w:rPr>
          <w:rFonts w:ascii="Arial" w:cs="Arial" w:eastAsia="Arial" w:hAnsi="Arial"/>
          <w:sz w:val="19"/>
          <w:szCs w:val="19"/>
          <w:color w:val="auto"/>
        </w:rPr>
        <w:t>”</w:t>
      </w:r>
    </w:p>
    <w:p>
      <w:pPr>
        <w:spacing w:after="0" w:line="308" w:lineRule="exact"/>
        <w:rPr>
          <w:sz w:val="20"/>
          <w:szCs w:val="20"/>
          <w:color w:val="auto"/>
        </w:rPr>
      </w:pPr>
    </w:p>
    <w:p>
      <w:pPr>
        <w:ind w:right="3980" w:firstLine="648"/>
        <w:spacing w:after="0" w:line="379" w:lineRule="auto"/>
        <w:rPr>
          <w:sz w:val="20"/>
          <w:szCs w:val="20"/>
          <w:color w:val="auto"/>
        </w:rPr>
      </w:pPr>
      <w:r>
        <w:rPr>
          <w:rFonts w:ascii="Arial" w:cs="Arial" w:eastAsia="Arial" w:hAnsi="Arial"/>
          <w:sz w:val="22"/>
          <w:szCs w:val="22"/>
          <w:color w:val="auto"/>
        </w:rPr>
        <w:t>means each Lender that has a Revolving Commitment or that holds Revolving Credit Exposure.</w:t>
      </w:r>
    </w:p>
    <w:p>
      <w:pPr>
        <w:spacing w:after="0" w:line="173" w:lineRule="exact"/>
        <w:rPr>
          <w:sz w:val="20"/>
          <w:szCs w:val="20"/>
          <w:color w:val="auto"/>
        </w:rPr>
      </w:pPr>
    </w:p>
    <w:p>
      <w:pPr>
        <w:ind w:left="640" w:right="1860"/>
        <w:spacing w:after="0" w:line="39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means a Loan made pursuant to Section 2.01. “</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and any successor thereto.</w:t>
      </w:r>
    </w:p>
    <w:p>
      <w:pPr>
        <w:spacing w:after="0" w:line="1" w:lineRule="exact"/>
        <w:rPr>
          <w:sz w:val="20"/>
          <w:szCs w:val="20"/>
          <w:color w:val="auto"/>
        </w:rPr>
      </w:pPr>
    </w:p>
    <w:p>
      <w:pPr>
        <w:jc w:val="both"/>
        <w:ind w:right="4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Same Day Funds</w:t>
      </w:r>
      <w:r>
        <w:rPr>
          <w:rFonts w:ascii="Arial" w:cs="Arial" w:eastAsia="Arial" w:hAnsi="Arial"/>
          <w:sz w:val="22"/>
          <w:szCs w:val="22"/>
          <w:color w:val="auto"/>
        </w:rPr>
        <w:t>” means (a) with respect to disbursements and payments in Dollars, immediately available funds, and (b) with respect to disbursements and payments in an Alternative Currency, same day or other funds as may be reasonably determined by the Administrative Agent or the Issuing Banks, as the case may be, to be customary in the place of</w:t>
      </w:r>
    </w:p>
    <w:p>
      <w:pPr>
        <w:sectPr>
          <w:pgSz w:w="11900" w:h="16838" w:orient="portrait"/>
          <w:cols w:equalWidth="0" w:num="1">
            <w:col w:w="10440"/>
          </w:cols>
          <w:pgMar w:left="1020" w:top="1346" w:right="439" w:bottom="1440" w:gutter="0" w:footer="0" w:header="0"/>
        </w:sectPr>
      </w:pPr>
    </w:p>
    <w:bookmarkStart w:id="142" w:name="page143"/>
    <w:bookmarkEnd w:id="142"/>
    <w:p>
      <w:pPr>
        <w:ind w:left="40"/>
        <w:spacing w:after="0"/>
        <w:rPr>
          <w:sz w:val="20"/>
          <w:szCs w:val="20"/>
          <w:color w:val="auto"/>
        </w:rPr>
      </w:pPr>
      <w:r>
        <w:rPr>
          <w:rFonts w:ascii="Arial" w:cs="Arial" w:eastAsia="Arial" w:hAnsi="Arial"/>
          <w:sz w:val="19"/>
          <w:szCs w:val="19"/>
          <w:color w:val="auto"/>
        </w:rPr>
        <w:t>disbursement or payment for the settlement of international banking transactions in the relevant Alternative Currency.</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Scheduled Unavailability Date</w:t>
      </w:r>
      <w:r>
        <w:rPr>
          <w:rFonts w:ascii="Arial" w:cs="Arial" w:eastAsia="Arial" w:hAnsi="Arial"/>
          <w:sz w:val="22"/>
          <w:szCs w:val="22"/>
          <w:color w:val="auto"/>
        </w:rPr>
        <w:t>” has the meaning assigned to such term in Section 2.07(c)(ii).</w:t>
      </w:r>
    </w:p>
    <w:p>
      <w:pPr>
        <w:spacing w:after="0" w:line="206" w:lineRule="exact"/>
        <w:rPr>
          <w:sz w:val="20"/>
          <w:szCs w:val="20"/>
          <w:color w:val="auto"/>
        </w:rPr>
      </w:pPr>
    </w:p>
    <w:p>
      <w:pPr>
        <w:jc w:val="both"/>
        <w:ind w:left="4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any successor thereto and any analogous Governmental Authority succeeding to any of its principal functions.</w:t>
      </w:r>
    </w:p>
    <w:p>
      <w:pPr>
        <w:spacing w:after="0" w:line="199" w:lineRule="exact"/>
        <w:rPr>
          <w:sz w:val="20"/>
          <w:szCs w:val="20"/>
          <w:color w:val="auto"/>
        </w:rPr>
      </w:pPr>
    </w:p>
    <w:p>
      <w:pPr>
        <w:jc w:val="both"/>
        <w:ind w:left="40" w:right="2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xml:space="preserve">” </w:t>
      </w:r>
      <w:r>
        <w:rPr>
          <w:rFonts w:ascii="Arial" w:cs="Arial" w:eastAsia="Arial" w:hAnsi="Arial"/>
          <w:sz w:val="21"/>
          <w:szCs w:val="21"/>
          <w:color w:val="FF0000"/>
          <w:strike w:val="1"/>
        </w:rPr>
        <w:t>has the meaning assigned to such term in the definition of “Daily Simple SOFR.”</w:t>
      </w:r>
      <w:r>
        <w:rPr>
          <w:rFonts w:ascii="Arial" w:cs="Arial" w:eastAsia="Arial" w:hAnsi="Arial"/>
          <w:sz w:val="21"/>
          <w:szCs w:val="21"/>
          <w:u w:val="single" w:color="auto"/>
          <w:color w:val="0000FF"/>
        </w:rPr>
        <w:t>means the Secured</w:t>
      </w:r>
      <w:r>
        <w:rPr>
          <w:rFonts w:ascii="Arial" w:cs="Arial" w:eastAsia="Arial" w:hAnsi="Arial"/>
          <w:sz w:val="21"/>
          <w:szCs w:val="21"/>
          <w:color w:val="auto"/>
        </w:rPr>
        <w:t xml:space="preserve"> </w:t>
      </w:r>
      <w:r>
        <w:rPr>
          <w:rFonts w:ascii="Arial" w:cs="Arial" w:eastAsia="Arial" w:hAnsi="Arial"/>
          <w:sz w:val="21"/>
          <w:szCs w:val="21"/>
          <w:u w:val="single" w:color="auto"/>
          <w:color w:val="0000FF"/>
        </w:rPr>
        <w:t>Overnight Financing Rate as administered by the SOFR Administrator (or a successor administrator).</w:t>
      </w:r>
    </w:p>
    <w:p>
      <w:pPr>
        <w:spacing w:after="0" w:line="191" w:lineRule="exact"/>
        <w:rPr>
          <w:sz w:val="20"/>
          <w:szCs w:val="20"/>
          <w:color w:val="auto"/>
        </w:rPr>
      </w:pPr>
    </w:p>
    <w:p>
      <w:pPr>
        <w:jc w:val="both"/>
        <w:ind w:left="40" w:firstLine="648"/>
        <w:spacing w:after="0" w:line="223"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SOFR Early Opt-in</w:t>
      </w:r>
      <w:r>
        <w:rPr>
          <w:rFonts w:ascii="Arial" w:cs="Arial" w:eastAsia="Arial" w:hAnsi="Arial"/>
          <w:sz w:val="22"/>
          <w:szCs w:val="22"/>
          <w:color w:val="FF0000"/>
          <w:strike w:val="1"/>
        </w:rPr>
        <w:t>” means the Administrative Agent and the Borrower have elected to replace LIBOR pursuant to (x) an Early Opt-in Election and (y) Section 2.07(d)(i) and paragraph (1) of the definition of “Benchmark Replacement”.</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0000FF"/>
        </w:rPr>
        <w:t>“SOFR Adjustment” means 0.10%.</w:t>
      </w:r>
    </w:p>
    <w:p>
      <w:pPr>
        <w:spacing w:after="0" w:line="220" w:lineRule="exact"/>
        <w:rPr>
          <w:sz w:val="20"/>
          <w:szCs w:val="20"/>
          <w:color w:val="auto"/>
        </w:rPr>
      </w:pPr>
    </w:p>
    <w:p>
      <w:pPr>
        <w:jc w:val="both"/>
        <w:ind w:left="40" w:firstLine="648"/>
        <w:spacing w:after="0" w:line="232" w:lineRule="auto"/>
        <w:rPr>
          <w:sz w:val="20"/>
          <w:szCs w:val="20"/>
          <w:color w:val="auto"/>
        </w:rPr>
      </w:pPr>
      <w:r>
        <w:rPr>
          <w:rFonts w:ascii="Arial" w:cs="Arial" w:eastAsia="Arial" w:hAnsi="Arial"/>
          <w:sz w:val="22"/>
          <w:szCs w:val="22"/>
          <w:u w:val="single" w:color="auto"/>
          <w:color w:val="0000FF"/>
        </w:rPr>
        <w:t>“SOFR Administrator” means the Federal Reserve Bank of New York, as the administrator of SOFR, or any successor administrator of SOFR designated by the Federal Reserve Bank of New York.</w:t>
      </w:r>
    </w:p>
    <w:p>
      <w:pPr>
        <w:spacing w:after="0" w:line="18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u w:val="single" w:color="auto"/>
          <w:color w:val="0000FF"/>
        </w:rPr>
        <w:t>“SOFR Daily Floating Rate” means, for any interest calculation with respect to a SOFR Daily Floating Rate Loan on any date, a fluctuating rate of interest, which can change on each Business Day, equal to the Term SOFR Screen Rate, two U.S. Government Securities Business Days prior to such date, with a term equivalent to one month beginning on that date; provided, that if the rate is not published prior to 11:00 a.m. (New York City time) on such determination date then SOFR Daily Floating Rate means the Term SOFR Screen Rate on the first (1st) U.S. Government Securities Business Day immediately prior thereto, in each case, plus the SOFR</w:t>
      </w:r>
      <w:r>
        <w:rPr>
          <w:rFonts w:ascii="Arial" w:cs="Arial" w:eastAsia="Arial" w:hAnsi="Arial"/>
          <w:sz w:val="22"/>
          <w:szCs w:val="22"/>
          <w:color w:val="0000FF"/>
        </w:rPr>
        <w:t xml:space="preserve"> Adjustment; provided, that, if any SOFR Daily </w:t>
      </w:r>
      <w:r>
        <w:rPr>
          <w:rFonts w:ascii="Arial" w:cs="Arial" w:eastAsia="Arial" w:hAnsi="Arial"/>
          <w:sz w:val="22"/>
          <w:szCs w:val="22"/>
          <w:u w:val="single" w:color="auto"/>
          <w:color w:val="0000FF"/>
        </w:rPr>
        <w:t>Floating Rate shall be less than zero percent (0%), such rate shall be deemed zero percent (0%) for purposes of this Agreement.</w:t>
      </w:r>
    </w:p>
    <w:p>
      <w:pPr>
        <w:spacing w:after="0" w:line="313" w:lineRule="exact"/>
        <w:rPr>
          <w:sz w:val="20"/>
          <w:szCs w:val="20"/>
          <w:color w:val="auto"/>
        </w:rPr>
      </w:pPr>
    </w:p>
    <w:p>
      <w:pPr>
        <w:ind w:left="680" w:right="540"/>
        <w:spacing w:after="0" w:line="390" w:lineRule="auto"/>
        <w:rPr>
          <w:sz w:val="20"/>
          <w:szCs w:val="20"/>
          <w:color w:val="auto"/>
        </w:rPr>
      </w:pPr>
      <w:r>
        <w:rPr>
          <w:rFonts w:ascii="Arial" w:cs="Arial" w:eastAsia="Arial" w:hAnsi="Arial"/>
          <w:sz w:val="22"/>
          <w:szCs w:val="22"/>
          <w:u w:val="single" w:color="auto"/>
          <w:color w:val="0000FF"/>
        </w:rPr>
        <w:t>“SOFR Scheduled Unavailability Date” has the meaning specified in Section 2.07(d)(ii). “SOFR Successor Rate” has the meaning specified in Section 2.07(d).</w:t>
      </w:r>
    </w:p>
    <w:p>
      <w:pPr>
        <w:spacing w:after="0" w:line="1" w:lineRule="exact"/>
        <w:rPr>
          <w:sz w:val="20"/>
          <w:szCs w:val="20"/>
          <w:color w:val="auto"/>
        </w:rPr>
      </w:pPr>
    </w:p>
    <w:p>
      <w:pPr>
        <w:jc w:val="both"/>
        <w:ind w:left="4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SONIA</w:t>
      </w:r>
      <w:r>
        <w:rPr>
          <w:rFonts w:ascii="Arial" w:cs="Arial" w:eastAsia="Arial" w:hAnsi="Arial"/>
          <w:sz w:val="21"/>
          <w:szCs w:val="21"/>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if such determination date is not a Business Day, SONIA means such rate that applied on the first Business Day immediately prior thereto.</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Adjustment</w:t>
      </w:r>
      <w:r>
        <w:rPr>
          <w:rFonts w:ascii="Arial" w:cs="Arial" w:eastAsia="Arial" w:hAnsi="Arial"/>
          <w:sz w:val="22"/>
          <w:szCs w:val="22"/>
          <w:color w:val="auto"/>
        </w:rPr>
        <w:t>” means, with respect to SONIA, 0.0326% (3.26 basis points) per</w:t>
      </w:r>
    </w:p>
    <w:p>
      <w:pPr>
        <w:ind w:left="40"/>
        <w:spacing w:after="0"/>
        <w:rPr>
          <w:sz w:val="20"/>
          <w:szCs w:val="20"/>
          <w:color w:val="auto"/>
        </w:rPr>
      </w:pPr>
      <w:r>
        <w:rPr>
          <w:rFonts w:ascii="Arial" w:cs="Arial" w:eastAsia="Arial" w:hAnsi="Arial"/>
          <w:sz w:val="22"/>
          <w:szCs w:val="22"/>
          <w:color w:val="auto"/>
        </w:rPr>
        <w:t>annum.</w:t>
      </w:r>
    </w:p>
    <w:p>
      <w:pPr>
        <w:sectPr>
          <w:pgSz w:w="11900" w:h="16838" w:orient="portrait"/>
          <w:cols w:equalWidth="0" w:num="1">
            <w:col w:w="10480"/>
          </w:cols>
          <w:pgMar w:left="980" w:top="1400" w:right="439" w:bottom="1440" w:gutter="0" w:footer="0" w:header="0"/>
        </w:sectPr>
      </w:pPr>
    </w:p>
    <w:bookmarkStart w:id="143" w:name="page144"/>
    <w:bookmarkEnd w:id="143"/>
    <w:p>
      <w:pPr>
        <w:jc w:val="both"/>
        <w:ind w:right="2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5" w:lineRule="exact"/>
        <w:rPr>
          <w:sz w:val="20"/>
          <w:szCs w:val="20"/>
          <w:color w:val="auto"/>
        </w:rPr>
      </w:pPr>
    </w:p>
    <w:p>
      <w:pPr>
        <w:jc w:val="both"/>
        <w:ind w:right="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Notice Currency</w:t>
      </w:r>
      <w:r>
        <w:rPr>
          <w:rFonts w:ascii="Arial" w:cs="Arial" w:eastAsia="Arial" w:hAnsi="Arial"/>
          <w:sz w:val="22"/>
          <w:szCs w:val="22"/>
          <w:color w:val="auto"/>
        </w:rPr>
        <w:t>” means at any time an Alternative Currency, other than the currency of a country that is a member of the Organization for Economic Cooperation and Development at such time located in North America or Europe.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currency</w:t>
      </w:r>
      <w:r>
        <w:rPr>
          <w:rFonts w:ascii="Arial" w:cs="Arial" w:eastAsia="Arial" w:hAnsi="Arial"/>
          <w:sz w:val="22"/>
          <w:szCs w:val="22"/>
          <w:color w:val="auto"/>
        </w:rPr>
        <w:t>” has the meaning assigned in Section 2.20.</w:t>
      </w:r>
    </w:p>
    <w:p>
      <w:pPr>
        <w:spacing w:after="0" w:line="220" w:lineRule="exact"/>
        <w:rPr>
          <w:sz w:val="20"/>
          <w:szCs w:val="20"/>
          <w:color w:val="auto"/>
        </w:rPr>
      </w:pPr>
    </w:p>
    <w:p>
      <w:pPr>
        <w:jc w:val="both"/>
        <w:ind w:right="6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Transaction</w:t>
      </w:r>
      <w:r>
        <w:rPr>
          <w:rFonts w:ascii="Arial" w:cs="Arial" w:eastAsia="Arial" w:hAnsi="Arial"/>
          <w:sz w:val="19"/>
          <w:szCs w:val="19"/>
          <w:color w:val="auto"/>
        </w:rPr>
        <w:t>” means, with respect to any Test Period, any of the following events occurring after the first day of such Test Period and prior to the applicable date of determination: (i) any Investment by the Borrower or any Subsidiary in any Person (including in connection with any acquisition) other than a Person that was a wholly-owned Subsidiary on the first day of such period involving consideration paid by the Borrower or such Subsidiary in excess of $50,000,000, (ii) any disposition outside the ordinary course of business of assets by the Borrower or any Subsidiary with a fair market value in excess of $50,000,000, (iii) any incurrence or repayment of Indebtedness (in each case, other than Revolving Loans, Swingline Loans and borrowings and repayments of Indebtedness in the ordinary course of business under revolving credit facilities except to the extent there is a reduction in the related Revolving Commitments or other revolving credit commitment) and (iv) any Restricted Payment involving consideration paid by the Borrower or any Subsidiary in excess of $50,000,000.</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Spot Rate</w:t>
      </w:r>
      <w:r>
        <w:rPr>
          <w:rFonts w:ascii="Arial" w:cs="Arial" w:eastAsia="Arial" w:hAnsi="Arial"/>
          <w:sz w:val="19"/>
          <w:szCs w:val="19"/>
          <w:color w:val="auto"/>
        </w:rPr>
        <w:t xml:space="preserve">” for a currency means the rate determined by the Administrative Agent or the applicable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or the applicable Issuing Bank may obtain such spot rate from another financial institution designated by the Administrative Agent or the applicable Issuing Bank if the Person acting in such capacity does not have as of the date of determination a spot buying rate for any such currency;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applicable Issuing Bank may use such spot rate quoted on the date as of which the foreign exchange computation is made in the case of any Letter of Credit denominated in an Alternative Currency.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the lawful currency of the United Kingdom.</w:t>
      </w:r>
    </w:p>
    <w:p>
      <w:pPr>
        <w:sectPr>
          <w:pgSz w:w="11900" w:h="16838" w:orient="portrait"/>
          <w:cols w:equalWidth="0" w:num="1">
            <w:col w:w="10460"/>
          </w:cols>
          <w:pgMar w:left="1020" w:top="1400" w:right="419" w:bottom="1440" w:gutter="0" w:footer="0" w:header="0"/>
        </w:sectPr>
      </w:pPr>
    </w:p>
    <w:bookmarkStart w:id="144" w:name="page145"/>
    <w:bookmarkEnd w:id="144"/>
    <w:p>
      <w:pPr>
        <w:jc w:val="both"/>
        <w:ind w:right="8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or more subsidiaries of the parent or by the parent and one or more subsidiaries of the parent.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subsidiary of the Borrower.</w:t>
      </w:r>
    </w:p>
    <w:p>
      <w:pPr>
        <w:spacing w:after="0" w:line="3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Successor Rate</w:t>
      </w:r>
      <w:r>
        <w:rPr>
          <w:rFonts w:ascii="Arial" w:cs="Arial" w:eastAsia="Arial" w:hAnsi="Arial"/>
          <w:sz w:val="19"/>
          <w:szCs w:val="19"/>
          <w:color w:val="auto"/>
        </w:rPr>
        <w:t xml:space="preserve">” has the meaning assigned in </w:t>
      </w:r>
      <w:r>
        <w:rPr>
          <w:rFonts w:ascii="Arial" w:cs="Arial" w:eastAsia="Arial" w:hAnsi="Arial"/>
          <w:sz w:val="19"/>
          <w:szCs w:val="19"/>
          <w:color w:val="FF0000"/>
          <w:strike w:val="1"/>
        </w:rPr>
        <w:t>Section 2.07(c)</w:t>
      </w:r>
      <w:r>
        <w:rPr>
          <w:rFonts w:ascii="Arial" w:cs="Arial" w:eastAsia="Arial" w:hAnsi="Arial"/>
          <w:sz w:val="19"/>
          <w:szCs w:val="19"/>
          <w:u w:val="single" w:color="auto"/>
          <w:color w:val="0000FF"/>
        </w:rPr>
        <w:t>Section 2.07(d)</w:t>
      </w:r>
      <w:r>
        <w:rPr>
          <w:rFonts w:ascii="Arial" w:cs="Arial" w:eastAsia="Arial" w:hAnsi="Arial"/>
          <w:sz w:val="19"/>
          <w:szCs w:val="19"/>
          <w:color w:val="auto"/>
        </w:rPr>
        <w:t>. “</w:t>
      </w:r>
      <w:r>
        <w:rPr>
          <w:rFonts w:ascii="Arial" w:cs="Arial" w:eastAsia="Arial" w:hAnsi="Arial"/>
          <w:sz w:val="19"/>
          <w:szCs w:val="19"/>
          <w:u w:val="single" w:color="auto"/>
          <w:color w:val="auto"/>
        </w:rPr>
        <w:t>Sustainability Coordinator</w:t>
      </w:r>
      <w:r>
        <w:rPr>
          <w:rFonts w:ascii="Arial" w:cs="Arial" w:eastAsia="Arial" w:hAnsi="Arial"/>
          <w:sz w:val="19"/>
          <w:szCs w:val="19"/>
          <w:color w:val="auto"/>
        </w:rPr>
        <w:t>” means</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BofA Securities, Inc., in its capacity as the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sustainability coordinator.</w:t>
      </w:r>
    </w:p>
    <w:p>
      <w:pPr>
        <w:spacing w:after="0" w:line="220" w:lineRule="exact"/>
        <w:rPr>
          <w:sz w:val="20"/>
          <w:szCs w:val="20"/>
          <w:color w:val="auto"/>
        </w:rPr>
      </w:pPr>
    </w:p>
    <w:p>
      <w:pPr>
        <w:jc w:val="both"/>
        <w:ind w:right="1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Linked Loan Principles</w:t>
      </w:r>
      <w:r>
        <w:rPr>
          <w:rFonts w:ascii="Arial" w:cs="Arial" w:eastAsia="Arial" w:hAnsi="Arial"/>
          <w:sz w:val="22"/>
          <w:szCs w:val="22"/>
          <w:color w:val="auto"/>
        </w:rPr>
        <w:t>” means the Sustainability Linked Loan Principles as most recently published by the Loan Market Association and Loan Syndications &amp; Trading Association.</w:t>
      </w:r>
    </w:p>
    <w:p>
      <w:pPr>
        <w:spacing w:after="0" w:line="186" w:lineRule="exact"/>
        <w:rPr>
          <w:sz w:val="20"/>
          <w:szCs w:val="20"/>
          <w:color w:val="auto"/>
        </w:rPr>
      </w:pPr>
    </w:p>
    <w:p>
      <w:pPr>
        <w:jc w:val="both"/>
        <w:ind w:right="10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Agreement</w:t>
      </w:r>
      <w:r>
        <w:rPr>
          <w:rFonts w:ascii="Arial" w:cs="Arial" w:eastAsia="Arial" w:hAnsi="Arial"/>
          <w:sz w:val="19"/>
          <w:szCs w:val="19"/>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92" w:lineRule="exact"/>
        <w:rPr>
          <w:sz w:val="20"/>
          <w:szCs w:val="20"/>
          <w:color w:val="auto"/>
        </w:rPr>
      </w:pPr>
    </w:p>
    <w:p>
      <w:pPr>
        <w:jc w:val="both"/>
        <w:ind w:right="1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99" w:lineRule="exact"/>
        <w:rPr>
          <w:sz w:val="20"/>
          <w:szCs w:val="20"/>
          <w:color w:val="auto"/>
        </w:rPr>
      </w:pPr>
    </w:p>
    <w:p>
      <w:pPr>
        <w:jc w:val="both"/>
        <w:ind w:right="1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means Bank of America (through itself or through one of its designated Affiliates or branch offices), in its capacity as lender of Swingline Loans hereunder, or any successor swingline lender hereunder.</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Loan</w:t>
      </w:r>
      <w:r>
        <w:rPr>
          <w:rFonts w:ascii="Arial" w:cs="Arial" w:eastAsia="Arial" w:hAnsi="Arial"/>
          <w:sz w:val="19"/>
          <w:szCs w:val="19"/>
          <w:color w:val="auto"/>
        </w:rPr>
        <w:t>” means a Loan made pursuant to Section 2.04. “</w:t>
      </w:r>
      <w:r>
        <w:rPr>
          <w:rFonts w:ascii="Arial" w:cs="Arial" w:eastAsia="Arial" w:hAnsi="Arial"/>
          <w:sz w:val="19"/>
          <w:szCs w:val="19"/>
          <w:u w:val="single" w:color="auto"/>
          <w:color w:val="auto"/>
        </w:rPr>
        <w:t>Swingline Loan Notice</w:t>
      </w:r>
      <w:r>
        <w:rPr>
          <w:rFonts w:ascii="Arial" w:cs="Arial" w:eastAsia="Arial" w:hAnsi="Arial"/>
          <w:sz w:val="19"/>
          <w:szCs w:val="19"/>
          <w:color w:val="auto"/>
        </w:rPr>
        <w:t>” means a notice of a</w:t>
      </w:r>
    </w:p>
    <w:p>
      <w:pPr>
        <w:spacing w:after="0" w:line="30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Swingline Loan Borrowing pursuant to</w:t>
      </w:r>
    </w:p>
    <w:p>
      <w:pPr>
        <w:spacing w:after="0" w:line="125" w:lineRule="exact"/>
        <w:rPr>
          <w:sz w:val="20"/>
          <w:szCs w:val="20"/>
          <w:color w:val="auto"/>
        </w:rPr>
      </w:pPr>
    </w:p>
    <w:p>
      <w:pPr>
        <w:jc w:val="both"/>
        <w:ind w:right="100"/>
        <w:spacing w:after="0" w:line="268" w:lineRule="auto"/>
        <w:rPr>
          <w:sz w:val="20"/>
          <w:szCs w:val="20"/>
          <w:color w:val="auto"/>
        </w:rPr>
      </w:pPr>
      <w:r>
        <w:rPr>
          <w:rFonts w:ascii="Arial" w:cs="Arial" w:eastAsia="Arial" w:hAnsi="Arial"/>
          <w:sz w:val="19"/>
          <w:szCs w:val="19"/>
          <w:color w:val="auto"/>
        </w:rPr>
        <w:t xml:space="preserve">Section 2.04, which, shall be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 Sublimit</w:t>
      </w:r>
      <w:r>
        <w:rPr>
          <w:rFonts w:ascii="Arial" w:cs="Arial" w:eastAsia="Arial" w:hAnsi="Arial"/>
          <w:sz w:val="22"/>
          <w:szCs w:val="22"/>
          <w:color w:val="auto"/>
        </w:rPr>
        <w:t>” means $175,000,000.</w:t>
      </w:r>
    </w:p>
    <w:p>
      <w:pPr>
        <w:sectPr>
          <w:pgSz w:w="11900" w:h="16838" w:orient="portrait"/>
          <w:cols w:equalWidth="0" w:num="1">
            <w:col w:w="10520"/>
          </w:cols>
          <w:pgMar w:left="1020" w:top="1400" w:right="359" w:bottom="1440" w:gutter="0" w:footer="0" w:header="0"/>
        </w:sectPr>
      </w:pPr>
    </w:p>
    <w:bookmarkStart w:id="145" w:name="page146"/>
    <w:bookmarkEnd w:id="145"/>
    <w:p>
      <w:pPr>
        <w:jc w:val="both"/>
        <w:ind w:left="40" w:right="40" w:firstLine="648"/>
        <w:spacing w:after="0" w:line="223" w:lineRule="auto"/>
        <w:rPr>
          <w:sz w:val="20"/>
          <w:szCs w:val="20"/>
          <w:color w:val="auto"/>
        </w:rPr>
      </w:pPr>
      <w:r>
        <w:rPr>
          <w:rFonts w:ascii="Arial" w:cs="Arial" w:eastAsia="Arial" w:hAnsi="Arial"/>
          <w:sz w:val="22"/>
          <w:szCs w:val="22"/>
          <w:color w:val="auto"/>
        </w:rPr>
        <w:t>“TARGET</w:t>
      </w:r>
      <w:r>
        <w:rPr>
          <w:rFonts w:ascii="Arial" w:cs="Arial" w:eastAsia="Arial" w:hAnsi="Arial"/>
          <w:sz w:val="22"/>
          <w:szCs w:val="22"/>
          <w:color w:val="0000FF"/>
        </w:rPr>
        <w:t>2</w:t>
      </w:r>
      <w:r>
        <w:rPr>
          <w:rFonts w:ascii="Arial" w:cs="Arial" w:eastAsia="Arial" w:hAnsi="Arial"/>
          <w:sz w:val="22"/>
          <w:szCs w:val="22"/>
          <w:color w:val="auto"/>
        </w:rPr>
        <w:t xml:space="preserve"> </w:t>
      </w:r>
      <w:r>
        <w:rPr>
          <w:rFonts w:ascii="Arial" w:cs="Arial" w:eastAsia="Arial" w:hAnsi="Arial"/>
          <w:sz w:val="22"/>
          <w:szCs w:val="22"/>
          <w:color w:val="FF0000"/>
          <w:strike w:val="1"/>
        </w:rPr>
        <w:t>Day</w:t>
      </w:r>
      <w:r>
        <w:rPr>
          <w:rFonts w:ascii="Arial" w:cs="Arial" w:eastAsia="Arial" w:hAnsi="Arial"/>
          <w:sz w:val="22"/>
          <w:szCs w:val="22"/>
          <w:color w:val="auto"/>
        </w:rPr>
        <w:t xml:space="preserve">” means </w:t>
      </w:r>
      <w:r>
        <w:rPr>
          <w:rFonts w:ascii="Arial" w:cs="Arial" w:eastAsia="Arial" w:hAnsi="Arial"/>
          <w:sz w:val="22"/>
          <w:szCs w:val="22"/>
          <w:color w:val="FF0000"/>
          <w:strike w:val="1"/>
        </w:rPr>
        <w:t>any day on which</w:t>
      </w:r>
      <w:r>
        <w:rPr>
          <w:rFonts w:ascii="Arial" w:cs="Arial" w:eastAsia="Arial" w:hAnsi="Arial"/>
          <w:sz w:val="22"/>
          <w:szCs w:val="22"/>
          <w:color w:val="auto"/>
        </w:rPr>
        <w:t xml:space="preserve"> the Trans-European Automated Real-time Gross Settlement Express Transfer </w:t>
      </w:r>
      <w:r>
        <w:rPr>
          <w:rFonts w:ascii="Arial" w:cs="Arial" w:eastAsia="Arial" w:hAnsi="Arial"/>
          <w:sz w:val="22"/>
          <w:szCs w:val="22"/>
          <w:color w:val="FF0000"/>
          <w:strike w:val="1"/>
        </w:rPr>
        <w:t>(TARGET)</w:t>
      </w:r>
      <w:r>
        <w:rPr>
          <w:rFonts w:ascii="Arial" w:cs="Arial" w:eastAsia="Arial" w:hAnsi="Arial"/>
          <w:sz w:val="22"/>
          <w:szCs w:val="22"/>
          <w:color w:val="auto"/>
        </w:rPr>
        <w:t xml:space="preserve"> payment system </w:t>
      </w:r>
      <w:r>
        <w:rPr>
          <w:rFonts w:ascii="Arial" w:cs="Arial" w:eastAsia="Arial" w:hAnsi="Arial"/>
          <w:sz w:val="22"/>
          <w:szCs w:val="22"/>
          <w:u w:val="single" w:color="auto"/>
          <w:color w:val="0000FF"/>
        </w:rPr>
        <w:t>which utilizes a single shared platform and which was launched on November 19,</w:t>
      </w:r>
      <w:r>
        <w:rPr>
          <w:rFonts w:ascii="Arial" w:cs="Arial" w:eastAsia="Arial" w:hAnsi="Arial"/>
          <w:sz w:val="22"/>
          <w:szCs w:val="22"/>
          <w:color w:val="auto"/>
        </w:rPr>
        <w:t xml:space="preserve"> </w:t>
      </w:r>
      <w:r>
        <w:rPr>
          <w:rFonts w:ascii="Arial" w:cs="Arial" w:eastAsia="Arial" w:hAnsi="Arial"/>
          <w:sz w:val="22"/>
          <w:szCs w:val="22"/>
          <w:u w:val="single" w:color="auto"/>
          <w:color w:val="0000FF"/>
        </w:rPr>
        <w:t>2007.</w:t>
      </w:r>
    </w:p>
    <w:p>
      <w:pPr>
        <w:spacing w:after="0" w:line="199" w:lineRule="exact"/>
        <w:rPr>
          <w:sz w:val="20"/>
          <w:szCs w:val="20"/>
          <w:color w:val="auto"/>
        </w:rPr>
      </w:pPr>
    </w:p>
    <w:p>
      <w:pPr>
        <w:jc w:val="both"/>
        <w:ind w:left="40" w:right="40" w:firstLine="648"/>
        <w:spacing w:after="0" w:line="223" w:lineRule="auto"/>
        <w:rPr>
          <w:sz w:val="20"/>
          <w:szCs w:val="20"/>
          <w:color w:val="auto"/>
        </w:rPr>
      </w:pPr>
      <w:r>
        <w:rPr>
          <w:rFonts w:ascii="Arial" w:cs="Arial" w:eastAsia="Arial" w:hAnsi="Arial"/>
          <w:sz w:val="22"/>
          <w:szCs w:val="22"/>
          <w:u w:val="single" w:color="auto"/>
          <w:color w:val="0000FF"/>
        </w:rPr>
        <w:t>“TARGET Day” means any day on which TARGET2</w:t>
      </w:r>
      <w:r>
        <w:rPr>
          <w:rFonts w:ascii="Arial" w:cs="Arial" w:eastAsia="Arial" w:hAnsi="Arial"/>
          <w:sz w:val="22"/>
          <w:szCs w:val="22"/>
          <w:color w:val="0000FF"/>
        </w:rPr>
        <w:t xml:space="preserve"> </w:t>
      </w:r>
      <w:r>
        <w:rPr>
          <w:rFonts w:ascii="Arial" w:cs="Arial" w:eastAsia="Arial" w:hAnsi="Arial"/>
          <w:sz w:val="22"/>
          <w:szCs w:val="22"/>
          <w:color w:val="000000"/>
        </w:rPr>
        <w:t>(or, if such payment system ceases to be operative, such</w:t>
      </w:r>
      <w:r>
        <w:rPr>
          <w:rFonts w:ascii="Arial" w:cs="Arial" w:eastAsia="Arial" w:hAnsi="Arial"/>
          <w:sz w:val="22"/>
          <w:szCs w:val="22"/>
          <w:color w:val="0000FF"/>
        </w:rPr>
        <w:t xml:space="preserve"> </w:t>
      </w:r>
      <w:r>
        <w:rPr>
          <w:rFonts w:ascii="Arial" w:cs="Arial" w:eastAsia="Arial" w:hAnsi="Arial"/>
          <w:sz w:val="22"/>
          <w:szCs w:val="22"/>
          <w:color w:val="000000"/>
        </w:rPr>
        <w:t xml:space="preserve">other payment system </w:t>
      </w:r>
      <w:r>
        <w:rPr>
          <w:rFonts w:ascii="Arial" w:cs="Arial" w:eastAsia="Arial" w:hAnsi="Arial"/>
          <w:sz w:val="22"/>
          <w:szCs w:val="22"/>
          <w:color w:val="FF0000"/>
          <w:strike w:val="1"/>
        </w:rPr>
        <w:t>(</w:t>
      </w:r>
      <w:r>
        <w:rPr>
          <w:rFonts w:ascii="Arial" w:cs="Arial" w:eastAsia="Arial" w:hAnsi="Arial"/>
          <w:sz w:val="22"/>
          <w:szCs w:val="22"/>
          <w:color w:val="0000FF"/>
        </w:rPr>
        <w:t>,</w:t>
      </w:r>
      <w:r>
        <w:rPr>
          <w:rFonts w:ascii="Arial" w:cs="Arial" w:eastAsia="Arial" w:hAnsi="Arial"/>
          <w:sz w:val="22"/>
          <w:szCs w:val="22"/>
          <w:color w:val="000000"/>
        </w:rPr>
        <w:t xml:space="preserve"> if any</w:t>
      </w:r>
      <w:r>
        <w:rPr>
          <w:rFonts w:ascii="Arial" w:cs="Arial" w:eastAsia="Arial" w:hAnsi="Arial"/>
          <w:sz w:val="22"/>
          <w:szCs w:val="22"/>
          <w:color w:val="FF0000"/>
        </w:rPr>
        <w:t>)</w:t>
      </w:r>
      <w:r>
        <w:rPr>
          <w:rFonts w:ascii="Arial" w:cs="Arial" w:eastAsia="Arial" w:hAnsi="Arial"/>
          <w:sz w:val="22"/>
          <w:szCs w:val="22"/>
          <w:color w:val="0000FF"/>
        </w:rPr>
        <w:t>,</w:t>
      </w:r>
      <w:r>
        <w:rPr>
          <w:rFonts w:ascii="Arial" w:cs="Arial" w:eastAsia="Arial" w:hAnsi="Arial"/>
          <w:sz w:val="22"/>
          <w:szCs w:val="22"/>
          <w:color w:val="000000"/>
        </w:rPr>
        <w:t xml:space="preserve"> determined by the Administrative Agent to be a suitable replacement) is open for the settlement of payments in Euro.</w:t>
      </w:r>
    </w:p>
    <w:p>
      <w:pPr>
        <w:spacing w:after="0" w:line="186" w:lineRule="exact"/>
        <w:rPr>
          <w:sz w:val="20"/>
          <w:szCs w:val="20"/>
          <w:color w:val="auto"/>
        </w:rPr>
      </w:pPr>
    </w:p>
    <w:p>
      <w:pPr>
        <w:jc w:val="both"/>
        <w:ind w:left="40"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99" w:lineRule="exact"/>
        <w:rPr>
          <w:sz w:val="20"/>
          <w:szCs w:val="20"/>
          <w:color w:val="auto"/>
        </w:rPr>
      </w:pPr>
    </w:p>
    <w:p>
      <w:pPr>
        <w:jc w:val="both"/>
        <w:ind w:left="40" w:right="40" w:firstLine="71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w:t>
      </w:r>
      <w:r>
        <w:rPr>
          <w:rFonts w:ascii="Arial" w:cs="Arial" w:eastAsia="Arial" w:hAnsi="Arial"/>
          <w:sz w:val="21"/>
          <w:szCs w:val="21"/>
          <w:color w:val="auto"/>
        </w:rPr>
        <w:t xml:space="preserve">” means, </w:t>
      </w:r>
      <w:r>
        <w:rPr>
          <w:rFonts w:ascii="Arial" w:cs="Arial" w:eastAsia="Arial" w:hAnsi="Arial"/>
          <w:sz w:val="21"/>
          <w:szCs w:val="21"/>
          <w:color w:val="FF0000"/>
          <w:strike w:val="1"/>
        </w:rPr>
        <w:t>for the applicable corresponding tenor (or if any Available Tenor of a Benchmark does</w:t>
      </w:r>
      <w:r>
        <w:rPr>
          <w:rFonts w:ascii="Arial" w:cs="Arial" w:eastAsia="Arial" w:hAnsi="Arial"/>
          <w:sz w:val="21"/>
          <w:szCs w:val="21"/>
          <w:color w:val="auto"/>
        </w:rPr>
        <w:t xml:space="preserve"> </w:t>
      </w:r>
      <w:r>
        <w:rPr>
          <w:rFonts w:ascii="Arial" w:cs="Arial" w:eastAsia="Arial" w:hAnsi="Arial"/>
          <w:sz w:val="21"/>
          <w:szCs w:val="21"/>
          <w:color w:val="FF0000"/>
          <w:strike w:val="1"/>
        </w:rPr>
        <w:t>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w:t>
      </w:r>
    </w:p>
    <w:p>
      <w:pPr>
        <w:spacing w:after="0" w:line="199" w:lineRule="exact"/>
        <w:rPr>
          <w:sz w:val="20"/>
          <w:szCs w:val="20"/>
          <w:color w:val="auto"/>
        </w:rPr>
      </w:pPr>
    </w:p>
    <w:p>
      <w:pPr>
        <w:jc w:val="both"/>
        <w:ind w:left="40" w:firstLine="640"/>
        <w:spacing w:after="0" w:line="214" w:lineRule="auto"/>
        <w:tabs>
          <w:tab w:leader="none" w:pos="1292" w:val="left"/>
        </w:tabs>
        <w:numPr>
          <w:ilvl w:val="0"/>
          <w:numId w:val="98"/>
        </w:numPr>
        <w:rPr>
          <w:rFonts w:ascii="Arial" w:cs="Arial" w:eastAsia="Arial" w:hAnsi="Arial"/>
          <w:sz w:val="22"/>
          <w:szCs w:val="22"/>
          <w:color w:val="0000FF"/>
        </w:rPr>
      </w:pPr>
      <w:r>
        <w:rPr>
          <w:rFonts w:ascii="Arial" w:cs="Arial" w:eastAsia="Arial" w:hAnsi="Arial"/>
          <w:sz w:val="22"/>
          <w:szCs w:val="22"/>
          <w:u w:val="single" w:color="auto"/>
          <w:color w:val="0000FF"/>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(New York City time) on such determination date then Term SOFR means the Term SOFR Screen Rate on the first U.S. Government Securities Business Day immediately prior thereto, in each case, </w:t>
      </w:r>
      <w:r>
        <w:rPr>
          <w:rFonts w:ascii="Arial" w:cs="Arial" w:eastAsia="Arial" w:hAnsi="Arial"/>
          <w:sz w:val="22"/>
          <w:szCs w:val="22"/>
          <w:i w:val="1"/>
          <w:iCs w:val="1"/>
          <w:u w:val="single" w:color="auto"/>
          <w:color w:val="0000FF"/>
        </w:rPr>
        <w:t>plus</w:t>
      </w:r>
      <w:r>
        <w:rPr>
          <w:rFonts w:ascii="Arial" w:cs="Arial" w:eastAsia="Arial" w:hAnsi="Arial"/>
          <w:sz w:val="22"/>
          <w:szCs w:val="22"/>
          <w:u w:val="single" w:color="auto"/>
          <w:color w:val="0000FF"/>
        </w:rPr>
        <w:t xml:space="preserve"> the SOFR Adjustment for such Interest Period</w:t>
      </w:r>
      <w:r>
        <w:rPr>
          <w:rFonts w:ascii="Arial" w:cs="Arial" w:eastAsia="Arial" w:hAnsi="Arial"/>
          <w:sz w:val="22"/>
          <w:szCs w:val="22"/>
          <w:b w:val="1"/>
          <w:bCs w:val="1"/>
          <w:u w:val="single" w:color="auto"/>
          <w:color w:val="0000FF"/>
        </w:rPr>
        <w:t>;</w:t>
      </w:r>
      <w:r>
        <w:rPr>
          <w:rFonts w:ascii="Arial" w:cs="Arial" w:eastAsia="Arial" w:hAnsi="Arial"/>
          <w:sz w:val="22"/>
          <w:szCs w:val="22"/>
          <w:u w:val="single" w:color="auto"/>
          <w:color w:val="0000FF"/>
        </w:rPr>
        <w:t xml:space="preserve"> and</w:t>
      </w:r>
    </w:p>
    <w:p>
      <w:pPr>
        <w:spacing w:after="0" w:line="185" w:lineRule="exact"/>
        <w:rPr>
          <w:rFonts w:ascii="Arial" w:cs="Arial" w:eastAsia="Arial" w:hAnsi="Arial"/>
          <w:sz w:val="22"/>
          <w:szCs w:val="22"/>
          <w:color w:val="0000FF"/>
        </w:rPr>
      </w:pPr>
    </w:p>
    <w:p>
      <w:pPr>
        <w:jc w:val="both"/>
        <w:ind w:left="40" w:firstLine="640"/>
        <w:spacing w:after="0" w:line="226" w:lineRule="auto"/>
        <w:tabs>
          <w:tab w:leader="none" w:pos="1291" w:val="left"/>
        </w:tabs>
        <w:numPr>
          <w:ilvl w:val="0"/>
          <w:numId w:val="98"/>
        </w:numPr>
        <w:rPr>
          <w:rFonts w:ascii="Arial" w:cs="Arial" w:eastAsia="Arial" w:hAnsi="Arial"/>
          <w:sz w:val="21"/>
          <w:szCs w:val="21"/>
          <w:color w:val="0000FF"/>
        </w:rPr>
      </w:pPr>
      <w:r>
        <w:rPr>
          <w:rFonts w:ascii="Arial" w:cs="Arial" w:eastAsia="Arial" w:hAnsi="Arial"/>
          <w:sz w:val="21"/>
          <w:szCs w:val="21"/>
          <w:u w:val="single" w:color="auto"/>
          <w:color w:val="0000FF"/>
        </w:rPr>
        <w:t>for any interest calculation with respect to a Base Rate Loan on any date, the rate per annum equal to the Term SOFR Screen Rate two U.S. Government Securities Business Days prior to such date with a term of one month commencing that day; provided, that if the rate is not published prior to 11:00 am on such determination date then Term SOFR means the Term SOFR Screen Rate on the first U.S. Government Securities Business Day immediately prior thereto, in each case, plus the SOFR Adjustment for such term;</w:t>
      </w:r>
    </w:p>
    <w:p>
      <w:pPr>
        <w:spacing w:after="0" w:line="200" w:lineRule="exact"/>
        <w:rPr>
          <w:sz w:val="20"/>
          <w:szCs w:val="20"/>
          <w:color w:val="auto"/>
        </w:rPr>
      </w:pPr>
    </w:p>
    <w:p>
      <w:pPr>
        <w:ind w:left="40"/>
        <w:spacing w:after="0" w:line="298" w:lineRule="auto"/>
        <w:rPr>
          <w:sz w:val="20"/>
          <w:szCs w:val="20"/>
          <w:color w:val="auto"/>
        </w:rPr>
      </w:pPr>
      <w:r>
        <w:rPr>
          <w:rFonts w:ascii="Arial" w:cs="Arial" w:eastAsia="Arial" w:hAnsi="Arial"/>
          <w:sz w:val="19"/>
          <w:szCs w:val="19"/>
          <w:u w:val="single" w:color="auto"/>
          <w:color w:val="0000FF"/>
        </w:rPr>
        <w:t>provided that if the Term SOFR determined in accordance with either of the foregoing provisions (a) or (b) of this definition would otherwise be less than zero, the Term SOFR shall be deemed zero for purposes of this Agreement.</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0000FF"/>
        </w:rPr>
        <w:t>“Term SOFR Loan” means a Loan that bears interest at a rate based on clause (a) of the definition of Term</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SOFR.</w:t>
      </w:r>
    </w:p>
    <w:p>
      <w:pPr>
        <w:spacing w:after="0" w:line="188" w:lineRule="exact"/>
        <w:rPr>
          <w:sz w:val="20"/>
          <w:szCs w:val="20"/>
          <w:color w:val="auto"/>
        </w:rPr>
      </w:pPr>
    </w:p>
    <w:p>
      <w:pPr>
        <w:jc w:val="both"/>
        <w:ind w:left="40" w:right="40" w:firstLine="648"/>
        <w:spacing w:after="0" w:line="257" w:lineRule="auto"/>
        <w:rPr>
          <w:sz w:val="20"/>
          <w:szCs w:val="20"/>
          <w:color w:val="auto"/>
        </w:rPr>
      </w:pPr>
      <w:r>
        <w:rPr>
          <w:rFonts w:ascii="Arial" w:cs="Arial" w:eastAsia="Arial" w:hAnsi="Arial"/>
          <w:sz w:val="19"/>
          <w:szCs w:val="19"/>
          <w:u w:val="single" w:color="auto"/>
          <w:color w:val="0000FF"/>
        </w:rPr>
        <w:t>“Term SOFR Screen Rate” means</w:t>
      </w:r>
      <w:r>
        <w:rPr>
          <w:rFonts w:ascii="Arial" w:cs="Arial" w:eastAsia="Arial" w:hAnsi="Arial"/>
          <w:sz w:val="19"/>
          <w:szCs w:val="19"/>
          <w:color w:val="0000FF"/>
        </w:rPr>
        <w:t xml:space="preserve"> </w:t>
      </w:r>
      <w:r>
        <w:rPr>
          <w:rFonts w:ascii="Arial" w:cs="Arial" w:eastAsia="Arial" w:hAnsi="Arial"/>
          <w:sz w:val="19"/>
          <w:szCs w:val="19"/>
          <w:color w:val="000000"/>
        </w:rPr>
        <w:t>the forward-looking</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term rate</w:t>
      </w:r>
      <w:r>
        <w:rPr>
          <w:rFonts w:ascii="Arial" w:cs="Arial" w:eastAsia="Arial" w:hAnsi="Arial"/>
          <w:sz w:val="19"/>
          <w:szCs w:val="19"/>
          <w:color w:val="0000FF"/>
        </w:rPr>
        <w:t xml:space="preserve"> </w:t>
      </w:r>
      <w:r>
        <w:rPr>
          <w:rFonts w:ascii="Arial" w:cs="Arial" w:eastAsia="Arial" w:hAnsi="Arial"/>
          <w:sz w:val="19"/>
          <w:szCs w:val="19"/>
          <w:color w:val="FF0000"/>
          <w:strike w:val="1"/>
        </w:rPr>
        <w:t>based on SOFR that has been selected or</w:t>
      </w:r>
      <w:r>
        <w:rPr>
          <w:rFonts w:ascii="Arial" w:cs="Arial" w:eastAsia="Arial" w:hAnsi="Arial"/>
          <w:sz w:val="19"/>
          <w:szCs w:val="19"/>
          <w:color w:val="0000FF"/>
        </w:rPr>
        <w:t xml:space="preserve"> </w:t>
      </w:r>
      <w:r>
        <w:rPr>
          <w:rFonts w:ascii="Arial" w:cs="Arial" w:eastAsia="Arial" w:hAnsi="Arial"/>
          <w:sz w:val="19"/>
          <w:szCs w:val="19"/>
          <w:color w:val="FF0000"/>
          <w:strike w:val="1"/>
        </w:rPr>
        <w:t>recommended by the Relevant Governmental Body.</w:t>
      </w:r>
      <w:r>
        <w:rPr>
          <w:rFonts w:ascii="Arial" w:cs="Arial" w:eastAsia="Arial" w:hAnsi="Arial"/>
          <w:sz w:val="19"/>
          <w:szCs w:val="19"/>
          <w:u w:val="single" w:color="auto"/>
          <w:color w:val="0000FF"/>
          <w:strike w:val="1"/>
        </w:rPr>
        <w:t>administered by CME (or any successor administrator satisfactory</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to the Administrative Agent) and published on the applicable Reuters screen page (or such other commercially available source providing such quotations as may be designated by the Administrative Agent from time to time).</w:t>
      </w:r>
    </w:p>
    <w:p>
      <w:pPr>
        <w:sectPr>
          <w:pgSz w:w="11900" w:h="16838" w:orient="portrait"/>
          <w:cols w:equalWidth="0" w:num="1">
            <w:col w:w="10480"/>
          </w:cols>
          <w:pgMar w:left="980" w:top="1400" w:right="439" w:bottom="1440" w:gutter="0" w:footer="0" w:header="0"/>
        </w:sectPr>
      </w:pPr>
    </w:p>
    <w:bookmarkStart w:id="146" w:name="page147"/>
    <w:bookmarkEnd w:id="146"/>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 Period</w:t>
      </w:r>
      <w:r>
        <w:rPr>
          <w:rFonts w:ascii="Arial" w:cs="Arial" w:eastAsia="Arial" w:hAnsi="Arial"/>
          <w:sz w:val="22"/>
          <w:szCs w:val="22"/>
          <w:color w:val="auto"/>
        </w:rPr>
        <w:t>” means the period of four fiscal quarters of the Borrower ending on a specified date.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TIBOR</w:t>
      </w:r>
      <w:r>
        <w:rPr>
          <w:rFonts w:ascii="Arial" w:cs="Arial" w:eastAsia="Arial" w:hAnsi="Arial"/>
          <w:sz w:val="21"/>
          <w:szCs w:val="21"/>
          <w:color w:val="auto"/>
        </w:rPr>
        <w:t>” has the meaning assigned to such term in the definition of “Alternative Currency Term Rate.”</w:t>
      </w:r>
    </w:p>
    <w:p>
      <w:pPr>
        <w:spacing w:after="0" w:line="21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execution, delivery and performance by the Loan Parties of this Agreement and the other Loan Documents, the borrowing of Loans, the use of the proceeds thereof, the issuance of Letters of Credit hereunder and the payment of fees and expenses hereunder.</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Triggering Indebtedness</w:t>
      </w:r>
      <w:r>
        <w:rPr>
          <w:rFonts w:ascii="Arial" w:cs="Arial" w:eastAsia="Arial" w:hAnsi="Arial"/>
          <w:sz w:val="22"/>
          <w:szCs w:val="22"/>
          <w:color w:val="auto"/>
        </w:rPr>
        <w:t>” has the meaning assigned in Section 5.09.</w:t>
      </w:r>
    </w:p>
    <w:p>
      <w:pPr>
        <w:spacing w:after="0" w:line="220"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xml:space="preserve">”, when used in reference to any Loan or Borrowing, refers to whether the rate of interest on such Loan, or on the Loans comprising such Borrowing, is determined by reference to the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Rate, the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Daily Floating Rate, the Alternative Currency Daily Rate, the Alternative Currency Term Rate or the Base</w:t>
      </w:r>
      <w:r>
        <w:rPr>
          <w:rFonts w:ascii="Arial" w:cs="Arial" w:eastAsia="Arial" w:hAnsi="Arial"/>
          <w:sz w:val="22"/>
          <w:szCs w:val="22"/>
          <w:color w:val="FF0000"/>
        </w:rPr>
        <w:t xml:space="preserve"> </w:t>
      </w:r>
      <w:r>
        <w:rPr>
          <w:rFonts w:ascii="Arial" w:cs="Arial" w:eastAsia="Arial" w:hAnsi="Arial"/>
          <w:sz w:val="22"/>
          <w:szCs w:val="22"/>
          <w:color w:val="000000"/>
        </w:rPr>
        <w:t>Rate.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w:t>
      </w:r>
      <w:r>
        <w:rPr>
          <w:rFonts w:ascii="Arial" w:cs="Arial" w:eastAsia="Arial" w:hAnsi="Arial"/>
          <w:sz w:val="22"/>
          <w:szCs w:val="22"/>
          <w:color w:val="auto"/>
        </w:rPr>
        <w:t>” and “</w:t>
      </w:r>
      <w:r>
        <w:rPr>
          <w:rFonts w:ascii="Arial" w:cs="Arial" w:eastAsia="Arial" w:hAnsi="Arial"/>
          <w:sz w:val="22"/>
          <w:szCs w:val="22"/>
          <w:u w:val="single" w:color="auto"/>
          <w:color w:val="auto"/>
        </w:rPr>
        <w:t>United Kingdom</w:t>
      </w:r>
      <w:r>
        <w:rPr>
          <w:rFonts w:ascii="Arial" w:cs="Arial" w:eastAsia="Arial" w:hAnsi="Arial"/>
          <w:sz w:val="22"/>
          <w:szCs w:val="22"/>
          <w:color w:val="auto"/>
        </w:rPr>
        <w:t>” each mean the United Kingdom of Great Britain and Northern Ireland.</w:t>
      </w:r>
    </w:p>
    <w:p>
      <w:pPr>
        <w:spacing w:after="0" w:line="220"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321" w:lineRule="exact"/>
        <w:rPr>
          <w:sz w:val="20"/>
          <w:szCs w:val="20"/>
          <w:color w:val="auto"/>
        </w:rPr>
      </w:pPr>
    </w:p>
    <w:p>
      <w:pPr>
        <w:ind w:left="640" w:right="220"/>
        <w:spacing w:after="0" w:line="40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 Tax Compliance Certificate</w:t>
      </w:r>
      <w:r>
        <w:rPr>
          <w:rFonts w:ascii="Arial" w:cs="Arial" w:eastAsia="Arial" w:hAnsi="Arial"/>
          <w:sz w:val="22"/>
          <w:szCs w:val="22"/>
          <w:color w:val="auto"/>
        </w:rPr>
        <w:t>” has the meaning set forth in Section 2.16(e). “</w:t>
      </w:r>
      <w:r>
        <w:rPr>
          <w:rFonts w:ascii="Arial" w:cs="Arial" w:eastAsia="Arial" w:hAnsi="Arial"/>
          <w:sz w:val="22"/>
          <w:szCs w:val="22"/>
          <w:u w:val="single" w:color="auto"/>
          <w:color w:val="auto"/>
        </w:rPr>
        <w:t>Unreimbursed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Amount</w:t>
      </w:r>
      <w:r>
        <w:rPr>
          <w:rFonts w:ascii="Arial" w:cs="Arial" w:eastAsia="Arial" w:hAnsi="Arial"/>
          <w:sz w:val="22"/>
          <w:szCs w:val="22"/>
          <w:color w:val="auto"/>
        </w:rPr>
        <w:t>” has the meaning set forth in Section 2.05(c)(i). “</w:t>
      </w:r>
      <w:r>
        <w:rPr>
          <w:rFonts w:ascii="Arial" w:cs="Arial" w:eastAsia="Arial" w:hAnsi="Arial"/>
          <w:sz w:val="22"/>
          <w:szCs w:val="22"/>
          <w:u w:val="single" w:color="auto"/>
          <w:color w:val="auto"/>
        </w:rPr>
        <w:t>Unrestricted Cash</w:t>
      </w:r>
      <w:r>
        <w:rPr>
          <w:rFonts w:ascii="Arial" w:cs="Arial" w:eastAsia="Arial" w:hAnsi="Arial"/>
          <w:sz w:val="22"/>
          <w:szCs w:val="22"/>
          <w:color w:val="auto"/>
        </w:rPr>
        <w:t>” means cash other than Restricted Cash.</w:t>
      </w:r>
    </w:p>
    <w:p>
      <w:pPr>
        <w:spacing w:after="0" w:line="3"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u w:val="single" w:color="auto"/>
          <w:color w:val="0000FF"/>
        </w:rPr>
        <w:t>“U.S. Government Securities Business Day”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 Code.</w:t>
      </w:r>
    </w:p>
    <w:p>
      <w:pPr>
        <w:spacing w:after="0" w:line="254"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Weighted Average Life to Maturity</w:t>
      </w:r>
      <w:r>
        <w:rPr>
          <w:rFonts w:ascii="Arial" w:cs="Arial" w:eastAsia="Arial" w:hAnsi="Arial"/>
          <w:sz w:val="22"/>
          <w:szCs w:val="22"/>
          <w:color w:val="auto"/>
        </w:rPr>
        <w:t>” means, when applied to any Indebtedness at any date, the number of years obtained by dividing (a) the then outstanding aggregate principal</w:t>
      </w:r>
    </w:p>
    <w:p>
      <w:pPr>
        <w:sectPr>
          <w:pgSz w:w="11900" w:h="16838" w:orient="portrait"/>
          <w:cols w:equalWidth="0" w:num="1">
            <w:col w:w="10440"/>
          </w:cols>
          <w:pgMar w:left="1020" w:top="1400" w:right="439" w:bottom="1440" w:gutter="0" w:footer="0" w:header="0"/>
        </w:sectPr>
      </w:pPr>
    </w:p>
    <w:bookmarkStart w:id="147" w:name="page148"/>
    <w:bookmarkEnd w:id="147"/>
    <w:p>
      <w:pPr>
        <w:ind w:left="8"/>
        <w:spacing w:after="0"/>
        <w:rPr>
          <w:sz w:val="20"/>
          <w:szCs w:val="20"/>
          <w:color w:val="auto"/>
        </w:rPr>
      </w:pPr>
      <w:r>
        <w:rPr>
          <w:rFonts w:ascii="Arial" w:cs="Arial" w:eastAsia="Arial" w:hAnsi="Arial"/>
          <w:sz w:val="22"/>
          <w:szCs w:val="22"/>
          <w:color w:val="auto"/>
        </w:rPr>
        <w:t>amount of such Indebtedness into (b) the sum of the total of the products obtained by multiplying</w:t>
      </w:r>
    </w:p>
    <w:p>
      <w:pPr>
        <w:jc w:val="both"/>
        <w:ind w:left="8" w:right="20" w:hanging="8"/>
        <w:spacing w:after="0" w:line="228" w:lineRule="auto"/>
        <w:tabs>
          <w:tab w:leader="none" w:pos="617"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98" w:lineRule="exact"/>
        <w:rPr>
          <w:sz w:val="20"/>
          <w:szCs w:val="20"/>
          <w:color w:val="auto"/>
        </w:rPr>
      </w:pPr>
    </w:p>
    <w:p>
      <w:pPr>
        <w:ind w:left="8" w:right="8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Withdrawal Liability</w:t>
      </w:r>
      <w:r>
        <w:rPr>
          <w:rFonts w:ascii="Arial" w:cs="Arial" w:eastAsia="Arial" w:hAnsi="Arial"/>
          <w:sz w:val="21"/>
          <w:szCs w:val="21"/>
          <w:color w:val="auto"/>
        </w:rPr>
        <w:t>” means liability to a Multiemployer Plan as a result of a complete or partial withdrawal from such Multiemployer Plan, as such terms are defined in Part I of Subtitle E of Title IV of ERISA.</w:t>
      </w:r>
    </w:p>
    <w:p>
      <w:pPr>
        <w:spacing w:after="0" w:line="178" w:lineRule="exact"/>
        <w:rPr>
          <w:sz w:val="20"/>
          <w:szCs w:val="20"/>
          <w:color w:val="auto"/>
        </w:rPr>
      </w:pPr>
    </w:p>
    <w:p>
      <w:pPr>
        <w:jc w:val="both"/>
        <w:ind w:left="8"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w:t>
      </w:r>
      <w:r>
        <w:rPr>
          <w:rFonts w:ascii="Arial" w:cs="Arial" w:eastAsia="Arial" w:hAnsi="Arial"/>
          <w:sz w:val="22"/>
          <w:szCs w:val="22"/>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201" w:lineRule="exact"/>
        <w:rPr>
          <w:sz w:val="20"/>
          <w:szCs w:val="20"/>
          <w:color w:val="auto"/>
        </w:rPr>
      </w:pPr>
    </w:p>
    <w:p>
      <w:pPr>
        <w:jc w:val="both"/>
        <w:ind w:left="8"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1" w:lineRule="exact"/>
        <w:rPr>
          <w:sz w:val="20"/>
          <w:szCs w:val="20"/>
          <w:color w:val="auto"/>
        </w:rPr>
      </w:pPr>
    </w:p>
    <w:p>
      <w:pPr>
        <w:ind w:left="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Yen</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the lawful money of Japan.</w:t>
      </w:r>
    </w:p>
    <w:p>
      <w:pPr>
        <w:spacing w:after="0" w:line="206" w:lineRule="exact"/>
        <w:rPr>
          <w:sz w:val="20"/>
          <w:szCs w:val="20"/>
          <w:color w:val="auto"/>
        </w:rPr>
      </w:pPr>
    </w:p>
    <w:p>
      <w:pPr>
        <w:jc w:val="both"/>
        <w:ind w:left="8" w:right="60" w:firstLine="648"/>
        <w:spacing w:after="0" w:line="232"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Classification of Loans and Borrowings</w:t>
      </w:r>
      <w:r>
        <w:rPr>
          <w:rFonts w:ascii="Arial" w:cs="Arial" w:eastAsia="Arial" w:hAnsi="Arial"/>
          <w:sz w:val="22"/>
          <w:szCs w:val="22"/>
          <w:color w:val="auto"/>
        </w:rPr>
        <w:t>. For purposes of this Agreement, Loans and Borrowings may be classified and referred to by Type (</w:t>
      </w:r>
      <w:r>
        <w:rPr>
          <w:rFonts w:ascii="Arial" w:cs="Arial" w:eastAsia="Arial" w:hAnsi="Arial"/>
          <w:sz w:val="22"/>
          <w:szCs w:val="22"/>
          <w:u w:val="single" w:color="auto"/>
          <w:color w:val="auto"/>
        </w:rPr>
        <w:t>e.g.</w:t>
      </w:r>
      <w:r>
        <w:rPr>
          <w:rFonts w:ascii="Arial" w:cs="Arial" w:eastAsia="Arial" w:hAnsi="Arial"/>
          <w:sz w:val="22"/>
          <w:szCs w:val="22"/>
          <w:color w:val="auto"/>
        </w:rPr>
        <w:t>, a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Loan”).</w:t>
      </w:r>
    </w:p>
    <w:p>
      <w:pPr>
        <w:spacing w:after="0" w:line="199" w:lineRule="exact"/>
        <w:rPr>
          <w:sz w:val="20"/>
          <w:szCs w:val="20"/>
          <w:color w:val="auto"/>
        </w:rPr>
      </w:pPr>
    </w:p>
    <w:p>
      <w:pPr>
        <w:jc w:val="both"/>
        <w:ind w:left="8" w:right="40" w:firstLine="648"/>
        <w:spacing w:after="0" w:line="24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3" w:lineRule="exact"/>
        <w:rPr>
          <w:sz w:val="20"/>
          <w:szCs w:val="20"/>
          <w:color w:val="auto"/>
        </w:rPr>
      </w:pPr>
    </w:p>
    <w:p>
      <w:pPr>
        <w:ind w:left="648"/>
        <w:spacing w:after="0"/>
        <w:tabs>
          <w:tab w:leader="none" w:pos="2188"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Accounting Terms; GAAP</w:t>
      </w:r>
      <w:r>
        <w:rPr>
          <w:rFonts w:ascii="Arial" w:cs="Arial" w:eastAsia="Arial" w:hAnsi="Arial"/>
          <w:sz w:val="19"/>
          <w:szCs w:val="19"/>
          <w:color w:val="auto"/>
        </w:rPr>
        <w:t>.</w:t>
      </w:r>
    </w:p>
    <w:p>
      <w:pPr>
        <w:spacing w:after="0" w:line="220" w:lineRule="exact"/>
        <w:rPr>
          <w:sz w:val="20"/>
          <w:szCs w:val="20"/>
          <w:color w:val="auto"/>
        </w:rPr>
      </w:pPr>
    </w:p>
    <w:p>
      <w:pPr>
        <w:jc w:val="both"/>
        <w:ind w:left="8" w:right="20" w:firstLine="1288"/>
        <w:spacing w:after="0" w:line="223" w:lineRule="auto"/>
        <w:tabs>
          <w:tab w:leader="none" w:pos="190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if the Borrower notifies the Administrative Agent that the Borrower requests an</w:t>
      </w:r>
    </w:p>
    <w:p>
      <w:pPr>
        <w:sectPr>
          <w:pgSz w:w="11900" w:h="16838" w:orient="portrait"/>
          <w:cols w:equalWidth="0" w:num="1">
            <w:col w:w="10468"/>
          </w:cols>
          <w:pgMar w:left="1012" w:top="1382" w:right="419" w:bottom="1440" w:gutter="0" w:footer="0" w:header="0"/>
        </w:sectPr>
      </w:pPr>
    </w:p>
    <w:bookmarkStart w:id="148" w:name="page149"/>
    <w:bookmarkEnd w:id="148"/>
    <w:p>
      <w:pPr>
        <w:jc w:val="both"/>
        <w:spacing w:after="0" w:line="220" w:lineRule="auto"/>
        <w:rPr>
          <w:sz w:val="20"/>
          <w:szCs w:val="20"/>
          <w:color w:val="auto"/>
        </w:rPr>
      </w:pPr>
      <w:r>
        <w:rPr>
          <w:rFonts w:ascii="Arial" w:cs="Arial" w:eastAsia="Arial" w:hAnsi="Arial"/>
          <w:sz w:val="21"/>
          <w:szCs w:val="21"/>
          <w:color w:val="auto"/>
        </w:rPr>
        <w:t>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203" w:lineRule="exact"/>
        <w:rPr>
          <w:sz w:val="20"/>
          <w:szCs w:val="20"/>
          <w:color w:val="auto"/>
        </w:rPr>
      </w:pPr>
    </w:p>
    <w:p>
      <w:pPr>
        <w:jc w:val="both"/>
        <w:ind w:right="40" w:firstLine="1288"/>
        <w:spacing w:after="0" w:line="218" w:lineRule="auto"/>
        <w:tabs>
          <w:tab w:leader="none" w:pos="189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88" w:lineRule="exact"/>
        <w:rPr>
          <w:sz w:val="20"/>
          <w:szCs w:val="20"/>
          <w:color w:val="auto"/>
        </w:rPr>
      </w:pPr>
    </w:p>
    <w:p>
      <w:pPr>
        <w:jc w:val="both"/>
        <w:ind w:right="40" w:firstLine="648"/>
        <w:spacing w:after="0" w:line="222"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u w:val="single" w:color="auto"/>
          <w:color w:val="auto"/>
        </w:rPr>
        <w:t>Payments on Business Days</w:t>
      </w:r>
      <w:r>
        <w:rPr>
          <w:rFonts w:ascii="Arial" w:cs="Arial" w:eastAsia="Arial" w:hAnsi="Arial"/>
          <w:sz w:val="21"/>
          <w:szCs w:val="21"/>
          <w:color w:val="auto"/>
        </w:rPr>
        <w:t xml:space="preserv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payment of interest on or principal of </w:t>
      </w:r>
      <w:r>
        <w:rPr>
          <w:rFonts w:ascii="Arial" w:cs="Arial" w:eastAsia="Arial" w:hAnsi="Arial"/>
          <w:sz w:val="21"/>
          <w:szCs w:val="21"/>
          <w:u w:val="single" w:color="auto"/>
          <w:color w:val="0000FF"/>
        </w:rPr>
        <w:t>Term SOFR Loans or Alternative</w:t>
      </w:r>
      <w:r>
        <w:rPr>
          <w:rFonts w:ascii="Arial" w:cs="Arial" w:eastAsia="Arial" w:hAnsi="Arial"/>
          <w:sz w:val="21"/>
          <w:szCs w:val="21"/>
          <w:color w:val="auto"/>
        </w:rPr>
        <w:t xml:space="preserve"> </w:t>
      </w:r>
      <w:r>
        <w:rPr>
          <w:rFonts w:ascii="Arial" w:cs="Arial" w:eastAsia="Arial" w:hAnsi="Arial"/>
          <w:sz w:val="21"/>
          <w:szCs w:val="21"/>
          <w:color w:val="FF0000"/>
          <w:strike w:val="1"/>
        </w:rPr>
        <w:t>Euro</w:t>
      </w:r>
      <w:r>
        <w:rPr>
          <w:rFonts w:ascii="Arial" w:cs="Arial" w:eastAsia="Arial" w:hAnsi="Arial"/>
          <w:sz w:val="21"/>
          <w:szCs w:val="21"/>
          <w:color w:val="auto"/>
        </w:rPr>
        <w:t xml:space="preserve">Currency </w:t>
      </w:r>
      <w:r>
        <w:rPr>
          <w:rFonts w:ascii="Arial" w:cs="Arial" w:eastAsia="Arial" w:hAnsi="Arial"/>
          <w:sz w:val="21"/>
          <w:szCs w:val="21"/>
          <w:u w:val="single" w:color="auto"/>
          <w:color w:val="0000FF"/>
        </w:rPr>
        <w:t>Term Rate</w:t>
      </w:r>
      <w:r>
        <w:rPr>
          <w:rFonts w:ascii="Arial" w:cs="Arial" w:eastAsia="Arial" w:hAnsi="Arial"/>
          <w:sz w:val="21"/>
          <w:szCs w:val="21"/>
          <w:color w:val="auto"/>
        </w:rPr>
        <w:t xml:space="preserve"> Loans, if such extension would cause any such payment to be made in the next succeeding calendar month, such payment shall be made on the immediately preceding Business Day.</w:t>
      </w:r>
    </w:p>
    <w:p>
      <w:pPr>
        <w:spacing w:after="0" w:line="205"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Divisions</w:t>
      </w:r>
      <w:r>
        <w:rPr>
          <w:rFonts w:ascii="Arial" w:cs="Arial" w:eastAsia="Arial" w:hAnsi="Arial"/>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herein and in the Loan Documents to a merger, transfer, consolidation, amalgamation, consolidation, assignment, sale, disposition or transfer, or similar term, shall be deemed to apply to a division or plan of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67"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Rounding</w:t>
      </w:r>
      <w:r>
        <w:rPr>
          <w:rFonts w:ascii="Arial" w:cs="Arial" w:eastAsia="Arial" w:hAnsi="Arial"/>
          <w:sz w:val="19"/>
          <w:szCs w:val="19"/>
          <w:color w:val="auto"/>
        </w:rPr>
        <w:t>. Any financial ratios required to be maintained by the Borrower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5"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1.08</w:t>
      </w:r>
      <w:r>
        <w:rPr>
          <w:sz w:val="20"/>
          <w:szCs w:val="20"/>
          <w:color w:val="auto"/>
        </w:rPr>
        <w:tab/>
      </w:r>
      <w:r>
        <w:rPr>
          <w:rFonts w:ascii="Arial" w:cs="Arial" w:eastAsia="Arial" w:hAnsi="Arial"/>
          <w:sz w:val="19"/>
          <w:szCs w:val="19"/>
          <w:u w:val="single" w:color="auto"/>
          <w:color w:val="auto"/>
        </w:rPr>
        <w:t>Additional Alternative Currencies</w:t>
      </w:r>
      <w:r>
        <w:rPr>
          <w:rFonts w:ascii="Arial" w:cs="Arial" w:eastAsia="Arial" w:hAnsi="Arial"/>
          <w:sz w:val="19"/>
          <w:szCs w:val="19"/>
          <w:color w:val="auto"/>
        </w:rPr>
        <w:t>.</w:t>
      </w:r>
    </w:p>
    <w:p>
      <w:pPr>
        <w:spacing w:after="0" w:line="206" w:lineRule="exact"/>
        <w:rPr>
          <w:sz w:val="20"/>
          <w:szCs w:val="20"/>
          <w:color w:val="auto"/>
        </w:rPr>
      </w:pPr>
    </w:p>
    <w:p>
      <w:pPr>
        <w:ind w:right="40" w:firstLine="1288"/>
        <w:spacing w:after="0" w:line="232" w:lineRule="auto"/>
        <w:tabs>
          <w:tab w:leader="none" w:pos="19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Borrower may from time to time request that Alternative Currency Loans be made and/or Letters of Credit be issued in a currency other than Dollars and those</w:t>
      </w:r>
    </w:p>
    <w:p>
      <w:pPr>
        <w:sectPr>
          <w:pgSz w:w="11900" w:h="16838" w:orient="portrait"/>
          <w:cols w:equalWidth="0" w:num="1">
            <w:col w:w="10440"/>
          </w:cols>
          <w:pgMar w:left="1020" w:top="1346" w:right="439" w:bottom="1440" w:gutter="0" w:footer="0" w:header="0"/>
        </w:sectPr>
      </w:pPr>
    </w:p>
    <w:bookmarkStart w:id="149" w:name="page150"/>
    <w:bookmarkEnd w:id="149"/>
    <w:p>
      <w:pPr>
        <w:jc w:val="both"/>
        <w:ind w:right="40"/>
        <w:spacing w:after="0" w:line="214" w:lineRule="auto"/>
        <w:rPr>
          <w:sz w:val="20"/>
          <w:szCs w:val="20"/>
          <w:color w:val="auto"/>
        </w:rPr>
      </w:pPr>
      <w:r>
        <w:rPr>
          <w:rFonts w:ascii="Arial" w:cs="Arial" w:eastAsia="Arial" w:hAnsi="Arial"/>
          <w:sz w:val="22"/>
          <w:szCs w:val="22"/>
          <w:color w:val="auto"/>
        </w:rPr>
        <w:t xml:space="preserve">specifically listed in the definition of “Alternative Currencies”;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requested currency is a lawful currency (other than Dollars) that is readily available and freely transferable and convertible into Dollars. In the case of any such request with respect to the making of Alternative Currency Loans, such request shall be subject to the approval of the Administrative Agent and each of the Revolving Lenders; and in the case of any such request with respect to the issuance of Letters of Credit, such request shall be subject to the approval of the Administrative Agent and the applicable Issuing Bank.</w:t>
      </w:r>
    </w:p>
    <w:p>
      <w:pPr>
        <w:spacing w:after="0" w:line="199" w:lineRule="exact"/>
        <w:rPr>
          <w:sz w:val="20"/>
          <w:szCs w:val="20"/>
          <w:color w:val="auto"/>
        </w:rPr>
      </w:pPr>
    </w:p>
    <w:p>
      <w:pPr>
        <w:jc w:val="both"/>
        <w:ind w:firstLine="1288"/>
        <w:spacing w:after="0" w:line="244" w:lineRule="auto"/>
        <w:tabs>
          <w:tab w:leader="none" w:pos="189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such request shall be made to the Administrative Agent not later than 11:00 a.m., twenty (20) Business Days prior to the date of the desired Credit Event (or such other time or date as may be agreed by the Administrative Agent and, in the case of any such request pertaining to Letters of Credit, the Issuing Banks, in its or their sole discretion). In the case of any such request pertaining to Alternative Currency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Revolving Loans) or the applicable Issuing Bank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81" w:lineRule="exact"/>
        <w:rPr>
          <w:rFonts w:ascii="Arial" w:cs="Arial" w:eastAsia="Arial" w:hAnsi="Arial"/>
          <w:sz w:val="19"/>
          <w:szCs w:val="19"/>
          <w:color w:val="auto"/>
        </w:rPr>
      </w:pPr>
    </w:p>
    <w:p>
      <w:pPr>
        <w:jc w:val="both"/>
        <w:ind w:right="20" w:firstLine="1288"/>
        <w:spacing w:after="0" w:line="241" w:lineRule="auto"/>
        <w:tabs>
          <w:tab w:leader="none" w:pos="19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failure by a Revolving Lender or an Issuing Bank, as the case may be, to respond to such request within the time period specified in the preceding sentence shall be deemed to be a refusal by such Revolving Lender or such Issuing Bank, as the case may be, to permit Alternative Currency Loans to be made or Letters of Credit to be issued in such requested currency. If the Administrative Agent and all the Revolving Lenders consent to making Alternative Currency Loans in such requested currency, the Administrative Agent shall so notify the Borrower and such currency shall thereupon be deemed for all purposes to be an Alternative Currency hereunder for purposes of any Borrowings of Alternative Currency Loans, as applicable;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Borrower, and the Borrower may replace such non-consenting Lender, subject to Section 2.18(b). Any specified currency of an Existing Letter of Credit that is neither Dollars nor one of the Alternative Currencies specifically listed in the definition of “Alternative Currencies” shall be deemed an Alternative Currency with respect to such Existing Letter of Credit only.</w:t>
      </w:r>
    </w:p>
    <w:p>
      <w:pPr>
        <w:spacing w:after="0" w:line="209"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Change of Currency</w:t>
      </w:r>
      <w:r>
        <w:rPr>
          <w:rFonts w:ascii="Arial" w:cs="Arial" w:eastAsia="Arial" w:hAnsi="Arial"/>
          <w:sz w:val="19"/>
          <w:szCs w:val="19"/>
          <w:color w:val="auto"/>
        </w:rPr>
        <w:t>.</w:t>
      </w:r>
    </w:p>
    <w:p>
      <w:pPr>
        <w:spacing w:after="0" w:line="220" w:lineRule="exact"/>
        <w:rPr>
          <w:sz w:val="20"/>
          <w:szCs w:val="20"/>
          <w:color w:val="auto"/>
        </w:rPr>
      </w:pPr>
    </w:p>
    <w:p>
      <w:pPr>
        <w:jc w:val="both"/>
        <w:ind w:right="40" w:firstLine="1288"/>
        <w:spacing w:after="0" w:line="244" w:lineRule="auto"/>
        <w:tabs>
          <w:tab w:leader="none" w:pos="19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w:t>
      </w:r>
      <w:r>
        <w:rPr>
          <w:rFonts w:ascii="Arial" w:cs="Arial" w:eastAsia="Arial" w:hAnsi="Arial"/>
          <w:sz w:val="19"/>
          <w:szCs w:val="19"/>
          <w:color w:val="FF0000"/>
          <w:strike w:val="1"/>
        </w:rPr>
        <w:t>London</w:t>
      </w:r>
      <w:r>
        <w:rPr>
          <w:rFonts w:ascii="Arial" w:cs="Arial" w:eastAsia="Arial" w:hAnsi="Arial"/>
          <w:sz w:val="19"/>
          <w:szCs w:val="19"/>
          <w:color w:val="auto"/>
        </w:rPr>
        <w:t xml:space="preserve">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Borrowing in the currency of such member state is outstanding immediately prior to such date, such replacement shall take effect, with respect to such Borrowing, at the end of the then current Interest Period.</w:t>
      </w:r>
    </w:p>
    <w:p>
      <w:pPr>
        <w:sectPr>
          <w:pgSz w:w="11900" w:h="16838" w:orient="portrait"/>
          <w:cols w:equalWidth="0" w:num="1">
            <w:col w:w="10440"/>
          </w:cols>
          <w:pgMar w:left="1020" w:top="1346" w:right="439" w:bottom="1440" w:gutter="0" w:footer="0" w:header="0"/>
        </w:sectPr>
      </w:pPr>
    </w:p>
    <w:bookmarkStart w:id="150" w:name="page151"/>
    <w:bookmarkEnd w:id="150"/>
    <w:p>
      <w:pPr>
        <w:jc w:val="both"/>
        <w:ind w:right="40" w:firstLine="1288"/>
        <w:spacing w:after="0" w:line="268" w:lineRule="auto"/>
        <w:tabs>
          <w:tab w:leader="none" w:pos="189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2" w:lineRule="exact"/>
        <w:rPr>
          <w:rFonts w:ascii="Arial" w:cs="Arial" w:eastAsia="Arial" w:hAnsi="Arial"/>
          <w:sz w:val="19"/>
          <w:szCs w:val="19"/>
          <w:color w:val="auto"/>
        </w:rPr>
      </w:pPr>
    </w:p>
    <w:p>
      <w:pPr>
        <w:jc w:val="both"/>
        <w:ind w:right="40" w:firstLine="1288"/>
        <w:spacing w:after="0" w:line="268" w:lineRule="auto"/>
        <w:tabs>
          <w:tab w:leader="none" w:pos="19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59"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u w:val="single" w:color="auto"/>
          <w:color w:val="auto"/>
        </w:rPr>
        <w:t>Times of Day</w:t>
      </w:r>
      <w:r>
        <w:rPr>
          <w:rFonts w:ascii="Arial" w:cs="Arial" w:eastAsia="Arial" w:hAnsi="Arial"/>
          <w:sz w:val="22"/>
          <w:szCs w:val="22"/>
          <w:color w:val="auto"/>
        </w:rPr>
        <w:t>. Unless otherwise specified, all references herein to times of day shall be references to Eastern time (daylight or standard, as applicable).</w:t>
      </w:r>
    </w:p>
    <w:p>
      <w:pPr>
        <w:spacing w:after="0" w:line="19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Letter of Credit Amounts</w:t>
      </w:r>
      <w:r>
        <w:rPr>
          <w:rFonts w:ascii="Arial" w:cs="Arial" w:eastAsia="Arial" w:hAnsi="Arial"/>
          <w:sz w:val="19"/>
          <w:szCs w:val="19"/>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92"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Exchange Rates; Currency Equivalents; Interest Rates</w:t>
      </w:r>
      <w:r>
        <w:rPr>
          <w:rFonts w:ascii="Arial" w:cs="Arial" w:eastAsia="Arial" w:hAnsi="Arial"/>
          <w:sz w:val="19"/>
          <w:szCs w:val="19"/>
          <w:color w:val="auto"/>
        </w:rPr>
        <w:t>.</w:t>
      </w:r>
    </w:p>
    <w:p>
      <w:pPr>
        <w:spacing w:after="0" w:line="200" w:lineRule="exact"/>
        <w:rPr>
          <w:sz w:val="20"/>
          <w:szCs w:val="20"/>
          <w:color w:val="auto"/>
        </w:rPr>
      </w:pPr>
    </w:p>
    <w:p>
      <w:pPr>
        <w:spacing w:after="0" w:line="303" w:lineRule="exact"/>
        <w:rPr>
          <w:sz w:val="20"/>
          <w:szCs w:val="20"/>
          <w:color w:val="auto"/>
        </w:rPr>
      </w:pPr>
    </w:p>
    <w:p>
      <w:pPr>
        <w:jc w:val="both"/>
        <w:ind w:right="20" w:firstLine="1288"/>
        <w:spacing w:after="0" w:line="246" w:lineRule="auto"/>
        <w:tabs>
          <w:tab w:leader="none" w:pos="190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Administrative Agent or the applicable Issuing Bank, as applicable, shall determine the Spot Rates as of each Revaluation Date to be used for calculating Dollar Equivalent amounts of Credit Events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Issuing Bank, as applicable.</w:t>
      </w:r>
    </w:p>
    <w:p>
      <w:pPr>
        <w:spacing w:after="0" w:line="179" w:lineRule="exact"/>
        <w:rPr>
          <w:rFonts w:ascii="Arial" w:cs="Arial" w:eastAsia="Arial" w:hAnsi="Arial"/>
          <w:sz w:val="19"/>
          <w:szCs w:val="19"/>
          <w:color w:val="auto"/>
        </w:rPr>
      </w:pPr>
    </w:p>
    <w:p>
      <w:pPr>
        <w:jc w:val="both"/>
        <w:ind w:firstLine="1288"/>
        <w:spacing w:after="0" w:line="241" w:lineRule="auto"/>
        <w:tabs>
          <w:tab w:leader="none" w:pos="189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Alternative Currency Loan or Letter of Credit is denominated in an Alternative Currency, such amount shall be the relevant Alternative Currency Equivalent of such Dollar amount (rounded to the nearest unit of such Alternative Currency, with</w:t>
      </w:r>
    </w:p>
    <w:p>
      <w:pPr>
        <w:spacing w:after="0" w:line="1" w:lineRule="exact"/>
        <w:rPr>
          <w:rFonts w:ascii="Arial" w:cs="Arial" w:eastAsia="Arial" w:hAnsi="Arial"/>
          <w:sz w:val="19"/>
          <w:szCs w:val="19"/>
          <w:color w:val="auto"/>
        </w:rPr>
      </w:pPr>
    </w:p>
    <w:p>
      <w:pPr>
        <w:ind w:right="220"/>
        <w:spacing w:after="0" w:line="224" w:lineRule="auto"/>
        <w:rPr>
          <w:rFonts w:ascii="Arial" w:cs="Arial" w:eastAsia="Arial" w:hAnsi="Arial"/>
          <w:sz w:val="19"/>
          <w:szCs w:val="19"/>
          <w:color w:val="auto"/>
        </w:rPr>
      </w:pPr>
      <w:r>
        <w:rPr>
          <w:rFonts w:ascii="Arial" w:cs="Arial" w:eastAsia="Arial" w:hAnsi="Arial"/>
          <w:sz w:val="22"/>
          <w:szCs w:val="22"/>
          <w:color w:val="auto"/>
        </w:rPr>
        <w:t>0.5 of a unit being rounded upward), as determined by the Administrative Agent or the applicable Issuing Bank, as the case may be.</w:t>
      </w:r>
    </w:p>
    <w:p>
      <w:pPr>
        <w:spacing w:after="0" w:line="198" w:lineRule="exact"/>
        <w:rPr>
          <w:sz w:val="20"/>
          <w:szCs w:val="20"/>
          <w:color w:val="auto"/>
        </w:rPr>
      </w:pPr>
    </w:p>
    <w:p>
      <w:pPr>
        <w:jc w:val="both"/>
        <w:ind w:right="20" w:firstLine="1288"/>
        <w:spacing w:after="0" w:line="211" w:lineRule="auto"/>
        <w:tabs>
          <w:tab w:leader="none" w:pos="19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The Administrative Agent does not warrant, nor accept responsibility, nor shall the Administrative Agent have any liability with respect to the administration, submission or any other matter related to </w:t>
      </w:r>
      <w:r>
        <w:rPr>
          <w:rFonts w:ascii="Arial" w:cs="Arial" w:eastAsia="Arial" w:hAnsi="Arial"/>
          <w:sz w:val="22"/>
          <w:szCs w:val="22"/>
          <w:color w:val="FF0000"/>
          <w:strike w:val="1"/>
        </w:rPr>
        <w:t>the</w:t>
      </w:r>
      <w:r>
        <w:rPr>
          <w:rFonts w:ascii="Arial" w:cs="Arial" w:eastAsia="Arial" w:hAnsi="Arial"/>
          <w:sz w:val="22"/>
          <w:szCs w:val="22"/>
          <w:color w:val="auto"/>
        </w:rPr>
        <w:t xml:space="preserve"> </w:t>
      </w:r>
      <w:r>
        <w:rPr>
          <w:rFonts w:ascii="Arial" w:cs="Arial" w:eastAsia="Arial" w:hAnsi="Arial"/>
          <w:sz w:val="22"/>
          <w:szCs w:val="22"/>
          <w:color w:val="FF0000"/>
          <w:strike w:val="1"/>
        </w:rPr>
        <w:t>rates in the</w:t>
      </w:r>
      <w:r>
        <w:rPr>
          <w:rFonts w:ascii="Arial" w:cs="Arial" w:eastAsia="Arial" w:hAnsi="Arial"/>
          <w:sz w:val="22"/>
          <w:szCs w:val="22"/>
          <w:color w:val="auto"/>
        </w:rPr>
        <w:t xml:space="preserve"> </w:t>
      </w:r>
      <w:r>
        <w:rPr>
          <w:rFonts w:ascii="Arial" w:cs="Arial" w:eastAsia="Arial" w:hAnsi="Arial"/>
          <w:sz w:val="22"/>
          <w:szCs w:val="22"/>
          <w:color w:val="FF0000"/>
          <w:strike w:val="1"/>
        </w:rPr>
        <w:t>definition of “Alternative Currency Daily Rate”, “Alternative Currency Term Rate”, “Eurocurrency Rate”, “LIBOR Daily Floating Rate”</w:t>
      </w:r>
      <w:r>
        <w:rPr>
          <w:rFonts w:ascii="Arial" w:cs="Arial" w:eastAsia="Arial" w:hAnsi="Arial"/>
          <w:sz w:val="22"/>
          <w:szCs w:val="22"/>
          <w:u w:val="single" w:color="auto"/>
          <w:color w:val="0000FF"/>
          <w:strike w:val="1"/>
        </w:rPr>
        <w:t>any reference rate referred to herein, the selection of rates, any related spread or adjustment</w:t>
      </w:r>
      <w:r>
        <w:rPr>
          <w:rFonts w:ascii="Arial" w:cs="Arial" w:eastAsia="Arial" w:hAnsi="Arial"/>
          <w:sz w:val="22"/>
          <w:szCs w:val="22"/>
          <w:color w:val="FF0000"/>
          <w:strike w:val="1"/>
        </w:rPr>
        <w:t xml:space="preserve"> </w:t>
      </w:r>
      <w:r>
        <w:rPr>
          <w:rFonts w:ascii="Arial" w:cs="Arial" w:eastAsia="Arial" w:hAnsi="Arial"/>
          <w:sz w:val="22"/>
          <w:szCs w:val="22"/>
          <w:color w:val="000000"/>
          <w:strike w:val="1"/>
        </w:rPr>
        <w:t>or with</w:t>
      </w:r>
      <w:r>
        <w:rPr>
          <w:rFonts w:ascii="Arial" w:cs="Arial" w:eastAsia="Arial" w:hAnsi="Arial"/>
          <w:sz w:val="22"/>
          <w:szCs w:val="22"/>
          <w:color w:val="FF0000"/>
          <w:strike w:val="1"/>
        </w:rPr>
        <w:t xml:space="preserve"> </w:t>
      </w:r>
      <w:r>
        <w:rPr>
          <w:rFonts w:ascii="Arial" w:cs="Arial" w:eastAsia="Arial" w:hAnsi="Arial"/>
          <w:sz w:val="22"/>
          <w:szCs w:val="22"/>
          <w:color w:val="000000"/>
          <w:strike w:val="1"/>
        </w:rPr>
        <w:t xml:space="preserve">respect to any rate </w:t>
      </w:r>
      <w:r>
        <w:rPr>
          <w:rFonts w:ascii="Arial" w:cs="Arial" w:eastAsia="Arial" w:hAnsi="Arial"/>
          <w:sz w:val="22"/>
          <w:szCs w:val="22"/>
          <w:color w:val="FF0000"/>
          <w:strike w:val="1"/>
        </w:rPr>
        <w:t>(including, for the avoidance of doubt, the selection of such rate and any related spread or other</w:t>
      </w:r>
      <w:r>
        <w:rPr>
          <w:rFonts w:ascii="Arial" w:cs="Arial" w:eastAsia="Arial" w:hAnsi="Arial"/>
          <w:sz w:val="22"/>
          <w:szCs w:val="22"/>
          <w:color w:val="000000"/>
          <w:strike w:val="1"/>
        </w:rPr>
        <w:t xml:space="preserve"> </w:t>
      </w:r>
      <w:r>
        <w:rPr>
          <w:rFonts w:ascii="Arial" w:cs="Arial" w:eastAsia="Arial" w:hAnsi="Arial"/>
          <w:sz w:val="22"/>
          <w:szCs w:val="22"/>
          <w:color w:val="FF0000"/>
          <w:strike w:val="1"/>
        </w:rPr>
        <w:t xml:space="preserve">adjustment) </w:t>
      </w:r>
      <w:r>
        <w:rPr>
          <w:rFonts w:ascii="Arial" w:cs="Arial" w:eastAsia="Arial" w:hAnsi="Arial"/>
          <w:sz w:val="22"/>
          <w:szCs w:val="22"/>
          <w:color w:val="000000"/>
          <w:strike w:val="1"/>
        </w:rPr>
        <w:t>that is an alternative or replacement for or successor to any of such rate</w:t>
      </w:r>
      <w:r>
        <w:rPr>
          <w:rFonts w:ascii="Arial" w:cs="Arial" w:eastAsia="Arial" w:hAnsi="Arial"/>
          <w:sz w:val="22"/>
          <w:szCs w:val="22"/>
          <w:u w:val="single" w:color="auto"/>
          <w:color w:val="0000FF"/>
          <w:strike w:val="1"/>
        </w:rPr>
        <w:t>s</w:t>
      </w:r>
      <w:r>
        <w:rPr>
          <w:rFonts w:ascii="Arial" w:cs="Arial" w:eastAsia="Arial" w:hAnsi="Arial"/>
          <w:sz w:val="22"/>
          <w:szCs w:val="22"/>
          <w:color w:val="FF0000"/>
          <w:strike w:val="1"/>
        </w:rPr>
        <w:t xml:space="preserve"> </w:t>
      </w:r>
      <w:r>
        <w:rPr>
          <w:rFonts w:ascii="Arial" w:cs="Arial" w:eastAsia="Arial" w:hAnsi="Arial"/>
          <w:sz w:val="22"/>
          <w:szCs w:val="22"/>
          <w:color w:val="000000"/>
          <w:strike w:val="1"/>
        </w:rPr>
        <w:t>(including, without limitation, any</w:t>
      </w:r>
      <w:r>
        <w:rPr>
          <w:rFonts w:ascii="Arial" w:cs="Arial" w:eastAsia="Arial" w:hAnsi="Arial"/>
          <w:sz w:val="22"/>
          <w:szCs w:val="22"/>
          <w:color w:val="FF0000"/>
          <w:strike w:val="1"/>
        </w:rPr>
        <w:t xml:space="preserve"> Benchmark Replacement and any </w:t>
      </w:r>
      <w:r>
        <w:rPr>
          <w:rFonts w:ascii="Arial" w:cs="Arial" w:eastAsia="Arial" w:hAnsi="Arial"/>
          <w:sz w:val="22"/>
          <w:szCs w:val="22"/>
          <w:color w:val="000000"/>
          <w:strike w:val="1"/>
        </w:rPr>
        <w:t>Successor Rate</w:t>
      </w:r>
      <w:r>
        <w:rPr>
          <w:rFonts w:ascii="Arial" w:cs="Arial" w:eastAsia="Arial" w:hAnsi="Arial"/>
          <w:sz w:val="22"/>
          <w:szCs w:val="22"/>
          <w:color w:val="0000FF"/>
          <w:strike w:val="1"/>
        </w:rPr>
        <w:t>)</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00FF"/>
          <w:strike w:val="1"/>
        </w:rPr>
        <w:t>(or any component of any of the foregoing</w:t>
      </w:r>
      <w:r>
        <w:rPr>
          <w:rFonts w:ascii="Arial" w:cs="Arial" w:eastAsia="Arial" w:hAnsi="Arial"/>
          <w:sz w:val="22"/>
          <w:szCs w:val="22"/>
          <w:color w:val="000000"/>
          <w:strike w:val="1"/>
        </w:rPr>
        <w:t>) or the effect of any of the</w:t>
      </w:r>
      <w:r>
        <w:rPr>
          <w:rFonts w:ascii="Arial" w:cs="Arial" w:eastAsia="Arial" w:hAnsi="Arial"/>
          <w:sz w:val="22"/>
          <w:szCs w:val="22"/>
          <w:color w:val="FF0000"/>
          <w:strike w:val="1"/>
        </w:rPr>
        <w:t xml:space="preserve"> </w:t>
      </w:r>
      <w:r>
        <w:rPr>
          <w:rFonts w:ascii="Arial" w:cs="Arial" w:eastAsia="Arial" w:hAnsi="Arial"/>
          <w:sz w:val="22"/>
          <w:szCs w:val="22"/>
          <w:color w:val="000000"/>
          <w:strike w:val="1"/>
        </w:rPr>
        <w:t>foregoing, or of any</w:t>
      </w:r>
    </w:p>
    <w:p>
      <w:pPr>
        <w:sectPr>
          <w:pgSz w:w="11900" w:h="16838" w:orient="portrait"/>
          <w:cols w:equalWidth="0" w:num="1">
            <w:col w:w="10440"/>
          </w:cols>
          <w:pgMar w:left="1020" w:top="1346" w:right="439" w:bottom="1440" w:gutter="0" w:footer="0" w:header="0"/>
        </w:sectPr>
      </w:pPr>
    </w:p>
    <w:bookmarkStart w:id="151" w:name="page152"/>
    <w:bookmarkEnd w:id="151"/>
    <w:p>
      <w:pPr>
        <w:jc w:val="both"/>
        <w:spacing w:after="0" w:line="242" w:lineRule="auto"/>
        <w:rPr>
          <w:sz w:val="20"/>
          <w:szCs w:val="20"/>
          <w:color w:val="auto"/>
        </w:rPr>
      </w:pPr>
      <w:r>
        <w:rPr>
          <w:rFonts w:ascii="Arial" w:cs="Arial" w:eastAsia="Arial" w:hAnsi="Arial"/>
          <w:sz w:val="19"/>
          <w:szCs w:val="19"/>
          <w:color w:val="FF0000"/>
          <w:strike w:val="1"/>
        </w:rPr>
        <w:t>Benchmark Replacement</w:t>
      </w:r>
      <w:r>
        <w:rPr>
          <w:rFonts w:ascii="Arial" w:cs="Arial" w:eastAsia="Arial" w:hAnsi="Arial"/>
          <w:sz w:val="19"/>
          <w:szCs w:val="19"/>
          <w:color w:val="FF0000"/>
        </w:rPr>
        <w:t xml:space="preserve"> </w:t>
      </w:r>
      <w:r>
        <w:rPr>
          <w:rFonts w:ascii="Arial" w:cs="Arial" w:eastAsia="Arial" w:hAnsi="Arial"/>
          <w:sz w:val="19"/>
          <w:szCs w:val="19"/>
          <w:color w:val="000000"/>
        </w:rPr>
        <w:t>Conforming Changes</w:t>
      </w:r>
      <w:r>
        <w:rPr>
          <w:rFonts w:ascii="Arial" w:cs="Arial" w:eastAsia="Arial" w:hAnsi="Arial"/>
          <w:sz w:val="19"/>
          <w:szCs w:val="19"/>
          <w:color w:val="FF0000"/>
        </w:rPr>
        <w:t xml:space="preserve"> </w:t>
      </w:r>
      <w:r>
        <w:rPr>
          <w:rFonts w:ascii="Arial" w:cs="Arial" w:eastAsia="Arial" w:hAnsi="Arial"/>
          <w:sz w:val="19"/>
          <w:szCs w:val="19"/>
          <w:color w:val="FF0000"/>
          <w:strike w:val="1"/>
        </w:rPr>
        <w:t>or Conforming Changes.</w:t>
      </w:r>
      <w:r>
        <w:rPr>
          <w:rFonts w:ascii="Arial" w:cs="Arial" w:eastAsia="Arial" w:hAnsi="Arial"/>
          <w:sz w:val="19"/>
          <w:szCs w:val="19"/>
          <w:u w:val="single" w:color="auto"/>
          <w:color w:val="0000FF"/>
        </w:rPr>
        <w:t>. The Administrative Agent and its</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Agreements,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ectPr>
          <w:pgSz w:w="11900" w:h="16838" w:orient="portrait"/>
          <w:cols w:equalWidth="0" w:num="1">
            <w:col w:w="10440"/>
          </w:cols>
          <w:pgMar w:left="1020" w:top="1346" w:right="439" w:bottom="1440" w:gutter="0" w:footer="0" w:header="0"/>
        </w:sectPr>
      </w:pPr>
    </w:p>
    <w:bookmarkStart w:id="152" w:name="page153"/>
    <w:bookmarkEnd w:id="152"/>
    <w:p>
      <w:pPr>
        <w:ind w:left="4380"/>
        <w:spacing w:after="0"/>
        <w:rPr>
          <w:sz w:val="20"/>
          <w:szCs w:val="20"/>
          <w:color w:val="auto"/>
        </w:rPr>
      </w:pPr>
      <w:r>
        <w:rPr>
          <w:rFonts w:ascii="Arial" w:cs="Arial" w:eastAsia="Arial" w:hAnsi="Arial"/>
          <w:sz w:val="22"/>
          <w:szCs w:val="22"/>
          <w:color w:val="auto"/>
        </w:rPr>
        <w:t>ARTICLE II</w:t>
      </w:r>
    </w:p>
    <w:p>
      <w:pPr>
        <w:spacing w:after="0" w:line="281"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The Credits</w:t>
      </w:r>
    </w:p>
    <w:p>
      <w:pPr>
        <w:spacing w:after="0" w:line="226"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Commitments</w:t>
      </w:r>
      <w:r>
        <w:rPr>
          <w:rFonts w:ascii="Arial" w:cs="Arial" w:eastAsia="Arial" w:hAnsi="Arial"/>
          <w:sz w:val="19"/>
          <w:szCs w:val="19"/>
          <w:color w:val="auto"/>
        </w:rPr>
        <w:t>.</w:t>
      </w:r>
    </w:p>
    <w:p>
      <w:pPr>
        <w:spacing w:after="0" w:line="287"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9"/>
          <w:szCs w:val="19"/>
          <w:color w:val="auto"/>
        </w:rPr>
        <w:t>Subject to the terms and conditions set forth herein, each Revolving Lender severally agrees to make Revolving Loans to the Borrower in Dollars or Alternative Currencies from time to time during the Availability Period in an aggregate principal amount that will not result in (i) the Dollar Equivalent of such Lender’s Revolving Credit Exposure exceeding such Lender’s Revolving Commitment or (ii) subject to Section 1.12, the Dollar Equivalent of the total Revolving Credit Exposures exceeding the sum of the total Revolving Commitments. Within the foregoing limits and subject to the terms and conditions set forth herein, the Borrower may borrow, prepay and reborrow Revolving Loans.</w:t>
      </w:r>
    </w:p>
    <w:p>
      <w:pPr>
        <w:spacing w:after="0" w:line="192"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206" w:lineRule="exact"/>
        <w:rPr>
          <w:sz w:val="20"/>
          <w:szCs w:val="20"/>
          <w:color w:val="auto"/>
        </w:rPr>
      </w:pPr>
    </w:p>
    <w:p>
      <w:pPr>
        <w:jc w:val="both"/>
        <w:ind w:firstLine="1288"/>
        <w:spacing w:after="0" w:line="214" w:lineRule="auto"/>
        <w:tabs>
          <w:tab w:leader="none" w:pos="19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Loans as required. Any Swingline Loan shall be made in accordance with the procedures set forth in Section 2.04.</w:t>
      </w:r>
    </w:p>
    <w:p>
      <w:pPr>
        <w:spacing w:after="0" w:line="199" w:lineRule="exact"/>
        <w:rPr>
          <w:rFonts w:ascii="Arial" w:cs="Arial" w:eastAsia="Arial" w:hAnsi="Arial"/>
          <w:sz w:val="22"/>
          <w:szCs w:val="22"/>
          <w:color w:val="auto"/>
        </w:rPr>
      </w:pPr>
    </w:p>
    <w:p>
      <w:pPr>
        <w:jc w:val="both"/>
        <w:ind w:right="20" w:firstLine="1288"/>
        <w:spacing w:after="0" w:line="211" w:lineRule="auto"/>
        <w:tabs>
          <w:tab w:leader="none" w:pos="189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Subject to Section 2.07, each Borrowing shall be comprised entirely of Base Rate Loans,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FF0000"/>
        </w:rPr>
        <w:t xml:space="preserve"> </w:t>
      </w:r>
      <w:r>
        <w:rPr>
          <w:rFonts w:ascii="Arial" w:cs="Arial" w:eastAsia="Arial" w:hAnsi="Arial"/>
          <w:sz w:val="22"/>
          <w:szCs w:val="22"/>
          <w:color w:val="000000"/>
        </w:rPr>
        <w:t>Loans,</w:t>
      </w:r>
      <w:r>
        <w:rPr>
          <w:rFonts w:ascii="Arial" w:cs="Arial" w:eastAsia="Arial" w:hAnsi="Arial"/>
          <w:sz w:val="22"/>
          <w:szCs w:val="22"/>
          <w:color w:val="FF0000"/>
        </w:rPr>
        <w:t xml:space="preserve">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Daily Floating Rate Loans, Alternative Currency Daily Rate Loans or</w:t>
      </w:r>
      <w:r>
        <w:rPr>
          <w:rFonts w:ascii="Arial" w:cs="Arial" w:eastAsia="Arial" w:hAnsi="Arial"/>
          <w:sz w:val="22"/>
          <w:szCs w:val="22"/>
          <w:color w:val="FF0000"/>
        </w:rPr>
        <w:t xml:space="preserve"> </w:t>
      </w:r>
      <w:r>
        <w:rPr>
          <w:rFonts w:ascii="Arial" w:cs="Arial" w:eastAsia="Arial" w:hAnsi="Arial"/>
          <w:sz w:val="22"/>
          <w:szCs w:val="22"/>
          <w:color w:val="000000"/>
        </w:rPr>
        <w:t>Alternative Currency Term Rate Loans, as the Borrower may request in accordance herewith. Each Base Rate Loan</w:t>
      </w:r>
      <w:r>
        <w:rPr>
          <w:rFonts w:ascii="Arial" w:cs="Arial" w:eastAsia="Arial" w:hAnsi="Arial"/>
          <w:sz w:val="22"/>
          <w:szCs w:val="22"/>
          <w:u w:val="single" w:color="auto"/>
          <w:color w:val="0000FF"/>
        </w:rPr>
        <w:t>,</w:t>
      </w:r>
      <w:r>
        <w:rPr>
          <w:rFonts w:ascii="Arial" w:cs="Arial" w:eastAsia="Arial" w:hAnsi="Arial"/>
          <w:sz w:val="22"/>
          <w:szCs w:val="22"/>
          <w:color w:val="000000"/>
        </w:rPr>
        <w:t xml:space="preserve"> </w:t>
      </w:r>
      <w:r>
        <w:rPr>
          <w:rFonts w:ascii="Arial" w:cs="Arial" w:eastAsia="Arial" w:hAnsi="Arial"/>
          <w:sz w:val="22"/>
          <w:szCs w:val="22"/>
          <w:u w:val="single" w:color="auto"/>
          <w:color w:val="0000FF"/>
        </w:rPr>
        <w:t>each Term SOFR Loan</w:t>
      </w:r>
      <w:r>
        <w:rPr>
          <w:rFonts w:ascii="Arial" w:cs="Arial" w:eastAsia="Arial" w:hAnsi="Arial"/>
          <w:sz w:val="22"/>
          <w:szCs w:val="22"/>
          <w:color w:val="0000FF"/>
        </w:rPr>
        <w:t xml:space="preserve"> </w:t>
      </w:r>
      <w:r>
        <w:rPr>
          <w:rFonts w:ascii="Arial" w:cs="Arial" w:eastAsia="Arial" w:hAnsi="Arial"/>
          <w:sz w:val="22"/>
          <w:szCs w:val="22"/>
          <w:color w:val="000000"/>
        </w:rPr>
        <w:t>and each</w:t>
      </w:r>
      <w:r>
        <w:rPr>
          <w:rFonts w:ascii="Arial" w:cs="Arial" w:eastAsia="Arial" w:hAnsi="Arial"/>
          <w:sz w:val="22"/>
          <w:szCs w:val="22"/>
          <w:color w:val="0000FF"/>
        </w:rPr>
        <w:t xml:space="preserve">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SOFR Daily Floating Rate</w:t>
      </w:r>
      <w:r>
        <w:rPr>
          <w:rFonts w:ascii="Arial" w:cs="Arial" w:eastAsia="Arial" w:hAnsi="Arial"/>
          <w:sz w:val="22"/>
          <w:szCs w:val="22"/>
          <w:color w:val="0000FF"/>
        </w:rPr>
        <w:t xml:space="preserve"> </w:t>
      </w:r>
      <w:r>
        <w:rPr>
          <w:rFonts w:ascii="Arial" w:cs="Arial" w:eastAsia="Arial" w:hAnsi="Arial"/>
          <w:sz w:val="22"/>
          <w:szCs w:val="22"/>
          <w:color w:val="000000"/>
        </w:rPr>
        <w:t>Loan shall, in each case, only be made in</w:t>
      </w:r>
      <w:r>
        <w:rPr>
          <w:rFonts w:ascii="Arial" w:cs="Arial" w:eastAsia="Arial" w:hAnsi="Arial"/>
          <w:sz w:val="22"/>
          <w:szCs w:val="22"/>
          <w:color w:val="0000FF"/>
        </w:rPr>
        <w:t xml:space="preserve"> </w:t>
      </w:r>
      <w:r>
        <w:rPr>
          <w:rFonts w:ascii="Arial" w:cs="Arial" w:eastAsia="Arial" w:hAnsi="Arial"/>
          <w:sz w:val="22"/>
          <w:szCs w:val="22"/>
          <w:color w:val="000000"/>
        </w:rPr>
        <w:t>Dollars. Each Swingline Loan shall be a Base Rate Loan. Each Lender at its option may make any Alternative Currency Loan by causing any domestic or foreign branch or Affiliate of such Lender to make such Loan; provided that any exercise of such option shall not affect the obligation of the Borrower to repay such Loan in accordance with the terms of this Agreement.</w:t>
      </w:r>
    </w:p>
    <w:p>
      <w:pPr>
        <w:spacing w:after="0" w:line="205" w:lineRule="exact"/>
        <w:rPr>
          <w:rFonts w:ascii="Arial" w:cs="Arial" w:eastAsia="Arial" w:hAnsi="Arial"/>
          <w:sz w:val="22"/>
          <w:szCs w:val="22"/>
          <w:color w:val="auto"/>
        </w:rPr>
      </w:pPr>
    </w:p>
    <w:p>
      <w:pPr>
        <w:jc w:val="both"/>
        <w:ind w:right="20" w:firstLine="1288"/>
        <w:spacing w:after="0" w:line="220" w:lineRule="auto"/>
        <w:tabs>
          <w:tab w:leader="none" w:pos="190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Each Borrowing of, conversion to or continuation of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Term SOFR</w:t>
      </w:r>
      <w:r>
        <w:rPr>
          <w:rFonts w:ascii="Arial" w:cs="Arial" w:eastAsia="Arial" w:hAnsi="Arial"/>
          <w:sz w:val="21"/>
          <w:szCs w:val="21"/>
          <w:color w:val="auto"/>
        </w:rPr>
        <w:t xml:space="preserve"> Loans, </w:t>
      </w:r>
      <w:r>
        <w:rPr>
          <w:rFonts w:ascii="Arial" w:cs="Arial" w:eastAsia="Arial" w:hAnsi="Arial"/>
          <w:sz w:val="21"/>
          <w:szCs w:val="21"/>
          <w:color w:val="FF0000"/>
          <w:strike w:val="1"/>
        </w:rPr>
        <w:t>LIBOR</w:t>
      </w:r>
      <w:r>
        <w:rPr>
          <w:rFonts w:ascii="Arial" w:cs="Arial" w:eastAsia="Arial" w:hAnsi="Arial"/>
          <w:sz w:val="21"/>
          <w:szCs w:val="21"/>
          <w:u w:val="single" w:color="auto"/>
          <w:color w:val="0000FF"/>
        </w:rPr>
        <w:t>SOFR</w:t>
      </w:r>
      <w:r>
        <w:rPr>
          <w:rFonts w:ascii="Arial" w:cs="Arial" w:eastAsia="Arial" w:hAnsi="Arial"/>
          <w:sz w:val="21"/>
          <w:szCs w:val="21"/>
          <w:color w:val="FF0000"/>
        </w:rPr>
        <w:t xml:space="preserve"> </w:t>
      </w:r>
      <w:r>
        <w:rPr>
          <w:rFonts w:ascii="Arial" w:cs="Arial" w:eastAsia="Arial" w:hAnsi="Arial"/>
          <w:sz w:val="21"/>
          <w:szCs w:val="21"/>
          <w:color w:val="000000"/>
        </w:rPr>
        <w:t>Daily Floating Rate Loans or Alternative Currency Loans shall be in an aggregate amount that is an</w:t>
      </w:r>
      <w:r>
        <w:rPr>
          <w:rFonts w:ascii="Arial" w:cs="Arial" w:eastAsia="Arial" w:hAnsi="Arial"/>
          <w:sz w:val="21"/>
          <w:szCs w:val="21"/>
          <w:color w:val="FF0000"/>
        </w:rPr>
        <w:t xml:space="preserve"> </w:t>
      </w:r>
      <w:r>
        <w:rPr>
          <w:rFonts w:ascii="Arial" w:cs="Arial" w:eastAsia="Arial" w:hAnsi="Arial"/>
          <w:sz w:val="21"/>
          <w:szCs w:val="21"/>
          <w:color w:val="000000"/>
        </w:rPr>
        <w:t xml:space="preserve">integral multiple of the Borrowing Multiple (or, if not an integral multiple, the entire available amount) and not less than the Borrowing Minimum. Each Borrowing of, conversion to or continuation of Base Rate Loans (other than Swingline Loans which shall be subject to Section 2.04) shall be in an aggregate amount that is an integral multiple of $1,000,000 and not less than $1,000,000; provided that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Term SOFR</w:t>
      </w:r>
      <w:r>
        <w:rPr>
          <w:rFonts w:ascii="Arial" w:cs="Arial" w:eastAsia="Arial" w:hAnsi="Arial"/>
          <w:sz w:val="21"/>
          <w:szCs w:val="21"/>
          <w:color w:val="000000"/>
        </w:rPr>
        <w:t xml:space="preserve"> Loans, Base Rate Loans, </w:t>
      </w:r>
      <w:r>
        <w:rPr>
          <w:rFonts w:ascii="Arial" w:cs="Arial" w:eastAsia="Arial" w:hAnsi="Arial"/>
          <w:sz w:val="21"/>
          <w:szCs w:val="21"/>
          <w:color w:val="FF0000"/>
          <w:strike w:val="1"/>
        </w:rPr>
        <w:t>LIBOR</w:t>
      </w:r>
      <w:r>
        <w:rPr>
          <w:rFonts w:ascii="Arial" w:cs="Arial" w:eastAsia="Arial" w:hAnsi="Arial"/>
          <w:sz w:val="21"/>
          <w:szCs w:val="21"/>
          <w:u w:val="single" w:color="auto"/>
          <w:color w:val="0000FF"/>
        </w:rPr>
        <w:t>SOFR</w:t>
      </w:r>
      <w:r>
        <w:rPr>
          <w:rFonts w:ascii="Arial" w:cs="Arial" w:eastAsia="Arial" w:hAnsi="Arial"/>
          <w:sz w:val="21"/>
          <w:szCs w:val="21"/>
          <w:color w:val="000000"/>
        </w:rPr>
        <w:t xml:space="preserve"> Daily Floating Rate Loans and Alternative Currency Loans may be in an aggregate amount that is equal to the entire unused balance of the total Revolving Commitments or that is required to finance the reimbursement of an L/C Disbursement as contemplated by Section 2.05(c). Borrowings of more than one Type may be outstanding at the same time; provided that there shall not at any time be more than a total of</w:t>
      </w:r>
    </w:p>
    <w:p>
      <w:pPr>
        <w:sectPr>
          <w:pgSz w:w="11900" w:h="16838" w:orient="portrait"/>
          <w:cols w:equalWidth="0" w:num="1">
            <w:col w:w="10440"/>
          </w:cols>
          <w:pgMar w:left="1020" w:top="1401" w:right="4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 xml:space="preserve">twenty (20)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Borrowings and Alternative Currency Term Rate Loans outstanding.</w:t>
      </w:r>
    </w:p>
    <w:p>
      <w:pPr>
        <w:spacing w:after="0" w:line="287" w:lineRule="exact"/>
        <w:rPr>
          <w:sz w:val="20"/>
          <w:szCs w:val="20"/>
          <w:color w:val="auto"/>
        </w:rPr>
      </w:pPr>
    </w:p>
    <w:p>
      <w:pPr>
        <w:jc w:val="both"/>
        <w:ind w:right="40" w:firstLine="1288"/>
        <w:spacing w:after="0" w:line="223" w:lineRule="auto"/>
        <w:tabs>
          <w:tab w:leader="none" w:pos="189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or to elect to convert or continue, any Borrowing if the Interest Period requested would end after the applicable Revolving Credit Maturity Date.</w:t>
      </w:r>
    </w:p>
    <w:p>
      <w:pPr>
        <w:spacing w:after="0" w:line="199" w:lineRule="exact"/>
        <w:rPr>
          <w:rFonts w:ascii="Arial" w:cs="Arial" w:eastAsia="Arial" w:hAnsi="Arial"/>
          <w:sz w:val="22"/>
          <w:szCs w:val="22"/>
          <w:color w:val="auto"/>
        </w:rPr>
      </w:pPr>
    </w:p>
    <w:p>
      <w:pPr>
        <w:jc w:val="both"/>
        <w:ind w:right="40" w:firstLine="1288"/>
        <w:spacing w:after="0" w:line="249" w:lineRule="auto"/>
        <w:tabs>
          <w:tab w:leader="none" w:pos="19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With respect to any Alternative Currency Daily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92"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Requests for Borrowings</w:t>
      </w:r>
      <w:r>
        <w:rPr>
          <w:rFonts w:ascii="Arial" w:cs="Arial" w:eastAsia="Arial" w:hAnsi="Arial"/>
          <w:sz w:val="19"/>
          <w:szCs w:val="19"/>
          <w:color w:val="auto"/>
        </w:rPr>
        <w:t xml:space="preserve">. To request a Borrowing, a conversion of Loans from one Type to the other or a continuation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Alternative Currency Term Rate Loans, the Borrower shall irrevocably notify the Administrative Agent of such request by (A) telephone or (B) a written Borrowing Request in a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 provided that any telephonic notice must be confirmed immediately by hand delivery or telecopy or transmission by electronic communication in accordance with Section 9.01(b) to the Administrative Agent of a written Borrowing Request. Each such Borrowing Request must be received by the Administrative Agent not later than noon (i) three </w:t>
      </w:r>
      <w:r>
        <w:rPr>
          <w:rFonts w:ascii="Arial" w:cs="Arial" w:eastAsia="Arial" w:hAnsi="Arial"/>
          <w:sz w:val="19"/>
          <w:szCs w:val="19"/>
          <w:u w:val="single" w:color="auto"/>
          <w:color w:val="0000FF"/>
        </w:rPr>
        <w:t>U.S. Government Securities</w:t>
      </w:r>
      <w:r>
        <w:rPr>
          <w:rFonts w:ascii="Arial" w:cs="Arial" w:eastAsia="Arial" w:hAnsi="Arial"/>
          <w:sz w:val="19"/>
          <w:szCs w:val="19"/>
          <w:color w:val="auto"/>
        </w:rPr>
        <w:t xml:space="preserve"> Business Days prior to the requested date of any Borrowing of, conversion to or continuation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of any conversion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to Base Rate Loans, (ii) three Business Days (or five Business Days in the case of a Special Notice Currency) prior to the requested date of any Borrowing of Alternative Currency Loans or, in the case of Alternative Currency Term Rate Loans, any continuation thereof, and (iii) on the requested date of any Borrowing of Base Rate Loans or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Daily Floating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Borrower wishes to request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Alternative Currency Term Rate Loans having an Interest Period other than one</w:t>
      </w:r>
      <w:r>
        <w:rPr>
          <w:rFonts w:ascii="Arial" w:cs="Arial" w:eastAsia="Arial" w:hAnsi="Arial"/>
          <w:sz w:val="19"/>
          <w:szCs w:val="19"/>
          <w:color w:val="FF0000"/>
          <w:strike w:val="1"/>
        </w:rPr>
        <w:t>, two</w:t>
      </w:r>
      <w:r>
        <w:rPr>
          <w:rFonts w:ascii="Arial" w:cs="Arial" w:eastAsia="Arial" w:hAnsi="Arial"/>
          <w:sz w:val="19"/>
          <w:szCs w:val="19"/>
          <w:color w:val="auto"/>
        </w:rPr>
        <w:t xml:space="preserve">, three or six months in duration as provided in the definition of “Interest Period,” the applicable notice must be received by the Administrative Agent not later than 11:00 a.m. (i) four </w:t>
      </w:r>
      <w:r>
        <w:rPr>
          <w:rFonts w:ascii="Arial" w:cs="Arial" w:eastAsia="Arial" w:hAnsi="Arial"/>
          <w:sz w:val="19"/>
          <w:szCs w:val="19"/>
          <w:u w:val="single" w:color="auto"/>
          <w:color w:val="0000FF"/>
        </w:rPr>
        <w:t>U.S. Government Securities</w:t>
      </w:r>
      <w:r>
        <w:rPr>
          <w:rFonts w:ascii="Arial" w:cs="Arial" w:eastAsia="Arial" w:hAnsi="Arial"/>
          <w:sz w:val="19"/>
          <w:szCs w:val="19"/>
          <w:color w:val="auto"/>
        </w:rPr>
        <w:t xml:space="preserve"> Business Days prior to the requested date of such Borrowing, conversion or continuation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(ii) five Business Days (or six Business Days in the case of a Special Notice Currency) prior to the requested date of such Borrowing, conversion or continuation of Alternative Currency Term Rate Loans, whereupon the Administrative Agent shall give prompt notice to the applicable Lenders of such request and determine whether the requested Interest Period is acceptable to all of them. Not later than 11:00 a.m., (i) three </w:t>
      </w:r>
      <w:r>
        <w:rPr>
          <w:rFonts w:ascii="Arial" w:cs="Arial" w:eastAsia="Arial" w:hAnsi="Arial"/>
          <w:sz w:val="19"/>
          <w:szCs w:val="19"/>
          <w:u w:val="single" w:color="auto"/>
          <w:color w:val="0000FF"/>
        </w:rPr>
        <w:t>U.S. Government Securities</w:t>
      </w:r>
      <w:r>
        <w:rPr>
          <w:rFonts w:ascii="Arial" w:cs="Arial" w:eastAsia="Arial" w:hAnsi="Arial"/>
          <w:sz w:val="19"/>
          <w:szCs w:val="19"/>
          <w:color w:val="auto"/>
        </w:rPr>
        <w:t xml:space="preserve"> Business Days before the requested date of such Borrowing, conversion or continuation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(ii) four Business Days (or five Business Days in the case of a Special Notice Currency) prior to the requested date of such Borrowing, conversion or continuation of</w:t>
      </w:r>
    </w:p>
    <w:p>
      <w:pPr>
        <w:sectPr>
          <w:pgSz w:w="11900" w:h="16838" w:orient="portrait"/>
          <w:cols w:equalWidth="0" w:num="1">
            <w:col w:w="10440"/>
          </w:cols>
          <w:pgMar w:left="1020" w:top="1401" w:right="439" w:bottom="1440" w:gutter="0" w:footer="0" w:header="0"/>
        </w:sectPr>
      </w:pPr>
    </w:p>
    <w:bookmarkStart w:id="154" w:name="page155"/>
    <w:bookmarkEnd w:id="154"/>
    <w:p>
      <w:pPr>
        <w:jc w:val="both"/>
        <w:ind w:right="40"/>
        <w:spacing w:after="0" w:line="234" w:lineRule="auto"/>
        <w:rPr>
          <w:sz w:val="20"/>
          <w:szCs w:val="20"/>
          <w:color w:val="auto"/>
        </w:rPr>
      </w:pPr>
      <w:r>
        <w:rPr>
          <w:rFonts w:ascii="Arial" w:cs="Arial" w:eastAsia="Arial" w:hAnsi="Arial"/>
          <w:sz w:val="21"/>
          <w:szCs w:val="21"/>
          <w:color w:val="auto"/>
        </w:rPr>
        <w:t>Alternative Currency Term Rate Loans, the Administrative Agent shall notify the Borrower (which notice may be by telephone) whether or not the requested Interest Period has been consented to by all the applicable Lenders. Each Borrowing Request shall specify the following information in compliance with Section 2.02:</w:t>
      </w:r>
    </w:p>
    <w:p>
      <w:pPr>
        <w:spacing w:after="0" w:line="198" w:lineRule="exact"/>
        <w:rPr>
          <w:sz w:val="20"/>
          <w:szCs w:val="20"/>
          <w:color w:val="auto"/>
        </w:rPr>
      </w:pPr>
    </w:p>
    <w:p>
      <w:pPr>
        <w:ind w:left="1900" w:hanging="612"/>
        <w:spacing w:after="0"/>
        <w:tabs>
          <w:tab w:leader="none" w:pos="19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aggregate amount of the requested Borrowing, conversion or continuation;</w:t>
      </w:r>
    </w:p>
    <w:p>
      <w:pPr>
        <w:spacing w:after="0" w:line="206" w:lineRule="exact"/>
        <w:rPr>
          <w:rFonts w:ascii="Arial" w:cs="Arial" w:eastAsia="Arial" w:hAnsi="Arial"/>
          <w:sz w:val="22"/>
          <w:szCs w:val="22"/>
          <w:color w:val="auto"/>
        </w:rPr>
      </w:pPr>
    </w:p>
    <w:p>
      <w:pPr>
        <w:ind w:left="1880" w:hanging="592"/>
        <w:spacing w:after="0"/>
        <w:tabs>
          <w:tab w:leader="none" w:pos="18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date of such Borrowing, conversion or continuation, which shall be a Business Day;</w:t>
      </w:r>
    </w:p>
    <w:p>
      <w:pPr>
        <w:spacing w:after="0" w:line="219" w:lineRule="exact"/>
        <w:rPr>
          <w:rFonts w:ascii="Arial" w:cs="Arial" w:eastAsia="Arial" w:hAnsi="Arial"/>
          <w:sz w:val="22"/>
          <w:szCs w:val="22"/>
          <w:color w:val="auto"/>
        </w:rPr>
      </w:pPr>
    </w:p>
    <w:p>
      <w:pPr>
        <w:jc w:val="both"/>
        <w:ind w:left="640" w:right="20" w:firstLine="648"/>
        <w:spacing w:after="0" w:line="223" w:lineRule="auto"/>
        <w:tabs>
          <w:tab w:leader="none" w:pos="189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whether such Borrowing, conversion or continuation is to be a Base Rate Borrowing, a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FF0000"/>
        </w:rPr>
        <w:t xml:space="preserve"> </w:t>
      </w:r>
      <w:r>
        <w:rPr>
          <w:rFonts w:ascii="Arial" w:cs="Arial" w:eastAsia="Arial" w:hAnsi="Arial"/>
          <w:sz w:val="22"/>
          <w:szCs w:val="22"/>
          <w:color w:val="000000"/>
        </w:rPr>
        <w:t>Borrowing, a</w:t>
      </w:r>
      <w:r>
        <w:rPr>
          <w:rFonts w:ascii="Arial" w:cs="Arial" w:eastAsia="Arial" w:hAnsi="Arial"/>
          <w:sz w:val="22"/>
          <w:szCs w:val="22"/>
          <w:color w:val="FF0000"/>
        </w:rPr>
        <w:t xml:space="preserve">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Daily Floating Rate Borrowing, or an Alternative</w:t>
      </w:r>
      <w:r>
        <w:rPr>
          <w:rFonts w:ascii="Arial" w:cs="Arial" w:eastAsia="Arial" w:hAnsi="Arial"/>
          <w:sz w:val="22"/>
          <w:szCs w:val="22"/>
          <w:color w:val="FF0000"/>
        </w:rPr>
        <w:t xml:space="preserve"> </w:t>
      </w:r>
      <w:r>
        <w:rPr>
          <w:rFonts w:ascii="Arial" w:cs="Arial" w:eastAsia="Arial" w:hAnsi="Arial"/>
          <w:sz w:val="22"/>
          <w:szCs w:val="22"/>
          <w:color w:val="000000"/>
        </w:rPr>
        <w:t>Currency Borrowing;</w:t>
      </w:r>
    </w:p>
    <w:p>
      <w:pPr>
        <w:spacing w:after="0" w:line="191" w:lineRule="exact"/>
        <w:rPr>
          <w:rFonts w:ascii="Arial" w:cs="Arial" w:eastAsia="Arial" w:hAnsi="Arial"/>
          <w:sz w:val="22"/>
          <w:szCs w:val="22"/>
          <w:color w:val="auto"/>
        </w:rPr>
      </w:pPr>
    </w:p>
    <w:p>
      <w:pPr>
        <w:ind w:left="1900" w:hanging="612"/>
        <w:spacing w:after="0"/>
        <w:tabs>
          <w:tab w:leader="none" w:pos="190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currency in which such Borrowing is to be made, which shall be Dollars or an Alternative</w:t>
      </w:r>
    </w:p>
    <w:p>
      <w:pPr>
        <w:ind w:left="640"/>
        <w:spacing w:after="0"/>
        <w:rPr>
          <w:rFonts w:ascii="Arial" w:cs="Arial" w:eastAsia="Arial" w:hAnsi="Arial"/>
          <w:sz w:val="21"/>
          <w:szCs w:val="21"/>
          <w:color w:val="auto"/>
        </w:rPr>
      </w:pPr>
      <w:r>
        <w:rPr>
          <w:rFonts w:ascii="Arial" w:cs="Arial" w:eastAsia="Arial" w:hAnsi="Arial"/>
          <w:sz w:val="22"/>
          <w:szCs w:val="22"/>
          <w:color w:val="auto"/>
        </w:rPr>
        <w:t>Currency;</w:t>
      </w:r>
    </w:p>
    <w:p>
      <w:pPr>
        <w:spacing w:after="0" w:line="188" w:lineRule="exact"/>
        <w:rPr>
          <w:rFonts w:ascii="Arial" w:cs="Arial" w:eastAsia="Arial" w:hAnsi="Arial"/>
          <w:sz w:val="21"/>
          <w:szCs w:val="21"/>
          <w:color w:val="auto"/>
        </w:rPr>
      </w:pPr>
    </w:p>
    <w:p>
      <w:pPr>
        <w:jc w:val="both"/>
        <w:ind w:left="640" w:right="20" w:firstLine="648"/>
        <w:spacing w:after="0" w:line="223" w:lineRule="auto"/>
        <w:tabs>
          <w:tab w:leader="none" w:pos="189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in the case of a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Borrowing or an Alternative Currency Term Rate Borrowing, the Interest Period to be applicable thereto, which shall be a period contemplated by the definition of the term “Interest Period”;</w:t>
      </w:r>
    </w:p>
    <w:p>
      <w:pPr>
        <w:spacing w:after="0" w:line="199" w:lineRule="exact"/>
        <w:rPr>
          <w:rFonts w:ascii="Arial" w:cs="Arial" w:eastAsia="Arial" w:hAnsi="Arial"/>
          <w:sz w:val="22"/>
          <w:szCs w:val="22"/>
          <w:color w:val="auto"/>
        </w:rPr>
      </w:pPr>
    </w:p>
    <w:p>
      <w:pPr>
        <w:ind w:left="640" w:right="20" w:firstLine="648"/>
        <w:spacing w:after="0" w:line="232" w:lineRule="auto"/>
        <w:tabs>
          <w:tab w:leader="none" w:pos="189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location and number of the Borrower’s account to which funds are to be disbursed, which shall comply with the requirements of Section 2.06;</w:t>
      </w:r>
    </w:p>
    <w:p>
      <w:pPr>
        <w:spacing w:after="0" w:line="185" w:lineRule="exact"/>
        <w:rPr>
          <w:rFonts w:ascii="Arial" w:cs="Arial" w:eastAsia="Arial" w:hAnsi="Arial"/>
          <w:sz w:val="22"/>
          <w:szCs w:val="22"/>
          <w:color w:val="auto"/>
        </w:rPr>
      </w:pPr>
    </w:p>
    <w:p>
      <w:pPr>
        <w:ind w:left="640" w:right="20" w:firstLine="648"/>
        <w:spacing w:after="0" w:line="298" w:lineRule="auto"/>
        <w:tabs>
          <w:tab w:leader="none" w:pos="188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whether the Borrower is requesting a new Borrowing, a conversion of Loans from one Type to the other, or a continuation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Alternative Currency Term Rate Loans; and</w:t>
      </w:r>
    </w:p>
    <w:p>
      <w:pPr>
        <w:spacing w:after="0" w:line="145" w:lineRule="exact"/>
        <w:rPr>
          <w:rFonts w:ascii="Arial" w:cs="Arial" w:eastAsia="Arial" w:hAnsi="Arial"/>
          <w:sz w:val="19"/>
          <w:szCs w:val="19"/>
          <w:color w:val="auto"/>
        </w:rPr>
      </w:pPr>
    </w:p>
    <w:p>
      <w:pPr>
        <w:ind w:left="1900" w:hanging="612"/>
        <w:spacing w:after="0"/>
        <w:tabs>
          <w:tab w:leader="none" w:pos="19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Type of Loans to be borrowed or to which existing Loans are to be converted.</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If no election as to the Type of Borrowing is specified, then, in the case of a Borrowing denominated in Dollars to the Borrower, the requested Revolving Borrowing shall be a Base Rate Borrowing. In the case of a failure to timely request a conversion or continuation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Alternative Currency Term Rate Loans, such Loans shall be continued as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Alternative Currency Term Rate Loans in their original currency, as applicable, with an Interest Period of one month’s duration. If no Interest Period is specified with respect to any requested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or Alternative Currency Term Rate Borrowing or conversion or continuation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Alternative Currency Term Rate Loans, then the Borrower shall be deemed to have selected an Interest Period of one month’s duration. Promptly following receipt of a Borrowing Request in accordance with this Section, the Administrative Agent shall advise each Lender of the details thereof and of the amount (and currency) of such Lender’s Loan to be made as part of the requested Borrowing. Except as otherwise provided herein,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or an Alternative Currency Term Rate Loan may be continued or converted only on the last day of an Interest Period for such Loan. During the existence of a Default, no Loans may be requested as, converted to or continued as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p>
    <w:p>
      <w:pPr>
        <w:sectPr>
          <w:pgSz w:w="11900" w:h="16838" w:orient="portrait"/>
          <w:cols w:equalWidth="0" w:num="1">
            <w:col w:w="10440"/>
          </w:cols>
          <w:pgMar w:left="1020" w:top="1401" w:right="439" w:bottom="1440" w:gutter="0" w:footer="0" w:header="0"/>
        </w:sectPr>
      </w:pPr>
    </w:p>
    <w:bookmarkStart w:id="155" w:name="page156"/>
    <w:bookmarkEnd w:id="155"/>
    <w:p>
      <w:pPr>
        <w:jc w:val="both"/>
        <w:spacing w:after="0" w:line="220" w:lineRule="auto"/>
        <w:rPr>
          <w:sz w:val="20"/>
          <w:szCs w:val="20"/>
          <w:color w:val="auto"/>
        </w:rPr>
      </w:pPr>
      <w:r>
        <w:rPr>
          <w:rFonts w:ascii="Arial" w:cs="Arial" w:eastAsia="Arial" w:hAnsi="Arial"/>
          <w:sz w:val="21"/>
          <w:szCs w:val="21"/>
          <w:color w:val="auto"/>
        </w:rPr>
        <w:t xml:space="preserve">Daily Floating Rate Loans or Alternative Currency Loans without the consent of the Required Lenders, and the Required Lenders may demand that any or all of the then outstanding Alternative Currency Loans be prepaid, or redenominated into Dollars in the amount of the Dollar Equivalent thereof promptly, in the case of Alternative Currency Daily Rate Loans or, on the last day of the then current Interest Period with respect thereto in the case of Alternative Currency Term Rate Loans. No Loan may be converted into or continued as a Loan denominated in a different currency, but instead must be prepaid in the original currency of such Loan and reborrowed in the other currency. </w:t>
      </w:r>
      <w:r>
        <w:rPr>
          <w:rFonts w:ascii="Arial" w:cs="Arial" w:eastAsia="Arial" w:hAnsi="Arial"/>
          <w:sz w:val="21"/>
          <w:szCs w:val="21"/>
          <w:u w:val="single" w:color="auto"/>
          <w:color w:val="0000FF"/>
        </w:rPr>
        <w:t>Notwithstanding</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anything to the contrary in this Agreement, any Lender</w:t>
      </w:r>
      <w:r>
        <w:rPr>
          <w:rFonts w:ascii="Arial" w:cs="Arial" w:eastAsia="Arial" w:hAnsi="Arial"/>
          <w:sz w:val="21"/>
          <w:szCs w:val="21"/>
          <w:color w:val="0000FF"/>
        </w:rPr>
        <w:t xml:space="preserve"> may exchange, continue or rollover all of the portion of its Loans in </w:t>
      </w:r>
      <w:r>
        <w:rPr>
          <w:rFonts w:ascii="Arial" w:cs="Arial" w:eastAsia="Arial" w:hAnsi="Arial"/>
          <w:sz w:val="21"/>
          <w:szCs w:val="21"/>
          <w:u w:val="single" w:color="auto"/>
          <w:color w:val="0000FF"/>
        </w:rPr>
        <w:t>connection with any refinancing, extension, loan modification or similar transaction permitted by the terms of</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this Agreement, pursuant to a cashless settlement mechanism approved by the Borrower, the Administrative Agent, and such Lender.</w:t>
      </w:r>
    </w:p>
    <w:p>
      <w:pPr>
        <w:spacing w:after="0" w:line="203"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Swingline Loans</w:t>
      </w:r>
      <w:r>
        <w:rPr>
          <w:rFonts w:ascii="Arial" w:cs="Arial" w:eastAsia="Arial" w:hAnsi="Arial"/>
          <w:sz w:val="19"/>
          <w:szCs w:val="19"/>
          <w:color w:val="auto"/>
        </w:rPr>
        <w:t>.</w:t>
      </w:r>
    </w:p>
    <w:p>
      <w:pPr>
        <w:spacing w:after="0" w:line="206" w:lineRule="exact"/>
        <w:rPr>
          <w:sz w:val="20"/>
          <w:szCs w:val="20"/>
          <w:color w:val="auto"/>
        </w:rPr>
      </w:pPr>
    </w:p>
    <w:p>
      <w:pPr>
        <w:jc w:val="both"/>
        <w:ind w:right="40" w:firstLine="1288"/>
        <w:spacing w:after="0" w:line="219" w:lineRule="auto"/>
        <w:tabs>
          <w:tab w:leader="none" w:pos="190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set forth herein, the Swingline Lender agrees, in reliance upon the agreements of the other Lenders set forth in this Section 2.04, to make Swingline Loans in Dollars to the Borrower from time to time during the Availability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Swingline Loan shall be permitted if, after giving effect thereto, (i) the aggregate principal amount of outstanding Swingline Loans would exceed the Swingline Loan Sublimit, (ii) the aggregate Revolving Credit Exposures would exceed the total Revolving Commitments or (iii) such Swingline Lender’s Credit Exposure would exceed its Revolving Commitment;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p>
      <w:pPr>
        <w:spacing w:after="0" w:line="271" w:lineRule="exact"/>
        <w:rPr>
          <w:rFonts w:ascii="Arial" w:cs="Arial" w:eastAsia="Arial" w:hAnsi="Arial"/>
          <w:sz w:val="21"/>
          <w:szCs w:val="21"/>
          <w:color w:val="auto"/>
        </w:rPr>
      </w:pPr>
    </w:p>
    <w:p>
      <w:pPr>
        <w:ind w:right="80" w:firstLine="1288"/>
        <w:spacing w:after="0" w:line="241" w:lineRule="auto"/>
        <w:tabs>
          <w:tab w:leader="none" w:pos="189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To request a Swingline Loan, the Borrower shall notify the Administrative Agent and Swingline Lender of such request, which may be given by (A) telephone or (B) by a Swingline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telephonic notice must be confirmed promptly by delivery to the Swingline Lender and the Administrative Agent of a Swingline Loan Notice, and, in each case, such notice shall be irrevocable. Each such Swingline Loan Notice must be received by the Swingline Lender and the Administrative Agent not later than 1:00 p.m. on the requested borrowing date, and shall specify (i) the amount to be borrowed, which shall be a minimum of $100,000, and (ii) the requested borrowing date, which shall be a Business Day. Promptly after receipt by the Swingline Lender of any telephonic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Loan Borrowing (A) directing the Swingline Lender not to make such Swingline Loan as a result of the limitations set forth in Section 2.04(a), or (B) that one or more of the applicable conditions specified in Article IV is not then satisfied, then, the Swingline Lender shall make such Swingline Loan available to the Borrower by means of a credit to the general deposit account of the Borrower with the Swingline Lender (or, in the case of a Swingline Loan made to finance the reimbursement of an L/C Disbursement as provided in Section 2.05(c), by remittance to the relevant Issuing Bank) by 3:00 p.m. on the requested date of such Swingline Loan.</w:t>
      </w:r>
    </w:p>
    <w:p>
      <w:pPr>
        <w:sectPr>
          <w:pgSz w:w="11900" w:h="16838" w:orient="portrait"/>
          <w:cols w:equalWidth="0" w:num="1">
            <w:col w:w="10440"/>
          </w:cols>
          <w:pgMar w:left="1020" w:top="1401" w:right="439" w:bottom="1440" w:gutter="0" w:footer="0" w:header="0"/>
        </w:sectPr>
      </w:pPr>
    </w:p>
    <w:bookmarkStart w:id="156" w:name="page157"/>
    <w:bookmarkEnd w:id="156"/>
    <w:p>
      <w:pPr>
        <w:jc w:val="both"/>
        <w:ind w:left="-420" w:right="20" w:firstLine="1288"/>
        <w:spacing w:after="0" w:line="241" w:lineRule="auto"/>
        <w:tabs>
          <w:tab w:leader="none" w:pos="14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 The Swingline Lender at any time in its sole and absolute discretion may request, on behalf of the Borrower (which hereby irrevocably authorizes the Swingline Lender to so request on its behalf), that each Revolving Lender make a Base Rate Loan in an amount equal to such Lender’s Applicable Percentage of the amount of the Swingline Loans then outstanding. Such request shall be made in writing (which written request shall be deemed to be a Borrowing Request for purposes hereof) and in accordance with the requirements of Section 2.02 and Section 2.03, without regard to the minimum and multiples specified therein for the principal amount of Base Rate Loans, but subject to the unutilized portion of the Revolving Commitments and the conditions set forth in Section 4.01 or Section 4.02, as applicable. The Swingline Lender shall furnish the Borrower with a copy of the applicable Borrowing Request promptly after delivering such notice to the Administrative Agent. Each Revolving Lender shall make an amount equal to its Applicable Percentage of the amount specified in such Borrowing Request available to the Administrative Agent in Same Day Funds for the account of the Swingline Lender at the Administrative Agent’s Office for Dollar-denominated payments not later than 1:00 p.m. on the day specified in such Borrowing Request, whereupon, subject to Section 2.04(c)(ii), each Lender that so makes funds available shall be deemed to have made a Base Rate Loan to the Borrower in such amount. The Administrative Agent shall remit the funds so received to the Swingline Lender.</w:t>
      </w:r>
    </w:p>
    <w:p>
      <w:pPr>
        <w:spacing w:after="0" w:line="209" w:lineRule="exact"/>
        <w:rPr>
          <w:sz w:val="20"/>
          <w:szCs w:val="20"/>
          <w:color w:val="auto"/>
        </w:rPr>
      </w:pPr>
    </w:p>
    <w:p>
      <w:pPr>
        <w:jc w:val="both"/>
        <w:ind w:left="220" w:firstLine="648"/>
        <w:spacing w:after="0" w:line="241" w:lineRule="auto"/>
        <w:tabs>
          <w:tab w:leader="none" w:pos="146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for any reason any Swingline Loan cannot be refinanced by such Base Rate Loan in accordance with clause (i), the request for Base Rate Loans submitted by the Swingline Lender as set forth herein shall be deemed to be a request by the Swingline Lender that each of the Revolving Lenders fund its risk participation in the relevant Swingline Loan and such Revolving Lender’s payment to the Administrative Agent for the account of the Swingline Lender pursuant to Section 2.04(c)(i) shall be deemed payment in respect of such participation. If any Revolving Lender fails to make available to the Administrative Agent for the account of the Swingline Lender any amount required to be paid by such Revolving Lender pursuant to the foregoing provisions of this Section 2.04(c) by the time specified in Section 2.04(c)(i),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plus any administrative, processing or similar fees customarily charged by the Swingline Lender in connection with the foregoing. If such Revolving Lender pays such amount (with interest and fees as aforesaid), the amount so paid shall constitute such Revolving Lender’s Base Rate Loan included in the relevant Borrowing or funded participation in the relevant Swingline Loan, as the case may be. A certificate of the Swingline Lender submitted to any Revolving Lender (through the Administrative Agent)</w:t>
      </w:r>
    </w:p>
    <w:p>
      <w:pPr>
        <w:sectPr>
          <w:pgSz w:w="11900" w:h="16838" w:orient="portrait"/>
          <w:cols w:equalWidth="0" w:num="1">
            <w:col w:w="10020"/>
          </w:cols>
          <w:pgMar w:left="1440" w:top="1347" w:right="439" w:bottom="1440" w:gutter="0" w:footer="0" w:header="0"/>
        </w:sectPr>
      </w:pPr>
    </w:p>
    <w:bookmarkStart w:id="157" w:name="page158"/>
    <w:bookmarkEnd w:id="157"/>
    <w:p>
      <w:pPr>
        <w:ind w:left="220"/>
        <w:spacing w:after="0"/>
        <w:rPr>
          <w:sz w:val="20"/>
          <w:szCs w:val="20"/>
          <w:color w:val="auto"/>
        </w:rPr>
      </w:pPr>
      <w:r>
        <w:rPr>
          <w:rFonts w:ascii="Arial" w:cs="Arial" w:eastAsia="Arial" w:hAnsi="Arial"/>
          <w:sz w:val="22"/>
          <w:szCs w:val="22"/>
          <w:color w:val="auto"/>
        </w:rPr>
        <w:t>with respect to any amounts owing under this clause (ii) shall be conclusive absent manifest error.</w:t>
      </w:r>
    </w:p>
    <w:p>
      <w:pPr>
        <w:spacing w:after="0" w:line="220" w:lineRule="exact"/>
        <w:rPr>
          <w:sz w:val="20"/>
          <w:szCs w:val="20"/>
          <w:color w:val="auto"/>
        </w:rPr>
      </w:pPr>
    </w:p>
    <w:p>
      <w:pPr>
        <w:jc w:val="both"/>
        <w:ind w:left="220" w:firstLine="648"/>
        <w:spacing w:after="0" w:line="244" w:lineRule="auto"/>
        <w:tabs>
          <w:tab w:leader="none" w:pos="147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Each Revolving Lender’s obligation to make Base Rate Loans or to purchase and fund risk participations in Swingline Loans pursuant to this Section 2.04(c)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Revolving Lender’s obligation to make Base Rate Loans pursuant to this Section 2.04(c) is subject to the conditions set forth in Section 4.01 or Section 4.02, as applicable. No such funding of risk participations shall relieve or otherwise impair the obligation of the Borrower to repay Swingline Loans, together with interest as provided herein.</w:t>
      </w:r>
    </w:p>
    <w:p>
      <w:pPr>
        <w:spacing w:after="0" w:line="269" w:lineRule="exact"/>
        <w:rPr>
          <w:sz w:val="20"/>
          <w:szCs w:val="20"/>
          <w:color w:val="auto"/>
        </w:rPr>
      </w:pPr>
    </w:p>
    <w:p>
      <w:pPr>
        <w:jc w:val="both"/>
        <w:ind w:left="-420" w:right="20" w:firstLine="1288"/>
        <w:spacing w:after="0" w:line="218" w:lineRule="auto"/>
        <w:tabs>
          <w:tab w:leader="none" w:pos="147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 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p>
      <w:pPr>
        <w:spacing w:after="0" w:line="188" w:lineRule="exact"/>
        <w:rPr>
          <w:sz w:val="20"/>
          <w:szCs w:val="20"/>
          <w:color w:val="auto"/>
        </w:rPr>
      </w:pPr>
    </w:p>
    <w:p>
      <w:pPr>
        <w:jc w:val="both"/>
        <w:ind w:left="220" w:right="20" w:firstLine="648"/>
        <w:spacing w:after="0" w:line="246" w:lineRule="auto"/>
        <w:tabs>
          <w:tab w:leader="none" w:pos="119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any payment received by the Swingline Lender in respect of principal or interest on any Swingline Loan is required to be returned by the Swingline Lender under any of the circumstances described in Section 9.08 (including pursuant to any settlement entered into by the Swingline Lender in its discretion), each Revolving Lender shall pay to the Swingline Lender its Applicable Percentage thereof on demand of the Administrative Agent, plus interest thereon from the date of such demand to the date such amount is returned, at a rate per annum equal to the applicable Overnight Rate from time to time in effect. The Administrative Agent will make such demand upon the request of the Swingline Lender. The obligations of the Revolving Lenders under this clause shall survive the payment in full of the Obligations and the termination of this Agreement.</w:t>
      </w:r>
    </w:p>
    <w:p>
      <w:pPr>
        <w:spacing w:after="0" w:line="193" w:lineRule="exact"/>
        <w:rPr>
          <w:sz w:val="20"/>
          <w:szCs w:val="20"/>
          <w:color w:val="auto"/>
        </w:rPr>
      </w:pPr>
    </w:p>
    <w:p>
      <w:pPr>
        <w:jc w:val="both"/>
        <w:ind w:left="-420" w:right="20" w:firstLine="1288"/>
        <w:spacing w:after="0" w:line="218" w:lineRule="auto"/>
        <w:tabs>
          <w:tab w:leader="none" w:pos="14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Swingline Lender shall be responsible for invoicing the Borrower for interest on the Swingline Loans. Until each Revolving Lender funds its Base Rate Loan or risk participation pursuant to this Section 2.04 to refinance such Revolving Lender’s Applicable Percentage of any Swingline Loan, interest in respect of such Applicable Percentage shall be solely for the account of the Swingline Lender.</w:t>
      </w:r>
    </w:p>
    <w:p>
      <w:pPr>
        <w:spacing w:after="0" w:line="201" w:lineRule="exact"/>
        <w:rPr>
          <w:rFonts w:ascii="Arial" w:cs="Arial" w:eastAsia="Arial" w:hAnsi="Arial"/>
          <w:sz w:val="22"/>
          <w:szCs w:val="22"/>
          <w:color w:val="auto"/>
        </w:rPr>
      </w:pPr>
    </w:p>
    <w:p>
      <w:pPr>
        <w:ind w:left="-420" w:right="20" w:firstLine="1288"/>
        <w:spacing w:after="0" w:line="232" w:lineRule="auto"/>
        <w:tabs>
          <w:tab w:leader="none" w:pos="148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Borrower shall make all payments of principal and interest in respect of its Swingline Loans directly to the Swingline Lender.</w:t>
      </w:r>
    </w:p>
    <w:p>
      <w:pPr>
        <w:spacing w:after="0" w:line="186"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220" w:lineRule="exact"/>
        <w:rPr>
          <w:sz w:val="20"/>
          <w:szCs w:val="20"/>
          <w:color w:val="auto"/>
        </w:rPr>
      </w:pPr>
    </w:p>
    <w:p>
      <w:pPr>
        <w:ind w:left="1480" w:hanging="612"/>
        <w:spacing w:after="0"/>
        <w:tabs>
          <w:tab w:leader="none" w:pos="148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The Letter of Credit Commitment</w:t>
      </w:r>
      <w:r>
        <w:rPr>
          <w:rFonts w:ascii="Arial" w:cs="Arial" w:eastAsia="Arial" w:hAnsi="Arial"/>
          <w:sz w:val="22"/>
          <w:szCs w:val="22"/>
          <w:color w:val="auto"/>
        </w:rPr>
        <w:t>.</w:t>
      </w:r>
    </w:p>
    <w:p>
      <w:pPr>
        <w:spacing w:after="0" w:line="220" w:lineRule="exact"/>
        <w:rPr>
          <w:sz w:val="20"/>
          <w:szCs w:val="20"/>
          <w:color w:val="auto"/>
        </w:rPr>
      </w:pPr>
    </w:p>
    <w:p>
      <w:pPr>
        <w:ind w:left="220" w:firstLine="648"/>
        <w:spacing w:after="0" w:line="232" w:lineRule="auto"/>
        <w:tabs>
          <w:tab w:leader="none" w:pos="147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Subject to the terms and conditions set forth herein, (A) each Issuing Bank agrees, in reliance upon the agreements of the Revolving Lenders set forth in this Section</w:t>
      </w:r>
    </w:p>
    <w:p>
      <w:pPr>
        <w:sectPr>
          <w:pgSz w:w="11900" w:h="16838" w:orient="portrait"/>
          <w:cols w:equalWidth="0" w:num="1">
            <w:col w:w="10020"/>
          </w:cols>
          <w:pgMar w:left="1440" w:top="1401" w:right="439" w:bottom="1440" w:gutter="0" w:footer="0" w:header="0"/>
        </w:sectPr>
      </w:pPr>
    </w:p>
    <w:bookmarkStart w:id="158" w:name="page159"/>
    <w:bookmarkEnd w:id="158"/>
    <w:p>
      <w:pPr>
        <w:jc w:val="both"/>
        <w:ind w:left="220" w:right="20"/>
        <w:spacing w:after="0"/>
        <w:rPr>
          <w:sz w:val="20"/>
          <w:szCs w:val="20"/>
          <w:color w:val="auto"/>
        </w:rPr>
      </w:pPr>
      <w:r>
        <w:rPr>
          <w:rFonts w:ascii="Arial" w:cs="Arial" w:eastAsia="Arial" w:hAnsi="Arial"/>
          <w:sz w:val="19"/>
          <w:szCs w:val="19"/>
          <w:color w:val="auto"/>
        </w:rPr>
        <w:t xml:space="preserve">2.05, (1) from time to time on any Business Day during the period from the Closing Date until the Letter of Credit Expiration Date, to issue Letters of Credit denominated in Dollars or in one or more Alternative Currencies for the account of the Borrower or its Subsidiaries, and to amend or extend Letters of Credit previously issued by it, in accordance with subsection (b) below, and (2) to honor drawings under the Letters of Credit; and (B) the Revolving Lenders severally agree to participate in Letters of Credit issued for the account of the Borrower or its Subsidiaries and any drawings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(x) the aggregate L/C Exposure shall not exceed the L/C Exposure Sublimit, (y) the total Revolving Credit Exposures shall not exceed the total Revolving Commitments, and (z) such Issuing Bank’s Credit Exposure shall not exceed its Revolving Commitment;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Goldman Sachs Bank USA (or any of its Affiliates) is an Issuing Bank for the purposes of this Agreement only in respect of standby Letters of Credit.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be Letters of Credit issued pursuant to this Agreement on the Closing Date and from and after the Closing Date shall be subject to and governed by the terms and conditions hereof.</w:t>
      </w:r>
    </w:p>
    <w:p>
      <w:pPr>
        <w:spacing w:after="0" w:line="212" w:lineRule="exact"/>
        <w:rPr>
          <w:sz w:val="20"/>
          <w:szCs w:val="20"/>
          <w:color w:val="auto"/>
        </w:rPr>
      </w:pPr>
    </w:p>
    <w:p>
      <w:pPr>
        <w:jc w:val="both"/>
        <w:ind w:left="220" w:firstLine="648"/>
        <w:spacing w:after="0" w:line="246" w:lineRule="auto"/>
        <w:tabs>
          <w:tab w:leader="none" w:pos="146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No Issuing Bank shall issue any Letter of Credit, if: (A) subject to Section 2.05(b)(iii), the expiry date of such requested Letter of Credit would occur more than twelve months after the date of issuance or last extension, unless the Required Lenders and the applicable Issuing Bank have approved such expiry date; or (B) the expiry date of such requested Letter of Credit would occur after the Letter of Credit Expiration Date, unless the Administrative Agent and the applicable Issuing Bank have approved such expiry date (it being understood that in the event the expiry date of any requested Letter of Credit would occur after the Letter of Credit Expiration Date, from and after the Letter of Credit Expiration Date, the Borrower shall immediately Cash Collateralize the then Outstanding Amount of all L/C Exposure in accordance with Section 2.05(g)).</w:t>
      </w:r>
    </w:p>
    <w:p>
      <w:pPr>
        <w:spacing w:after="0" w:line="173" w:lineRule="exact"/>
        <w:rPr>
          <w:rFonts w:ascii="Arial" w:cs="Arial" w:eastAsia="Arial" w:hAnsi="Arial"/>
          <w:sz w:val="19"/>
          <w:szCs w:val="19"/>
          <w:color w:val="auto"/>
        </w:rPr>
      </w:pPr>
    </w:p>
    <w:p>
      <w:pPr>
        <w:ind w:left="1520" w:hanging="652"/>
        <w:spacing w:after="0"/>
        <w:tabs>
          <w:tab w:leader="none" w:pos="15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No Issuing Bank shall be under any obligation to issue any Letter of Credit</w:t>
      </w:r>
    </w:p>
    <w:p>
      <w:pPr>
        <w:ind w:left="220"/>
        <w:spacing w:after="0"/>
        <w:rPr>
          <w:sz w:val="20"/>
          <w:szCs w:val="20"/>
          <w:color w:val="auto"/>
        </w:rPr>
      </w:pPr>
      <w:r>
        <w:rPr>
          <w:rFonts w:ascii="Arial" w:cs="Arial" w:eastAsia="Arial" w:hAnsi="Arial"/>
          <w:sz w:val="22"/>
          <w:szCs w:val="22"/>
          <w:color w:val="auto"/>
        </w:rPr>
        <w:t>if:</w:t>
      </w:r>
    </w:p>
    <w:p>
      <w:pPr>
        <w:spacing w:after="0" w:line="196" w:lineRule="exact"/>
        <w:rPr>
          <w:sz w:val="20"/>
          <w:szCs w:val="20"/>
          <w:color w:val="auto"/>
        </w:rPr>
      </w:pPr>
    </w:p>
    <w:p>
      <w:pPr>
        <w:ind w:left="1480" w:hanging="612"/>
        <w:spacing w:after="0"/>
        <w:tabs>
          <w:tab w:leader="none" w:pos="14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order, judgment or decree of any Governmental Authority or arbitrator</w:t>
      </w:r>
    </w:p>
    <w:p>
      <w:pPr>
        <w:jc w:val="both"/>
        <w:ind w:left="220" w:right="20"/>
        <w:spacing w:after="0" w:line="210" w:lineRule="auto"/>
        <w:rPr>
          <w:sz w:val="20"/>
          <w:szCs w:val="20"/>
          <w:color w:val="auto"/>
        </w:rPr>
      </w:pPr>
      <w:r>
        <w:rPr>
          <w:rFonts w:ascii="Arial" w:cs="Arial" w:eastAsia="Arial" w:hAnsi="Arial"/>
          <w:sz w:val="22"/>
          <w:szCs w:val="22"/>
          <w:color w:val="auto"/>
        </w:rPr>
        <w:t>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w:t>
      </w:r>
    </w:p>
    <w:p>
      <w:pPr>
        <w:sectPr>
          <w:pgSz w:w="11900" w:h="16838" w:orient="portrait"/>
          <w:cols w:equalWidth="0" w:num="1">
            <w:col w:w="10000"/>
          </w:cols>
          <w:pgMar w:left="1440" w:top="1401" w:right="459" w:bottom="1440" w:gutter="0" w:footer="0" w:header="0"/>
        </w:sectPr>
      </w:pPr>
    </w:p>
    <w:bookmarkStart w:id="159" w:name="page160"/>
    <w:bookmarkEnd w:id="159"/>
    <w:p>
      <w:pPr>
        <w:ind w:left="220"/>
        <w:spacing w:after="0" w:line="232" w:lineRule="auto"/>
        <w:rPr>
          <w:sz w:val="20"/>
          <w:szCs w:val="20"/>
          <w:color w:val="auto"/>
        </w:rPr>
      </w:pPr>
      <w:r>
        <w:rPr>
          <w:rFonts w:ascii="Arial" w:cs="Arial" w:eastAsia="Arial" w:hAnsi="Arial"/>
          <w:sz w:val="22"/>
          <w:szCs w:val="22"/>
          <w:color w:val="auto"/>
        </w:rPr>
        <w:t>upon such Issuing Bank any unreimbursed loss, cost or expense which was not applicable on the Closing Date and which such Issuing Bank in good faith deems material to it;</w:t>
      </w:r>
    </w:p>
    <w:p>
      <w:pPr>
        <w:spacing w:after="0" w:line="199" w:lineRule="exact"/>
        <w:rPr>
          <w:sz w:val="20"/>
          <w:szCs w:val="20"/>
          <w:color w:val="auto"/>
        </w:rPr>
      </w:pPr>
    </w:p>
    <w:p>
      <w:pPr>
        <w:ind w:left="220" w:right="140" w:firstLine="648"/>
        <w:spacing w:after="0" w:line="232" w:lineRule="auto"/>
        <w:tabs>
          <w:tab w:leader="none" w:pos="14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one or more policies of such Issuing Bank applicable to letters of credit generally;</w:t>
      </w:r>
    </w:p>
    <w:p>
      <w:pPr>
        <w:spacing w:after="0" w:line="185" w:lineRule="exact"/>
        <w:rPr>
          <w:rFonts w:ascii="Arial" w:cs="Arial" w:eastAsia="Arial" w:hAnsi="Arial"/>
          <w:sz w:val="22"/>
          <w:szCs w:val="22"/>
          <w:color w:val="auto"/>
        </w:rPr>
      </w:pPr>
    </w:p>
    <w:p>
      <w:pPr>
        <w:jc w:val="both"/>
        <w:ind w:left="220" w:right="120" w:firstLine="648"/>
        <w:spacing w:after="0" w:line="223" w:lineRule="auto"/>
        <w:tabs>
          <w:tab w:leader="none" w:pos="14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except as otherwise agreed by the Administrative Agent and such Issuing Bank, such Letter of Credit is in an initial stated amount less than $100,000, in the case of a commercial Letter of Credit, or $500,000, in the case of a standby Letter of Credit;</w:t>
      </w:r>
    </w:p>
    <w:p>
      <w:pPr>
        <w:spacing w:after="0" w:line="199" w:lineRule="exact"/>
        <w:rPr>
          <w:rFonts w:ascii="Arial" w:cs="Arial" w:eastAsia="Arial" w:hAnsi="Arial"/>
          <w:sz w:val="22"/>
          <w:szCs w:val="22"/>
          <w:color w:val="auto"/>
        </w:rPr>
      </w:pPr>
    </w:p>
    <w:p>
      <w:pPr>
        <w:ind w:left="220" w:right="120" w:firstLine="648"/>
        <w:spacing w:after="0" w:line="232" w:lineRule="auto"/>
        <w:tabs>
          <w:tab w:leader="none" w:pos="147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except as otherwise agreed by the Administrative Agent and such Issuing Bank, such Letter of Credit is to be denominated in a currency other than Dollars or an Alternative Currency;</w:t>
      </w:r>
    </w:p>
    <w:p>
      <w:pPr>
        <w:spacing w:after="0" w:line="199" w:lineRule="exact"/>
        <w:rPr>
          <w:rFonts w:ascii="Arial" w:cs="Arial" w:eastAsia="Arial" w:hAnsi="Arial"/>
          <w:sz w:val="22"/>
          <w:szCs w:val="22"/>
          <w:color w:val="auto"/>
        </w:rPr>
      </w:pPr>
    </w:p>
    <w:p>
      <w:pPr>
        <w:ind w:left="220" w:right="140" w:firstLine="648"/>
        <w:spacing w:after="0" w:line="232" w:lineRule="auto"/>
        <w:tabs>
          <w:tab w:leader="none" w:pos="146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such Issuing Bank does not as of the issuance date of such requested Letter of Credit issue Letters of Credit in the requested currency;</w:t>
      </w:r>
    </w:p>
    <w:p>
      <w:pPr>
        <w:spacing w:after="0" w:line="185" w:lineRule="exact"/>
        <w:rPr>
          <w:rFonts w:ascii="Arial" w:cs="Arial" w:eastAsia="Arial" w:hAnsi="Arial"/>
          <w:sz w:val="22"/>
          <w:szCs w:val="22"/>
          <w:color w:val="auto"/>
        </w:rPr>
      </w:pPr>
    </w:p>
    <w:p>
      <w:pPr>
        <w:ind w:left="220" w:right="140" w:firstLine="648"/>
        <w:spacing w:after="0" w:line="232" w:lineRule="auto"/>
        <w:tabs>
          <w:tab w:leader="none" w:pos="146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such Letter of Credit contains any provisions for automatic reinstatement of the stated amount after any drawing thereunder; or</w:t>
      </w:r>
    </w:p>
    <w:p>
      <w:pPr>
        <w:spacing w:after="0" w:line="199" w:lineRule="exact"/>
        <w:rPr>
          <w:rFonts w:ascii="Arial" w:cs="Arial" w:eastAsia="Arial" w:hAnsi="Arial"/>
          <w:sz w:val="22"/>
          <w:szCs w:val="22"/>
          <w:color w:val="auto"/>
        </w:rPr>
      </w:pPr>
    </w:p>
    <w:p>
      <w:pPr>
        <w:jc w:val="both"/>
        <w:ind w:left="220" w:right="120" w:firstLine="648"/>
        <w:spacing w:after="0" w:line="229" w:lineRule="auto"/>
        <w:tabs>
          <w:tab w:leader="none" w:pos="147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 default of any Revolving Lender’s obligations to fund under Section 2.05(c) exists or any Revolving Lender is at such time a Defaulting Lender hereunder, unless such Issuing Bank has entered into satisfactory arrangements (in such Issuing Bank’s sole and absolute discretion) with the Borrower or such Revolving Lender to eliminate such Issuing Bank’s risk with respect to such Revolving Lender.</w:t>
      </w:r>
    </w:p>
    <w:p>
      <w:pPr>
        <w:spacing w:after="0" w:line="185" w:lineRule="exact"/>
        <w:rPr>
          <w:sz w:val="20"/>
          <w:szCs w:val="20"/>
          <w:color w:val="auto"/>
        </w:rPr>
      </w:pPr>
    </w:p>
    <w:p>
      <w:pPr>
        <w:ind w:left="220" w:right="140" w:firstLine="648"/>
        <w:spacing w:after="0" w:line="232" w:lineRule="auto"/>
        <w:tabs>
          <w:tab w:leader="none" w:pos="147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No Issuing Bank shall amend any Letter of Credit if such Issuing Bank would not be permitted at such time to issue such Letter of Credit in its amended form under the terms hereof.</w:t>
      </w:r>
    </w:p>
    <w:p>
      <w:pPr>
        <w:spacing w:after="0" w:line="199" w:lineRule="exact"/>
        <w:rPr>
          <w:rFonts w:ascii="Arial" w:cs="Arial" w:eastAsia="Arial" w:hAnsi="Arial"/>
          <w:sz w:val="22"/>
          <w:szCs w:val="22"/>
          <w:color w:val="auto"/>
        </w:rPr>
      </w:pPr>
    </w:p>
    <w:p>
      <w:pPr>
        <w:jc w:val="both"/>
        <w:ind w:left="220" w:right="120" w:firstLine="648"/>
        <w:spacing w:after="0" w:line="218" w:lineRule="auto"/>
        <w:tabs>
          <w:tab w:leader="none" w:pos="1471" w:val="left"/>
        </w:tabs>
        <w:numPr>
          <w:ilvl w:val="0"/>
          <w:numId w:val="123"/>
        </w:numPr>
        <w:rPr>
          <w:rFonts w:ascii="Arial" w:cs="Arial" w:eastAsia="Arial" w:hAnsi="Arial"/>
          <w:sz w:val="22"/>
          <w:szCs w:val="22"/>
          <w:color w:val="auto"/>
        </w:rPr>
      </w:pPr>
      <w:r>
        <w:rPr>
          <w:rFonts w:ascii="Arial" w:cs="Arial" w:eastAsia="Arial" w:hAnsi="Arial"/>
          <w:sz w:val="22"/>
          <w:szCs w:val="22"/>
          <w:color w:val="auto"/>
        </w:rPr>
        <w:t>No Issuing Bank shall be under any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201" w:lineRule="exact"/>
        <w:rPr>
          <w:rFonts w:ascii="Arial" w:cs="Arial" w:eastAsia="Arial" w:hAnsi="Arial"/>
          <w:sz w:val="22"/>
          <w:szCs w:val="22"/>
          <w:color w:val="auto"/>
        </w:rPr>
      </w:pPr>
    </w:p>
    <w:p>
      <w:pPr>
        <w:jc w:val="both"/>
        <w:ind w:left="220" w:right="120" w:firstLine="648"/>
        <w:spacing w:after="0" w:line="222" w:lineRule="auto"/>
        <w:tabs>
          <w:tab w:leader="none" w:pos="1477" w:val="left"/>
        </w:tabs>
        <w:numPr>
          <w:ilvl w:val="0"/>
          <w:numId w:val="123"/>
        </w:numPr>
        <w:rPr>
          <w:rFonts w:ascii="Arial" w:cs="Arial" w:eastAsia="Arial" w:hAnsi="Arial"/>
          <w:sz w:val="21"/>
          <w:szCs w:val="21"/>
          <w:color w:val="auto"/>
        </w:rPr>
      </w:pPr>
      <w:r>
        <w:rPr>
          <w:rFonts w:ascii="Arial" w:cs="Arial" w:eastAsia="Arial" w:hAnsi="Arial"/>
          <w:sz w:val="21"/>
          <w:szCs w:val="21"/>
          <w:color w:val="auto"/>
        </w:rPr>
        <w:t>Each Issuing Bank shall act on behalf of the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such Issuing Bank.</w:t>
      </w:r>
    </w:p>
    <w:p>
      <w:pPr>
        <w:sectPr>
          <w:pgSz w:w="11900" w:h="16838" w:orient="portrait"/>
          <w:cols w:equalWidth="0" w:num="1">
            <w:col w:w="10120"/>
          </w:cols>
          <w:pgMar w:left="1440" w:top="1401" w:right="339" w:bottom="1440" w:gutter="0" w:footer="0" w:header="0"/>
        </w:sectPr>
      </w:pPr>
    </w:p>
    <w:bookmarkStart w:id="160" w:name="page161"/>
    <w:bookmarkEnd w:id="160"/>
    <w:p>
      <w:pPr>
        <w:ind w:left="1900" w:hanging="612"/>
        <w:spacing w:after="0"/>
        <w:tabs>
          <w:tab w:leader="none" w:pos="190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Procedures for Issuance and Amendment of Letters of Credit; Auto-Extension</w:t>
      </w:r>
    </w:p>
    <w:p>
      <w:pPr>
        <w:spacing w:after="0"/>
        <w:rPr>
          <w:rFonts w:ascii="Arial" w:cs="Arial" w:eastAsia="Arial" w:hAnsi="Arial"/>
          <w:sz w:val="22"/>
          <w:szCs w:val="22"/>
          <w:color w:val="auto"/>
        </w:rPr>
      </w:pP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02" w:lineRule="exact"/>
        <w:rPr>
          <w:sz w:val="20"/>
          <w:szCs w:val="20"/>
          <w:color w:val="auto"/>
        </w:rPr>
      </w:pPr>
    </w:p>
    <w:p>
      <w:pPr>
        <w:ind w:left="640" w:right="20" w:firstLine="648"/>
        <w:spacing w:after="0" w:line="238" w:lineRule="auto"/>
        <w:tabs>
          <w:tab w:leader="none" w:pos="1897" w:val="left"/>
        </w:tabs>
        <w:numPr>
          <w:ilvl w:val="1"/>
          <w:numId w:val="125"/>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noon at least two Business Days (or such later date and time as the applicable Issuing Bank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applicable Issuing Bank: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applicable Issuing Bank may require. In the case of a request for an amendment of any outstanding Letter of Credit, such Letter of Credit Application shall specify in form and detail satisfactory to the applicable Issuing Bank (A) the Letter of Credit to be amended; (B) the proposed date of amendment thereof (which shall be a Business Day);</w:t>
      </w:r>
    </w:p>
    <w:p>
      <w:pPr>
        <w:spacing w:after="0" w:line="8" w:lineRule="exact"/>
        <w:rPr>
          <w:rFonts w:ascii="Arial" w:cs="Arial" w:eastAsia="Arial" w:hAnsi="Arial"/>
          <w:sz w:val="19"/>
          <w:szCs w:val="19"/>
          <w:color w:val="auto"/>
        </w:rPr>
      </w:pPr>
    </w:p>
    <w:p>
      <w:pPr>
        <w:ind w:left="640" w:right="340"/>
        <w:spacing w:after="0" w:line="212" w:lineRule="auto"/>
        <w:tabs>
          <w:tab w:leader="none" w:pos="98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nature of the proposed amendment; and (D) such other matters as the applicable Issuing Bank may require. Additionally, the Borrower shall furnish to the applicable Issuing Bank and the Administrative Agent such other documents and information pertaining to such requested Letter of Credit issuance or amendment, including any Issuer Documents, as the applicable Issuing Bank or the Administrative Agent may reasonably require.</w:t>
      </w:r>
    </w:p>
    <w:p>
      <w:pPr>
        <w:spacing w:after="0" w:line="187" w:lineRule="exact"/>
        <w:rPr>
          <w:rFonts w:ascii="Arial" w:cs="Arial" w:eastAsia="Arial" w:hAnsi="Arial"/>
          <w:sz w:val="22"/>
          <w:szCs w:val="22"/>
          <w:color w:val="auto"/>
        </w:rPr>
      </w:pPr>
    </w:p>
    <w:p>
      <w:pPr>
        <w:jc w:val="both"/>
        <w:ind w:left="640" w:firstLine="648"/>
        <w:spacing w:after="0" w:line="242" w:lineRule="auto"/>
        <w:tabs>
          <w:tab w:leader="none" w:pos="1889" w:val="left"/>
        </w:tabs>
        <w:numPr>
          <w:ilvl w:val="1"/>
          <w:numId w:val="126"/>
        </w:numPr>
        <w:rPr>
          <w:rFonts w:ascii="Arial" w:cs="Arial" w:eastAsia="Arial" w:hAnsi="Arial"/>
          <w:sz w:val="19"/>
          <w:szCs w:val="19"/>
          <w:color w:val="auto"/>
        </w:rPr>
      </w:pPr>
      <w:r>
        <w:rPr>
          <w:rFonts w:ascii="Arial" w:cs="Arial" w:eastAsia="Arial" w:hAnsi="Arial"/>
          <w:sz w:val="19"/>
          <w:szCs w:val="19"/>
          <w:color w:val="auto"/>
        </w:rPr>
        <w:t>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an Issuing Bank has received written notice from any Revolving Lender,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Issuing Bank shall, on the requested date, issue a Letter of Credit for the account of the Borrower (or the applicable Subsidiary) or enter into the applicable amendment, as the case may be, in each case in accordance with such Issuing Bank’s usual and customary business practices. Immediately upon the issuance of each Letter of Credit by an Issuing Bank, each Revolving Lender shall be deemed to, and hereby irrevocably and unconditionally agrees to, purchase from such Issuing Bank a risk participation in such Letter of Credit in an amount equal to the product of such Lender’s Applicable Percentage times the amount of such Letter of Credit.</w:t>
      </w:r>
    </w:p>
    <w:p>
      <w:pPr>
        <w:sectPr>
          <w:pgSz w:w="11900" w:h="16838" w:orient="portrait"/>
          <w:cols w:equalWidth="0" w:num="1">
            <w:col w:w="10440"/>
          </w:cols>
          <w:pgMar w:left="1020" w:top="1382" w:right="439" w:bottom="1440" w:gutter="0" w:footer="0" w:header="0"/>
        </w:sectPr>
      </w:pPr>
    </w:p>
    <w:bookmarkStart w:id="161" w:name="page162"/>
    <w:bookmarkEnd w:id="161"/>
    <w:p>
      <w:pPr>
        <w:jc w:val="both"/>
        <w:ind w:left="220" w:firstLine="648"/>
        <w:spacing w:after="0"/>
        <w:tabs>
          <w:tab w:leader="none" w:pos="147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If the Borrower so requests in any applicable Letter of Credit Application, the applicable Issuing Bank may, in its sole and absolute discretion, agree to issue a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the applicable Issuing Bank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Letter of Credit is issued. Unless otherwise directed by the applicable Issuing Bank, the Borrower shall not be required to make a specific request to an Issuing Bank for any such extension. Once an Auto-Extension Letter of Credit has been issued, the Lenders shall be deemed to have authorized (but may not require) the applicable Issuing Bank to permit the extension of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ten Business Days before the Non-Extension Notice Date (1) from the Administrative Agent that the Required Lenders have elected not to permit such extension or (2) from the Administrative Agent, or any Revolving Lender or the Borrower that one or more of the applicable conditions specified in Section 4.01 or Section 4.02, as applicable, is not then satisfied, and in each such case directing such Issuing Bank not to permit such extension.</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220" w:right="20" w:firstLine="648"/>
        <w:spacing w:after="0" w:line="268" w:lineRule="auto"/>
        <w:tabs>
          <w:tab w:leader="none" w:pos="1477" w:val="left"/>
        </w:tabs>
        <w:numPr>
          <w:ilvl w:val="0"/>
          <w:numId w:val="127"/>
        </w:numPr>
        <w:rPr>
          <w:rFonts w:ascii="Arial" w:cs="Arial" w:eastAsia="Arial" w:hAnsi="Arial"/>
          <w:sz w:val="19"/>
          <w:szCs w:val="19"/>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59" w:lineRule="exact"/>
        <w:rPr>
          <w:sz w:val="20"/>
          <w:szCs w:val="20"/>
          <w:color w:val="auto"/>
        </w:rPr>
      </w:pPr>
    </w:p>
    <w:p>
      <w:pPr>
        <w:ind w:left="1520" w:hanging="652"/>
        <w:spacing w:after="0"/>
        <w:tabs>
          <w:tab w:leader="none" w:pos="152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Drawings and Reimbursements; Funding of Participations</w:t>
      </w:r>
      <w:r>
        <w:rPr>
          <w:rFonts w:ascii="Arial" w:cs="Arial" w:eastAsia="Arial" w:hAnsi="Arial"/>
          <w:sz w:val="22"/>
          <w:szCs w:val="22"/>
          <w:color w:val="auto"/>
        </w:rPr>
        <w:t>.</w:t>
      </w:r>
    </w:p>
    <w:p>
      <w:pPr>
        <w:spacing w:after="0" w:line="220" w:lineRule="exact"/>
        <w:rPr>
          <w:sz w:val="20"/>
          <w:szCs w:val="20"/>
          <w:color w:val="auto"/>
        </w:rPr>
      </w:pPr>
    </w:p>
    <w:p>
      <w:pPr>
        <w:ind w:left="220" w:right="240" w:firstLine="648"/>
        <w:spacing w:after="0" w:line="247" w:lineRule="auto"/>
        <w:tabs>
          <w:tab w:leader="none" w:pos="147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Upon receipt from the beneficiary of any Letter of Credit of any notice of a drawing under such Letter of Credit, the applicable Issuing Bank shall notify the Borrower and the Administrative Agent</w:t>
      </w:r>
    </w:p>
    <w:p>
      <w:pPr>
        <w:ind w:left="220" w:right="20"/>
        <w:spacing w:after="0" w:line="241" w:lineRule="auto"/>
        <w:rPr>
          <w:rFonts w:ascii="Arial" w:cs="Arial" w:eastAsia="Arial" w:hAnsi="Arial"/>
          <w:sz w:val="19"/>
          <w:szCs w:val="19"/>
          <w:color w:val="auto"/>
        </w:rPr>
      </w:pPr>
      <w:r>
        <w:rPr>
          <w:rFonts w:ascii="Arial" w:cs="Arial" w:eastAsia="Arial" w:hAnsi="Arial"/>
          <w:sz w:val="19"/>
          <w:szCs w:val="19"/>
          <w:color w:val="auto"/>
        </w:rPr>
        <w:t>thereof. In the case of a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 drawing under a Letter of Credit denominated in an Alternative Currency, the applicable Issuing Bank shall notify the Borrower of the Dollar Equivalent of the amount of the drawing promptly following the determination thereof. Not later than noon on the Business Day following any payment by an Issuing Bank under a Letter of Credit to be reimbursed in Dollars, or the Applicable Time on the Business Day following any payment by an Issuing Bank under a Letter of Credit to be reimbursed in an Alternative Currency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the Borrower</w:t>
      </w:r>
    </w:p>
    <w:p>
      <w:pPr>
        <w:sectPr>
          <w:pgSz w:w="11900" w:h="16838" w:orient="portrait"/>
          <w:cols w:equalWidth="0" w:num="1">
            <w:col w:w="9980"/>
          </w:cols>
          <w:pgMar w:left="1440" w:top="1401" w:right="479" w:bottom="1440" w:gutter="0" w:footer="0" w:header="0"/>
        </w:sectPr>
      </w:pPr>
    </w:p>
    <w:bookmarkStart w:id="162" w:name="page163"/>
    <w:bookmarkEnd w:id="162"/>
    <w:p>
      <w:pPr>
        <w:ind w:left="220"/>
        <w:spacing w:after="0" w:line="238" w:lineRule="auto"/>
        <w:rPr>
          <w:sz w:val="20"/>
          <w:szCs w:val="20"/>
          <w:color w:val="auto"/>
        </w:rPr>
      </w:pPr>
      <w:r>
        <w:rPr>
          <w:rFonts w:ascii="Arial" w:cs="Arial" w:eastAsia="Arial" w:hAnsi="Arial"/>
          <w:sz w:val="19"/>
          <w:szCs w:val="19"/>
          <w:color w:val="auto"/>
        </w:rPr>
        <w:t>shall reimburse such Issuing Bank through the Administrative Agent in an amount equal to the amount of such drawing and in the applicable currency. In the event that (A) a drawing denominated in an Alternative Currency is to be reimbursed in Dollars pursuant to the second sentence in this Section 2.05(c)(i) and (B) the Dollar amount paid by the Borrower on the date of payment by the Borrower (whether on or after the Honor Date) shall not be adequate on the date of such payment to purchase in accordance with normal banking procedures a sum denominated in the Alternative Currency equal to the drawing, the Borrower agrees, as a separate and independent obligation, to indemnify the applicable Issuing Bank for the loss resulting from its inability on that date to purchase the Alternative Currency in the full amount of the drawing. If the Borrower fails to so reimburse such Issuing Bank by such time, the Administrative Agent shall promptly notify each Revolving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9"/>
          <w:szCs w:val="19"/>
          <w:u w:val="single" w:color="auto"/>
          <w:color w:val="auto"/>
        </w:rPr>
        <w:t>Unreimbursed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and the amount of such Revolving Lender’s Applicable Percentage thereof. In such event, the Borrower shall be deemed to have requested a Borrowing of Base Rate Loans to be disbursed on the Business Day following the Honor Date in an amount equal to the Unreimbursed Amount, without regard to the minimum and multiples specified in Section 2.02 for the principal amount of Base Rate Loans, but subject to the amount of the unutilized portion of the Revolving Commitments and the conditions set forth in Section 4.01 or Section</w:t>
      </w:r>
    </w:p>
    <w:p>
      <w:pPr>
        <w:spacing w:after="0" w:line="7" w:lineRule="exact"/>
        <w:rPr>
          <w:sz w:val="20"/>
          <w:szCs w:val="20"/>
          <w:color w:val="auto"/>
        </w:rPr>
      </w:pPr>
    </w:p>
    <w:p>
      <w:pPr>
        <w:ind w:left="220" w:right="100"/>
        <w:spacing w:after="0" w:line="214" w:lineRule="auto"/>
        <w:rPr>
          <w:sz w:val="20"/>
          <w:szCs w:val="20"/>
          <w:color w:val="auto"/>
        </w:rPr>
      </w:pPr>
      <w:r>
        <w:rPr>
          <w:rFonts w:ascii="Arial" w:cs="Arial" w:eastAsia="Arial" w:hAnsi="Arial"/>
          <w:sz w:val="22"/>
          <w:szCs w:val="22"/>
          <w:color w:val="auto"/>
        </w:rPr>
        <w:t xml:space="preserve">4.02, as applicable (other than the delivery of a Borrowing Request). Any notice given by the applicable Issuing Bank or the Administrative Agent pursuant to this Section 2.05(c)(i) may be given by telephone if immediately confirmed in writing;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lack of such an immediate confirmation shall not affect the conclusiveness or binding effect of such notice.</w:t>
      </w:r>
    </w:p>
    <w:p>
      <w:pPr>
        <w:spacing w:after="0" w:line="200" w:lineRule="exact"/>
        <w:rPr>
          <w:sz w:val="20"/>
          <w:szCs w:val="20"/>
          <w:color w:val="auto"/>
        </w:rPr>
      </w:pPr>
    </w:p>
    <w:p>
      <w:pPr>
        <w:jc w:val="both"/>
        <w:ind w:left="220" w:right="20" w:firstLine="648"/>
        <w:spacing w:after="0" w:line="247" w:lineRule="auto"/>
        <w:tabs>
          <w:tab w:leader="none" w:pos="146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Each Revolving Lender shall upon any notice pursuant to Section 2.05(c)(i) make funds available to the Administrative Agent for the account of the applicable Issuing Bank,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Section 2.05(c)(iii), such Revolving Lender that so makes funds available shall be deemed to have made a Base Rate Loan to the Borrower in such amount. The Administrative Agent shall remit the funds so received to the applicable Issuing Bank in Dollars.</w:t>
      </w:r>
    </w:p>
    <w:p>
      <w:pPr>
        <w:spacing w:after="0" w:line="180" w:lineRule="exact"/>
        <w:rPr>
          <w:rFonts w:ascii="Arial" w:cs="Arial" w:eastAsia="Arial" w:hAnsi="Arial"/>
          <w:sz w:val="19"/>
          <w:szCs w:val="19"/>
          <w:color w:val="auto"/>
        </w:rPr>
      </w:pPr>
    </w:p>
    <w:p>
      <w:pPr>
        <w:jc w:val="both"/>
        <w:ind w:left="220" w:firstLine="648"/>
        <w:spacing w:after="0" w:line="243" w:lineRule="auto"/>
        <w:tabs>
          <w:tab w:leader="none" w:pos="1475"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any drawing under any Letter of Credit is not reimbursed on the date of drawing, the Dollar Equivalent of the amount of such drawing shall accrue interest at the rate applicable to Base Rate Loans; provided that with respect to any Unreimbursed Amount in respect of a Letter of Credit that is not fully refinanced by a Revolving Borrowing of Base Rate Loans because the conditions set forth in Section 4.01 or Section 4.02, as applicable, cannot be satisfied or for any other reason, the Borrower shall be deemed to have incurred from the applicable Issuing Bank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w:t>
      </w:r>
    </w:p>
    <w:p>
      <w:pPr>
        <w:spacing w:after="0" w:line="199" w:lineRule="exact"/>
        <w:rPr>
          <w:rFonts w:ascii="Arial" w:cs="Arial" w:eastAsia="Arial" w:hAnsi="Arial"/>
          <w:sz w:val="19"/>
          <w:szCs w:val="19"/>
          <w:color w:val="auto"/>
        </w:rPr>
      </w:pPr>
    </w:p>
    <w:p>
      <w:pPr>
        <w:jc w:val="both"/>
        <w:ind w:left="220" w:right="20" w:firstLine="648"/>
        <w:spacing w:after="0" w:line="268" w:lineRule="auto"/>
        <w:tabs>
          <w:tab w:leader="none" w:pos="147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Until each Revolving Lender funds its Revolving Loan or L/C Advance pursuant to this Section 2.05(c) to reimburse an Issuing Bank for any amount drawn under any Letter of Credit, interest in respect of such Lender’s Applicable Percentage of such amount shall be solely for the account of such Issuing Bank.</w:t>
      </w:r>
    </w:p>
    <w:p>
      <w:pPr>
        <w:sectPr>
          <w:pgSz w:w="11900" w:h="16838" w:orient="portrait"/>
          <w:cols w:equalWidth="0" w:num="1">
            <w:col w:w="10000"/>
          </w:cols>
          <w:pgMar w:left="1440" w:top="1401" w:right="459" w:bottom="1440" w:gutter="0" w:footer="0" w:header="0"/>
        </w:sectPr>
      </w:pPr>
    </w:p>
    <w:bookmarkStart w:id="163" w:name="page164"/>
    <w:bookmarkEnd w:id="163"/>
    <w:p>
      <w:pPr>
        <w:spacing w:after="0" w:line="164" w:lineRule="exact"/>
        <w:rPr>
          <w:sz w:val="20"/>
          <w:szCs w:val="20"/>
          <w:color w:val="auto"/>
        </w:rPr>
      </w:pPr>
    </w:p>
    <w:p>
      <w:pPr>
        <w:jc w:val="both"/>
        <w:ind w:left="220" w:firstLine="648"/>
        <w:spacing w:after="0" w:line="243" w:lineRule="auto"/>
        <w:tabs>
          <w:tab w:leader="none" w:pos="147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Each Revolving Lender’s obligation to make Revolving Loans or L/C Advances to reimburse each Issuing Bank for amounts drawn under Letters of Credit issued by it, as contemplated by this Section 2.05(c), shall be absolute and unconditional and shall not be affected by any circumstance, including (A) any setoff, counterclaim, recoupment, defense or other right which such Revolving Lender may have against such Issuing Bank,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Lender’s obligation to make Revolving Loans pursuant to this Section 2.05(c) is subject to the conditions set forth in Section 4.01 or Section 4.02, as applicable (other than delivery by the Borrower of a Borrowing Request). No such making of an L/C Advance shall relieve or otherwise impair the obligation of the Borrower to reimburse an Issuing Bank for the amount of any payment made by such Issuing Bank under any Letter of Credit, together with interest as provided herein.</w:t>
      </w:r>
    </w:p>
    <w:p>
      <w:pPr>
        <w:spacing w:after="0" w:line="185" w:lineRule="exact"/>
        <w:rPr>
          <w:rFonts w:ascii="Arial" w:cs="Arial" w:eastAsia="Arial" w:hAnsi="Arial"/>
          <w:sz w:val="19"/>
          <w:szCs w:val="19"/>
          <w:color w:val="auto"/>
        </w:rPr>
      </w:pPr>
    </w:p>
    <w:p>
      <w:pPr>
        <w:jc w:val="both"/>
        <w:ind w:left="220" w:right="20" w:firstLine="648"/>
        <w:spacing w:after="0" w:line="242" w:lineRule="auto"/>
        <w:tabs>
          <w:tab w:leader="none" w:pos="147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If any Revolving Lender fails to make available to the Administrative Agent for the account of an Issuing Bank any amount required to be paid by such Revolving Lender pursuant to the foregoing provisions of this Section 2.05(c) by the time specified in Section 2.05(c)(ii), then, without limiting the other provisions of this Agreement,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such Issuing Bank in connection with the foregoing. If such Revolving Lender pays such amount (with interest and fees as aforesaid), the amount so paid shall constitute such Revolving Lender’s Revolving Loan included in the relevant Borrowing or L/C Advance in respect of the relevant L/C Borrowing, as the case may be. A certificate of an Issuing Bank submitted to any Lender (through the Administrative Agent) with respect to any amounts owing under this clause (vi) shall be conclusive absent manifest error.</w:t>
      </w:r>
    </w:p>
    <w:p>
      <w:pPr>
        <w:spacing w:after="0" w:line="205" w:lineRule="exact"/>
        <w:rPr>
          <w:sz w:val="20"/>
          <w:szCs w:val="20"/>
          <w:color w:val="auto"/>
        </w:rPr>
      </w:pPr>
    </w:p>
    <w:p>
      <w:pPr>
        <w:ind w:left="1520" w:hanging="652"/>
        <w:spacing w:after="0"/>
        <w:tabs>
          <w:tab w:leader="none" w:pos="152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w:t>
      </w:r>
    </w:p>
    <w:p>
      <w:pPr>
        <w:spacing w:after="0" w:line="220" w:lineRule="exact"/>
        <w:rPr>
          <w:sz w:val="20"/>
          <w:szCs w:val="20"/>
          <w:color w:val="auto"/>
        </w:rPr>
      </w:pPr>
    </w:p>
    <w:p>
      <w:pPr>
        <w:jc w:val="both"/>
        <w:ind w:left="220" w:right="40" w:firstLine="648"/>
        <w:spacing w:after="0" w:line="218" w:lineRule="auto"/>
        <w:tabs>
          <w:tab w:leader="none" w:pos="1477"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At any time after an Issuing Bank has made a payment under any Letter of Credit and has received from any Revolving Lender such Revolving Lender’s L/C Advance in respect of such payment in accordance with Section 2.05(c), if the Administrative Agent receives for the account of such Issuing Bank any payment in</w:t>
      </w:r>
    </w:p>
    <w:p>
      <w:pPr>
        <w:sectPr>
          <w:pgSz w:w="11900" w:h="16838" w:orient="portrait"/>
          <w:cols w:equalWidth="0" w:num="1">
            <w:col w:w="10020"/>
          </w:cols>
          <w:pgMar w:left="1440" w:top="1440" w:right="439" w:bottom="1440" w:gutter="0" w:footer="0" w:header="0"/>
        </w:sectPr>
      </w:pPr>
    </w:p>
    <w:bookmarkStart w:id="164" w:name="page165"/>
    <w:bookmarkEnd w:id="164"/>
    <w:p>
      <w:pPr>
        <w:jc w:val="both"/>
        <w:ind w:left="649" w:right="20"/>
        <w:spacing w:after="0" w:line="218" w:lineRule="auto"/>
        <w:rPr>
          <w:sz w:val="20"/>
          <w:szCs w:val="20"/>
          <w:color w:val="auto"/>
        </w:rPr>
      </w:pPr>
      <w:r>
        <w:rPr>
          <w:rFonts w:ascii="Arial" w:cs="Arial" w:eastAsia="Arial" w:hAnsi="Arial"/>
          <w:sz w:val="22"/>
          <w:szCs w:val="22"/>
          <w:color w:val="auto"/>
        </w:rPr>
        <w:t>respect of the related Unreimbursed Amount or interest thereon (whether directly from the Borrower or otherwise, including proceeds of Cash Collateral applied thereto by the Administrative Agent), the Administrative Agent will distribute to such Revolving Lender its Applicable Percentage thereof in Dollars and in the same funds as those received by the Administrative Agent.</w:t>
      </w:r>
    </w:p>
    <w:p>
      <w:pPr>
        <w:spacing w:after="0" w:line="201" w:lineRule="exact"/>
        <w:rPr>
          <w:sz w:val="20"/>
          <w:szCs w:val="20"/>
          <w:color w:val="auto"/>
        </w:rPr>
      </w:pPr>
    </w:p>
    <w:p>
      <w:pPr>
        <w:jc w:val="both"/>
        <w:ind w:left="649" w:right="20" w:firstLine="648"/>
        <w:spacing w:after="0" w:line="246" w:lineRule="auto"/>
        <w:tabs>
          <w:tab w:leader="none" w:pos="189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any payment received by the Administrative Agent for the account of an Issuing Bank pursuant to Section 2.05(d)(i) is required to be returned under any of the circumstances described in Section 9.08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Revolving Lender, at a rate per annum equal to the applicable Overnight Rate from time to time in effect. The obligations of the Revolving Lenders under this clause shall survive the payment in full of the Obligations and the termination of this Agreement.</w:t>
      </w:r>
    </w:p>
    <w:p>
      <w:pPr>
        <w:spacing w:after="0" w:line="179" w:lineRule="exact"/>
        <w:rPr>
          <w:sz w:val="20"/>
          <w:szCs w:val="20"/>
          <w:color w:val="auto"/>
        </w:rPr>
      </w:pPr>
    </w:p>
    <w:p>
      <w:pPr>
        <w:jc w:val="both"/>
        <w:ind w:left="9" w:right="20" w:firstLine="1288"/>
        <w:spacing w:after="0" w:line="209" w:lineRule="auto"/>
        <w:tabs>
          <w:tab w:leader="none" w:pos="1909"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Obligations Absolute</w:t>
      </w:r>
      <w:r>
        <w:rPr>
          <w:rFonts w:ascii="Arial" w:cs="Arial" w:eastAsia="Arial" w:hAnsi="Arial"/>
          <w:sz w:val="22"/>
          <w:szCs w:val="22"/>
          <w:color w:val="auto"/>
        </w:rPr>
        <w:t>. The obligation of the Borrower to reimburse each Issuing Bank for each drawing under each Letter of Credit issued by it and to repay each L/C Borrowing shall be absolute, unconditional and irrevocable, and shall be paid strictly in accordance with the terms of this Agreement under all circumstances, including the following:</w:t>
      </w:r>
    </w:p>
    <w:p>
      <w:pPr>
        <w:jc w:val="both"/>
        <w:ind w:left="9" w:hanging="9"/>
        <w:spacing w:after="0" w:line="238" w:lineRule="auto"/>
        <w:tabs>
          <w:tab w:leader="none" w:pos="27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 Document; (ii)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Issuing Bank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waiver by any Issuing Bank of any requirement that exists for such Issuing Bank’s protection and not the protection of any Loan Party or any Subsidiary or any waiver by any Issuing Bank which does not in fact materially prejudice the Borrower; (v) honor of a demand for payment presented electronically even if such Letter of Credit requires that demand be in the form of a draft; (vi) any payment made by the applicable Issuing Bank in respect of an otherwise complying item presented after the date specified as the expiration date of, or the date by which documents must be received under, such Letter of Credit if presentation after such date is authorized by the UCC, the ISP or the UCP, as applicable; (vii)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(viii) any adverse change in the relevant exchange rates or in the availability of the relevant Alternative Currency to the Borrower or any Subsidiary or in the relevant currency markets generally; or (ix) any other circumstance or happening whatsoever, whether or not similar to any of the foregoing, including any other circumstance that might otherwise constitute a defense available to, or a discharge of, the Borrower or any Subsidiary. 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the applicable Issuing Bank and its correspondents unless such notice is given as aforesaid.</w:t>
      </w:r>
    </w:p>
    <w:p>
      <w:pPr>
        <w:sectPr>
          <w:pgSz w:w="11900" w:h="16838" w:orient="portrait"/>
          <w:cols w:equalWidth="0" w:num="1">
            <w:col w:w="10449"/>
          </w:cols>
          <w:pgMar w:left="1011" w:top="1401" w:right="439" w:bottom="1440" w:gutter="0" w:footer="0" w:header="0"/>
        </w:sectPr>
      </w:pPr>
    </w:p>
    <w:bookmarkStart w:id="165" w:name="page166"/>
    <w:bookmarkEnd w:id="165"/>
    <w:p>
      <w:pPr>
        <w:spacing w:after="0" w:line="164" w:lineRule="exact"/>
        <w:rPr>
          <w:sz w:val="20"/>
          <w:szCs w:val="20"/>
          <w:color w:val="auto"/>
        </w:rPr>
      </w:pPr>
    </w:p>
    <w:p>
      <w:pPr>
        <w:ind w:left="9" w:right="140" w:firstLine="1288"/>
        <w:spacing w:after="0"/>
        <w:tabs>
          <w:tab w:leader="none" w:pos="1912"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Role of Issuing Banks</w:t>
      </w:r>
      <w:r>
        <w:rPr>
          <w:rFonts w:ascii="Arial" w:cs="Arial" w:eastAsia="Arial" w:hAnsi="Arial"/>
          <w:sz w:val="19"/>
          <w:szCs w:val="19"/>
          <w:color w:val="auto"/>
        </w:rPr>
        <w:t>. Each Revolving Lender and the Borrower agree that, in paying any drawing under any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any Issuing Bank shall be liable to any Lender for</w:t>
      </w:r>
    </w:p>
    <w:p>
      <w:pPr>
        <w:spacing w:after="0" w:line="3" w:lineRule="exact"/>
        <w:rPr>
          <w:rFonts w:ascii="Arial" w:cs="Arial" w:eastAsia="Arial" w:hAnsi="Arial"/>
          <w:sz w:val="19"/>
          <w:szCs w:val="19"/>
          <w:color w:val="auto"/>
        </w:rPr>
      </w:pPr>
    </w:p>
    <w:p>
      <w:pPr>
        <w:jc w:val="both"/>
        <w:ind w:left="9" w:hanging="9"/>
        <w:spacing w:after="0"/>
        <w:tabs>
          <w:tab w:leader="none" w:pos="27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assumption is not intended to, and shall not, preclude the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 (i) through (ix) of Section 2.05(e);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such clauses to the contrary notwithstanding, the Borrower may have a claim against any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furtherance and not in limitation of the foregoing, each Issuing Bank may accept documents that appear on their face to be in order, without responsibility for further investigation, regardless of any notice or information to the contrary, and such Issuing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applicable Issuing Bank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ectPr>
          <w:pgSz w:w="11900" w:h="16838" w:orient="portrait"/>
          <w:cols w:equalWidth="0" w:num="1">
            <w:col w:w="10449"/>
          </w:cols>
          <w:pgMar w:left="1011" w:top="1440" w:right="439" w:bottom="1440" w:gutter="0" w:footer="0" w:header="0"/>
        </w:sectPr>
      </w:pPr>
    </w:p>
    <w:bookmarkStart w:id="166" w:name="page167"/>
    <w:bookmarkEnd w:id="166"/>
    <w:p>
      <w:pPr>
        <w:ind w:left="1520" w:hanging="652"/>
        <w:spacing w:after="0"/>
        <w:tabs>
          <w:tab w:leader="none" w:pos="152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Cash Collateral</w:t>
      </w:r>
      <w:r>
        <w:rPr>
          <w:rFonts w:ascii="Arial" w:cs="Arial" w:eastAsia="Arial" w:hAnsi="Arial"/>
          <w:sz w:val="22"/>
          <w:szCs w:val="22"/>
          <w:color w:val="auto"/>
        </w:rPr>
        <w:t>.</w:t>
      </w:r>
    </w:p>
    <w:p>
      <w:pPr>
        <w:spacing w:after="0" w:line="220" w:lineRule="exact"/>
        <w:rPr>
          <w:sz w:val="20"/>
          <w:szCs w:val="20"/>
          <w:color w:val="auto"/>
        </w:rPr>
      </w:pPr>
    </w:p>
    <w:p>
      <w:pPr>
        <w:ind w:left="220" w:right="120" w:firstLine="648"/>
        <w:spacing w:after="0" w:line="226" w:lineRule="auto"/>
        <w:tabs>
          <w:tab w:leader="none" w:pos="147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Upon the request of the Administrative Agent, (A) if any Issuing Bank has honored any full or partial drawing request under any Letter of Credit and such drawing has resulted in an L/C Borrowing, or (B) if, as of the Letter of Credit Expiration Date, any L/C Exposure for any reason remains outstanding, the Borrower shall, in each case, immediately Cash Collateralize the then Outstanding Amount of all L/C Exposure attributable to the Letters of Credit issued for the benefit of the Borrower.</w:t>
      </w:r>
    </w:p>
    <w:p>
      <w:pPr>
        <w:spacing w:after="0" w:line="186" w:lineRule="exact"/>
        <w:rPr>
          <w:rFonts w:ascii="Arial" w:cs="Arial" w:eastAsia="Arial" w:hAnsi="Arial"/>
          <w:sz w:val="21"/>
          <w:szCs w:val="21"/>
          <w:color w:val="auto"/>
        </w:rPr>
      </w:pPr>
    </w:p>
    <w:p>
      <w:pPr>
        <w:ind w:left="1500" w:hanging="632"/>
        <w:spacing w:after="0"/>
        <w:tabs>
          <w:tab w:leader="none" w:pos="15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220" w:right="20" w:firstLine="648"/>
        <w:spacing w:after="0" w:line="223" w:lineRule="auto"/>
        <w:tabs>
          <w:tab w:leader="none" w:pos="147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Administrative Agent may, at any time and from time to time after the initial deposit of Cash Collateral, request that additional Cash Collateral be provided in order to protect against the results of exchange rate fluctuations.</w:t>
      </w:r>
    </w:p>
    <w:p>
      <w:pPr>
        <w:spacing w:after="0" w:line="199" w:lineRule="exact"/>
        <w:rPr>
          <w:rFonts w:ascii="Arial" w:cs="Arial" w:eastAsia="Arial" w:hAnsi="Arial"/>
          <w:sz w:val="22"/>
          <w:szCs w:val="22"/>
          <w:color w:val="auto"/>
        </w:rPr>
      </w:pPr>
    </w:p>
    <w:p>
      <w:pPr>
        <w:ind w:left="220" w:right="60" w:firstLine="648"/>
        <w:spacing w:after="0" w:line="232" w:lineRule="auto"/>
        <w:tabs>
          <w:tab w:leader="none" w:pos="147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In the event of an Event of Default, upon the request of the Required Lenders, the Borrower shall immediately Cash Collateralize the then L/C Exposure of all Revolving Lenders.</w:t>
      </w:r>
    </w:p>
    <w:p>
      <w:pPr>
        <w:spacing w:after="0" w:line="186" w:lineRule="exact"/>
        <w:rPr>
          <w:sz w:val="20"/>
          <w:szCs w:val="20"/>
          <w:color w:val="auto"/>
        </w:rPr>
      </w:pPr>
    </w:p>
    <w:p>
      <w:pPr>
        <w:jc w:val="both"/>
        <w:ind w:left="-420" w:right="20" w:firstLine="1288"/>
        <w:spacing w:after="0" w:line="241" w:lineRule="auto"/>
        <w:tabs>
          <w:tab w:leader="none" w:pos="1479"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Issuing Banks and the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no Issuing Bank shall be responsible to the Borrower for, and each Issuing Bank’s rights and remedies against the Borrower shall not be impaired by, any action or inaction of such Issuing Bank required or permitted under any Law, order, or practice (which practice is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that is required or permitted to be applied to any Letter of Credit or this Agreement, including the Law or any order of a jurisdiction where such Issuing Bank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ind w:left="-420" w:right="60" w:firstLine="1288"/>
        <w:spacing w:after="0" w:line="232" w:lineRule="auto"/>
        <w:tabs>
          <w:tab w:leader="none" w:pos="1485"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85" w:lineRule="exact"/>
        <w:rPr>
          <w:rFonts w:ascii="Arial" w:cs="Arial" w:eastAsia="Arial" w:hAnsi="Arial"/>
          <w:sz w:val="22"/>
          <w:szCs w:val="22"/>
          <w:color w:val="auto"/>
        </w:rPr>
      </w:pPr>
    </w:p>
    <w:p>
      <w:pPr>
        <w:jc w:val="both"/>
        <w:ind w:left="-420" w:firstLine="1288"/>
        <w:spacing w:after="0" w:line="257" w:lineRule="auto"/>
        <w:tabs>
          <w:tab w:leader="none" w:pos="1485"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Subsidiaries or the Borrower</w:t>
      </w:r>
      <w:r>
        <w:rPr>
          <w:rFonts w:ascii="Arial" w:cs="Arial" w:eastAsia="Arial" w:hAnsi="Arial"/>
          <w:sz w:val="19"/>
          <w:szCs w:val="19"/>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w:t>
      </w:r>
    </w:p>
    <w:p>
      <w:pPr>
        <w:sectPr>
          <w:pgSz w:w="11900" w:h="16838" w:orient="portrait"/>
          <w:cols w:equalWidth="0" w:num="1">
            <w:col w:w="10020"/>
          </w:cols>
          <w:pgMar w:left="1440" w:top="1401" w:right="439" w:bottom="1440" w:gutter="0" w:footer="0" w:header="0"/>
        </w:sectPr>
      </w:pPr>
    </w:p>
    <w:bookmarkStart w:id="167" w:name="page168"/>
    <w:bookmarkEnd w:id="167"/>
    <w:p>
      <w:pPr>
        <w:ind w:right="120"/>
        <w:spacing w:after="0" w:line="232" w:lineRule="auto"/>
        <w:rPr>
          <w:sz w:val="20"/>
          <w:szCs w:val="20"/>
          <w:color w:val="auto"/>
        </w:rPr>
      </w:pPr>
      <w:r>
        <w:rPr>
          <w:rFonts w:ascii="Arial" w:cs="Arial" w:eastAsia="Arial" w:hAnsi="Arial"/>
          <w:sz w:val="22"/>
          <w:szCs w:val="22"/>
          <w:color w:val="auto"/>
        </w:rPr>
        <w:t>to the benefit of the Borrower, and that the Borrower’s business derives substantial benefits from the businesses of such Subsidiaries.</w:t>
      </w:r>
    </w:p>
    <w:p>
      <w:pPr>
        <w:spacing w:after="0" w:line="199" w:lineRule="exact"/>
        <w:rPr>
          <w:sz w:val="20"/>
          <w:szCs w:val="20"/>
          <w:color w:val="auto"/>
        </w:rPr>
      </w:pPr>
    </w:p>
    <w:p>
      <w:pPr>
        <w:jc w:val="both"/>
        <w:ind w:firstLine="1288"/>
        <w:spacing w:after="0" w:line="241" w:lineRule="auto"/>
        <w:tabs>
          <w:tab w:leader="none" w:pos="1899"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Release of Lenders’ Obligations</w:t>
      </w:r>
      <w:r>
        <w:rPr>
          <w:rFonts w:ascii="Arial" w:cs="Arial" w:eastAsia="Arial" w:hAnsi="Arial"/>
          <w:sz w:val="19"/>
          <w:szCs w:val="19"/>
          <w:color w:val="auto"/>
        </w:rPr>
        <w:t xml:space="preserve">. Notwithstanding anything to the contrary contained herein or in any other Loan Document, in the event that (i) an Issuing Bank shall have issued, in accordance with Section 2.05(a)(ii) (B), a Letter of Credit with an expiry date occurring after the Letter of Credit Expiration Date and (ii) the Borrower shall have Cash Collateralized the Outstanding Amount of all such L/C Exposure in respect of such Letter of Credit pursuant to </w:t>
      </w:r>
      <w:r>
        <w:rPr>
          <w:rFonts w:ascii="Arial" w:cs="Arial" w:eastAsia="Arial" w:hAnsi="Arial"/>
          <w:sz w:val="19"/>
          <w:szCs w:val="19"/>
          <w:u w:val="single" w:color="auto"/>
          <w:color w:val="auto"/>
        </w:rPr>
        <w:t>Section 2.05(g)</w:t>
      </w:r>
      <w:r>
        <w:rPr>
          <w:rFonts w:ascii="Arial" w:cs="Arial" w:eastAsia="Arial" w:hAnsi="Arial"/>
          <w:sz w:val="19"/>
          <w:szCs w:val="19"/>
          <w:color w:val="auto"/>
        </w:rPr>
        <w:t xml:space="preserve">, then, upon the provision of such Cash Collateral and without any further action, each Lender hereunder shall be automatically released from any further obligation to the applicable Issuing Bank in respect of such Letter of Credit, including, any obligation of any such Lender to reimburse the applicable Issuing Bank for amounts drawn under such Letter of Credit or to purchase any risk participation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all such obligations of each Lender hereunder to the applicable Issuing Bank in respect of such Letter of Credit shall be revived if any Cash Collateral provided by the Borrower in respect of such Letter of Credit is subsequently invalidated, declared to be fraudulent or preferential, set aside or required (including pursuant to any settlement entered into by the Administrative Agent or applicable Issuing Bank) to be repaid to a trustee, receiver or any other party, in connection with any proceeding under any Debtor Relief Laws or otherwise, all as if such Cash Collateral had not been provided. The obligations of the Lenders under this paragraph shall survive termination of this Agreement.</w:t>
      </w:r>
    </w:p>
    <w:p>
      <w:pPr>
        <w:spacing w:after="0" w:line="195"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Funding of Borrowings</w:t>
      </w:r>
      <w:r>
        <w:rPr>
          <w:rFonts w:ascii="Arial" w:cs="Arial" w:eastAsia="Arial" w:hAnsi="Arial"/>
          <w:sz w:val="19"/>
          <w:szCs w:val="19"/>
          <w:color w:val="auto"/>
        </w:rPr>
        <w:t>.</w:t>
      </w:r>
    </w:p>
    <w:p>
      <w:pPr>
        <w:spacing w:after="0" w:line="220" w:lineRule="exact"/>
        <w:rPr>
          <w:sz w:val="20"/>
          <w:szCs w:val="20"/>
          <w:color w:val="auto"/>
        </w:rPr>
      </w:pPr>
    </w:p>
    <w:p>
      <w:pPr>
        <w:jc w:val="both"/>
        <w:ind w:right="20" w:firstLine="1288"/>
        <w:spacing w:after="0" w:line="242" w:lineRule="auto"/>
        <w:tabs>
          <w:tab w:leader="none" w:pos="19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in Same Day Funds (i) in the case of Loans denominated in Dollars by 2:00 p.m., New York City time, to the account of the Administrative Agent most recently designated by it for such purpose by notice to the Lenders in an amount equal to such Lender’s Applicable Percentage or other percentage provided for herein and (ii) in the case of each Loan denominated in an Alternative Currency by the Applicable Time specified by the Administrative Agent for such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Section 2.04. The Administrative Agent will make such Loans available to the Borrower by promptly crediting the amounts so received, in like funds, to (x) an account designated by the Borrower in the applicable Borrowing Request, in the case of Loans denominated in Dollars and (y) an account of the Borrower in the relevant jurisdiction and designated by the Borrower in the applicable Borrowing Request, in the case of Loans denominated in an Alternative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Base Rate Loans made to finance the reimbursement of an L/C Disbursement as provided in Section 2.05(c) shall be remitted by the Administrative Agent to the relevant Issuing Bank.</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right="20" w:firstLine="1288"/>
        <w:spacing w:after="0" w:line="249" w:lineRule="auto"/>
        <w:tabs>
          <w:tab w:leader="none" w:pos="189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w:t>
      </w:r>
    </w:p>
    <w:p>
      <w:pPr>
        <w:sectPr>
          <w:pgSz w:w="11900" w:h="16838" w:orient="portrait"/>
          <w:cols w:equalWidth="0" w:num="1">
            <w:col w:w="10440"/>
          </w:cols>
          <w:pgMar w:left="1020" w:top="1401" w:right="439" w:bottom="1440" w:gutter="0" w:footer="0" w:header="0"/>
        </w:sectPr>
      </w:pPr>
    </w:p>
    <w:bookmarkStart w:id="168" w:name="page169"/>
    <w:bookmarkEnd w:id="168"/>
    <w:p>
      <w:pPr>
        <w:jc w:val="both"/>
        <w:ind w:left="8"/>
        <w:spacing w:after="0" w:line="244" w:lineRule="auto"/>
        <w:rPr>
          <w:sz w:val="20"/>
          <w:szCs w:val="20"/>
          <w:color w:val="auto"/>
        </w:rPr>
      </w:pPr>
      <w:r>
        <w:rPr>
          <w:rFonts w:ascii="Arial" w:cs="Arial" w:eastAsia="Arial" w:hAnsi="Arial"/>
          <w:sz w:val="19"/>
          <w:szCs w:val="19"/>
          <w:color w:val="auto"/>
        </w:rPr>
        <w:t>the Borrower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Overnight Rate plus any administrative, processing or similar fees customarily charged by the Administrative Agent in connection with the foregoing or (ii) in the case of the Borrower, the interest rate applicable to Base Rate Loans. If such Lender pays such amount to the Administrative Agent, then such amount shall constitute such Lender’s Loan included in such Borrowing.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95" w:lineRule="exact"/>
        <w:rPr>
          <w:sz w:val="20"/>
          <w:szCs w:val="20"/>
          <w:color w:val="auto"/>
        </w:rPr>
      </w:pPr>
    </w:p>
    <w:p>
      <w:pPr>
        <w:jc w:val="both"/>
        <w:ind w:left="8" w:firstLine="648"/>
        <w:spacing w:after="0" w:line="238"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Market Disruption; Inability to Determine Rates</w:t>
      </w:r>
      <w:r>
        <w:rPr>
          <w:rFonts w:ascii="Arial" w:cs="Arial" w:eastAsia="Arial" w:hAnsi="Arial"/>
          <w:sz w:val="19"/>
          <w:szCs w:val="19"/>
          <w:color w:val="auto"/>
        </w:rPr>
        <w:t>. (a) Notwithstanding the satisfaction of all conditions referred to in Article II and Article IV with respect to any Revolving Borrowing to be effected in any Alternative Currency, if (i) there shall occur on or prior to the date of such Borrowing any change in national or international financial, political or economic conditions or currency exchange rates or exchange controls which would in the reasonable opinion of the Administrative Agent, the relevant Issuing Bank (if such Credit Event is a Letter of Credit) or the Required Lenders make it impracticable for the applicable Alternative Currency Borrowings or Letters of Credit comprising such Credit Event to be denominated in the Alternative Currency specified by the Borrower or (ii) the Dollar Equivalent of such currency is not readily calculable, then the Administrative Agent shall forthwith give notice thereof to the Borrower, the Lenders and, if such Credit Event is a Letter of Credit, the relevant Issuing Bank, and such Credit Events shall not be denominated in such Alternative Currency but shall, except as otherwise set forth in Section 2.06, be made on the date of such Credit Event in Dollars, (a) if such Credit Event is a Borrowing, in an aggregate principal amount equal to the Dollar Equivalent of the aggregate principal amount specified in the related Borrowing Request or Interest Election Request, as the case may be, unless the Borrower notifies the Administrative Agent at least one (1) Business Day before such date that (i) it elects not to borrow on such date or (ii) it elects to borrow on such date in a different Alternative Currency, as the case may be, in which the denomination of such Loans would, in the reasonable opinion of the Administrative Agent or the Required Lenders, as applicable, be practicable and in an aggregate principal amount equal to the Dollar Equivalent of the aggregate principal amount specified in the related Borrowing Request or Interest Election Request, as the case may be or (b) if such Credit Event is a Letter of Credit, in a face amount equal to the Dollar Equivalent of the face amount specified in the related request or application for such Letter of Credit, unless the Borrower notifies the Administrative Agent at least one (1) Business Day before such date that</w:t>
      </w:r>
    </w:p>
    <w:p>
      <w:pPr>
        <w:spacing w:after="0" w:line="5" w:lineRule="exact"/>
        <w:rPr>
          <w:sz w:val="20"/>
          <w:szCs w:val="20"/>
          <w:color w:val="auto"/>
        </w:rPr>
      </w:pPr>
    </w:p>
    <w:p>
      <w:pPr>
        <w:jc w:val="both"/>
        <w:ind w:left="8" w:right="40" w:hanging="8"/>
        <w:spacing w:after="0" w:line="222" w:lineRule="auto"/>
        <w:tabs>
          <w:tab w:leader="none" w:pos="617"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it elects not to request the issuance of such Letter of Credit on such date or (ii) it elects to have such Letter of Credit issued on such date in a different currency, as the case may be, in which the denomination of such Letter of Credit would in the reasonable opinion of the relevant Issuing Bank, the Administrative Agent or the Required Lenders, as applicable, be practicable and in face amount equal to the Dollar Equivalent of the face amount specified in the related request or application for such Letter of Credit, as the case may be.</w:t>
      </w:r>
    </w:p>
    <w:p>
      <w:pPr>
        <w:spacing w:after="0" w:line="188" w:lineRule="exact"/>
        <w:rPr>
          <w:rFonts w:ascii="Arial" w:cs="Arial" w:eastAsia="Arial" w:hAnsi="Arial"/>
          <w:sz w:val="21"/>
          <w:szCs w:val="21"/>
          <w:color w:val="auto"/>
        </w:rPr>
      </w:pPr>
    </w:p>
    <w:p>
      <w:pPr>
        <w:ind w:left="8" w:right="200" w:firstLine="1288"/>
        <w:spacing w:after="0" w:line="232" w:lineRule="auto"/>
        <w:tabs>
          <w:tab w:leader="none" w:pos="1908" w:val="left"/>
        </w:tabs>
        <w:numPr>
          <w:ilvl w:val="1"/>
          <w:numId w:val="144"/>
        </w:numPr>
        <w:rPr>
          <w:rFonts w:ascii="Arial" w:cs="Arial" w:eastAsia="Arial" w:hAnsi="Arial"/>
          <w:sz w:val="22"/>
          <w:szCs w:val="22"/>
          <w:u w:val="single" w:color="auto"/>
          <w:color w:val="auto"/>
        </w:rPr>
      </w:pPr>
      <w:r>
        <w:rPr>
          <w:rFonts w:ascii="Arial" w:cs="Arial" w:eastAsia="Arial" w:hAnsi="Arial"/>
          <w:sz w:val="22"/>
          <w:szCs w:val="22"/>
          <w:color w:val="FF0000"/>
          <w:strike w:val="1"/>
        </w:rPr>
        <w:t>(b)</w:t>
      </w:r>
      <w:r>
        <w:rPr>
          <w:rFonts w:ascii="Arial" w:cs="Arial" w:eastAsia="Arial" w:hAnsi="Arial"/>
          <w:sz w:val="22"/>
          <w:szCs w:val="22"/>
          <w:color w:val="FF0000"/>
        </w:rPr>
        <w:t xml:space="preserve"> </w:t>
      </w:r>
      <w:r>
        <w:rPr>
          <w:rFonts w:ascii="Arial" w:cs="Arial" w:eastAsia="Arial" w:hAnsi="Arial"/>
          <w:sz w:val="22"/>
          <w:szCs w:val="22"/>
          <w:color w:val="000000"/>
        </w:rPr>
        <w:t>If in connection with any request for a</w:t>
      </w:r>
      <w:r>
        <w:rPr>
          <w:rFonts w:ascii="Arial" w:cs="Arial" w:eastAsia="Arial" w:hAnsi="Arial"/>
          <w:sz w:val="22"/>
          <w:szCs w:val="22"/>
          <w:color w:val="FF0000"/>
        </w:rPr>
        <w:t xml:space="preserve">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 Loan, SOFR Daily Floating</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Rate</w:t>
      </w:r>
      <w:r>
        <w:rPr>
          <w:rFonts w:ascii="Arial" w:cs="Arial" w:eastAsia="Arial" w:hAnsi="Arial"/>
          <w:sz w:val="22"/>
          <w:szCs w:val="22"/>
          <w:color w:val="0000FF"/>
        </w:rPr>
        <w:t xml:space="preserve"> </w:t>
      </w:r>
      <w:r>
        <w:rPr>
          <w:rFonts w:ascii="Arial" w:cs="Arial" w:eastAsia="Arial" w:hAnsi="Arial"/>
          <w:sz w:val="22"/>
          <w:szCs w:val="22"/>
          <w:color w:val="000000"/>
        </w:rPr>
        <w:t>Loan or an Alternative Currency Loan or a conversion of Base Rate</w:t>
      </w:r>
    </w:p>
    <w:p>
      <w:pPr>
        <w:sectPr>
          <w:pgSz w:w="11900" w:h="16838" w:orient="portrait"/>
          <w:cols w:equalWidth="0" w:num="1">
            <w:col w:w="10448"/>
          </w:cols>
          <w:pgMar w:left="1012" w:top="1401" w:right="439" w:bottom="1440" w:gutter="0" w:footer="0" w:header="0"/>
        </w:sectPr>
      </w:pPr>
    </w:p>
    <w:bookmarkStart w:id="169" w:name="page170"/>
    <w:bookmarkEnd w:id="169"/>
    <w:p>
      <w:pPr>
        <w:jc w:val="both"/>
        <w:ind w:left="8"/>
        <w:spacing w:after="0" w:line="238" w:lineRule="auto"/>
        <w:rPr>
          <w:sz w:val="20"/>
          <w:szCs w:val="20"/>
          <w:color w:val="auto"/>
        </w:rPr>
      </w:pPr>
      <w:r>
        <w:rPr>
          <w:rFonts w:ascii="Arial" w:cs="Arial" w:eastAsia="Arial" w:hAnsi="Arial"/>
          <w:sz w:val="19"/>
          <w:szCs w:val="19"/>
          <w:color w:val="auto"/>
        </w:rPr>
        <w:t xml:space="preserve">Loans to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 Loans, SOFR Daily Floating Rate</w:t>
      </w:r>
      <w:r>
        <w:rPr>
          <w:rFonts w:ascii="Arial" w:cs="Arial" w:eastAsia="Arial" w:hAnsi="Arial"/>
          <w:sz w:val="19"/>
          <w:szCs w:val="19"/>
          <w:color w:val="auto"/>
        </w:rPr>
        <w:t xml:space="preserve"> Loans or </w:t>
      </w:r>
      <w:r>
        <w:rPr>
          <w:rFonts w:ascii="Arial" w:cs="Arial" w:eastAsia="Arial" w:hAnsi="Arial"/>
          <w:sz w:val="19"/>
          <w:szCs w:val="19"/>
          <w:u w:val="single" w:color="auto"/>
          <w:color w:val="0000FF"/>
        </w:rPr>
        <w:t>Alternative Currency Loans, or</w:t>
      </w:r>
      <w:r>
        <w:rPr>
          <w:rFonts w:ascii="Arial" w:cs="Arial" w:eastAsia="Arial" w:hAnsi="Arial"/>
          <w:sz w:val="19"/>
          <w:szCs w:val="19"/>
          <w:color w:val="auto"/>
        </w:rPr>
        <w:t xml:space="preserve"> a continuation of any of such Loans, as applicable, (i) the Administrative Agent determines (which determination shall be conclusive absent manifest error) that (A) no </w:t>
      </w:r>
      <w:r>
        <w:rPr>
          <w:rFonts w:ascii="Arial" w:cs="Arial" w:eastAsia="Arial" w:hAnsi="Arial"/>
          <w:sz w:val="19"/>
          <w:szCs w:val="19"/>
          <w:color w:val="FF0000"/>
          <w:strike w:val="1"/>
        </w:rPr>
        <w:t>Benchmark Replacement or</w:t>
      </w:r>
      <w:r>
        <w:rPr>
          <w:rFonts w:ascii="Arial" w:cs="Arial" w:eastAsia="Arial" w:hAnsi="Arial"/>
          <w:sz w:val="19"/>
          <w:szCs w:val="19"/>
          <w:color w:val="auto"/>
        </w:rPr>
        <w:t xml:space="preserve"> Successor Rate</w:t>
      </w:r>
      <w:r>
        <w:rPr>
          <w:rFonts w:ascii="Arial" w:cs="Arial" w:eastAsia="Arial" w:hAnsi="Arial"/>
          <w:sz w:val="19"/>
          <w:szCs w:val="19"/>
          <w:color w:val="FF0000"/>
          <w:strike w:val="1"/>
        </w:rPr>
        <w:t>, as applicable,</w:t>
      </w:r>
      <w:r>
        <w:rPr>
          <w:rFonts w:ascii="Arial" w:cs="Arial" w:eastAsia="Arial" w:hAnsi="Arial"/>
          <w:sz w:val="19"/>
          <w:szCs w:val="19"/>
          <w:color w:val="auto"/>
        </w:rPr>
        <w:t xml:space="preserve"> for the Relevant Rate for the applicable Agreed Currency has been determined in accordance with </w:t>
      </w:r>
      <w:r>
        <w:rPr>
          <w:rFonts w:ascii="Arial" w:cs="Arial" w:eastAsia="Arial" w:hAnsi="Arial"/>
          <w:sz w:val="19"/>
          <w:szCs w:val="19"/>
          <w:u w:val="single" w:color="auto"/>
          <w:color w:val="auto"/>
        </w:rPr>
        <w:t>Section 2.07(c)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2.07(d)</w:t>
      </w:r>
      <w:r>
        <w:rPr>
          <w:rFonts w:ascii="Arial" w:cs="Arial" w:eastAsia="Arial" w:hAnsi="Arial"/>
          <w:sz w:val="19"/>
          <w:szCs w:val="19"/>
          <w:color w:val="auto"/>
        </w:rPr>
        <w:t xml:space="preserve">, as applicable, and the circumstances under clause (i) of </w:t>
      </w:r>
      <w:r>
        <w:rPr>
          <w:rFonts w:ascii="Arial" w:cs="Arial" w:eastAsia="Arial" w:hAnsi="Arial"/>
          <w:sz w:val="19"/>
          <w:szCs w:val="19"/>
          <w:u w:val="single" w:color="auto"/>
          <w:color w:val="auto"/>
        </w:rPr>
        <w:t>Section 2.07(c)</w:t>
      </w:r>
      <w:r>
        <w:rPr>
          <w:rFonts w:ascii="Arial" w:cs="Arial" w:eastAsia="Arial" w:hAnsi="Arial"/>
          <w:sz w:val="19"/>
          <w:szCs w:val="19"/>
          <w:color w:val="auto"/>
        </w:rPr>
        <w:t xml:space="preserve"> or the Scheduled Unavailability Date</w:t>
      </w:r>
      <w:r>
        <w:rPr>
          <w:rFonts w:ascii="Arial" w:cs="Arial" w:eastAsia="Arial" w:hAnsi="Arial"/>
          <w:sz w:val="19"/>
          <w:szCs w:val="19"/>
          <w:u w:val="single" w:color="auto"/>
          <w:color w:val="0000FF"/>
        </w:rPr>
        <w:t>, or the SOFR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Scheduled Unavailability Date,</w:t>
      </w:r>
      <w:r>
        <w:rPr>
          <w:rFonts w:ascii="Arial" w:cs="Arial" w:eastAsia="Arial" w:hAnsi="Arial"/>
          <w:sz w:val="19"/>
          <w:szCs w:val="19"/>
          <w:color w:val="0000FF"/>
        </w:rPr>
        <w:t xml:space="preserve"> </w:t>
      </w:r>
      <w:r>
        <w:rPr>
          <w:rFonts w:ascii="Arial" w:cs="Arial" w:eastAsia="Arial" w:hAnsi="Arial"/>
          <w:sz w:val="19"/>
          <w:szCs w:val="19"/>
          <w:color w:val="000000"/>
        </w:rPr>
        <w:t>has occurred with respect to such Relevant Rate (as applicable), or (B) adequate and</w:t>
      </w:r>
      <w:r>
        <w:rPr>
          <w:rFonts w:ascii="Arial" w:cs="Arial" w:eastAsia="Arial" w:hAnsi="Arial"/>
          <w:sz w:val="19"/>
          <w:szCs w:val="19"/>
          <w:color w:val="0000FF"/>
        </w:rPr>
        <w:t xml:space="preserve"> </w:t>
      </w:r>
      <w:r>
        <w:rPr>
          <w:rFonts w:ascii="Arial" w:cs="Arial" w:eastAsia="Arial" w:hAnsi="Arial"/>
          <w:sz w:val="19"/>
          <w:szCs w:val="19"/>
          <w:color w:val="000000"/>
        </w:rPr>
        <w:t xml:space="preserve">reasonable means do not otherwise exist for determining the Relevant Rate for the applicable Agreed Currency for any determination date(s) or requested Interest Period, as applicable, with respect to a proposed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Loan or a proposed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of such Lenders of funding such Loan, the Administrative Agent will promptly notify the Borrower and each Lender. Thereafter, (x) the obligation of the Lenders to make or maintain </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Loans, SOFR Daily Floating Rate Loans or</w:t>
      </w:r>
      <w:r>
        <w:rPr>
          <w:rFonts w:ascii="Arial" w:cs="Arial" w:eastAsia="Arial" w:hAnsi="Arial"/>
          <w:sz w:val="19"/>
          <w:szCs w:val="19"/>
          <w:color w:val="0000FF"/>
        </w:rPr>
        <w:t xml:space="preserve"> </w:t>
      </w:r>
      <w:r>
        <w:rPr>
          <w:rFonts w:ascii="Arial" w:cs="Arial" w:eastAsia="Arial" w:hAnsi="Arial"/>
          <w:sz w:val="19"/>
          <w:szCs w:val="19"/>
          <w:color w:val="000000"/>
        </w:rPr>
        <w:t>Loans in the affected currencies, as applicable, or to convert Base Rate</w:t>
      </w:r>
      <w:r>
        <w:rPr>
          <w:rFonts w:ascii="Arial" w:cs="Arial" w:eastAsia="Arial" w:hAnsi="Arial"/>
          <w:sz w:val="19"/>
          <w:szCs w:val="19"/>
          <w:color w:val="0000FF"/>
        </w:rPr>
        <w:t xml:space="preserve"> </w:t>
      </w:r>
      <w:r>
        <w:rPr>
          <w:rFonts w:ascii="Arial" w:cs="Arial" w:eastAsia="Arial" w:hAnsi="Arial"/>
          <w:sz w:val="19"/>
          <w:szCs w:val="19"/>
          <w:color w:val="000000"/>
        </w:rPr>
        <w:t xml:space="preserve">Loans to </w:t>
      </w:r>
      <w:r>
        <w:rPr>
          <w:rFonts w:ascii="Arial" w:cs="Arial" w:eastAsia="Arial" w:hAnsi="Arial"/>
          <w:sz w:val="19"/>
          <w:szCs w:val="19"/>
          <w:color w:val="FF0000"/>
          <w:strike w:val="1"/>
        </w:rPr>
        <w:t>Eurocurrency Loans,</w:t>
      </w:r>
      <w:r>
        <w:rPr>
          <w:rFonts w:ascii="Arial" w:cs="Arial" w:eastAsia="Arial" w:hAnsi="Arial"/>
          <w:sz w:val="19"/>
          <w:szCs w:val="19"/>
          <w:u w:val="single" w:color="auto"/>
          <w:color w:val="0000FF"/>
        </w:rPr>
        <w:t>Term SOFR Loans, SOFR Daily Floating Rate Loans or Loans in the affected currencies,</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as applicable,</w:t>
      </w:r>
      <w:r>
        <w:rPr>
          <w:rFonts w:ascii="Arial" w:cs="Arial" w:eastAsia="Arial" w:hAnsi="Arial"/>
          <w:sz w:val="19"/>
          <w:szCs w:val="19"/>
          <w:color w:val="0000FF"/>
        </w:rPr>
        <w:t xml:space="preserve"> </w:t>
      </w:r>
      <w:r>
        <w:rPr>
          <w:rFonts w:ascii="Arial" w:cs="Arial" w:eastAsia="Arial" w:hAnsi="Arial"/>
          <w:sz w:val="19"/>
          <w:szCs w:val="19"/>
          <w:color w:val="000000"/>
        </w:rPr>
        <w:t>shall be suspended in each case to the extent of the affected</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Term SOFR Loans, SOFR Daily Floating</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Rate Loans or</w:t>
      </w:r>
      <w:r>
        <w:rPr>
          <w:rFonts w:ascii="Arial" w:cs="Arial" w:eastAsia="Arial" w:hAnsi="Arial"/>
          <w:sz w:val="19"/>
          <w:szCs w:val="19"/>
          <w:color w:val="0000FF"/>
        </w:rPr>
        <w:t xml:space="preserve"> </w:t>
      </w:r>
      <w:r>
        <w:rPr>
          <w:rFonts w:ascii="Arial" w:cs="Arial" w:eastAsia="Arial" w:hAnsi="Arial"/>
          <w:sz w:val="19"/>
          <w:szCs w:val="19"/>
          <w:color w:val="000000"/>
        </w:rPr>
        <w:t>Alternative Currency Loans or Interest Period or determination date(s), as applicable, and (y) in the event</w:t>
      </w:r>
      <w:r>
        <w:rPr>
          <w:rFonts w:ascii="Arial" w:cs="Arial" w:eastAsia="Arial" w:hAnsi="Arial"/>
          <w:sz w:val="19"/>
          <w:szCs w:val="19"/>
          <w:color w:val="0000FF"/>
        </w:rPr>
        <w:t xml:space="preserve"> </w:t>
      </w:r>
      <w:r>
        <w:rPr>
          <w:rFonts w:ascii="Arial" w:cs="Arial" w:eastAsia="Arial" w:hAnsi="Arial"/>
          <w:sz w:val="19"/>
          <w:szCs w:val="19"/>
          <w:color w:val="000000"/>
        </w:rPr>
        <w:t xml:space="preserve">of a determination described in the preceding sentence with respect to the </w:t>
      </w:r>
      <w:r>
        <w:rPr>
          <w:rFonts w:ascii="Arial" w:cs="Arial" w:eastAsia="Arial" w:hAnsi="Arial"/>
          <w:sz w:val="19"/>
          <w:szCs w:val="19"/>
          <w:color w:val="FF0000"/>
          <w:strike w:val="1"/>
        </w:rPr>
        <w:t>Eurocurrency Rate</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component of the Base Rate, the utilization of the </w:t>
      </w:r>
      <w:r>
        <w:rPr>
          <w:rFonts w:ascii="Arial" w:cs="Arial" w:eastAsia="Arial" w:hAnsi="Arial"/>
          <w:sz w:val="19"/>
          <w:szCs w:val="19"/>
          <w:color w:val="FF0000"/>
          <w:strike w:val="1"/>
        </w:rPr>
        <w:t>Eurocurrency Rate</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component in determining the Base Rate shall be suspended, in each case until the Administrative Agent (or, in the case of a determination by the Required Lenders described in clause (ii) of this Section 2.07(b), until the Administrative Agent upon instruction of the Required Lenders) revokes such notice. Upon receipt of such notice, (1) the Borrower may revoke any pending request for a Borrowing or, or conversion to,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 Loans or SOFR Daily Floating Rate</w:t>
      </w:r>
      <w:r>
        <w:rPr>
          <w:rFonts w:ascii="Arial" w:cs="Arial" w:eastAsia="Arial" w:hAnsi="Arial"/>
          <w:sz w:val="19"/>
          <w:szCs w:val="19"/>
          <w:color w:val="000000"/>
        </w:rPr>
        <w:t xml:space="preserve"> Loans, or Borrowing of, or a continuation of, Alternative Currency Loans to the extent of the affected Alternative Currency Loans or Interest Period or determination date(s), as applicable, or, failing that, will be deemed to have converted such request into a request for a Borrowing of Base Rate Loans denominated in Dollars in the Dollar Equivalent of the amount specified therein and</w:t>
      </w:r>
    </w:p>
    <w:p>
      <w:pPr>
        <w:spacing w:after="0" w:line="1" w:lineRule="exact"/>
        <w:rPr>
          <w:sz w:val="20"/>
          <w:szCs w:val="20"/>
          <w:color w:val="auto"/>
        </w:rPr>
      </w:pPr>
    </w:p>
    <w:p>
      <w:pPr>
        <w:jc w:val="both"/>
        <w:ind w:left="8"/>
        <w:spacing w:after="0" w:line="214" w:lineRule="auto"/>
        <w:rPr>
          <w:sz w:val="20"/>
          <w:szCs w:val="20"/>
          <w:color w:val="auto"/>
        </w:rPr>
      </w:pPr>
      <w:r>
        <w:rPr>
          <w:rFonts w:ascii="Arial" w:cs="Arial" w:eastAsia="Arial" w:hAnsi="Arial"/>
          <w:sz w:val="21"/>
          <w:szCs w:val="21"/>
          <w:color w:val="auto"/>
        </w:rPr>
        <w:t xml:space="preserve">(2)(A) any outstanding </w:t>
      </w:r>
      <w:r>
        <w:rPr>
          <w:rFonts w:ascii="Arial" w:cs="Arial" w:eastAsia="Arial" w:hAnsi="Arial"/>
          <w:sz w:val="21"/>
          <w:szCs w:val="21"/>
          <w:color w:val="FF0000"/>
          <w:strike w:val="1"/>
        </w:rPr>
        <w:t>LIBOR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Daily Floating Rate </w:t>
      </w:r>
      <w:r>
        <w:rPr>
          <w:rFonts w:ascii="Arial" w:cs="Arial" w:eastAsia="Arial" w:hAnsi="Arial"/>
          <w:sz w:val="21"/>
          <w:szCs w:val="21"/>
          <w:u w:val="single" w:color="auto"/>
          <w:color w:val="0000FF"/>
        </w:rPr>
        <w:t>Loans or Term SOFR</w:t>
      </w:r>
      <w:r>
        <w:rPr>
          <w:rFonts w:ascii="Arial" w:cs="Arial" w:eastAsia="Arial" w:hAnsi="Arial"/>
          <w:sz w:val="21"/>
          <w:szCs w:val="21"/>
          <w:color w:val="auto"/>
        </w:rPr>
        <w:t xml:space="preserve"> Loans shall be deemed to have been converted to Base Rate Loans immediately and (B) any outstanding affected Alternative Currency Loans, at the Borrower’s election, shall either (I)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(II) be prepaid in full immediately, in the case of an Alternative Currency Daily Rate Loan, or at the end of the applicable Interest Period, in the case of an Alternative Currency Term Rate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 election is made by the Borrower,</w:t>
      </w:r>
    </w:p>
    <w:p>
      <w:pPr>
        <w:spacing w:after="0" w:line="5" w:lineRule="exact"/>
        <w:rPr>
          <w:sz w:val="20"/>
          <w:szCs w:val="20"/>
          <w:color w:val="auto"/>
        </w:rPr>
      </w:pPr>
    </w:p>
    <w:p>
      <w:pPr>
        <w:jc w:val="both"/>
        <w:ind w:left="8" w:hanging="8"/>
        <w:spacing w:after="0" w:line="214" w:lineRule="auto"/>
        <w:tabs>
          <w:tab w:leader="none" w:pos="32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in the case of an Alternative Currency Daily Rate Loan, by the date that is three Business Days after receipt by the Borrower of such notice or (y) in the case of an Alternative Currency Term Rate Loan by the last day of the current Interest Period for such Alternative Currency Term Rate Loan, the Borrower shall be deemed to have elected clause (I) above.</w:t>
      </w:r>
    </w:p>
    <w:p>
      <w:pPr>
        <w:sectPr>
          <w:pgSz w:w="11900" w:h="16838" w:orient="portrait"/>
          <w:cols w:equalWidth="0" w:num="1">
            <w:col w:w="10448"/>
          </w:cols>
          <w:pgMar w:left="1012" w:top="1401" w:right="439" w:bottom="1440" w:gutter="0" w:footer="0" w:header="0"/>
        </w:sectPr>
      </w:pPr>
    </w:p>
    <w:bookmarkStart w:id="170" w:name="page171"/>
    <w:bookmarkEnd w:id="170"/>
    <w:p>
      <w:pPr>
        <w:jc w:val="both"/>
        <w:ind w:right="20" w:firstLine="1288"/>
        <w:spacing w:after="0" w:line="214" w:lineRule="auto"/>
        <w:tabs>
          <w:tab w:leader="none" w:pos="1899" w:val="left"/>
        </w:tabs>
        <w:numPr>
          <w:ilvl w:val="0"/>
          <w:numId w:val="146"/>
        </w:numPr>
        <w:rPr>
          <w:rFonts w:ascii="Arial" w:cs="Arial" w:eastAsia="Arial" w:hAnsi="Arial"/>
          <w:sz w:val="22"/>
          <w:szCs w:val="22"/>
          <w:u w:val="single" w:color="auto"/>
          <w:color w:val="auto"/>
        </w:rPr>
      </w:pPr>
      <w:r>
        <w:rPr>
          <w:rFonts w:ascii="Arial" w:cs="Arial" w:eastAsia="Arial" w:hAnsi="Arial"/>
          <w:sz w:val="22"/>
          <w:szCs w:val="22"/>
          <w:color w:val="FF0000"/>
          <w:strike w:val="1"/>
        </w:rPr>
        <w:t xml:space="preserve">(c) </w:t>
      </w:r>
      <w:r>
        <w:rPr>
          <w:rFonts w:ascii="Arial" w:cs="Arial" w:eastAsia="Arial" w:hAnsi="Arial"/>
          <w:sz w:val="22"/>
          <w:szCs w:val="22"/>
          <w:u w:val="single" w:color="auto"/>
          <w:color w:val="0000FF"/>
          <w:strike w:val="1"/>
        </w:rPr>
        <w:t>Replacement of Reference Rate (other than SOFR) or Non-SOFR Successor Rate.</w:t>
      </w:r>
      <w:r>
        <w:rPr>
          <w:rFonts w:ascii="Arial" w:cs="Arial" w:eastAsia="Arial" w:hAnsi="Arial"/>
          <w:sz w:val="22"/>
          <w:szCs w:val="22"/>
          <w:color w:val="FF0000"/>
          <w:strike w:val="1"/>
        </w:rPr>
        <w:t xml:space="preserve"> </w:t>
      </w:r>
      <w:r>
        <w:rPr>
          <w:rFonts w:ascii="Arial" w:cs="Arial" w:eastAsia="Arial" w:hAnsi="Arial"/>
          <w:sz w:val="22"/>
          <w:szCs w:val="22"/>
          <w:color w:val="000000"/>
          <w:strike w:val="1"/>
        </w:rPr>
        <w:t>Notwithstanding anything to the contrary in this Agreement or any other Loan Document, (x) for purposes of this Section 2.07(c), the term “Agreed Currency” shall not include Dollars and (y)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99" w:lineRule="exact"/>
        <w:rPr>
          <w:rFonts w:ascii="Arial" w:cs="Arial" w:eastAsia="Arial" w:hAnsi="Arial"/>
          <w:sz w:val="22"/>
          <w:szCs w:val="22"/>
          <w:u w:val="single" w:color="auto"/>
          <w:color w:val="auto"/>
        </w:rPr>
      </w:pPr>
    </w:p>
    <w:p>
      <w:pPr>
        <w:jc w:val="both"/>
        <w:ind w:right="40" w:firstLine="1936"/>
        <w:spacing w:after="0" w:line="218" w:lineRule="auto"/>
        <w:tabs>
          <w:tab w:leader="none" w:pos="2553" w:val="left"/>
        </w:tabs>
        <w:numPr>
          <w:ilvl w:val="1"/>
          <w:numId w:val="146"/>
        </w:numPr>
        <w:rPr>
          <w:rFonts w:ascii="Arial" w:cs="Arial" w:eastAsia="Arial" w:hAnsi="Arial"/>
          <w:sz w:val="22"/>
          <w:szCs w:val="22"/>
          <w:color w:val="auto"/>
        </w:rPr>
      </w:pPr>
      <w:r>
        <w:rPr>
          <w:rFonts w:ascii="Arial" w:cs="Arial" w:eastAsia="Arial" w:hAnsi="Arial"/>
          <w:sz w:val="22"/>
          <w:szCs w:val="22"/>
          <w:color w:val="auto"/>
        </w:rPr>
        <w:t xml:space="preserve">adequate and reasonable means do not exist for ascertaining the Relevant Rate </w:t>
      </w:r>
      <w:r>
        <w:rPr>
          <w:rFonts w:ascii="Arial" w:cs="Arial" w:eastAsia="Arial" w:hAnsi="Arial"/>
          <w:sz w:val="22"/>
          <w:szCs w:val="22"/>
          <w:u w:val="single" w:color="auto"/>
          <w:color w:val="0000FF"/>
        </w:rPr>
        <w:t>(other than</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SOFR)</w:t>
      </w:r>
      <w:r>
        <w:rPr>
          <w:rFonts w:ascii="Arial" w:cs="Arial" w:eastAsia="Arial" w:hAnsi="Arial"/>
          <w:sz w:val="22"/>
          <w:szCs w:val="22"/>
          <w:color w:val="0000FF"/>
        </w:rPr>
        <w:t xml:space="preserve"> </w:t>
      </w:r>
      <w:r>
        <w:rPr>
          <w:rFonts w:ascii="Arial" w:cs="Arial" w:eastAsia="Arial" w:hAnsi="Arial"/>
          <w:sz w:val="22"/>
          <w:szCs w:val="22"/>
          <w:color w:val="000000"/>
        </w:rPr>
        <w:t>for an Agreed Currency</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(other than Dollars)</w:t>
      </w:r>
      <w:r>
        <w:rPr>
          <w:rFonts w:ascii="Arial" w:cs="Arial" w:eastAsia="Arial" w:hAnsi="Arial"/>
          <w:sz w:val="22"/>
          <w:szCs w:val="22"/>
          <w:color w:val="0000FF"/>
        </w:rPr>
        <w:t xml:space="preserve"> </w:t>
      </w:r>
      <w:r>
        <w:rPr>
          <w:rFonts w:ascii="Arial" w:cs="Arial" w:eastAsia="Arial" w:hAnsi="Arial"/>
          <w:sz w:val="22"/>
          <w:szCs w:val="22"/>
          <w:color w:val="000000"/>
        </w:rPr>
        <w:t>because none of the tenors of such Relevant Rate (including any</w:t>
      </w:r>
      <w:r>
        <w:rPr>
          <w:rFonts w:ascii="Arial" w:cs="Arial" w:eastAsia="Arial" w:hAnsi="Arial"/>
          <w:sz w:val="22"/>
          <w:szCs w:val="22"/>
          <w:color w:val="0000FF"/>
        </w:rPr>
        <w:t xml:space="preserve"> </w:t>
      </w:r>
      <w:r>
        <w:rPr>
          <w:rFonts w:ascii="Arial" w:cs="Arial" w:eastAsia="Arial" w:hAnsi="Arial"/>
          <w:sz w:val="22"/>
          <w:szCs w:val="22"/>
          <w:color w:val="000000"/>
        </w:rPr>
        <w:t xml:space="preserve">forward-looking term rate thereof) </w:t>
      </w:r>
      <w:r>
        <w:rPr>
          <w:rFonts w:ascii="Arial" w:cs="Arial" w:eastAsia="Arial" w:hAnsi="Arial"/>
          <w:sz w:val="22"/>
          <w:szCs w:val="22"/>
          <w:u w:val="single" w:color="auto"/>
          <w:color w:val="0000FF"/>
        </w:rPr>
        <w:t>(other than SOFR)</w:t>
      </w:r>
      <w:r>
        <w:rPr>
          <w:rFonts w:ascii="Arial" w:cs="Arial" w:eastAsia="Arial" w:hAnsi="Arial"/>
          <w:sz w:val="22"/>
          <w:szCs w:val="22"/>
          <w:color w:val="000000"/>
        </w:rPr>
        <w:t xml:space="preserve"> is available or published on a current basis, and such circumstances are unlikely to be temporary, or</w:t>
      </w:r>
    </w:p>
    <w:p>
      <w:pPr>
        <w:spacing w:after="0" w:line="268" w:lineRule="exact"/>
        <w:rPr>
          <w:rFonts w:ascii="Arial" w:cs="Arial" w:eastAsia="Arial" w:hAnsi="Arial"/>
          <w:sz w:val="22"/>
          <w:szCs w:val="22"/>
          <w:color w:val="auto"/>
        </w:rPr>
      </w:pPr>
    </w:p>
    <w:p>
      <w:pPr>
        <w:jc w:val="both"/>
        <w:ind w:firstLine="1936"/>
        <w:spacing w:after="0" w:line="244" w:lineRule="auto"/>
        <w:tabs>
          <w:tab w:leader="none" w:pos="2545"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the Applicable Authority has made a public statement identifying a specific date after which all tenors of the Relevant Rate </w:t>
      </w:r>
      <w:r>
        <w:rPr>
          <w:rFonts w:ascii="Arial" w:cs="Arial" w:eastAsia="Arial" w:hAnsi="Arial"/>
          <w:sz w:val="19"/>
          <w:szCs w:val="19"/>
          <w:u w:val="single" w:color="auto"/>
          <w:color w:val="0000FF"/>
        </w:rPr>
        <w:t>(other than SOFR)</w:t>
      </w:r>
      <w:r>
        <w:rPr>
          <w:rFonts w:ascii="Arial" w:cs="Arial" w:eastAsia="Arial" w:hAnsi="Arial"/>
          <w:sz w:val="19"/>
          <w:szCs w:val="19"/>
          <w:color w:val="auto"/>
        </w:rPr>
        <w:t xml:space="preserve"> for an Agreed Currency (including any forward-looking term rate thereof) shall or will no longer be representative or made available, or used for determining the interest rate of loans denominated in such Agreed Currency</w:t>
      </w:r>
      <w:r>
        <w:rPr>
          <w:rFonts w:ascii="Arial" w:cs="Arial" w:eastAsia="Arial" w:hAnsi="Arial"/>
          <w:sz w:val="19"/>
          <w:szCs w:val="19"/>
          <w:color w:val="FF0000"/>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(other than Dollars),</w:t>
      </w:r>
      <w:r>
        <w:rPr>
          <w:rFonts w:ascii="Arial" w:cs="Arial" w:eastAsia="Arial" w:hAnsi="Arial"/>
          <w:sz w:val="19"/>
          <w:szCs w:val="19"/>
          <w:color w:val="auto"/>
        </w:rPr>
        <w:t xml:space="preserve"> or shall or will otherwise cease, provided that, in each case, at the time of such statement, there is no successor administrator that is satisfactory to the Administrative Agent that will continue to provide such representative tenor(s) of the Relevant Rate </w:t>
      </w:r>
      <w:r>
        <w:rPr>
          <w:rFonts w:ascii="Arial" w:cs="Arial" w:eastAsia="Arial" w:hAnsi="Arial"/>
          <w:sz w:val="19"/>
          <w:szCs w:val="19"/>
          <w:u w:val="single" w:color="auto"/>
          <w:color w:val="0000FF"/>
        </w:rPr>
        <w:t>(other than SOFR)</w:t>
      </w:r>
      <w:r>
        <w:rPr>
          <w:rFonts w:ascii="Arial" w:cs="Arial" w:eastAsia="Arial" w:hAnsi="Arial"/>
          <w:sz w:val="19"/>
          <w:szCs w:val="19"/>
          <w:color w:val="auto"/>
        </w:rPr>
        <w:t xml:space="preserve"> for such Agreed Currency </w:t>
      </w:r>
      <w:r>
        <w:rPr>
          <w:rFonts w:ascii="Arial" w:cs="Arial" w:eastAsia="Arial" w:hAnsi="Arial"/>
          <w:sz w:val="19"/>
          <w:szCs w:val="19"/>
          <w:u w:val="single" w:color="auto"/>
          <w:color w:val="auto"/>
        </w:rPr>
        <w:t>(</w:t>
      </w:r>
      <w:r>
        <w:rPr>
          <w:rFonts w:ascii="Arial" w:cs="Arial" w:eastAsia="Arial" w:hAnsi="Arial"/>
          <w:sz w:val="19"/>
          <w:szCs w:val="19"/>
          <w:u w:val="single" w:color="auto"/>
          <w:color w:val="0000FF"/>
        </w:rPr>
        <w:t>other than SOFR)</w:t>
      </w:r>
      <w:r>
        <w:rPr>
          <w:rFonts w:ascii="Arial" w:cs="Arial" w:eastAsia="Arial" w:hAnsi="Arial"/>
          <w:sz w:val="19"/>
          <w:szCs w:val="19"/>
          <w:color w:val="auto"/>
        </w:rPr>
        <w:t xml:space="preserve"> </w:t>
      </w:r>
      <w:r>
        <w:rPr>
          <w:rFonts w:ascii="Arial" w:cs="Arial" w:eastAsia="Arial" w:hAnsi="Arial"/>
          <w:sz w:val="19"/>
          <w:szCs w:val="19"/>
          <w:color w:val="0000FF"/>
        </w:rPr>
        <w:t>(</w:t>
      </w:r>
      <w:r>
        <w:rPr>
          <w:rFonts w:ascii="Arial" w:cs="Arial" w:eastAsia="Arial" w:hAnsi="Arial"/>
          <w:sz w:val="19"/>
          <w:szCs w:val="19"/>
          <w:color w:val="auto"/>
        </w:rPr>
        <w:t xml:space="preserve">the latest date on which all tenors of the Relevant Rate </w:t>
      </w:r>
      <w:r>
        <w:rPr>
          <w:rFonts w:ascii="Arial" w:cs="Arial" w:eastAsia="Arial" w:hAnsi="Arial"/>
          <w:sz w:val="19"/>
          <w:szCs w:val="19"/>
          <w:u w:val="single" w:color="auto"/>
          <w:color w:val="0000FF"/>
        </w:rPr>
        <w:t>(other than SOFR)</w:t>
      </w:r>
      <w:r>
        <w:rPr>
          <w:rFonts w:ascii="Arial" w:cs="Arial" w:eastAsia="Arial" w:hAnsi="Arial"/>
          <w:sz w:val="19"/>
          <w:szCs w:val="19"/>
          <w:color w:val="auto"/>
        </w:rPr>
        <w:t xml:space="preserve"> for such Agreed Currency </w:t>
      </w:r>
      <w:r>
        <w:rPr>
          <w:rFonts w:ascii="Arial" w:cs="Arial" w:eastAsia="Arial" w:hAnsi="Arial"/>
          <w:sz w:val="19"/>
          <w:szCs w:val="19"/>
          <w:u w:val="single" w:color="auto"/>
          <w:color w:val="0000FF"/>
        </w:rPr>
        <w:t>(other than Dollars)</w:t>
      </w:r>
      <w:r>
        <w:rPr>
          <w:rFonts w:ascii="Arial" w:cs="Arial" w:eastAsia="Arial" w:hAnsi="Arial"/>
          <w:sz w:val="19"/>
          <w:szCs w:val="19"/>
          <w:color w:val="0000FF"/>
        </w:rPr>
        <w:t xml:space="preserve"> </w:t>
      </w:r>
      <w:r>
        <w:rPr>
          <w:rFonts w:ascii="Arial" w:cs="Arial" w:eastAsia="Arial" w:hAnsi="Arial"/>
          <w:sz w:val="19"/>
          <w:szCs w:val="19"/>
          <w:color w:val="000000"/>
        </w:rPr>
        <w:t>(including any forward-looking term rate thereof) are no longer representative or available</w:t>
      </w:r>
      <w:r>
        <w:rPr>
          <w:rFonts w:ascii="Arial" w:cs="Arial" w:eastAsia="Arial" w:hAnsi="Arial"/>
          <w:sz w:val="19"/>
          <w:szCs w:val="19"/>
          <w:color w:val="0000FF"/>
        </w:rPr>
        <w:t xml:space="preserve"> </w:t>
      </w:r>
      <w:r>
        <w:rPr>
          <w:rFonts w:ascii="Arial" w:cs="Arial" w:eastAsia="Arial" w:hAnsi="Arial"/>
          <w:sz w:val="19"/>
          <w:szCs w:val="19"/>
          <w:color w:val="000000"/>
        </w:rPr>
        <w:t>permanently or indefinitely, the “</w:t>
      </w:r>
      <w:r>
        <w:rPr>
          <w:rFonts w:ascii="Arial" w:cs="Arial" w:eastAsia="Arial" w:hAnsi="Arial"/>
          <w:sz w:val="19"/>
          <w:szCs w:val="19"/>
          <w:u w:val="single" w:color="auto"/>
          <w:color w:val="000000"/>
        </w:rPr>
        <w:t>Scheduled Unavailability Date</w:t>
      </w:r>
      <w:r>
        <w:rPr>
          <w:rFonts w:ascii="Arial" w:cs="Arial" w:eastAsia="Arial" w:hAnsi="Arial"/>
          <w:sz w:val="19"/>
          <w:szCs w:val="19"/>
          <w:color w:val="000000"/>
        </w:rPr>
        <w:t xml:space="preserve">”); </w:t>
      </w:r>
      <w:r>
        <w:rPr>
          <w:rFonts w:ascii="Arial" w:cs="Arial" w:eastAsia="Arial" w:hAnsi="Arial"/>
          <w:sz w:val="19"/>
          <w:szCs w:val="19"/>
          <w:color w:val="FF0000"/>
          <w:strike w:val="1"/>
        </w:rPr>
        <w:t>or</w:t>
      </w:r>
    </w:p>
    <w:p>
      <w:pPr>
        <w:spacing w:after="0" w:line="187" w:lineRule="exact"/>
        <w:rPr>
          <w:rFonts w:ascii="Arial" w:cs="Arial" w:eastAsia="Arial" w:hAnsi="Arial"/>
          <w:sz w:val="19"/>
          <w:szCs w:val="19"/>
          <w:color w:val="auto"/>
        </w:rPr>
      </w:pPr>
    </w:p>
    <w:p>
      <w:pPr>
        <w:jc w:val="both"/>
        <w:ind w:right="40" w:firstLine="1936"/>
        <w:spacing w:after="0" w:line="223" w:lineRule="auto"/>
        <w:tabs>
          <w:tab w:leader="none" w:pos="2551" w:val="left"/>
        </w:tabs>
        <w:numPr>
          <w:ilvl w:val="1"/>
          <w:numId w:val="146"/>
        </w:numPr>
        <w:rPr>
          <w:rFonts w:ascii="Arial" w:cs="Arial" w:eastAsia="Arial" w:hAnsi="Arial"/>
          <w:sz w:val="22"/>
          <w:szCs w:val="22"/>
          <w:color w:val="FF0000"/>
        </w:rPr>
      </w:pPr>
      <w:r>
        <w:rPr>
          <w:rFonts w:ascii="Arial" w:cs="Arial" w:eastAsia="Arial" w:hAnsi="Arial"/>
          <w:sz w:val="22"/>
          <w:szCs w:val="22"/>
          <w:color w:val="FF0000"/>
          <w:strike w:val="1"/>
        </w:rPr>
        <w:t>syndicated loans currently being executed and agented in the U.S. are being executed or amended (as applicable) to incorporate or adopt a new benchmark interest rate to replace the Relevant Rate for an Agreed Currency;</w:t>
      </w:r>
    </w:p>
    <w:p>
      <w:pPr>
        <w:spacing w:after="0" w:line="19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or if the events or circumstances of the type described in Section 2.07(c)(i)</w:t>
      </w:r>
      <w:r>
        <w:rPr>
          <w:rFonts w:ascii="Arial" w:cs="Arial" w:eastAsia="Arial" w:hAnsi="Arial"/>
          <w:sz w:val="19"/>
          <w:szCs w:val="19"/>
          <w:color w:val="FF0000"/>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w:t>
      </w:r>
      <w:r>
        <w:rPr>
          <w:rFonts w:ascii="Arial" w:cs="Arial" w:eastAsia="Arial" w:hAnsi="Arial"/>
          <w:sz w:val="19"/>
          <w:szCs w:val="19"/>
          <w:color w:val="auto"/>
        </w:rPr>
        <w:t xml:space="preserve"> (ii) </w:t>
      </w:r>
      <w:r>
        <w:rPr>
          <w:rFonts w:ascii="Arial" w:cs="Arial" w:eastAsia="Arial" w:hAnsi="Arial"/>
          <w:sz w:val="19"/>
          <w:szCs w:val="19"/>
          <w:color w:val="FF0000"/>
          <w:strike w:val="1"/>
        </w:rPr>
        <w:t>or (iii)</w:t>
      </w:r>
      <w:r>
        <w:rPr>
          <w:rFonts w:ascii="Arial" w:cs="Arial" w:eastAsia="Arial" w:hAnsi="Arial"/>
          <w:sz w:val="19"/>
          <w:szCs w:val="19"/>
          <w:color w:val="auto"/>
        </w:rPr>
        <w:t xml:space="preserve"> have occurred with respect to the Successor Rate then in effect, then, the Administrative Agent and the Borrower may amend this Agreement solely for the purpose of replacing the Relevant Rate for an Agreed Currency or any then current Successor Rate for an Agreed Currency in accordance with this Section 2.07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w:t>
      </w:r>
      <w:r>
        <w:rPr>
          <w:rFonts w:ascii="Arial" w:cs="Arial" w:eastAsia="Arial" w:hAnsi="Arial"/>
          <w:sz w:val="19"/>
          <w:szCs w:val="19"/>
          <w:color w:val="FF0000"/>
          <w:strike w:val="1"/>
        </w:rPr>
        <w:t>, which adjustment or method for calculating such adjustment shall be published on an information</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service as selected by the Administrative Agent from time to time in its reasonable discretion and may be periodically updated </w:t>
      </w:r>
      <w:r>
        <w:rPr>
          <w:rFonts w:ascii="Arial" w:cs="Arial" w:eastAsia="Arial" w:hAnsi="Arial"/>
          <w:sz w:val="19"/>
          <w:szCs w:val="19"/>
          <w:color w:val="000000"/>
          <w:strike w:val="1"/>
        </w:rPr>
        <w:t>(and any such proposed rate, including for the avoidance of doubt, any adjustment thereto, a “</w:t>
      </w:r>
      <w:r>
        <w:rPr>
          <w:rFonts w:ascii="Arial" w:cs="Arial" w:eastAsia="Arial" w:hAnsi="Arial"/>
          <w:sz w:val="19"/>
          <w:szCs w:val="19"/>
          <w:color w:val="0000FF"/>
          <w:strike w:val="1"/>
        </w:rPr>
        <w:t>Non-SOFR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Successor Rate”), and any such amendment shall become effective at 5:00 p.m. on the fifth Business Day after the Administrative Agent shall have posted such proposed amendment to all Lenders and the</w:t>
      </w:r>
    </w:p>
    <w:p>
      <w:pPr>
        <w:sectPr>
          <w:pgSz w:w="11900" w:h="16838" w:orient="portrait"/>
          <w:cols w:equalWidth="0" w:num="1">
            <w:col w:w="10440"/>
          </w:cols>
          <w:pgMar w:left="1020" w:top="1401" w:right="439" w:bottom="1440" w:gutter="0" w:footer="0" w:header="0"/>
        </w:sectPr>
      </w:pPr>
    </w:p>
    <w:bookmarkStart w:id="171" w:name="page172"/>
    <w:bookmarkEnd w:id="171"/>
    <w:p>
      <w:pPr>
        <w:spacing w:after="0" w:line="204" w:lineRule="exact"/>
        <w:rPr>
          <w:sz w:val="20"/>
          <w:szCs w:val="20"/>
          <w:color w:val="auto"/>
        </w:rPr>
      </w:pPr>
    </w:p>
    <w:p>
      <w:pPr>
        <w:ind w:right="440"/>
        <w:spacing w:after="0" w:line="232" w:lineRule="auto"/>
        <w:rPr>
          <w:sz w:val="20"/>
          <w:szCs w:val="20"/>
          <w:color w:val="auto"/>
        </w:rPr>
      </w:pPr>
      <w:r>
        <w:rPr>
          <w:rFonts w:ascii="Arial" w:cs="Arial" w:eastAsia="Arial" w:hAnsi="Arial"/>
          <w:sz w:val="22"/>
          <w:szCs w:val="22"/>
          <w:color w:val="auto"/>
        </w:rPr>
        <w:t>Borrower unless, prior to such time, Lenders comprising the Required Lenders have delivered to the Administrative Agent written notice that such Required Lenders object to such amendment.</w:t>
      </w:r>
    </w:p>
    <w:p>
      <w:pPr>
        <w:spacing w:after="0" w:line="199" w:lineRule="exact"/>
        <w:rPr>
          <w:sz w:val="20"/>
          <w:szCs w:val="20"/>
          <w:color w:val="auto"/>
        </w:rPr>
      </w:pPr>
    </w:p>
    <w:p>
      <w:pPr>
        <w:jc w:val="both"/>
        <w:ind w:right="20" w:firstLine="1288"/>
        <w:spacing w:after="0" w:line="216" w:lineRule="auto"/>
        <w:tabs>
          <w:tab w:leader="none" w:pos="1899" w:val="left"/>
        </w:tabs>
        <w:numPr>
          <w:ilvl w:val="0"/>
          <w:numId w:val="147"/>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Replacement of SOFR or SOFR Successor Rate. Notwithstanding anything to the contrary in this Agreement or any other Loan Document,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265" w:lineRule="exact"/>
        <w:rPr>
          <w:rFonts w:ascii="Arial" w:cs="Arial" w:eastAsia="Arial" w:hAnsi="Arial"/>
          <w:sz w:val="22"/>
          <w:szCs w:val="22"/>
          <w:u w:val="single" w:color="auto"/>
          <w:color w:val="0000FF"/>
        </w:rPr>
      </w:pPr>
    </w:p>
    <w:p>
      <w:pPr>
        <w:ind w:right="40" w:firstLine="1936"/>
        <w:spacing w:after="0" w:line="247" w:lineRule="auto"/>
        <w:tabs>
          <w:tab w:leader="none" w:pos="2553" w:val="left"/>
        </w:tabs>
        <w:numPr>
          <w:ilvl w:val="1"/>
          <w:numId w:val="147"/>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adequate and reasonable means do not exist for ascertaining SOFR because SOFR is not available or published on a current basis and such circumstances are unlikely to be temporary, or</w:t>
      </w:r>
    </w:p>
    <w:p>
      <w:pPr>
        <w:spacing w:after="0" w:line="177" w:lineRule="exact"/>
        <w:rPr>
          <w:rFonts w:ascii="Arial" w:cs="Arial" w:eastAsia="Arial" w:hAnsi="Arial"/>
          <w:sz w:val="21"/>
          <w:szCs w:val="21"/>
          <w:u w:val="single" w:color="auto"/>
          <w:color w:val="0000FF"/>
        </w:rPr>
      </w:pPr>
    </w:p>
    <w:p>
      <w:pPr>
        <w:jc w:val="both"/>
        <w:ind w:firstLine="1936"/>
        <w:spacing w:after="0"/>
        <w:tabs>
          <w:tab w:leader="none" w:pos="2545" w:val="left"/>
        </w:tabs>
        <w:numPr>
          <w:ilvl w:val="1"/>
          <w:numId w:val="147"/>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Applicable Authority has made a public statement identifying a specific date after which SOFR shall or will no longer be representative or made available, or permitted to be used for determining the interest rate of syndicated loans denominated in Dollars, or shall or will otherwise cease, provided that, in each case, at the time of such statement, there is no successor administrator that is satisfactory to the Administrative Agent that will continue to provide SOFR on a representative basis (the date on which SOFR is no longer representative or available permanently or indefinitely, the “SOFR Scheduled Unavailability Date”); or if the events or circumstances of the type described in Section 2.07(d)(i) or (ii) have occurred with respect to the SOFR Successor Rate then in effect, then the Administrative Agent and the Borrower may amend this Agreement solely for the purpose of replacing SOFR for Dollars or any then current SOFR Successor Rate for Dollars in accordance with this Section 2.07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(and any such proposed rate, including for the avoidance of doubt, any adjustment thereto, a “SOFR Successor Rate”, and collectively with the Non-SOFR Successor Rate, each a “Successor Rate”),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200" w:lineRule="exact"/>
        <w:rPr>
          <w:rFonts w:ascii="Arial" w:cs="Arial" w:eastAsia="Arial" w:hAnsi="Arial"/>
          <w:sz w:val="19"/>
          <w:szCs w:val="19"/>
          <w:u w:val="single" w:color="auto"/>
          <w:color w:val="0000FF"/>
        </w:rPr>
      </w:pPr>
    </w:p>
    <w:p>
      <w:pPr>
        <w:spacing w:after="0" w:line="227" w:lineRule="exact"/>
        <w:rPr>
          <w:rFonts w:ascii="Arial" w:cs="Arial" w:eastAsia="Arial" w:hAnsi="Arial"/>
          <w:sz w:val="19"/>
          <w:szCs w:val="19"/>
          <w:u w:val="single" w:color="auto"/>
          <w:color w:val="0000FF"/>
        </w:rPr>
      </w:pPr>
    </w:p>
    <w:p>
      <w:pPr>
        <w:jc w:val="both"/>
        <w:ind w:right="20" w:firstLine="1288"/>
        <w:spacing w:after="0" w:line="242" w:lineRule="auto"/>
        <w:tabs>
          <w:tab w:leader="none" w:pos="1900" w:val="left"/>
        </w:tabs>
        <w:numPr>
          <w:ilvl w:val="0"/>
          <w:numId w:val="147"/>
        </w:numPr>
        <w:rPr>
          <w:rFonts w:ascii="Arial" w:cs="Arial" w:eastAsia="Arial" w:hAnsi="Arial"/>
          <w:sz w:val="19"/>
          <w:szCs w:val="19"/>
          <w:u w:val="single" w:color="auto"/>
          <w:color w:val="auto"/>
        </w:rPr>
      </w:pPr>
      <w:r>
        <w:rPr>
          <w:rFonts w:ascii="Arial" w:cs="Arial" w:eastAsia="Arial" w:hAnsi="Arial"/>
          <w:sz w:val="19"/>
          <w:szCs w:val="19"/>
          <w:color w:val="auto"/>
        </w:rPr>
        <w:t xml:space="preserve">The Administrative Agent will promptly (in one or more notices) notify the Borrower and each Lender of the implementation of any Successor Rate. Any Successor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market practice is not administratively feasible for the Administrative Agent, such Successor Rate shall be applied in a manner as otherwise reasonably determined by the Administrative Agent </w:t>
      </w:r>
      <w:r>
        <w:rPr>
          <w:rFonts w:ascii="Arial" w:cs="Arial" w:eastAsia="Arial" w:hAnsi="Arial"/>
          <w:sz w:val="19"/>
          <w:szCs w:val="19"/>
          <w:u w:val="single" w:color="auto"/>
          <w:color w:val="0000FF"/>
        </w:rPr>
        <w:t>(in consultation with the Borrower)</w:t>
      </w:r>
      <w:r>
        <w:rPr>
          <w:rFonts w:ascii="Arial" w:cs="Arial" w:eastAsia="Arial" w:hAnsi="Arial"/>
          <w:sz w:val="19"/>
          <w:szCs w:val="19"/>
          <w:color w:val="auto"/>
        </w:rPr>
        <w:t xml:space="preserve">. Notwithstanding anything else herein, if at any time any Successor Rate as so determined would otherwise be less than zero percent (0%), the Successor Rate will be deemed to be zero percent (0%) for the purposes of this Agreement and the other Loan Documents. In connection with the implementation of a Successor Rate, the Administrative Agent will have the right to make Conforming Changes from time to time </w:t>
      </w:r>
      <w:r>
        <w:rPr>
          <w:rFonts w:ascii="Arial" w:cs="Arial" w:eastAsia="Arial" w:hAnsi="Arial"/>
          <w:sz w:val="19"/>
          <w:szCs w:val="19"/>
          <w:u w:val="single" w:color="auto"/>
          <w:color w:val="0000FF"/>
        </w:rPr>
        <w:t>(in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consultation with the Borrower)</w:t>
      </w:r>
      <w:r>
        <w:rPr>
          <w:rFonts w:ascii="Arial" w:cs="Arial" w:eastAsia="Arial" w:hAnsi="Arial"/>
          <w:sz w:val="19"/>
          <w:szCs w:val="19"/>
          <w:color w:val="0000FF"/>
        </w:rPr>
        <w:t xml:space="preserve"> </w:t>
      </w:r>
      <w:r>
        <w:rPr>
          <w:rFonts w:ascii="Arial" w:cs="Arial" w:eastAsia="Arial" w:hAnsi="Arial"/>
          <w:sz w:val="19"/>
          <w:szCs w:val="19"/>
          <w:color w:val="000000"/>
        </w:rPr>
        <w:t>and, notwithstanding anything to the contrary herein or in any other Loan Document,</w:t>
      </w:r>
      <w:r>
        <w:rPr>
          <w:rFonts w:ascii="Arial" w:cs="Arial" w:eastAsia="Arial" w:hAnsi="Arial"/>
          <w:sz w:val="19"/>
          <w:szCs w:val="19"/>
          <w:color w:val="0000FF"/>
        </w:rPr>
        <w:t xml:space="preserve"> </w:t>
      </w:r>
      <w:r>
        <w:rPr>
          <w:rFonts w:ascii="Arial" w:cs="Arial" w:eastAsia="Arial" w:hAnsi="Arial"/>
          <w:sz w:val="19"/>
          <w:szCs w:val="19"/>
          <w:color w:val="000000"/>
        </w:rPr>
        <w:t xml:space="preserve">any amendments implementing such Conforming Changes will become effective without any further action or consent of any other party to this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with respect to any such amendment effected, the Administrative Agent shall post each such amendment implementing such Conforming Changes to the Borrower and the Lenders reasonably promptly after such amendment becomes effective.</w:t>
      </w:r>
    </w:p>
    <w:p>
      <w:pPr>
        <w:sectPr>
          <w:pgSz w:w="11900" w:h="16838" w:orient="portrait"/>
          <w:cols w:equalWidth="0" w:num="1">
            <w:col w:w="10440"/>
          </w:cols>
          <w:pgMar w:left="1020" w:top="1440" w:right="439" w:bottom="1440" w:gutter="0" w:footer="0" w:header="0"/>
        </w:sectPr>
      </w:pPr>
    </w:p>
    <w:bookmarkStart w:id="172" w:name="page173"/>
    <w:bookmarkEnd w:id="172"/>
    <w:p>
      <w:pPr>
        <w:spacing w:after="0" w:line="158" w:lineRule="exact"/>
        <w:rPr>
          <w:sz w:val="20"/>
          <w:szCs w:val="20"/>
          <w:color w:val="auto"/>
        </w:rPr>
      </w:pPr>
    </w:p>
    <w:p>
      <w:pPr>
        <w:ind w:left="1280"/>
        <w:spacing w:after="0"/>
        <w:rPr>
          <w:sz w:val="20"/>
          <w:szCs w:val="20"/>
          <w:color w:val="auto"/>
        </w:rPr>
      </w:pPr>
      <w:r>
        <w:rPr>
          <w:rFonts w:ascii="Arial" w:cs="Arial" w:eastAsia="Arial" w:hAnsi="Arial"/>
          <w:sz w:val="22"/>
          <w:szCs w:val="22"/>
          <w:color w:val="FF0000"/>
          <w:strike w:val="1"/>
        </w:rPr>
        <w:t>(d) Notwithstanding anything to the contrary in this Agreement or any other Loan</w:t>
      </w:r>
    </w:p>
    <w:p>
      <w:pPr>
        <w:spacing w:after="0"/>
        <w:rPr>
          <w:sz w:val="20"/>
          <w:szCs w:val="20"/>
          <w:color w:val="auto"/>
        </w:rPr>
      </w:pPr>
      <w:r>
        <w:rPr>
          <w:rFonts w:ascii="Arial" w:cs="Arial" w:eastAsia="Arial" w:hAnsi="Arial"/>
          <w:sz w:val="22"/>
          <w:szCs w:val="22"/>
          <w:color w:val="FF0000"/>
          <w:strike w:val="1"/>
        </w:rPr>
        <w:t>Document:</w:t>
      </w:r>
    </w:p>
    <w:p>
      <w:pPr>
        <w:spacing w:after="0" w:line="196" w:lineRule="exact"/>
        <w:rPr>
          <w:sz w:val="20"/>
          <w:szCs w:val="20"/>
          <w:color w:val="auto"/>
        </w:rPr>
      </w:pPr>
    </w:p>
    <w:p>
      <w:pPr>
        <w:ind w:left="2540" w:hanging="604"/>
        <w:spacing w:after="0"/>
        <w:tabs>
          <w:tab w:leader="none" w:pos="2540" w:val="left"/>
        </w:tabs>
        <w:numPr>
          <w:ilvl w:val="0"/>
          <w:numId w:val="148"/>
        </w:numPr>
        <w:rPr>
          <w:rFonts w:ascii="Arial" w:cs="Arial" w:eastAsia="Arial" w:hAnsi="Arial"/>
          <w:sz w:val="22"/>
          <w:szCs w:val="22"/>
          <w:color w:val="FF0000"/>
          <w:strike w:val="1"/>
        </w:rPr>
      </w:pPr>
      <w:r>
        <w:rPr>
          <w:rFonts w:ascii="Arial" w:cs="Arial" w:eastAsia="Arial" w:hAnsi="Arial"/>
          <w:sz w:val="22"/>
          <w:szCs w:val="22"/>
          <w:color w:val="FF0000"/>
          <w:strike w:val="1"/>
        </w:rPr>
        <w:t>On March 5, 2021 the Financial Conduct Authority (“</w:t>
      </w:r>
      <w:r>
        <w:rPr>
          <w:rFonts w:ascii="Arial" w:cs="Arial" w:eastAsia="Arial" w:hAnsi="Arial"/>
          <w:sz w:val="22"/>
          <w:szCs w:val="22"/>
          <w:u w:val="single" w:color="auto"/>
          <w:color w:val="FF0000"/>
          <w:strike w:val="1"/>
        </w:rPr>
        <w:t>FCA</w:t>
      </w:r>
      <w:r>
        <w:rPr>
          <w:rFonts w:ascii="Arial" w:cs="Arial" w:eastAsia="Arial" w:hAnsi="Arial"/>
          <w:sz w:val="22"/>
          <w:szCs w:val="22"/>
          <w:color w:val="FF0000"/>
          <w:strike w:val="1"/>
        </w:rPr>
        <w:t>”), the</w:t>
      </w:r>
    </w:p>
    <w:p>
      <w:pPr>
        <w:jc w:val="both"/>
        <w:ind w:right="20"/>
        <w:spacing w:after="0" w:line="218" w:lineRule="auto"/>
        <w:rPr>
          <w:sz w:val="20"/>
          <w:szCs w:val="20"/>
          <w:color w:val="auto"/>
        </w:rPr>
      </w:pPr>
      <w:r>
        <w:rPr>
          <w:rFonts w:ascii="Arial" w:cs="Arial" w:eastAsia="Arial" w:hAnsi="Arial"/>
          <w:sz w:val="21"/>
          <w:szCs w:val="21"/>
          <w:color w:val="FF0000"/>
          <w:strike w:val="1"/>
        </w:rPr>
        <w:t>regulatory supervisor of LIBOR’s administrator (“</w:t>
      </w:r>
      <w:r>
        <w:rPr>
          <w:rFonts w:ascii="Arial" w:cs="Arial" w:eastAsia="Arial" w:hAnsi="Arial"/>
          <w:sz w:val="21"/>
          <w:szCs w:val="21"/>
          <w:u w:val="single" w:color="auto"/>
          <w:color w:val="FF0000"/>
          <w:strike w:val="1"/>
        </w:rPr>
        <w:t>IBA</w:t>
      </w:r>
      <w:r>
        <w:rPr>
          <w:rFonts w:ascii="Arial" w:cs="Arial" w:eastAsia="Arial" w:hAnsi="Arial"/>
          <w:sz w:val="21"/>
          <w:szCs w:val="21"/>
          <w:color w:val="FF0000"/>
          <w:strike w:val="1"/>
        </w:rPr>
        <w:t>”), announced in a public statement the future cessation or loss of representativeness of overnight/Spot Next, 1-week, 1-month, 2-month, 3-month, 6-month and 12-month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192" w:lineRule="exact"/>
        <w:rPr>
          <w:sz w:val="20"/>
          <w:szCs w:val="20"/>
          <w:color w:val="auto"/>
        </w:rPr>
      </w:pPr>
    </w:p>
    <w:p>
      <w:pPr>
        <w:jc w:val="both"/>
        <w:ind w:firstLine="1936"/>
        <w:spacing w:after="0" w:line="229" w:lineRule="auto"/>
        <w:tabs>
          <w:tab w:leader="none" w:pos="2545" w:val="left"/>
        </w:tabs>
        <w:numPr>
          <w:ilvl w:val="0"/>
          <w:numId w:val="149"/>
        </w:numPr>
        <w:rPr>
          <w:rFonts w:ascii="Arial" w:cs="Arial" w:eastAsia="Arial" w:hAnsi="Arial"/>
          <w:sz w:val="20"/>
          <w:szCs w:val="20"/>
          <w:color w:val="FF0000"/>
          <w:strike w:val="1"/>
        </w:rPr>
      </w:pPr>
      <w:r>
        <w:rPr>
          <w:rFonts w:ascii="Arial" w:cs="Arial" w:eastAsia="Arial" w:hAnsi="Arial"/>
          <w:sz w:val="20"/>
          <w:szCs w:val="20"/>
          <w:color w:val="FF0000"/>
          <w:strike w:val="1"/>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w:t>
      </w:r>
      <w:r>
        <w:rPr>
          <w:rFonts w:ascii="Arial" w:cs="Arial" w:eastAsia="Arial" w:hAnsi="Arial"/>
          <w:sz w:val="12"/>
          <w:szCs w:val="12"/>
          <w:color w:val="FF0000"/>
          <w:strike w:val="1"/>
        </w:rPr>
        <w:t>th</w:t>
      </w:r>
      <w:r>
        <w:rPr>
          <w:rFonts w:ascii="Arial" w:cs="Arial" w:eastAsia="Arial" w:hAnsi="Arial"/>
          <w:sz w:val="20"/>
          <w:szCs w:val="20"/>
          <w:color w:val="FF0000"/>
          <w:strike w:val="1"/>
        </w:rPr>
        <w:t xml:space="preserve">)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20"/>
          <w:szCs w:val="20"/>
          <w:u w:val="single" w:color="auto"/>
          <w:color w:val="FF0000"/>
          <w:strike w:val="1"/>
        </w:rPr>
        <w:t>provided</w:t>
      </w:r>
      <w:r>
        <w:rPr>
          <w:rFonts w:ascii="Arial" w:cs="Arial" w:eastAsia="Arial" w:hAnsi="Arial"/>
          <w:sz w:val="20"/>
          <w:szCs w:val="20"/>
          <w:color w:val="FF0000"/>
          <w:strike w:val="1"/>
        </w:rPr>
        <w:t xml:space="preserve"> 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 (y) 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204" w:lineRule="exact"/>
        <w:rPr>
          <w:rFonts w:ascii="Arial" w:cs="Arial" w:eastAsia="Arial" w:hAnsi="Arial"/>
          <w:sz w:val="20"/>
          <w:szCs w:val="20"/>
          <w:color w:val="FF0000"/>
          <w:strike w:val="1"/>
        </w:rPr>
      </w:pPr>
    </w:p>
    <w:p>
      <w:pPr>
        <w:ind w:right="40" w:firstLine="1936"/>
        <w:spacing w:after="0" w:line="232" w:lineRule="auto"/>
        <w:tabs>
          <w:tab w:leader="none" w:pos="2551" w:val="left"/>
        </w:tabs>
        <w:numPr>
          <w:ilvl w:val="0"/>
          <w:numId w:val="149"/>
        </w:numPr>
        <w:rPr>
          <w:rFonts w:ascii="Arial" w:cs="Arial" w:eastAsia="Arial" w:hAnsi="Arial"/>
          <w:sz w:val="22"/>
          <w:szCs w:val="22"/>
          <w:color w:val="FF0000"/>
          <w:strike w:val="1"/>
        </w:rPr>
      </w:pPr>
      <w:r>
        <w:rPr>
          <w:rFonts w:ascii="Arial" w:cs="Arial" w:eastAsia="Arial" w:hAnsi="Arial"/>
          <w:sz w:val="22"/>
          <w:szCs w:val="22"/>
          <w:color w:val="FF0000"/>
          <w:strike w:val="1"/>
        </w:rPr>
        <w:t>At any time that the administrator of the then-current Benchmark has permanently or indefinitely ceased to provide such Benchmark or such Benchmark has been</w:t>
      </w:r>
    </w:p>
    <w:p>
      <w:pPr>
        <w:sectPr>
          <w:pgSz w:w="11900" w:h="16838" w:orient="portrait"/>
          <w:cols w:equalWidth="0" w:num="1">
            <w:col w:w="10440"/>
          </w:cols>
          <w:pgMar w:left="1020" w:top="1440" w:right="439" w:bottom="1440" w:gutter="0" w:footer="0" w:header="0"/>
        </w:sectPr>
      </w:pPr>
    </w:p>
    <w:bookmarkStart w:id="173" w:name="page174"/>
    <w:bookmarkEnd w:id="173"/>
    <w:p>
      <w:pPr>
        <w:jc w:val="both"/>
        <w:ind w:left="8" w:right="60"/>
        <w:spacing w:after="0" w:line="221" w:lineRule="auto"/>
        <w:rPr>
          <w:sz w:val="20"/>
          <w:szCs w:val="20"/>
          <w:color w:val="auto"/>
        </w:rPr>
      </w:pPr>
      <w:r>
        <w:rPr>
          <w:rFonts w:ascii="Arial" w:cs="Arial" w:eastAsia="Arial" w:hAnsi="Arial"/>
          <w:sz w:val="21"/>
          <w:szCs w:val="21"/>
          <w:color w:val="FF0000"/>
          <w:strike w:val="1"/>
        </w:rPr>
        <w:t>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99" w:lineRule="exact"/>
        <w:rPr>
          <w:sz w:val="20"/>
          <w:szCs w:val="20"/>
          <w:color w:val="auto"/>
        </w:rPr>
      </w:pPr>
    </w:p>
    <w:p>
      <w:pPr>
        <w:jc w:val="both"/>
        <w:ind w:left="8" w:right="40" w:firstLine="1936"/>
        <w:spacing w:after="0" w:line="216" w:lineRule="auto"/>
        <w:tabs>
          <w:tab w:leader="none" w:pos="2561" w:val="left"/>
        </w:tabs>
        <w:numPr>
          <w:ilvl w:val="0"/>
          <w:numId w:val="150"/>
        </w:numPr>
        <w:rPr>
          <w:rFonts w:ascii="Arial" w:cs="Arial" w:eastAsia="Arial" w:hAnsi="Arial"/>
          <w:sz w:val="22"/>
          <w:szCs w:val="22"/>
          <w:color w:val="FF0000"/>
          <w:strike w:val="1"/>
        </w:rPr>
      </w:pPr>
      <w:r>
        <w:rPr>
          <w:rFonts w:ascii="Arial" w:cs="Arial" w:eastAsia="Arial" w:hAnsi="Arial"/>
          <w:sz w:val="22"/>
          <w:szCs w:val="22"/>
          <w:color w:val="FF0000"/>
          <w:strike w:val="1"/>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4" w:lineRule="exact"/>
        <w:rPr>
          <w:rFonts w:ascii="Arial" w:cs="Arial" w:eastAsia="Arial" w:hAnsi="Arial"/>
          <w:sz w:val="22"/>
          <w:szCs w:val="22"/>
          <w:color w:val="FF0000"/>
          <w:strike w:val="1"/>
        </w:rPr>
      </w:pPr>
    </w:p>
    <w:p>
      <w:pPr>
        <w:jc w:val="both"/>
        <w:ind w:left="8" w:right="60" w:firstLine="1936"/>
        <w:spacing w:after="0" w:line="247" w:lineRule="auto"/>
        <w:tabs>
          <w:tab w:leader="none" w:pos="2555" w:val="left"/>
        </w:tabs>
        <w:numPr>
          <w:ilvl w:val="0"/>
          <w:numId w:val="150"/>
        </w:numPr>
        <w:rPr>
          <w:rFonts w:ascii="Arial" w:cs="Arial" w:eastAsia="Arial" w:hAnsi="Arial"/>
          <w:sz w:val="19"/>
          <w:szCs w:val="19"/>
          <w:color w:val="FF0000"/>
          <w:strike w:val="1"/>
        </w:rPr>
      </w:pPr>
      <w:r>
        <w:rPr>
          <w:rFonts w:ascii="Arial" w:cs="Arial" w:eastAsia="Arial" w:hAnsi="Arial"/>
          <w:sz w:val="19"/>
          <w:szCs w:val="19"/>
          <w:color w:val="FF0000"/>
          <w:strike w:val="1"/>
        </w:rPr>
        <w:t>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Section 2.07(d),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2.07(d).</w:t>
      </w:r>
    </w:p>
    <w:p>
      <w:pPr>
        <w:spacing w:after="0" w:line="194" w:lineRule="exact"/>
        <w:rPr>
          <w:rFonts w:ascii="Arial" w:cs="Arial" w:eastAsia="Arial" w:hAnsi="Arial"/>
          <w:sz w:val="19"/>
          <w:szCs w:val="19"/>
          <w:color w:val="FF0000"/>
          <w:strike w:val="1"/>
        </w:rPr>
      </w:pPr>
    </w:p>
    <w:p>
      <w:pPr>
        <w:jc w:val="both"/>
        <w:ind w:left="8" w:right="40" w:firstLine="1936"/>
        <w:spacing w:after="0" w:line="216" w:lineRule="auto"/>
        <w:tabs>
          <w:tab w:leader="none" w:pos="2561" w:val="left"/>
        </w:tabs>
        <w:numPr>
          <w:ilvl w:val="0"/>
          <w:numId w:val="150"/>
        </w:numPr>
        <w:rPr>
          <w:rFonts w:ascii="Arial" w:cs="Arial" w:eastAsia="Arial" w:hAnsi="Arial"/>
          <w:sz w:val="22"/>
          <w:szCs w:val="22"/>
          <w:color w:val="FF0000"/>
          <w:strike w:val="1"/>
        </w:rPr>
      </w:pPr>
      <w:r>
        <w:rPr>
          <w:rFonts w:ascii="Arial" w:cs="Arial" w:eastAsia="Arial" w:hAnsi="Arial"/>
          <w:sz w:val="22"/>
          <w:szCs w:val="22"/>
          <w:color w:val="FF0000"/>
          <w:strike w:val="1"/>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98" w:lineRule="exact"/>
        <w:rPr>
          <w:sz w:val="20"/>
          <w:szCs w:val="20"/>
          <w:color w:val="auto"/>
        </w:rPr>
      </w:pPr>
    </w:p>
    <w:p>
      <w:pPr>
        <w:ind w:left="648"/>
        <w:spacing w:after="0"/>
        <w:tabs>
          <w:tab w:leader="none" w:pos="2188"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Termination and Reduction of Commitments</w:t>
      </w:r>
      <w:r>
        <w:rPr>
          <w:rFonts w:ascii="Arial" w:cs="Arial" w:eastAsia="Arial" w:hAnsi="Arial"/>
          <w:sz w:val="19"/>
          <w:szCs w:val="19"/>
          <w:color w:val="auto"/>
        </w:rPr>
        <w:t>.</w:t>
      </w:r>
    </w:p>
    <w:p>
      <w:pPr>
        <w:spacing w:after="0" w:line="206" w:lineRule="exact"/>
        <w:rPr>
          <w:sz w:val="20"/>
          <w:szCs w:val="20"/>
          <w:color w:val="auto"/>
        </w:rPr>
      </w:pPr>
    </w:p>
    <w:p>
      <w:pPr>
        <w:ind w:left="8" w:right="60" w:firstLine="1288"/>
        <w:spacing w:after="0" w:line="232" w:lineRule="auto"/>
        <w:tabs>
          <w:tab w:leader="none" w:pos="1908" w:val="left"/>
        </w:tabs>
        <w:numPr>
          <w:ilvl w:val="1"/>
          <w:numId w:val="151"/>
        </w:numPr>
        <w:rPr>
          <w:rFonts w:ascii="Arial" w:cs="Arial" w:eastAsia="Arial" w:hAnsi="Arial"/>
          <w:sz w:val="22"/>
          <w:szCs w:val="22"/>
          <w:color w:val="auto"/>
        </w:rPr>
      </w:pPr>
      <w:r>
        <w:rPr>
          <w:rFonts w:ascii="Arial" w:cs="Arial" w:eastAsia="Arial" w:hAnsi="Arial"/>
          <w:sz w:val="22"/>
          <w:szCs w:val="22"/>
          <w:color w:val="auto"/>
        </w:rPr>
        <w:t>Unless previously terminated, all Revolving Commitments of any Class shall terminate on the Revolving Credit Maturity Date with respect to such Class.</w:t>
      </w:r>
    </w:p>
    <w:p>
      <w:pPr>
        <w:spacing w:after="0" w:line="199" w:lineRule="exact"/>
        <w:rPr>
          <w:rFonts w:ascii="Arial" w:cs="Arial" w:eastAsia="Arial" w:hAnsi="Arial"/>
          <w:sz w:val="22"/>
          <w:szCs w:val="22"/>
          <w:color w:val="auto"/>
        </w:rPr>
      </w:pPr>
    </w:p>
    <w:p>
      <w:pPr>
        <w:jc w:val="both"/>
        <w:ind w:left="8" w:firstLine="1288"/>
        <w:spacing w:after="0" w:line="243" w:lineRule="auto"/>
        <w:tabs>
          <w:tab w:leader="none" w:pos="1907"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The Borrower may at any time terminate, or from time to time reduce,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reduction of the Revolving Commitments shall be in an amount that is an integral multiple of $1,000,000 and not less than $1,000,000 (or, if less, the remaining amount of the Revolving Commitments),</w:t>
      </w:r>
    </w:p>
    <w:p>
      <w:pPr>
        <w:spacing w:after="0" w:line="2" w:lineRule="exact"/>
        <w:rPr>
          <w:rFonts w:ascii="Arial" w:cs="Arial" w:eastAsia="Arial" w:hAnsi="Arial"/>
          <w:sz w:val="19"/>
          <w:szCs w:val="19"/>
          <w:color w:val="auto"/>
        </w:rPr>
      </w:pPr>
    </w:p>
    <w:p>
      <w:pPr>
        <w:ind w:left="8" w:hanging="8"/>
        <w:spacing w:after="0" w:line="224" w:lineRule="auto"/>
        <w:tabs>
          <w:tab w:leader="none" w:pos="35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Borrower shall not terminate or reduce the Revolving Commitments if, after giving effect to any concurrent prepayment of the</w:t>
      </w:r>
    </w:p>
    <w:p>
      <w:pPr>
        <w:sectPr>
          <w:pgSz w:w="11900" w:h="16838" w:orient="portrait"/>
          <w:cols w:equalWidth="0" w:num="1">
            <w:col w:w="10448"/>
          </w:cols>
          <w:pgMar w:left="1012" w:top="1401" w:right="439" w:bottom="1440" w:gutter="0" w:footer="0" w:header="0"/>
        </w:sectPr>
      </w:pPr>
    </w:p>
    <w:bookmarkStart w:id="174" w:name="page175"/>
    <w:bookmarkEnd w:id="174"/>
    <w:p>
      <w:pPr>
        <w:ind w:left="8" w:right="40"/>
        <w:spacing w:after="0" w:line="232" w:lineRule="auto"/>
        <w:rPr>
          <w:sz w:val="20"/>
          <w:szCs w:val="20"/>
          <w:color w:val="auto"/>
        </w:rPr>
      </w:pPr>
      <w:r>
        <w:rPr>
          <w:rFonts w:ascii="Arial" w:cs="Arial" w:eastAsia="Arial" w:hAnsi="Arial"/>
          <w:sz w:val="22"/>
          <w:szCs w:val="22"/>
          <w:color w:val="auto"/>
        </w:rPr>
        <w:t>Loans in accordance with Section 2.10, the total Revolving Credit Exposures would exceed the total Revolving Commitments.</w:t>
      </w:r>
    </w:p>
    <w:p>
      <w:pPr>
        <w:spacing w:after="0" w:line="199" w:lineRule="exact"/>
        <w:rPr>
          <w:sz w:val="20"/>
          <w:szCs w:val="20"/>
          <w:color w:val="auto"/>
        </w:rPr>
      </w:pPr>
    </w:p>
    <w:p>
      <w:pPr>
        <w:jc w:val="both"/>
        <w:ind w:left="8" w:right="20" w:firstLine="1288"/>
        <w:spacing w:after="0" w:line="219" w:lineRule="auto"/>
        <w:tabs>
          <w:tab w:leader="none" w:pos="1908"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The Borrower shall notify the Administrative Agent by telephone (confirmed by telecopy or transmission by electronic communication in accordance with Section 9.01(b)) of any election to terminate or reduce the Revolving Commitments under paragraph (b) of this Section not later than 12:00 p.m.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of the Revolving Commitments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Any termination or reduction of the Revolving Commitments shall be permanent. Each reduction of the Commitments shall be made ratably among the Lenders in accordance with their respective Commitments.</w:t>
      </w:r>
    </w:p>
    <w:p>
      <w:pPr>
        <w:spacing w:after="0" w:line="191" w:lineRule="exact"/>
        <w:rPr>
          <w:sz w:val="20"/>
          <w:szCs w:val="20"/>
          <w:color w:val="auto"/>
        </w:rPr>
      </w:pPr>
    </w:p>
    <w:p>
      <w:pPr>
        <w:ind w:left="648"/>
        <w:spacing w:after="0"/>
        <w:tabs>
          <w:tab w:leader="none" w:pos="2188"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220" w:lineRule="exact"/>
        <w:rPr>
          <w:sz w:val="20"/>
          <w:szCs w:val="20"/>
          <w:color w:val="auto"/>
        </w:rPr>
      </w:pPr>
    </w:p>
    <w:p>
      <w:pPr>
        <w:jc w:val="both"/>
        <w:ind w:left="8" w:right="20" w:firstLine="1288"/>
        <w:spacing w:after="0" w:line="246" w:lineRule="auto"/>
        <w:tabs>
          <w:tab w:leader="none" w:pos="1908"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The Borrower hereby unconditionally promises to pay (i) to the Administrative Agent for the account of each Lender the then unpaid principal amount of each Revolving Loan of any Class made to the Borrower on the Revolving Credit Maturity Date with respect to such Class in the currency of such Loan and (ii) to the Swingline Lender the then unpaid principal amount of each Swingline Loan on the earlier of the initial Revolving Credit Maturity Date (or such later Revolving Credit Maturity Date as agreed by the Swingline Lender in connection with any Revolving Extension Amendment) and the first date after such Swingline Loan is made that is the 15th or last day of a calendar month and is at least three (3) Business Days after such Swingline Loan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each date that a Revolving Loan is made, the Borrower shall repay all Swingline Loans then outstanding.</w:t>
      </w:r>
    </w:p>
    <w:p>
      <w:pPr>
        <w:spacing w:after="0" w:line="192" w:lineRule="exact"/>
        <w:rPr>
          <w:rFonts w:ascii="Arial" w:cs="Arial" w:eastAsia="Arial" w:hAnsi="Arial"/>
          <w:sz w:val="19"/>
          <w:szCs w:val="19"/>
          <w:color w:val="auto"/>
        </w:rPr>
      </w:pPr>
    </w:p>
    <w:p>
      <w:pPr>
        <w:jc w:val="both"/>
        <w:ind w:left="8" w:right="20" w:firstLine="1288"/>
        <w:spacing w:after="0" w:line="234" w:lineRule="auto"/>
        <w:tabs>
          <w:tab w:leader="none" w:pos="1907" w:val="left"/>
        </w:tabs>
        <w:numPr>
          <w:ilvl w:val="1"/>
          <w:numId w:val="154"/>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5" w:lineRule="exact"/>
        <w:rPr>
          <w:rFonts w:ascii="Arial" w:cs="Arial" w:eastAsia="Arial" w:hAnsi="Arial"/>
          <w:sz w:val="21"/>
          <w:szCs w:val="21"/>
          <w:color w:val="auto"/>
        </w:rPr>
      </w:pPr>
    </w:p>
    <w:p>
      <w:pPr>
        <w:ind w:left="1948" w:hanging="652"/>
        <w:spacing w:after="0"/>
        <w:tabs>
          <w:tab w:leader="none" w:pos="1948"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Administrative Agent shall maintain accounts in which it shall record</w:t>
      </w:r>
    </w:p>
    <w:p>
      <w:pPr>
        <w:jc w:val="both"/>
        <w:ind w:left="8" w:hanging="8"/>
        <w:spacing w:after="0" w:line="214" w:lineRule="auto"/>
        <w:tabs>
          <w:tab w:leader="none" w:pos="61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amount of each Loan made hereunder, the currency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1" w:lineRule="exact"/>
        <w:rPr>
          <w:rFonts w:ascii="Arial" w:cs="Arial" w:eastAsia="Arial" w:hAnsi="Arial"/>
          <w:sz w:val="22"/>
          <w:szCs w:val="22"/>
          <w:color w:val="auto"/>
        </w:rPr>
      </w:pPr>
    </w:p>
    <w:p>
      <w:pPr>
        <w:ind w:left="1948" w:hanging="652"/>
        <w:spacing w:after="0"/>
        <w:tabs>
          <w:tab w:leader="none" w:pos="1948"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entries made in the accounts maintained pursuant to paragraph (b) or</w:t>
      </w:r>
    </w:p>
    <w:p>
      <w:pPr>
        <w:ind w:left="8" w:right="20" w:hanging="8"/>
        <w:spacing w:after="0" w:line="224" w:lineRule="auto"/>
        <w:tabs>
          <w:tab w:leader="none" w:pos="30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of this Section shall be prima facie evidence of the existence and amounts of the obligations recorded therein absent manifest error;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w:t>
      </w:r>
    </w:p>
    <w:p>
      <w:pPr>
        <w:sectPr>
          <w:pgSz w:w="11900" w:h="16838" w:orient="portrait"/>
          <w:cols w:equalWidth="0" w:num="1">
            <w:col w:w="10448"/>
          </w:cols>
          <w:pgMar w:left="1012" w:top="1401" w:right="439" w:bottom="1440" w:gutter="0" w:footer="0" w:header="0"/>
        </w:sectPr>
      </w:pPr>
    </w:p>
    <w:bookmarkStart w:id="175" w:name="page176"/>
    <w:bookmarkEnd w:id="175"/>
    <w:p>
      <w:pPr>
        <w:ind w:right="20"/>
        <w:spacing w:after="0" w:line="232" w:lineRule="auto"/>
        <w:rPr>
          <w:sz w:val="20"/>
          <w:szCs w:val="20"/>
          <w:color w:val="auto"/>
        </w:rPr>
      </w:pPr>
      <w:r>
        <w:rPr>
          <w:rFonts w:ascii="Arial" w:cs="Arial" w:eastAsia="Arial" w:hAnsi="Arial"/>
          <w:sz w:val="22"/>
          <w:szCs w:val="22"/>
          <w:color w:val="auto"/>
        </w:rPr>
        <w:t>Administrative Agent to maintain such accounts or any error therein shall not in any manner affect the obligation of the Borrower to repay the Loans in accordance with the terms of this Agreement.</w:t>
      </w:r>
    </w:p>
    <w:p>
      <w:pPr>
        <w:spacing w:after="0" w:line="267" w:lineRule="exact"/>
        <w:rPr>
          <w:sz w:val="20"/>
          <w:szCs w:val="20"/>
          <w:color w:val="auto"/>
        </w:rPr>
      </w:pPr>
    </w:p>
    <w:p>
      <w:pPr>
        <w:jc w:val="both"/>
        <w:ind w:firstLine="1288"/>
        <w:spacing w:after="0" w:line="252" w:lineRule="auto"/>
        <w:tabs>
          <w:tab w:leader="none" w:pos="159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Any Lender may request that Loans made by it be evidenced by promissory notes. In such event, the Borrower shall prepare, execute and deliver to such Lender promissory notes payable to such Lender and its registered assigns and in a form approved by the 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189"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Prepayment of Loans</w:t>
      </w:r>
      <w:r>
        <w:rPr>
          <w:rFonts w:ascii="Arial" w:cs="Arial" w:eastAsia="Arial" w:hAnsi="Arial"/>
          <w:sz w:val="19"/>
          <w:szCs w:val="19"/>
          <w:color w:val="auto"/>
        </w:rPr>
        <w:t>.</w:t>
      </w:r>
    </w:p>
    <w:p>
      <w:pPr>
        <w:spacing w:after="0" w:line="220" w:lineRule="exact"/>
        <w:rPr>
          <w:sz w:val="20"/>
          <w:szCs w:val="20"/>
          <w:color w:val="auto"/>
        </w:rPr>
      </w:pPr>
    </w:p>
    <w:p>
      <w:pPr>
        <w:jc w:val="both"/>
        <w:ind w:right="80" w:firstLine="1288"/>
        <w:spacing w:after="0" w:line="268" w:lineRule="auto"/>
        <w:tabs>
          <w:tab w:leader="none" w:pos="1900"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Optional Prepayments</w:t>
      </w:r>
      <w:r>
        <w:rPr>
          <w:rFonts w:ascii="Arial" w:cs="Arial" w:eastAsia="Arial" w:hAnsi="Arial"/>
          <w:sz w:val="19"/>
          <w:szCs w:val="19"/>
          <w:color w:val="auto"/>
        </w:rPr>
        <w:t>. (i) The Borrower shall have the right at any time and from time to time to prepay any Borrowing in whole or in part, without premium or penalty, subject to prior notice given in accordance with paragraph (a)(ii) of this Section, or otherwise in form and substance reasonably acceptable to the Administrative Agent.</w:t>
      </w:r>
    </w:p>
    <w:p>
      <w:pPr>
        <w:spacing w:after="0" w:line="159" w:lineRule="exact"/>
        <w:rPr>
          <w:sz w:val="20"/>
          <w:szCs w:val="20"/>
          <w:color w:val="auto"/>
        </w:rPr>
      </w:pPr>
    </w:p>
    <w:p>
      <w:pPr>
        <w:jc w:val="both"/>
        <w:ind w:left="640" w:right="20" w:firstLine="648"/>
        <w:spacing w:after="0" w:line="219" w:lineRule="auto"/>
        <w:tabs>
          <w:tab w:leader="none" w:pos="1889" w:val="left"/>
        </w:tabs>
        <w:numPr>
          <w:ilvl w:val="1"/>
          <w:numId w:val="159"/>
        </w:numPr>
        <w:rPr>
          <w:rFonts w:ascii="Arial" w:cs="Arial" w:eastAsia="Arial" w:hAnsi="Arial"/>
          <w:sz w:val="21"/>
          <w:szCs w:val="21"/>
          <w:color w:val="auto"/>
        </w:rPr>
      </w:pPr>
      <w:r>
        <w:rPr>
          <w:rFonts w:ascii="Arial" w:cs="Arial" w:eastAsia="Arial" w:hAnsi="Arial"/>
          <w:sz w:val="21"/>
          <w:szCs w:val="21"/>
          <w:color w:val="auto"/>
        </w:rPr>
        <w:t xml:space="preserve">The Borrower shall notify the Administrative Agent (and, in the case of prepayment of a Swingline Loan, the Swingline Lender) by telephone (confirmed by telecopy or transmission by electronic communication in accordance with Section 9.01(b)) of any prepayment hereunder (i) (x) in the case of prepayment of a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Term SOFR</w:t>
      </w:r>
      <w:r>
        <w:rPr>
          <w:rFonts w:ascii="Arial" w:cs="Arial" w:eastAsia="Arial" w:hAnsi="Arial"/>
          <w:sz w:val="21"/>
          <w:szCs w:val="21"/>
          <w:color w:val="auto"/>
        </w:rPr>
        <w:t xml:space="preserve"> Borrowing, not later than 2:00 p.m. New York City time, three</w:t>
      </w:r>
    </w:p>
    <w:p>
      <w:pPr>
        <w:ind w:left="640" w:right="20"/>
        <w:spacing w:after="0"/>
        <w:tabs>
          <w:tab w:leader="none" w:pos="1243" w:val="left"/>
        </w:tabs>
        <w:numPr>
          <w:ilvl w:val="0"/>
          <w:numId w:val="160"/>
        </w:numPr>
        <w:rPr>
          <w:rFonts w:ascii="Arial" w:cs="Arial" w:eastAsia="Arial" w:hAnsi="Arial"/>
          <w:sz w:val="19"/>
          <w:szCs w:val="19"/>
          <w:color w:val="auto"/>
          <w:strike w:val="1"/>
        </w:rPr>
      </w:pPr>
      <w:r>
        <w:rPr>
          <w:rFonts w:ascii="Arial" w:cs="Arial" w:eastAsia="Arial" w:hAnsi="Arial"/>
          <w:sz w:val="19"/>
          <w:szCs w:val="19"/>
          <w:color w:val="auto"/>
        </w:rPr>
        <w:t xml:space="preserve">Business Days before the date of prepayment, or (y) four Business Days (or five, in the case of prepayment of Loans denominated in Special Notice Currencies) prior to any date of prepayment of Alternative Currency Loans, (ii) in the case of prepayment of a Base Rate Borrowing and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Daily Floating Rate Loans, not later than noon, New York City time, on the date of prepayment or (iii) in the case of prepayment of a Swingline Loan, not later than 2:00 p.m., New York City time on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notice of prepayment. Prepayments pursuant to this Section 2.10(a) shall be accompanied by accrued interest to the extent required by Section 2.12 and shall be subject to Section 2.15.</w:t>
      </w:r>
    </w:p>
    <w:p>
      <w:pPr>
        <w:spacing w:after="0" w:line="200" w:lineRule="exact"/>
        <w:rPr>
          <w:rFonts w:ascii="Arial" w:cs="Arial" w:eastAsia="Arial" w:hAnsi="Arial"/>
          <w:sz w:val="19"/>
          <w:szCs w:val="19"/>
          <w:color w:val="auto"/>
          <w:strike w:val="1"/>
        </w:rPr>
      </w:pPr>
    </w:p>
    <w:p>
      <w:pPr>
        <w:spacing w:after="0" w:line="219" w:lineRule="exact"/>
        <w:rPr>
          <w:rFonts w:ascii="Arial" w:cs="Arial" w:eastAsia="Arial" w:hAnsi="Arial"/>
          <w:sz w:val="19"/>
          <w:szCs w:val="19"/>
          <w:color w:val="auto"/>
          <w:strike w:val="1"/>
        </w:rPr>
      </w:pPr>
    </w:p>
    <w:p>
      <w:pPr>
        <w:ind w:left="1940" w:hanging="652"/>
        <w:spacing w:after="0"/>
        <w:tabs>
          <w:tab w:leader="none" w:pos="1940"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Mandatory Prepayment</w:t>
      </w:r>
      <w:r>
        <w:rPr>
          <w:rFonts w:ascii="Arial" w:cs="Arial" w:eastAsia="Arial" w:hAnsi="Arial"/>
          <w:sz w:val="22"/>
          <w:szCs w:val="22"/>
          <w:color w:val="auto"/>
        </w:rPr>
        <w:t>.</w:t>
      </w:r>
    </w:p>
    <w:p>
      <w:pPr>
        <w:spacing w:after="0" w:line="220" w:lineRule="exact"/>
        <w:rPr>
          <w:sz w:val="20"/>
          <w:szCs w:val="20"/>
          <w:color w:val="auto"/>
        </w:rPr>
      </w:pPr>
    </w:p>
    <w:p>
      <w:pPr>
        <w:ind w:right="40" w:firstLine="1296"/>
        <w:spacing w:after="0" w:line="232" w:lineRule="auto"/>
        <w:rPr>
          <w:sz w:val="20"/>
          <w:szCs w:val="20"/>
          <w:color w:val="auto"/>
        </w:rPr>
      </w:pPr>
      <w:r>
        <w:rPr>
          <w:rFonts w:ascii="Arial" w:cs="Arial" w:eastAsia="Arial" w:hAnsi="Arial"/>
          <w:sz w:val="22"/>
          <w:szCs w:val="22"/>
          <w:color w:val="auto"/>
        </w:rPr>
        <w:t>If the Administrative Agent notifies the Borrower at any time that the Revolving Credit Exposure at such time exceeds an amount equal to 105% of the Revolving Commitments</w:t>
      </w:r>
    </w:p>
    <w:p>
      <w:pPr>
        <w:sectPr>
          <w:pgSz w:w="11900" w:h="16838" w:orient="portrait"/>
          <w:cols w:equalWidth="0" w:num="1">
            <w:col w:w="10420"/>
          </w:cols>
          <w:pgMar w:left="1020" w:top="1401" w:right="459" w:bottom="1440" w:gutter="0" w:footer="0" w:header="0"/>
        </w:sectPr>
      </w:pPr>
    </w:p>
    <w:bookmarkStart w:id="176" w:name="page177"/>
    <w:bookmarkEnd w:id="176"/>
    <w:p>
      <w:pPr>
        <w:jc w:val="both"/>
        <w:ind w:right="40"/>
        <w:spacing w:after="0" w:line="221" w:lineRule="auto"/>
        <w:rPr>
          <w:sz w:val="20"/>
          <w:szCs w:val="20"/>
          <w:color w:val="auto"/>
        </w:rPr>
      </w:pPr>
      <w:r>
        <w:rPr>
          <w:rFonts w:ascii="Arial" w:cs="Arial" w:eastAsia="Arial" w:hAnsi="Arial"/>
          <w:sz w:val="21"/>
          <w:szCs w:val="21"/>
          <w:color w:val="auto"/>
        </w:rPr>
        <w:t xml:space="preserve">then in effect, then, within two Business Days after receipt of such notice, the Borrower shall prepay Loans and/or Cash Collateralize the L/C Exposure in an aggregate amount sufficient to reduce such Revolving Credit Exposure as of such date of payment to an amount not to exceed 100% of the Revolving Commitments then in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Borrower shall not be required to Cash Collateralize the L/C Exposures pursuant to this Section 2.10(b) unless after the prepayment in full of the Loans, the Revolving Credit Exposure exceeds the Revolving Commitments then in effect. The Administrative Agent may, at any time and from time to time after the initial deposit of such Cash Collateral for the L/C Exposure, reasonably request that additional Cash Collateral be provided in order to protect against the results of further material exchange rate fluctuations.</w:t>
      </w:r>
    </w:p>
    <w:p>
      <w:pPr>
        <w:spacing w:after="0" w:line="206"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7"/>
          <w:szCs w:val="17"/>
          <w:u w:val="single" w:color="auto"/>
          <w:color w:val="auto"/>
        </w:rPr>
        <w:t>Fees</w:t>
      </w:r>
      <w:r>
        <w:rPr>
          <w:rFonts w:ascii="Arial" w:cs="Arial" w:eastAsia="Arial" w:hAnsi="Arial"/>
          <w:sz w:val="17"/>
          <w:szCs w:val="17"/>
          <w:color w:val="auto"/>
        </w:rPr>
        <w:t>.</w:t>
      </w:r>
    </w:p>
    <w:p>
      <w:pPr>
        <w:spacing w:after="0" w:line="206" w:lineRule="exact"/>
        <w:rPr>
          <w:sz w:val="20"/>
          <w:szCs w:val="20"/>
          <w:color w:val="auto"/>
        </w:rPr>
      </w:pPr>
    </w:p>
    <w:p>
      <w:pPr>
        <w:jc w:val="both"/>
        <w:ind w:firstLine="1288"/>
        <w:spacing w:after="0" w:line="241" w:lineRule="auto"/>
        <w:tabs>
          <w:tab w:leader="none" w:pos="190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The Borrower agrees to pay to the Administrative Agent for the account of each Revolving Lender a facility fee, which shall accrue at the Applicable Rate on the daily amount of the Revolving Commitment of such Lender (whether used or unused) during the period from and including the Closing Date to but excluding the date on which such Commitment terminates;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Lender continues to have any Revolving Credit Exposure after its Revolving Commitment terminates, then such facility fee shall continue to accrue on the daily Dollar Equivalent of such Lender’s Revolving Credit Exposure from and including the date on which its Revolving Commitment terminates to but excluding the date on which such Lender ceases to have any Revolving Credit Exposure;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facility fee accrued with respect to the unutilized Revolving Commitment of a Defaulting Lender during the period prior to the time such Lender became a Defaulting Lender and unpaid at such time shall not be payable by the Borrower so long as such Lender shall be a Defaulting Lender except to the extent that such facility fee shall otherwise have been due and payable by the Borrower prior to such time;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facility fee shall accrue on the unutilized Revolving Commitment of a Defaulting Lender so long as such Lender shall be a Defaulting Lender. Accrued facility fees shall be payable in arrears on the last day of March, June, September and December of each year and on the date on which the Revolving Commitments terminate, commencing on the first such date to occur after the </w:t>
      </w:r>
      <w:r>
        <w:rPr>
          <w:rFonts w:ascii="Arial" w:cs="Arial" w:eastAsia="Arial" w:hAnsi="Arial"/>
          <w:sz w:val="19"/>
          <w:szCs w:val="19"/>
          <w:u w:val="single" w:color="auto"/>
          <w:color w:val="0000FF"/>
        </w:rPr>
        <w:t>Closing</w:t>
      </w:r>
      <w:r>
        <w:rPr>
          <w:rFonts w:ascii="Arial" w:cs="Arial" w:eastAsia="Arial" w:hAnsi="Arial"/>
          <w:sz w:val="19"/>
          <w:szCs w:val="19"/>
          <w:color w:val="auto"/>
        </w:rPr>
        <w:t xml:space="preserve"> </w:t>
      </w:r>
      <w:r>
        <w:rPr>
          <w:rFonts w:ascii="Arial" w:cs="Arial" w:eastAsia="Arial" w:hAnsi="Arial"/>
          <w:sz w:val="19"/>
          <w:szCs w:val="19"/>
          <w:color w:val="FF0000"/>
          <w:strike w:val="1"/>
        </w:rPr>
        <w:t>d</w:t>
      </w:r>
      <w:r>
        <w:rPr>
          <w:rFonts w:ascii="Arial" w:cs="Arial" w:eastAsia="Arial" w:hAnsi="Arial"/>
          <w:sz w:val="19"/>
          <w:szCs w:val="19"/>
          <w:u w:val="single" w:color="auto"/>
          <w:color w:val="0000FF"/>
        </w:rPr>
        <w:t>D</w:t>
      </w:r>
      <w:r>
        <w:rPr>
          <w:rFonts w:ascii="Arial" w:cs="Arial" w:eastAsia="Arial" w:hAnsi="Arial"/>
          <w:sz w:val="19"/>
          <w:szCs w:val="19"/>
          <w:color w:val="auto"/>
        </w:rPr>
        <w:t xml:space="preserve">ate </w:t>
      </w:r>
      <w:r>
        <w:rPr>
          <w:rFonts w:ascii="Arial" w:cs="Arial" w:eastAsia="Arial" w:hAnsi="Arial"/>
          <w:sz w:val="19"/>
          <w:szCs w:val="19"/>
          <w:color w:val="FF0000"/>
          <w:strike w:val="1"/>
        </w:rPr>
        <w:t>hereof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facility fees accruing after the date on which the Revolving Commitments terminate shall be payable on demand. All facility fees shall be computed on the basis of a year of 360 days and shall be payable for the actual number of days elapsed (including the first day but excluding the last day).</w:t>
      </w:r>
    </w:p>
    <w:p>
      <w:pPr>
        <w:spacing w:after="0" w:line="198" w:lineRule="exact"/>
        <w:rPr>
          <w:rFonts w:ascii="Arial" w:cs="Arial" w:eastAsia="Arial" w:hAnsi="Arial"/>
          <w:sz w:val="19"/>
          <w:szCs w:val="19"/>
          <w:color w:val="auto"/>
        </w:rPr>
      </w:pPr>
    </w:p>
    <w:p>
      <w:pPr>
        <w:jc w:val="both"/>
        <w:ind w:right="40" w:firstLine="1288"/>
        <w:spacing w:after="0" w:line="244" w:lineRule="auto"/>
        <w:tabs>
          <w:tab w:leader="none" w:pos="189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The Borrower agrees to pay (i) to the Administrative Agent for the account of each Revolving Lender a participation fee with respect to its participations in Letters of Credit, which shall accrue at the same Applicable Rate used to determine the interest rate applicable to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on the average daily Dollar Equivalent of such Lender’s L/C Exposure (excluding any portion thereof attributable to unreimbursed L/C Disbursements) during the period from and including the Closing Date to but excluding the later of the date on which such Lender’s Revolving Commitment terminates and the date on which such Lender ceases to have any L/C Exposure (the fees referred to in this clause (i), the “</w:t>
      </w:r>
      <w:r>
        <w:rPr>
          <w:rFonts w:ascii="Arial" w:cs="Arial" w:eastAsia="Arial" w:hAnsi="Arial"/>
          <w:sz w:val="19"/>
          <w:szCs w:val="19"/>
          <w:u w:val="single" w:color="auto"/>
          <w:color w:val="auto"/>
        </w:rPr>
        <w:t>Letter of Credit Fees</w:t>
      </w:r>
      <w:r>
        <w:rPr>
          <w:rFonts w:ascii="Arial" w:cs="Arial" w:eastAsia="Arial" w:hAnsi="Arial"/>
          <w:sz w:val="19"/>
          <w:szCs w:val="19"/>
          <w:color w:val="auto"/>
        </w:rPr>
        <w:t>”) and (ii) to each Issuing Bank a fronting fee, which shall accrue at the rate of 0.125% per annum on the average daily Dollar Equivalent of the L/C Exposure (excluding any portion thereof attributable to unreimbursed L/C Disbursements) attributable to Letters of Credit</w:t>
      </w:r>
    </w:p>
    <w:p>
      <w:pPr>
        <w:sectPr>
          <w:pgSz w:w="11900" w:h="16838" w:orient="portrait"/>
          <w:cols w:equalWidth="0" w:num="1">
            <w:col w:w="10460"/>
          </w:cols>
          <w:pgMar w:left="1020" w:top="1401" w:right="419" w:bottom="1440" w:gutter="0" w:footer="0" w:header="0"/>
        </w:sectPr>
      </w:pPr>
    </w:p>
    <w:bookmarkStart w:id="177" w:name="page178"/>
    <w:bookmarkEnd w:id="177"/>
    <w:p>
      <w:pPr>
        <w:spacing w:after="0" w:line="242" w:lineRule="auto"/>
        <w:rPr>
          <w:sz w:val="20"/>
          <w:szCs w:val="20"/>
          <w:color w:val="auto"/>
        </w:rPr>
      </w:pPr>
      <w:r>
        <w:rPr>
          <w:rFonts w:ascii="Arial" w:cs="Arial" w:eastAsia="Arial" w:hAnsi="Arial"/>
          <w:sz w:val="19"/>
          <w:szCs w:val="19"/>
          <w:color w:val="auto"/>
        </w:rPr>
        <w:t xml:space="preserve">issued by such Issuing Bank during the period from and including the Closing Date to but excluding the later of the date of termination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(3rd) Business Day following such last day, commencing on the first such date to occur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93" w:lineRule="exact"/>
        <w:rPr>
          <w:sz w:val="20"/>
          <w:szCs w:val="20"/>
          <w:color w:val="auto"/>
        </w:rPr>
      </w:pPr>
    </w:p>
    <w:p>
      <w:pPr>
        <w:ind w:left="1940" w:hanging="652"/>
        <w:spacing w:after="0"/>
        <w:tabs>
          <w:tab w:leader="none" w:pos="19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right="100" w:firstLine="1288"/>
        <w:spacing w:after="0" w:line="247" w:lineRule="auto"/>
        <w:tabs>
          <w:tab w:leader="none" w:pos="1899"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Borrower agrees to pay to the Administrative Agent, for its own account, fees payable in the amounts and at the times separately agreed upon between the Borrower and the Administrative Agent.</w:t>
      </w:r>
    </w:p>
    <w:p>
      <w:pPr>
        <w:spacing w:after="0" w:line="191" w:lineRule="exact"/>
        <w:rPr>
          <w:rFonts w:ascii="Arial" w:cs="Arial" w:eastAsia="Arial" w:hAnsi="Arial"/>
          <w:sz w:val="21"/>
          <w:szCs w:val="21"/>
          <w:color w:val="auto"/>
        </w:rPr>
      </w:pPr>
    </w:p>
    <w:p>
      <w:pPr>
        <w:jc w:val="both"/>
        <w:ind w:right="60" w:firstLine="1288"/>
        <w:spacing w:after="0" w:line="268" w:lineRule="auto"/>
        <w:tabs>
          <w:tab w:leader="none" w:pos="19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All fees payable hereunder shall be paid on the dates due, in Dollars and in Same Day Funds, to the Administrative Agent (or to the relevant Issuing Bank, in the case of fees payable to it) for distribution, in the case of facility fees and participation fees, to the Lenders. Fees paid shall not be refundable under any circumstances.</w:t>
      </w:r>
    </w:p>
    <w:p>
      <w:pPr>
        <w:spacing w:after="0" w:line="159"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20" w:lineRule="exact"/>
        <w:rPr>
          <w:sz w:val="20"/>
          <w:szCs w:val="20"/>
          <w:color w:val="auto"/>
        </w:rPr>
      </w:pPr>
    </w:p>
    <w:p>
      <w:pPr>
        <w:ind w:right="100" w:firstLine="1288"/>
        <w:spacing w:after="0" w:line="232" w:lineRule="auto"/>
        <w:tabs>
          <w:tab w:leader="none" w:pos="19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The Loans comprising each Base Rate Borrowing (including each Swingline Loan) shall bear interest at the Base Rate in effect from time to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w:t>
      </w:r>
    </w:p>
    <w:p>
      <w:pPr>
        <w:spacing w:after="0" w:line="199" w:lineRule="exact"/>
        <w:rPr>
          <w:rFonts w:ascii="Arial" w:cs="Arial" w:eastAsia="Arial" w:hAnsi="Arial"/>
          <w:sz w:val="22"/>
          <w:szCs w:val="22"/>
          <w:color w:val="auto"/>
        </w:rPr>
      </w:pPr>
    </w:p>
    <w:p>
      <w:pPr>
        <w:jc w:val="both"/>
        <w:ind w:right="100" w:firstLine="1288"/>
        <w:spacing w:after="0" w:line="223" w:lineRule="auto"/>
        <w:tabs>
          <w:tab w:leader="none" w:pos="189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The Loans comprising each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Borrowing shall bear interest at </w:t>
      </w:r>
      <w:r>
        <w:rPr>
          <w:rFonts w:ascii="Arial" w:cs="Arial" w:eastAsia="Arial" w:hAnsi="Arial"/>
          <w:sz w:val="22"/>
          <w:szCs w:val="22"/>
          <w:color w:val="FF0000"/>
          <w:strike w:val="1"/>
        </w:rPr>
        <w:t>the</w:t>
      </w:r>
      <w:r>
        <w:rPr>
          <w:rFonts w:ascii="Arial" w:cs="Arial" w:eastAsia="Arial" w:hAnsi="Arial"/>
          <w:sz w:val="22"/>
          <w:szCs w:val="22"/>
          <w:color w:val="auto"/>
        </w:rPr>
        <w:t xml:space="preserve"> </w:t>
      </w:r>
      <w:r>
        <w:rPr>
          <w:rFonts w:ascii="Arial" w:cs="Arial" w:eastAsia="Arial" w:hAnsi="Arial"/>
          <w:sz w:val="22"/>
          <w:szCs w:val="22"/>
          <w:color w:val="FF0000"/>
          <w:strike w:val="1"/>
        </w:rPr>
        <w:t>Eurocurrency Rate for the</w:t>
      </w:r>
      <w:r>
        <w:rPr>
          <w:rFonts w:ascii="Arial" w:cs="Arial" w:eastAsia="Arial" w:hAnsi="Arial"/>
          <w:sz w:val="22"/>
          <w:szCs w:val="22"/>
          <w:u w:val="single" w:color="auto"/>
          <w:color w:val="0000FF"/>
        </w:rPr>
        <w:t>a rate per annum equal to the Term SOFR for such</w:t>
      </w:r>
      <w:r>
        <w:rPr>
          <w:rFonts w:ascii="Arial" w:cs="Arial" w:eastAsia="Arial" w:hAnsi="Arial"/>
          <w:sz w:val="22"/>
          <w:szCs w:val="22"/>
          <w:color w:val="FF0000"/>
        </w:rPr>
        <w:t xml:space="preserve"> </w:t>
      </w:r>
      <w:r>
        <w:rPr>
          <w:rFonts w:ascii="Arial" w:cs="Arial" w:eastAsia="Arial" w:hAnsi="Arial"/>
          <w:sz w:val="22"/>
          <w:szCs w:val="22"/>
          <w:color w:val="000000"/>
        </w:rPr>
        <w:t>Interest Period in effect for such</w:t>
      </w:r>
      <w:r>
        <w:rPr>
          <w:rFonts w:ascii="Arial" w:cs="Arial" w:eastAsia="Arial" w:hAnsi="Arial"/>
          <w:sz w:val="22"/>
          <w:szCs w:val="22"/>
          <w:color w:val="FF0000"/>
        </w:rPr>
        <w:t xml:space="preserve"> </w:t>
      </w:r>
      <w:r>
        <w:rPr>
          <w:rFonts w:ascii="Arial" w:cs="Arial" w:eastAsia="Arial" w:hAnsi="Arial"/>
          <w:sz w:val="22"/>
          <w:szCs w:val="22"/>
          <w:color w:val="000000"/>
        </w:rPr>
        <w:t xml:space="preserve">Borrowing </w:t>
      </w:r>
      <w:r>
        <w:rPr>
          <w:rFonts w:ascii="Arial" w:cs="Arial" w:eastAsia="Arial" w:hAnsi="Arial"/>
          <w:sz w:val="22"/>
          <w:szCs w:val="22"/>
          <w:u w:val="single" w:color="auto"/>
          <w:color w:val="000000"/>
        </w:rPr>
        <w:t>plus</w:t>
      </w:r>
      <w:r>
        <w:rPr>
          <w:rFonts w:ascii="Arial" w:cs="Arial" w:eastAsia="Arial" w:hAnsi="Arial"/>
          <w:sz w:val="22"/>
          <w:szCs w:val="22"/>
          <w:color w:val="000000"/>
        </w:rPr>
        <w:t xml:space="preserve"> the Applicable Rate.</w:t>
      </w:r>
    </w:p>
    <w:p>
      <w:pPr>
        <w:spacing w:after="0" w:line="185" w:lineRule="exact"/>
        <w:rPr>
          <w:rFonts w:ascii="Arial" w:cs="Arial" w:eastAsia="Arial" w:hAnsi="Arial"/>
          <w:sz w:val="22"/>
          <w:szCs w:val="22"/>
          <w:color w:val="auto"/>
        </w:rPr>
      </w:pPr>
    </w:p>
    <w:p>
      <w:pPr>
        <w:ind w:right="100" w:firstLine="1288"/>
        <w:spacing w:after="0" w:line="232" w:lineRule="auto"/>
        <w:tabs>
          <w:tab w:leader="none" w:pos="19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The Loans comprising each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Daily Floating Rate Borrowing shall bear interest at the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Daily Floating Rate in effect from time to time</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plus</w:t>
      </w:r>
      <w:r>
        <w:rPr>
          <w:rFonts w:ascii="Arial" w:cs="Arial" w:eastAsia="Arial" w:hAnsi="Arial"/>
          <w:sz w:val="22"/>
          <w:szCs w:val="22"/>
          <w:color w:val="FF0000"/>
        </w:rPr>
        <w:t xml:space="preserve"> </w:t>
      </w:r>
      <w:r>
        <w:rPr>
          <w:rFonts w:ascii="Arial" w:cs="Arial" w:eastAsia="Arial" w:hAnsi="Arial"/>
          <w:sz w:val="22"/>
          <w:szCs w:val="22"/>
          <w:color w:val="000000"/>
        </w:rPr>
        <w:t>the Applicable Rate.</w:t>
      </w:r>
    </w:p>
    <w:p>
      <w:pPr>
        <w:spacing w:after="0" w:line="199" w:lineRule="exact"/>
        <w:rPr>
          <w:rFonts w:ascii="Arial" w:cs="Arial" w:eastAsia="Arial" w:hAnsi="Arial"/>
          <w:sz w:val="22"/>
          <w:szCs w:val="22"/>
          <w:color w:val="auto"/>
        </w:rPr>
      </w:pPr>
    </w:p>
    <w:p>
      <w:pPr>
        <w:ind w:right="100" w:firstLine="1288"/>
        <w:spacing w:after="0" w:line="232" w:lineRule="auto"/>
        <w:tabs>
          <w:tab w:leader="none" w:pos="189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The Loans comprising each Alternative Currency Daily Rate Borrowing shall bear interest at the Alternative Currency Daily Rate in effect from time to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right="100" w:firstLine="1288"/>
        <w:spacing w:after="0" w:line="298" w:lineRule="auto"/>
        <w:tabs>
          <w:tab w:leader="none" w:pos="190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The Loans comprising each Alternative Currency Term Rate Borrowing shall bear interest at the Alternative Currency Term Rate for the Interest period in effect for such Borrowing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w:t>
      </w:r>
    </w:p>
    <w:p>
      <w:pPr>
        <w:spacing w:after="0" w:line="132" w:lineRule="exact"/>
        <w:rPr>
          <w:rFonts w:ascii="Arial" w:cs="Arial" w:eastAsia="Arial" w:hAnsi="Arial"/>
          <w:sz w:val="19"/>
          <w:szCs w:val="19"/>
          <w:color w:val="auto"/>
        </w:rPr>
      </w:pPr>
    </w:p>
    <w:p>
      <w:pPr>
        <w:jc w:val="both"/>
        <w:ind w:right="80" w:firstLine="1288"/>
        <w:spacing w:after="0" w:line="216" w:lineRule="auto"/>
        <w:tabs>
          <w:tab w:leader="none" w:pos="190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Notwithstanding the foregoing, at any time (x) an Event of Default has occurred and is continuing under clauses (h), (i) or (j) of Article VII or (y) if any principal of or interest on any Loan or any fee or other amount payable by the Borrower hereunder is not paid when due, whether at stated maturity, upon acceleration or otherwise, then such overdue amount shall bear interest, after as well as before judgment, at a rate per annum equal to (i) in the case of</w:t>
      </w:r>
    </w:p>
    <w:p>
      <w:pPr>
        <w:sectPr>
          <w:pgSz w:w="11900" w:h="16838" w:orient="portrait"/>
          <w:cols w:equalWidth="0" w:num="1">
            <w:col w:w="10500"/>
          </w:cols>
          <w:pgMar w:left="1020" w:top="1401" w:right="379" w:bottom="1440" w:gutter="0" w:footer="0" w:header="0"/>
        </w:sectPr>
      </w:pPr>
    </w:p>
    <w:bookmarkStart w:id="178" w:name="page179"/>
    <w:bookmarkEnd w:id="178"/>
    <w:p>
      <w:pPr>
        <w:jc w:val="both"/>
        <w:ind w:right="20"/>
        <w:spacing w:after="0" w:line="234" w:lineRule="auto"/>
        <w:rPr>
          <w:sz w:val="20"/>
          <w:szCs w:val="20"/>
          <w:color w:val="auto"/>
        </w:rPr>
      </w:pPr>
      <w:r>
        <w:rPr>
          <w:rFonts w:ascii="Arial" w:cs="Arial" w:eastAsia="Arial" w:hAnsi="Arial"/>
          <w:sz w:val="21"/>
          <w:szCs w:val="21"/>
          <w:color w:val="auto"/>
        </w:rPr>
        <w:t xml:space="preserve">overdue principal of any Loan, 2%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rate otherwise applicable to such Loan as provided in the preceding paragraphs of this Section or (ii) in the case of any other amount, upon the request of the Required Lenders, 2% plus the rate applicable to Base Rate Loans as provided in paragraph (a) of this Section (the “</w:t>
      </w:r>
      <w:r>
        <w:rPr>
          <w:rFonts w:ascii="Arial" w:cs="Arial" w:eastAsia="Arial" w:hAnsi="Arial"/>
          <w:sz w:val="21"/>
          <w:szCs w:val="21"/>
          <w:u w:val="single" w:color="auto"/>
          <w:color w:val="auto"/>
        </w:rPr>
        <w:t>Default Rate</w:t>
      </w:r>
      <w:r>
        <w:rPr>
          <w:rFonts w:ascii="Arial" w:cs="Arial" w:eastAsia="Arial" w:hAnsi="Arial"/>
          <w:sz w:val="21"/>
          <w:szCs w:val="21"/>
          <w:color w:val="auto"/>
        </w:rPr>
        <w:t>”).</w:t>
      </w:r>
    </w:p>
    <w:p>
      <w:pPr>
        <w:spacing w:after="0" w:line="198" w:lineRule="exact"/>
        <w:rPr>
          <w:sz w:val="20"/>
          <w:szCs w:val="20"/>
          <w:color w:val="auto"/>
        </w:rPr>
      </w:pPr>
    </w:p>
    <w:p>
      <w:pPr>
        <w:jc w:val="both"/>
        <w:ind w:firstLine="1288"/>
        <w:spacing w:after="0" w:line="221" w:lineRule="auto"/>
        <w:tabs>
          <w:tab w:leader="none" w:pos="1899" w:val="left"/>
        </w:tabs>
        <w:numPr>
          <w:ilvl w:val="0"/>
          <w:numId w:val="164"/>
        </w:numPr>
        <w:rPr>
          <w:rFonts w:ascii="Arial" w:cs="Arial" w:eastAsia="Arial" w:hAnsi="Arial"/>
          <w:sz w:val="21"/>
          <w:szCs w:val="21"/>
          <w:color w:val="auto"/>
        </w:rPr>
      </w:pPr>
      <w:r>
        <w:rPr>
          <w:rFonts w:ascii="Arial" w:cs="Arial" w:eastAsia="Arial" w:hAnsi="Arial"/>
          <w:sz w:val="21"/>
          <w:szCs w:val="21"/>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interest accrued pursuant to paragraph (</w:t>
      </w:r>
      <w:r>
        <w:rPr>
          <w:rFonts w:ascii="Arial" w:cs="Arial" w:eastAsia="Arial" w:hAnsi="Arial"/>
          <w:sz w:val="21"/>
          <w:szCs w:val="21"/>
          <w:color w:val="FF0000"/>
          <w:strike w:val="1"/>
        </w:rPr>
        <w:t>c</w:t>
      </w:r>
      <w:r>
        <w:rPr>
          <w:rFonts w:ascii="Arial" w:cs="Arial" w:eastAsia="Arial" w:hAnsi="Arial"/>
          <w:sz w:val="21"/>
          <w:szCs w:val="21"/>
          <w:color w:val="0000FF"/>
        </w:rPr>
        <w:t>f</w:t>
      </w:r>
      <w:r>
        <w:rPr>
          <w:rFonts w:ascii="Arial" w:cs="Arial" w:eastAsia="Arial" w:hAnsi="Arial"/>
          <w:sz w:val="21"/>
          <w:szCs w:val="21"/>
          <w:color w:val="auto"/>
        </w:rPr>
        <w:t xml:space="preserve">) of this Section shall be payable on demand, (ii) in the event of any repayment or prepayment of any Loan (other than a prepayment of a Base Rate Loan prior to the end of the Availability Period or a Swingline Loan), accrued interest on the principal amount repaid or prepaid shall be payable on the date of such repayment or prepayment and (iii) in the event of any conversion of any </w:t>
      </w:r>
      <w:r>
        <w:rPr>
          <w:rFonts w:ascii="Arial" w:cs="Arial" w:eastAsia="Arial" w:hAnsi="Arial"/>
          <w:sz w:val="21"/>
          <w:szCs w:val="21"/>
          <w:u w:val="single" w:color="auto"/>
          <w:color w:val="0000FF"/>
        </w:rPr>
        <w:t>Term SOFR Loan or Alternative</w:t>
      </w:r>
      <w:r>
        <w:rPr>
          <w:rFonts w:ascii="Arial" w:cs="Arial" w:eastAsia="Arial" w:hAnsi="Arial"/>
          <w:sz w:val="21"/>
          <w:szCs w:val="21"/>
          <w:color w:val="auto"/>
        </w:rPr>
        <w:t xml:space="preserve"> </w:t>
      </w:r>
      <w:r>
        <w:rPr>
          <w:rFonts w:ascii="Arial" w:cs="Arial" w:eastAsia="Arial" w:hAnsi="Arial"/>
          <w:sz w:val="21"/>
          <w:szCs w:val="21"/>
          <w:color w:val="FF0000"/>
          <w:strike w:val="1"/>
        </w:rPr>
        <w:t>Euroc</w:t>
      </w:r>
      <w:r>
        <w:rPr>
          <w:rFonts w:ascii="Arial" w:cs="Arial" w:eastAsia="Arial" w:hAnsi="Arial"/>
          <w:sz w:val="21"/>
          <w:szCs w:val="21"/>
          <w:u w:val="single" w:color="auto"/>
          <w:color w:val="0000FF"/>
        </w:rPr>
        <w:t>C</w:t>
      </w:r>
      <w:r>
        <w:rPr>
          <w:rFonts w:ascii="Arial" w:cs="Arial" w:eastAsia="Arial" w:hAnsi="Arial"/>
          <w:sz w:val="21"/>
          <w:szCs w:val="21"/>
          <w:color w:val="000000"/>
        </w:rPr>
        <w:t>urrency</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Term Rate</w:t>
      </w:r>
      <w:r>
        <w:rPr>
          <w:rFonts w:ascii="Arial" w:cs="Arial" w:eastAsia="Arial" w:hAnsi="Arial"/>
          <w:sz w:val="21"/>
          <w:szCs w:val="21"/>
          <w:color w:val="FF0000"/>
        </w:rPr>
        <w:t xml:space="preserve"> </w:t>
      </w:r>
      <w:r>
        <w:rPr>
          <w:rFonts w:ascii="Arial" w:cs="Arial" w:eastAsia="Arial" w:hAnsi="Arial"/>
          <w:sz w:val="21"/>
          <w:szCs w:val="21"/>
          <w:color w:val="000000"/>
        </w:rPr>
        <w:t>Loan prior to the end of the current Interest Period therefor, accrued interest on such Loan</w:t>
      </w:r>
      <w:r>
        <w:rPr>
          <w:rFonts w:ascii="Arial" w:cs="Arial" w:eastAsia="Arial" w:hAnsi="Arial"/>
          <w:sz w:val="21"/>
          <w:szCs w:val="21"/>
          <w:color w:val="FF0000"/>
        </w:rPr>
        <w:t xml:space="preserve"> </w:t>
      </w:r>
      <w:r>
        <w:rPr>
          <w:rFonts w:ascii="Arial" w:cs="Arial" w:eastAsia="Arial" w:hAnsi="Arial"/>
          <w:sz w:val="21"/>
          <w:szCs w:val="21"/>
          <w:color w:val="000000"/>
        </w:rPr>
        <w:t>shall be payable on the effective date of such conversion.</w:t>
      </w:r>
    </w:p>
    <w:p>
      <w:pPr>
        <w:spacing w:after="0" w:line="273" w:lineRule="exact"/>
        <w:rPr>
          <w:rFonts w:ascii="Arial" w:cs="Arial" w:eastAsia="Arial" w:hAnsi="Arial"/>
          <w:sz w:val="21"/>
          <w:szCs w:val="21"/>
          <w:color w:val="auto"/>
        </w:rPr>
      </w:pPr>
    </w:p>
    <w:p>
      <w:pPr>
        <w:jc w:val="both"/>
        <w:ind w:right="40" w:firstLine="1288"/>
        <w:spacing w:after="0" w:line="246" w:lineRule="auto"/>
        <w:tabs>
          <w:tab w:leader="none" w:pos="1899"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All interest hereunder shall be computed on the basis of a year of 360 days, except that interest (i) computed by reference to the Base Rate shall be computed on the basis of a year of 365 days (or 366 days in a leap year), (ii) for Borrowings denominated in Sterling shall be computed on the basis of a year of 365 days, and in each case, shall be payable for the actual number of days elapsed (including the first day but excluding the last day) and (iii) in the case of interest in respect of Loans denominated in Alternative Currencies as to which market practice differs from the foregoing, shall be computed in accordance with such market practice. The applicable Base Rate,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Rate or other Relevant Rate shall be determined by the Administrative Agent in accordance</w:t>
      </w:r>
      <w:r>
        <w:rPr>
          <w:rFonts w:ascii="Arial" w:cs="Arial" w:eastAsia="Arial" w:hAnsi="Arial"/>
          <w:sz w:val="19"/>
          <w:szCs w:val="19"/>
          <w:color w:val="FF0000"/>
        </w:rPr>
        <w:t xml:space="preserve"> </w:t>
      </w:r>
      <w:r>
        <w:rPr>
          <w:rFonts w:ascii="Arial" w:cs="Arial" w:eastAsia="Arial" w:hAnsi="Arial"/>
          <w:sz w:val="19"/>
          <w:szCs w:val="19"/>
          <w:color w:val="000000"/>
        </w:rPr>
        <w:t>with the provisions of this Agreement, and such determination shall be conclusive absent manifest error.</w:t>
      </w:r>
    </w:p>
    <w:p>
      <w:pPr>
        <w:spacing w:after="0" w:line="301" w:lineRule="exact"/>
        <w:rPr>
          <w:sz w:val="20"/>
          <w:szCs w:val="20"/>
          <w:color w:val="auto"/>
        </w:rPr>
      </w:pPr>
    </w:p>
    <w:p>
      <w:pPr>
        <w:ind w:left="640"/>
        <w:spacing w:after="0"/>
        <w:tabs>
          <w:tab w:leader="none" w:pos="2180" w:val="left"/>
          <w:tab w:leader="none" w:pos="480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22"/>
          <w:szCs w:val="22"/>
          <w:u w:val="single" w:color="auto"/>
          <w:color w:val="auto"/>
        </w:rPr>
        <w:t>[Reserved]</w:t>
      </w:r>
      <w:r>
        <w:rPr>
          <w:rFonts w:ascii="Arial" w:cs="Arial" w:eastAsia="Arial" w:hAnsi="Arial"/>
          <w:sz w:val="22"/>
          <w:szCs w:val="22"/>
          <w:color w:val="auto"/>
        </w:rPr>
        <w:t>. SECTION 2.14</w:t>
      </w:r>
      <w:r>
        <w:rPr>
          <w:sz w:val="20"/>
          <w:szCs w:val="20"/>
          <w:color w:val="auto"/>
        </w:rPr>
        <w:tab/>
      </w:r>
      <w:r>
        <w:rPr>
          <w:rFonts w:ascii="Arial" w:cs="Arial" w:eastAsia="Arial" w:hAnsi="Arial"/>
          <w:sz w:val="18"/>
          <w:szCs w:val="18"/>
          <w:u w:val="single" w:color="auto"/>
          <w:color w:val="auto"/>
        </w:rPr>
        <w:t>Increased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w:t>
      </w:r>
    </w:p>
    <w:p>
      <w:pPr>
        <w:spacing w:after="0" w:line="98" w:lineRule="exact"/>
        <w:rPr>
          <w:sz w:val="20"/>
          <w:szCs w:val="20"/>
          <w:color w:val="auto"/>
        </w:rPr>
      </w:pPr>
    </w:p>
    <w:p>
      <w:pPr>
        <w:ind w:left="1900" w:hanging="612"/>
        <w:spacing w:after="0"/>
        <w:tabs>
          <w:tab w:leader="none" w:pos="190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20" w:lineRule="exact"/>
        <w:rPr>
          <w:sz w:val="20"/>
          <w:szCs w:val="20"/>
          <w:color w:val="auto"/>
        </w:rPr>
      </w:pPr>
    </w:p>
    <w:p>
      <w:pPr>
        <w:jc w:val="both"/>
        <w:ind w:left="640" w:right="40" w:firstLine="648"/>
        <w:spacing w:after="0" w:line="223" w:lineRule="auto"/>
        <w:tabs>
          <w:tab w:leader="none" w:pos="1897"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by, any Lender or any Issuing Bank;</w:t>
      </w:r>
    </w:p>
    <w:p>
      <w:pPr>
        <w:sectPr>
          <w:pgSz w:w="11900" w:h="16838" w:orient="portrait"/>
          <w:cols w:equalWidth="0" w:num="1">
            <w:col w:w="10440"/>
          </w:cols>
          <w:pgMar w:left="1020" w:top="1347" w:right="439" w:bottom="1440" w:gutter="0" w:footer="0" w:header="0"/>
        </w:sectPr>
      </w:pPr>
    </w:p>
    <w:bookmarkStart w:id="179" w:name="page180"/>
    <w:bookmarkEnd w:id="179"/>
    <w:p>
      <w:pPr>
        <w:ind w:left="1920" w:hanging="632"/>
        <w:spacing w:after="0"/>
        <w:tabs>
          <w:tab w:leader="none" w:pos="192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subject any Recipient to any Taxes (other than (A) Indemnified Taxes and</w:t>
      </w:r>
    </w:p>
    <w:p>
      <w:pPr>
        <w:ind w:left="640" w:right="620"/>
        <w:spacing w:after="0" w:line="224" w:lineRule="auto"/>
        <w:tabs>
          <w:tab w:leader="none" w:pos="98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Excluded Taxes) on its loans, loan principal, letters of credit, commitments, or other obligations, or its deposits, reserves, other liabilities or capital attributable thereto; or</w:t>
      </w:r>
    </w:p>
    <w:p>
      <w:pPr>
        <w:spacing w:after="0" w:line="198" w:lineRule="exact"/>
        <w:rPr>
          <w:rFonts w:ascii="Arial" w:cs="Arial" w:eastAsia="Arial" w:hAnsi="Arial"/>
          <w:sz w:val="22"/>
          <w:szCs w:val="22"/>
          <w:color w:val="auto"/>
        </w:rPr>
      </w:pPr>
    </w:p>
    <w:p>
      <w:pPr>
        <w:jc w:val="both"/>
        <w:ind w:left="640" w:right="40" w:firstLine="648"/>
        <w:spacing w:after="0" w:line="268" w:lineRule="auto"/>
        <w:tabs>
          <w:tab w:leader="none" w:pos="1895" w:val="left"/>
        </w:tabs>
        <w:numPr>
          <w:ilvl w:val="1"/>
          <w:numId w:val="168"/>
        </w:numPr>
        <w:rPr>
          <w:rFonts w:ascii="Arial" w:cs="Arial" w:eastAsia="Arial" w:hAnsi="Arial"/>
          <w:sz w:val="19"/>
          <w:szCs w:val="19"/>
          <w:color w:val="auto"/>
        </w:rPr>
      </w:pPr>
      <w:r>
        <w:rPr>
          <w:rFonts w:ascii="Arial" w:cs="Arial" w:eastAsia="Arial" w:hAnsi="Arial"/>
          <w:sz w:val="19"/>
          <w:szCs w:val="19"/>
          <w:color w:val="auto"/>
        </w:rPr>
        <w:t xml:space="preserve">impose on any Lender or any Issuing Bank or any applicable interbank market any other condition affecting this Agreement, any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Daily Floating Rate Loans,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any Alternative Currency Loans made by such Lender or any Letter of Credit or participation therein;</w:t>
      </w:r>
    </w:p>
    <w:p>
      <w:pPr>
        <w:spacing w:after="0" w:line="159" w:lineRule="exact"/>
        <w:rPr>
          <w:sz w:val="20"/>
          <w:szCs w:val="20"/>
          <w:color w:val="auto"/>
        </w:rPr>
      </w:pPr>
    </w:p>
    <w:p>
      <w:pPr>
        <w:spacing w:after="0" w:line="219" w:lineRule="auto"/>
        <w:rPr>
          <w:sz w:val="20"/>
          <w:szCs w:val="20"/>
          <w:color w:val="auto"/>
        </w:rPr>
      </w:pPr>
      <w:r>
        <w:rPr>
          <w:rFonts w:ascii="Arial" w:cs="Arial" w:eastAsia="Arial" w:hAnsi="Arial"/>
          <w:sz w:val="21"/>
          <w:szCs w:val="21"/>
          <w:color w:val="auto"/>
        </w:rPr>
        <w:t>and the result of any of the foregoing shall be to increase the cost to such Lender of making, converting to, continuing or maintaining any Loan under this Agreement or of maintaining its obligation to make any such Loan (including pursuant to any conversion of any Borrowing denominated in any currency into a Borrowing denominated in any other currency) or to increase the cost to such Lender or such Issuing Bank of participating in, issuing or maintaining any Letter of Credit (including pursuant to any conversion of any Borrowing denominated in any currency into a Borrowing denominated in any other currency) or to reduce the amount of any sum received or receivable by such Lender or such Issuing Bank hereunder, whether of principal, interest or otherwise (including pursuant to any conversion of any Borrowing denominated in any currency into a Borrowing denominated in any other currency), in each case by an amount deemed by such Lender or such Issuing Bank to be material in the context of its making of, and participation in, extensions of credit under this Agreement, then, upon the request of such Lender or such Issuing Bank, the Borrower will pay to such Lender or such Issuing Bank, as the case may be, such additional amount or amounts as will compensate such Lender or such Issuing Bank, as the case may be, for such additional costs incurred or reduction suffered.</w:t>
      </w:r>
    </w:p>
    <w:p>
      <w:pPr>
        <w:spacing w:after="0" w:line="200" w:lineRule="exact"/>
        <w:rPr>
          <w:sz w:val="20"/>
          <w:szCs w:val="20"/>
          <w:color w:val="auto"/>
        </w:rPr>
      </w:pPr>
    </w:p>
    <w:p>
      <w:pPr>
        <w:jc w:val="both"/>
        <w:ind w:right="40" w:firstLine="1288"/>
        <w:spacing w:after="0" w:line="243" w:lineRule="auto"/>
        <w:tabs>
          <w:tab w:leader="none" w:pos="1899"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or liquidity), then from time to time, upon the request of such Lender or such Issuing Bank,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right="40" w:firstLine="1288"/>
        <w:spacing w:after="0" w:line="214" w:lineRule="auto"/>
        <w:tabs>
          <w:tab w:leader="none" w:pos="19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 certificate of a Lender or an Issuing Bank setting forth in reasonable detail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(10) days (or such later date as may be agreed by the applicable Lender) after receipt thereof.</w:t>
      </w:r>
    </w:p>
    <w:p>
      <w:pPr>
        <w:sectPr>
          <w:pgSz w:w="11900" w:h="16838" w:orient="portrait"/>
          <w:cols w:equalWidth="0" w:num="1">
            <w:col w:w="10420"/>
          </w:cols>
          <w:pgMar w:left="1020" w:top="1382" w:right="459" w:bottom="1440" w:gutter="0" w:footer="0" w:header="0"/>
        </w:sectPr>
      </w:pPr>
    </w:p>
    <w:bookmarkStart w:id="180" w:name="page181"/>
    <w:bookmarkEnd w:id="180"/>
    <w:p>
      <w:pPr>
        <w:jc w:val="both"/>
        <w:ind w:left="-420" w:firstLine="1288"/>
        <w:spacing w:after="0" w:line="246" w:lineRule="auto"/>
        <w:tabs>
          <w:tab w:leader="none" w:pos="1479"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an Issuing Bank pursuant to this Section for any increased costs or reductions incurred more than 135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92" w:lineRule="exact"/>
        <w:rPr>
          <w:rFonts w:ascii="Arial" w:cs="Arial" w:eastAsia="Arial" w:hAnsi="Arial"/>
          <w:sz w:val="19"/>
          <w:szCs w:val="19"/>
          <w:color w:val="auto"/>
        </w:rPr>
      </w:pPr>
    </w:p>
    <w:p>
      <w:pPr>
        <w:jc w:val="both"/>
        <w:ind w:left="-420" w:right="40" w:firstLine="1288"/>
        <w:spacing w:after="0" w:line="268" w:lineRule="auto"/>
        <w:tabs>
          <w:tab w:leader="none" w:pos="148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 Lender’s or Issuing Bank’s claim for additional amounts pursuant to this Section 2.14 shall be generally consistent with such Lender’s or such Issuing Bank’s treatment of customers of such Lender or Issuing Bank that such Lender or Issuing Bank considers, in its reasonable discretion, to be similarly situated as the Borrower.</w:t>
      </w:r>
    </w:p>
    <w:p>
      <w:pPr>
        <w:spacing w:after="0" w:line="159"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In the event of:</w:t>
      </w:r>
    </w:p>
    <w:p>
      <w:pPr>
        <w:spacing w:after="0" w:line="220" w:lineRule="exact"/>
        <w:rPr>
          <w:sz w:val="20"/>
          <w:szCs w:val="20"/>
          <w:color w:val="auto"/>
        </w:rPr>
      </w:pPr>
    </w:p>
    <w:p>
      <w:pPr>
        <w:jc w:val="both"/>
        <w:ind w:left="-420" w:firstLine="640"/>
        <w:spacing w:after="0"/>
        <w:tabs>
          <w:tab w:leader="none" w:pos="83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the payment of any principal of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or any Alternative Currency Term Rate Loan other than on the last day of an Interest Period applicable thereto (including as a result of an Event of Default or as a result of any prepayment pursuant to Section 2.10), (b) the conversion of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or any Alternative Currency Term Rate Loan other than on the last day of the Interest Period applicable thereto, (c) the failure to borrow, convert, continue or prepay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or any Alternative Currency Term Rate Loan on the date specified in any notice delivered pursuant hereto (regardless of whether such notice may be revoked under Section 2.10 and is revoked in accordance therewith) or (d) the assignment of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Loan or any Alternative Currency Term Rate Loan other than on the last day of the Interest Period applicable</w:t>
      </w:r>
      <w:r>
        <w:rPr>
          <w:rFonts w:ascii="Arial" w:cs="Arial" w:eastAsia="Arial" w:hAnsi="Arial"/>
          <w:sz w:val="19"/>
          <w:szCs w:val="19"/>
          <w:color w:val="0000FF"/>
        </w:rPr>
        <w:t xml:space="preserve"> </w:t>
      </w:r>
      <w:r>
        <w:rPr>
          <w:rFonts w:ascii="Arial" w:cs="Arial" w:eastAsia="Arial" w:hAnsi="Arial"/>
          <w:sz w:val="19"/>
          <w:szCs w:val="19"/>
          <w:color w:val="000000"/>
        </w:rPr>
        <w:t xml:space="preserve">thereto as a result of a request by the Borrower pursuant to Section 2.18, then, in any such event, the Borrower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Rate or Alternative Currency Term Rate, as applicable,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w:t>
      </w:r>
      <w:r>
        <w:rPr>
          <w:rFonts w:ascii="Arial" w:cs="Arial" w:eastAsia="Arial" w:hAnsi="Arial"/>
          <w:sz w:val="19"/>
          <w:szCs w:val="19"/>
          <w:color w:val="FF0000"/>
          <w:strike w:val="1"/>
        </w:rPr>
        <w:t>eurocurrency market or any other</w:t>
      </w:r>
      <w:r>
        <w:rPr>
          <w:rFonts w:ascii="Arial" w:cs="Arial" w:eastAsia="Arial" w:hAnsi="Arial"/>
          <w:sz w:val="19"/>
          <w:szCs w:val="19"/>
          <w:color w:val="000000"/>
        </w:rPr>
        <w:t xml:space="preserve"> applicable interbank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ectPr>
          <w:pgSz w:w="11900" w:h="16838" w:orient="portrait"/>
          <w:cols w:equalWidth="0" w:num="1">
            <w:col w:w="10020"/>
          </w:cols>
          <w:pgMar w:left="1440" w:top="1401" w:right="439" w:bottom="1440" w:gutter="0" w:footer="0" w:header="0"/>
        </w:sectPr>
      </w:pPr>
    </w:p>
    <w:bookmarkStart w:id="181" w:name="page182"/>
    <w:bookmarkEnd w:id="181"/>
    <w:p>
      <w:pPr>
        <w:ind w:left="220"/>
        <w:spacing w:after="0"/>
        <w:tabs>
          <w:tab w:leader="none" w:pos="176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0" w:lineRule="exact"/>
        <w:rPr>
          <w:sz w:val="20"/>
          <w:szCs w:val="20"/>
          <w:color w:val="auto"/>
        </w:rPr>
      </w:pPr>
    </w:p>
    <w:p>
      <w:pPr>
        <w:jc w:val="both"/>
        <w:ind w:left="-420" w:firstLine="1288"/>
        <w:spacing w:after="0" w:line="242" w:lineRule="auto"/>
        <w:tabs>
          <w:tab w:leader="none" w:pos="1480"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 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2.16) the applicable Recipient receives an amount equal to the sum it would have received had no such withholding or deduction been made.</w:t>
      </w:r>
    </w:p>
    <w:p>
      <w:pPr>
        <w:spacing w:after="0" w:line="191" w:lineRule="exact"/>
        <w:rPr>
          <w:rFonts w:ascii="Arial" w:cs="Arial" w:eastAsia="Arial" w:hAnsi="Arial"/>
          <w:sz w:val="19"/>
          <w:szCs w:val="19"/>
          <w:color w:val="auto"/>
        </w:rPr>
      </w:pPr>
    </w:p>
    <w:p>
      <w:pPr>
        <w:jc w:val="both"/>
        <w:ind w:left="-420" w:right="20" w:firstLine="1288"/>
        <w:spacing w:after="0" w:line="268" w:lineRule="auto"/>
        <w:tabs>
          <w:tab w:leader="none" w:pos="1479"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Loan Parties</w:t>
      </w:r>
      <w:r>
        <w:rPr>
          <w:rFonts w:ascii="Arial" w:cs="Arial" w:eastAsia="Arial" w:hAnsi="Arial"/>
          <w:sz w:val="19"/>
          <w:szCs w:val="19"/>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72" w:lineRule="exact"/>
        <w:rPr>
          <w:rFonts w:ascii="Arial" w:cs="Arial" w:eastAsia="Arial" w:hAnsi="Arial"/>
          <w:sz w:val="19"/>
          <w:szCs w:val="19"/>
          <w:color w:val="auto"/>
        </w:rPr>
      </w:pPr>
    </w:p>
    <w:p>
      <w:pPr>
        <w:ind w:left="1520" w:hanging="652"/>
        <w:spacing w:after="0"/>
        <w:tabs>
          <w:tab w:leader="none" w:pos="152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Tax Indemnifications</w:t>
      </w:r>
      <w:r>
        <w:rPr>
          <w:rFonts w:ascii="Arial" w:cs="Arial" w:eastAsia="Arial" w:hAnsi="Arial"/>
          <w:sz w:val="22"/>
          <w:szCs w:val="22"/>
          <w:color w:val="auto"/>
        </w:rPr>
        <w:t>.</w:t>
      </w:r>
    </w:p>
    <w:p>
      <w:pPr>
        <w:spacing w:after="0" w:line="220" w:lineRule="exact"/>
        <w:rPr>
          <w:sz w:val="20"/>
          <w:szCs w:val="20"/>
          <w:color w:val="auto"/>
        </w:rPr>
      </w:pPr>
    </w:p>
    <w:p>
      <w:pPr>
        <w:jc w:val="both"/>
        <w:ind w:left="220" w:right="20" w:firstLine="648"/>
        <w:spacing w:after="0" w:line="244" w:lineRule="auto"/>
        <w:tabs>
          <w:tab w:leader="none" w:pos="1477"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of the Loan Parties shall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Issuing Bank (with a copy to the Administrative Agent), or by the Administrative Agent on its own behalf or on behalf of a Lender or an Issuing Bank, shall be conclusive absent manifest error.</w:t>
      </w:r>
    </w:p>
    <w:p>
      <w:pPr>
        <w:spacing w:after="0" w:line="187" w:lineRule="exact"/>
        <w:rPr>
          <w:rFonts w:ascii="Arial" w:cs="Arial" w:eastAsia="Arial" w:hAnsi="Arial"/>
          <w:sz w:val="19"/>
          <w:szCs w:val="19"/>
          <w:color w:val="auto"/>
        </w:rPr>
      </w:pPr>
    </w:p>
    <w:p>
      <w:pPr>
        <w:jc w:val="both"/>
        <w:ind w:left="220" w:right="20" w:firstLine="648"/>
        <w:spacing w:after="0" w:line="246" w:lineRule="auto"/>
        <w:tabs>
          <w:tab w:leader="none" w:pos="146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Lender and each Issuing Bank shall, and does hereby, severally indemnify, and shall make payment in respect thereof within 10 days after written demand therefor, (x) the Administrative Agent against any Indemnified Taxes attributable to such Lender or such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 attributable to such Lender or such Issuing Bank, in each</w:t>
      </w:r>
    </w:p>
    <w:p>
      <w:pPr>
        <w:sectPr>
          <w:pgSz w:w="11900" w:h="16838" w:orient="portrait"/>
          <w:cols w:equalWidth="0" w:num="1">
            <w:col w:w="10020"/>
          </w:cols>
          <w:pgMar w:left="1440" w:top="1401" w:right="439" w:bottom="1440" w:gutter="0" w:footer="0" w:header="0"/>
        </w:sectPr>
      </w:pPr>
    </w:p>
    <w:bookmarkStart w:id="182" w:name="page183"/>
    <w:bookmarkEnd w:id="182"/>
    <w:p>
      <w:pPr>
        <w:jc w:val="both"/>
        <w:ind w:left="220"/>
        <w:spacing w:after="0" w:line="211" w:lineRule="auto"/>
        <w:rPr>
          <w:sz w:val="20"/>
          <w:szCs w:val="20"/>
          <w:color w:val="auto"/>
        </w:rPr>
      </w:pPr>
      <w:r>
        <w:rPr>
          <w:rFonts w:ascii="Arial" w:cs="Arial" w:eastAsia="Arial" w:hAnsi="Arial"/>
          <w:sz w:val="22"/>
          <w:szCs w:val="22"/>
          <w:color w:val="auto"/>
        </w:rPr>
        <w:t>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and Issuing Bank hereby authorizes the Administrative Agent or any Loan Party, as applicable, to set off and apply any and all amounts at any time owing to such Lender or such Issuing Bank, as the case may be, under this Agreement or any other Loan Document against any amount due to the Administrative Agent or any Loan Party, as applicable, under this clause (ii).</w:t>
      </w:r>
    </w:p>
    <w:p>
      <w:pPr>
        <w:spacing w:after="0" w:line="199" w:lineRule="exact"/>
        <w:rPr>
          <w:sz w:val="20"/>
          <w:szCs w:val="20"/>
          <w:color w:val="auto"/>
        </w:rPr>
      </w:pPr>
    </w:p>
    <w:p>
      <w:pPr>
        <w:jc w:val="both"/>
        <w:ind w:left="-420" w:firstLine="1288"/>
        <w:spacing w:after="0" w:line="247" w:lineRule="auto"/>
        <w:tabs>
          <w:tab w:leader="none" w:pos="1479"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Upon request by the Borrower or the Administrative Agent, as the case may be, after any payment of Taxes on amounts payable under this Agreement or any other Loan Document by any Loan Party or by the Administrative Agent to a Governmental Authority as provided in this Section 2.16, the Borrower shall deliver to the Administrative Agent or the Administrative Agent shall deliver to the Borrower, as the case may be, the original or a certified copy of a receipt issued by such Governmental Authority evidencing such payment, a copy of any return required by applicable Laws to report such payment or other evidence of such payment reasonably satisfactory to the Borrower or the Administrative Agent, as the case may be.</w:t>
      </w:r>
    </w:p>
    <w:p>
      <w:pPr>
        <w:spacing w:after="0" w:line="180" w:lineRule="exact"/>
        <w:rPr>
          <w:rFonts w:ascii="Arial" w:cs="Arial" w:eastAsia="Arial" w:hAnsi="Arial"/>
          <w:sz w:val="19"/>
          <w:szCs w:val="19"/>
          <w:color w:val="auto"/>
        </w:rPr>
      </w:pPr>
    </w:p>
    <w:p>
      <w:pPr>
        <w:ind w:left="1520" w:hanging="652"/>
        <w:spacing w:after="0"/>
        <w:tabs>
          <w:tab w:leader="none" w:pos="1520"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Status of Lenders; Tax Documentation</w:t>
      </w:r>
      <w:r>
        <w:rPr>
          <w:rFonts w:ascii="Arial" w:cs="Arial" w:eastAsia="Arial" w:hAnsi="Arial"/>
          <w:sz w:val="22"/>
          <w:szCs w:val="22"/>
          <w:color w:val="auto"/>
        </w:rPr>
        <w:t>.</w:t>
      </w:r>
    </w:p>
    <w:p>
      <w:pPr>
        <w:spacing w:after="0" w:line="220" w:lineRule="exact"/>
        <w:rPr>
          <w:sz w:val="20"/>
          <w:szCs w:val="20"/>
          <w:color w:val="auto"/>
        </w:rPr>
      </w:pPr>
    </w:p>
    <w:p>
      <w:pPr>
        <w:ind w:left="220" w:firstLine="648"/>
        <w:spacing w:after="0" w:line="241" w:lineRule="auto"/>
        <w:tabs>
          <w:tab w:leader="none" w:pos="1477"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Laws or the taxing authorities of a jurisdiction pursuant to such applicable Laws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required pursuant to Sections 2.16(e)(ii)(A),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8" w:lineRule="exact"/>
        <w:rPr>
          <w:rFonts w:ascii="Arial" w:cs="Arial" w:eastAsia="Arial" w:hAnsi="Arial"/>
          <w:sz w:val="19"/>
          <w:szCs w:val="19"/>
          <w:color w:val="auto"/>
        </w:rPr>
      </w:pPr>
    </w:p>
    <w:p>
      <w:pPr>
        <w:ind w:left="1500" w:hanging="632"/>
        <w:spacing w:after="0"/>
        <w:tabs>
          <w:tab w:leader="none" w:pos="15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06" w:lineRule="exact"/>
        <w:rPr>
          <w:rFonts w:ascii="Arial" w:cs="Arial" w:eastAsia="Arial" w:hAnsi="Arial"/>
          <w:sz w:val="22"/>
          <w:szCs w:val="22"/>
          <w:color w:val="auto"/>
        </w:rPr>
      </w:pPr>
    </w:p>
    <w:p>
      <w:pPr>
        <w:jc w:val="both"/>
        <w:ind w:left="860" w:firstLine="1304"/>
        <w:spacing w:after="0" w:line="223" w:lineRule="auto"/>
        <w:tabs>
          <w:tab w:leader="none" w:pos="2766" w:val="left"/>
        </w:tabs>
        <w:numPr>
          <w:ilvl w:val="1"/>
          <w:numId w:val="175"/>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 and the Administrative Agent on or prior to the date on which such Lender becomes a Lender under this Agreement (and from time to time thereafter</w:t>
      </w:r>
    </w:p>
    <w:p>
      <w:pPr>
        <w:sectPr>
          <w:pgSz w:w="11900" w:h="16838" w:orient="portrait"/>
          <w:cols w:equalWidth="0" w:num="1">
            <w:col w:w="10020"/>
          </w:cols>
          <w:pgMar w:left="1440" w:top="1401" w:right="439" w:bottom="1440" w:gutter="0" w:footer="0" w:header="0"/>
        </w:sectPr>
      </w:pPr>
    </w:p>
    <w:bookmarkStart w:id="183" w:name="page184"/>
    <w:bookmarkEnd w:id="183"/>
    <w:p>
      <w:pPr>
        <w:ind w:left="860"/>
        <w:spacing w:after="0"/>
        <w:rPr>
          <w:sz w:val="20"/>
          <w:szCs w:val="20"/>
          <w:color w:val="auto"/>
        </w:rPr>
      </w:pPr>
      <w:r>
        <w:rPr>
          <w:rFonts w:ascii="Arial" w:cs="Arial" w:eastAsia="Arial" w:hAnsi="Arial"/>
          <w:sz w:val="19"/>
          <w:szCs w:val="19"/>
          <w:color w:val="auto"/>
        </w:rPr>
        <w:t>upon the reasonable request of the Borrower or the Administrative Agent), executed copies of IRS Form</w:t>
      </w:r>
    </w:p>
    <w:p>
      <w:pPr>
        <w:ind w:left="860"/>
        <w:spacing w:after="0" w:line="219" w:lineRule="auto"/>
        <w:rPr>
          <w:sz w:val="20"/>
          <w:szCs w:val="20"/>
          <w:color w:val="auto"/>
        </w:rPr>
      </w:pPr>
      <w:r>
        <w:rPr>
          <w:rFonts w:ascii="Arial" w:cs="Arial" w:eastAsia="Arial" w:hAnsi="Arial"/>
          <w:sz w:val="22"/>
          <w:szCs w:val="22"/>
          <w:color w:val="auto"/>
        </w:rPr>
        <w:t>W-9 certifying that such Lender is exempt from</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U.S. federal backup withholding tax;</w:t>
      </w:r>
    </w:p>
    <w:p>
      <w:pPr>
        <w:spacing w:after="0" w:line="202" w:lineRule="exact"/>
        <w:rPr>
          <w:sz w:val="20"/>
          <w:szCs w:val="20"/>
          <w:color w:val="auto"/>
        </w:rPr>
      </w:pPr>
    </w:p>
    <w:p>
      <w:pPr>
        <w:jc w:val="both"/>
        <w:ind w:left="860" w:firstLine="1304"/>
        <w:spacing w:after="0" w:line="216" w:lineRule="auto"/>
        <w:tabs>
          <w:tab w:leader="none" w:pos="276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4" w:lineRule="exact"/>
        <w:rPr>
          <w:rFonts w:ascii="Arial" w:cs="Arial" w:eastAsia="Arial" w:hAnsi="Arial"/>
          <w:sz w:val="22"/>
          <w:szCs w:val="22"/>
          <w:color w:val="auto"/>
        </w:rPr>
      </w:pPr>
    </w:p>
    <w:p>
      <w:pPr>
        <w:jc w:val="both"/>
        <w:ind w:left="3460" w:hanging="648"/>
        <w:spacing w:after="0" w:line="220" w:lineRule="auto"/>
        <w:tabs>
          <w:tab w:leader="none" w:pos="3448" w:val="left"/>
        </w:tabs>
        <w:numPr>
          <w:ilvl w:val="1"/>
          <w:numId w:val="176"/>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executed copies of IRS Form W-8BEN or 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202" w:lineRule="exact"/>
        <w:rPr>
          <w:rFonts w:ascii="Arial" w:cs="Arial" w:eastAsia="Arial" w:hAnsi="Arial"/>
          <w:sz w:val="21"/>
          <w:szCs w:val="21"/>
          <w:color w:val="auto"/>
        </w:rPr>
      </w:pPr>
    </w:p>
    <w:p>
      <w:pPr>
        <w:ind w:left="3460" w:hanging="648"/>
        <w:spacing w:after="0"/>
        <w:tabs>
          <w:tab w:leader="none" w:pos="346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219" w:lineRule="exact"/>
        <w:rPr>
          <w:rFonts w:ascii="Arial" w:cs="Arial" w:eastAsia="Arial" w:hAnsi="Arial"/>
          <w:sz w:val="22"/>
          <w:szCs w:val="22"/>
          <w:color w:val="auto"/>
        </w:rPr>
      </w:pPr>
    </w:p>
    <w:p>
      <w:pPr>
        <w:jc w:val="both"/>
        <w:ind w:left="3460" w:right="20" w:hanging="648"/>
        <w:spacing w:after="0" w:line="244" w:lineRule="auto"/>
        <w:tabs>
          <w:tab w:leader="none" w:pos="346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 (c) of the Code, (x) a certificate substantially in the form of Exhibit G-1 to the effect that such Foreign Lender is not a “bank” within the meaning of Section 881(c)(3)(A) of the Code, a “10 percent shareholder” of the Borrower or any Affiliate within the meaning of Section 881(c)(3)(B) of the Code, or a “controlled foreign corporation” described in Section 881(c)(3)(C) of the Code (a “United States Tax Compliance Certificate”) and (y) executed copies of IRS Form W-8BEN or W-BEN-E (or successor form); or</w:t>
      </w:r>
    </w:p>
    <w:p>
      <w:pPr>
        <w:spacing w:after="0" w:line="187" w:lineRule="exact"/>
        <w:rPr>
          <w:rFonts w:ascii="Arial" w:cs="Arial" w:eastAsia="Arial" w:hAnsi="Arial"/>
          <w:sz w:val="19"/>
          <w:szCs w:val="19"/>
          <w:color w:val="auto"/>
        </w:rPr>
      </w:pPr>
    </w:p>
    <w:p>
      <w:pPr>
        <w:jc w:val="both"/>
        <w:ind w:left="3460" w:right="40" w:hanging="648"/>
        <w:spacing w:after="0" w:line="221" w:lineRule="auto"/>
        <w:tabs>
          <w:tab w:leader="none" w:pos="3448"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to the extent a Foreign Lender is not the beneficial owner, executed copies of IRS Form W-8IMY, accompanied by IRS Form W-8ECI, IRS Form W-8BEN or W-8BEN-E (or successor form), a United States Tax Compliance Certificate substantially in the form of Exhibit G-2 or Exhibit G-3,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United States Tax Compliance</w:t>
      </w:r>
    </w:p>
    <w:p>
      <w:pPr>
        <w:sectPr>
          <w:pgSz w:w="11900" w:h="16838" w:orient="portrait"/>
          <w:cols w:equalWidth="0" w:num="1">
            <w:col w:w="10020"/>
          </w:cols>
          <w:pgMar w:left="1440" w:top="1401" w:right="439" w:bottom="1440" w:gutter="0" w:footer="0" w:header="0"/>
        </w:sectPr>
      </w:pPr>
    </w:p>
    <w:bookmarkStart w:id="184" w:name="page185"/>
    <w:bookmarkEnd w:id="184"/>
    <w:p>
      <w:pPr>
        <w:ind w:left="3460" w:right="60"/>
        <w:spacing w:after="0" w:line="232" w:lineRule="auto"/>
        <w:rPr>
          <w:sz w:val="20"/>
          <w:szCs w:val="20"/>
          <w:color w:val="auto"/>
        </w:rPr>
      </w:pPr>
      <w:r>
        <w:rPr>
          <w:rFonts w:ascii="Arial" w:cs="Arial" w:eastAsia="Arial" w:hAnsi="Arial"/>
          <w:sz w:val="22"/>
          <w:szCs w:val="22"/>
          <w:color w:val="auto"/>
        </w:rPr>
        <w:t>Certificate substantially in the form of Exhibit G-4 on behalf of each such direct and indirect partner;</w:t>
      </w:r>
    </w:p>
    <w:p>
      <w:pPr>
        <w:spacing w:after="0" w:line="199" w:lineRule="exact"/>
        <w:rPr>
          <w:sz w:val="20"/>
          <w:szCs w:val="20"/>
          <w:color w:val="auto"/>
        </w:rPr>
      </w:pPr>
    </w:p>
    <w:p>
      <w:pPr>
        <w:jc w:val="both"/>
        <w:ind w:left="860" w:firstLine="1304"/>
        <w:spacing w:after="0" w:line="246" w:lineRule="auto"/>
        <w:tabs>
          <w:tab w:leader="none" w:pos="2768" w:val="left"/>
        </w:tabs>
        <w:numPr>
          <w:ilvl w:val="1"/>
          <w:numId w:val="177"/>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spacing w:after="0" w:line="179" w:lineRule="exact"/>
        <w:rPr>
          <w:rFonts w:ascii="Arial" w:cs="Arial" w:eastAsia="Arial" w:hAnsi="Arial"/>
          <w:sz w:val="19"/>
          <w:szCs w:val="19"/>
          <w:color w:val="auto"/>
        </w:rPr>
      </w:pPr>
    </w:p>
    <w:p>
      <w:pPr>
        <w:jc w:val="both"/>
        <w:ind w:left="860" w:right="20" w:firstLine="1304"/>
        <w:spacing w:after="0" w:line="242" w:lineRule="auto"/>
        <w:tabs>
          <w:tab w:leader="none" w:pos="2766" w:val="left"/>
        </w:tabs>
        <w:numPr>
          <w:ilvl w:val="1"/>
          <w:numId w:val="177"/>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Laws and at such time or times reasonably requested by the Borrower or the Administrative Agent such documentation prescribed by applicable Laws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4" w:lineRule="exact"/>
        <w:rPr>
          <w:rFonts w:ascii="Arial" w:cs="Arial" w:eastAsia="Arial" w:hAnsi="Arial"/>
          <w:sz w:val="19"/>
          <w:szCs w:val="19"/>
          <w:color w:val="auto"/>
        </w:rPr>
      </w:pPr>
    </w:p>
    <w:p>
      <w:pPr>
        <w:jc w:val="both"/>
        <w:ind w:left="220" w:right="60" w:firstLine="648"/>
        <w:spacing w:after="0" w:line="218" w:lineRule="auto"/>
        <w:tabs>
          <w:tab w:leader="none" w:pos="1475"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Each Lender agrees that if any form or certification it previously delivered pursuant to this Section 2.16(e) expires or becomes obsolete or inaccurate in any respect, it shall update such form or certification or promptly notify the Borrower and the Administrative Agent in writing of its legal inability to do so.</w:t>
      </w:r>
    </w:p>
    <w:p>
      <w:pPr>
        <w:spacing w:after="0" w:line="201" w:lineRule="exact"/>
        <w:rPr>
          <w:sz w:val="20"/>
          <w:szCs w:val="20"/>
          <w:color w:val="auto"/>
        </w:rPr>
      </w:pPr>
    </w:p>
    <w:p>
      <w:pPr>
        <w:jc w:val="both"/>
        <w:ind w:left="-420" w:right="20" w:firstLine="1288"/>
        <w:spacing w:after="0" w:line="218" w:lineRule="auto"/>
        <w:tabs>
          <w:tab w:leader="none" w:pos="1483"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Treatment of Certain Refunds</w:t>
      </w:r>
      <w:r>
        <w:rPr>
          <w:rFonts w:ascii="Arial" w:cs="Arial" w:eastAsia="Arial" w:hAnsi="Arial"/>
          <w:sz w:val="22"/>
          <w:szCs w:val="22"/>
          <w:color w:val="auto"/>
        </w:rPr>
        <w:t>. Unless required by applicable Laws, at no time shall the Administrative Agent have any obligation to file for or otherwise pursue on behalf of a Lender or an Issuing Bank, or have any obligation to pay to any Lender or an Issuing Bank, any refund of Taxes withheld or deducted from funds paid for the account of such Lender or such</w:t>
      </w:r>
    </w:p>
    <w:p>
      <w:pPr>
        <w:sectPr>
          <w:pgSz w:w="11900" w:h="16838" w:orient="portrait"/>
          <w:cols w:equalWidth="0" w:num="1">
            <w:col w:w="10020"/>
          </w:cols>
          <w:pgMar w:left="1440" w:top="1347" w:right="439" w:bottom="1440" w:gutter="0" w:footer="0" w:header="0"/>
        </w:sectPr>
      </w:pPr>
    </w:p>
    <w:bookmarkStart w:id="185" w:name="page186"/>
    <w:bookmarkEnd w:id="185"/>
    <w:p>
      <w:pPr>
        <w:jc w:val="both"/>
        <w:ind w:right="20"/>
        <w:spacing w:after="0"/>
        <w:rPr>
          <w:sz w:val="20"/>
          <w:szCs w:val="20"/>
          <w:color w:val="auto"/>
        </w:rPr>
      </w:pPr>
      <w:r>
        <w:rPr>
          <w:rFonts w:ascii="Arial" w:cs="Arial" w:eastAsia="Arial" w:hAnsi="Arial"/>
          <w:sz w:val="19"/>
          <w:szCs w:val="19"/>
          <w:color w:val="auto"/>
        </w:rPr>
        <w:t>Issuing Bank,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 of indemnity payments made, or additional amounts paid, by a Loan Party under this Section 2.16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Such Recipient shall, at the Borrower’s request, provide the Borrower with a copy of any notice of assessment or other evidence of the requirement to repay such refund received from the relevant Governmental Authority (provided that the Recipient may delete any information therein that Recipient deems confidential). This subsection shall not be construed to require any Recipient to make available its tax returns (or any other information relating to its taxes that it deems confidential) to any Loan Party or any other Person.</w:t>
      </w:r>
    </w:p>
    <w:p>
      <w:pPr>
        <w:spacing w:after="0" w:line="200" w:lineRule="exact"/>
        <w:rPr>
          <w:sz w:val="20"/>
          <w:szCs w:val="20"/>
          <w:color w:val="auto"/>
        </w:rPr>
      </w:pPr>
    </w:p>
    <w:p>
      <w:pPr>
        <w:spacing w:after="0" w:line="228" w:lineRule="exact"/>
        <w:rPr>
          <w:sz w:val="20"/>
          <w:szCs w:val="20"/>
          <w:color w:val="auto"/>
        </w:rPr>
      </w:pPr>
    </w:p>
    <w:p>
      <w:pPr>
        <w:ind w:right="40" w:firstLine="1288"/>
        <w:spacing w:after="0" w:line="298" w:lineRule="auto"/>
        <w:tabs>
          <w:tab w:leader="none" w:pos="1899"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Treatment of Swingline Lender and Issuing Bank</w:t>
      </w:r>
      <w:r>
        <w:rPr>
          <w:rFonts w:ascii="Arial" w:cs="Arial" w:eastAsia="Arial" w:hAnsi="Arial"/>
          <w:sz w:val="19"/>
          <w:szCs w:val="19"/>
          <w:color w:val="auto"/>
        </w:rPr>
        <w:t>. For purposes of this Section 2.16, the term “Lender” shall include any Swingline Lender and any Issuing Bank and the term “applicable Laws” includes FATCA.</w:t>
      </w:r>
    </w:p>
    <w:p>
      <w:pPr>
        <w:spacing w:after="0" w:line="132" w:lineRule="exact"/>
        <w:rPr>
          <w:rFonts w:ascii="Arial" w:cs="Arial" w:eastAsia="Arial" w:hAnsi="Arial"/>
          <w:sz w:val="19"/>
          <w:szCs w:val="19"/>
          <w:color w:val="auto"/>
        </w:rPr>
      </w:pPr>
    </w:p>
    <w:p>
      <w:pPr>
        <w:jc w:val="both"/>
        <w:ind w:right="40" w:firstLine="1288"/>
        <w:spacing w:after="0" w:line="268" w:lineRule="auto"/>
        <w:tabs>
          <w:tab w:leader="none" w:pos="1899"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Each party’s obligations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shall survive the resignation or replacement of the Administrative Agent or any assignment of rights by, or the replacement of, a Lender or any Issuing Bank, the termination of the Commitments and the repayment, satisfaction or discharge of all other Obligations.</w:t>
      </w:r>
    </w:p>
    <w:p>
      <w:pPr>
        <w:spacing w:after="0" w:line="173"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w:t>
      </w:r>
    </w:p>
    <w:p>
      <w:pPr>
        <w:spacing w:after="0" w:line="220" w:lineRule="exact"/>
        <w:rPr>
          <w:sz w:val="20"/>
          <w:szCs w:val="20"/>
          <w:color w:val="auto"/>
        </w:rPr>
      </w:pPr>
    </w:p>
    <w:p>
      <w:pPr>
        <w:jc w:val="both"/>
        <w:ind w:firstLine="1288"/>
        <w:spacing w:after="0" w:line="241" w:lineRule="auto"/>
        <w:tabs>
          <w:tab w:leader="none" w:pos="190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Borrower shall make each payment required to be made by it hereunder (whether of principal, interest, fees or reimbursement of L/C Disbursements, or of amounts payable under Section 2.14, 2.15 or 2.16, or otherwise) without condition or deduction for any counterclaim, defense, recoupment or setoff prior to (i) in the case of payments by the Borrower denominated in Dollars, 2:00 p.m., New York City time and (ii) in the case of payments denominated in an Alternative Currency, 2:00 p.m., Applicable Time, in the city of the Administrative Agent’s Office for such currency, in each case on the date when due, in Same Day Funds.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Dollars, in Dollars) and (ii) to the Administrative Agent at its offices for Dollar denominated Credit Events or, in the case of a Credit Event denominated in an Alternative Currency, the Administrative Agent’s Office for such currency, except payments to be made directly to an Issuing Bank or Swingline Lender as expressly provided herein and except that payments pursuant to Sections 2.14, 2.15, 2.16 and 9.03 shall be made directly to the Persons entitled thereto. Without limiting the generality of the foregoing, the Administrative Agent may require that any payments due under this Agreement be made in the United States. The Administrative Agent shall distribute any such payments denominated in the same currency received by it for the account of any other Person to the appropriate recipient promptly following</w:t>
      </w:r>
    </w:p>
    <w:p>
      <w:pPr>
        <w:sectPr>
          <w:pgSz w:w="11900" w:h="16838" w:orient="portrait"/>
          <w:cols w:equalWidth="0" w:num="1">
            <w:col w:w="10440"/>
          </w:cols>
          <w:pgMar w:left="1020" w:top="1401" w:right="439" w:bottom="1440" w:gutter="0" w:footer="0" w:header="0"/>
        </w:sectPr>
      </w:pPr>
    </w:p>
    <w:bookmarkStart w:id="186" w:name="page187"/>
    <w:bookmarkEnd w:id="186"/>
    <w:p>
      <w:pPr>
        <w:jc w:val="both"/>
        <w:spacing w:after="0" w:line="244" w:lineRule="auto"/>
        <w:rPr>
          <w:sz w:val="20"/>
          <w:szCs w:val="20"/>
          <w:color w:val="auto"/>
        </w:rPr>
      </w:pPr>
      <w:r>
        <w:rPr>
          <w:rFonts w:ascii="Arial" w:cs="Arial" w:eastAsia="Arial" w:hAnsi="Arial"/>
          <w:sz w:val="19"/>
          <w:szCs w:val="19"/>
          <w:color w:val="auto"/>
        </w:rPr>
        <w:t>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Alternative Currency, currency control or exchange regulations are imposed in the country which issues such currency with the result that the type of currency in which the Credit Event was made (the “</w:t>
      </w:r>
      <w:r>
        <w:rPr>
          <w:rFonts w:ascii="Arial" w:cs="Arial" w:eastAsia="Arial" w:hAnsi="Arial"/>
          <w:sz w:val="19"/>
          <w:szCs w:val="19"/>
          <w:u w:val="single" w:color="auto"/>
          <w:color w:val="auto"/>
        </w:rPr>
        <w:t>Original Currency</w:t>
      </w:r>
      <w:r>
        <w:rPr>
          <w:rFonts w:ascii="Arial" w:cs="Arial" w:eastAsia="Arial" w:hAnsi="Arial"/>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 all risks of the imposition of any such currency control or exchange regulations.</w:t>
      </w:r>
    </w:p>
    <w:p>
      <w:pPr>
        <w:spacing w:after="0" w:line="195" w:lineRule="exact"/>
        <w:rPr>
          <w:sz w:val="20"/>
          <w:szCs w:val="20"/>
          <w:color w:val="auto"/>
        </w:rPr>
      </w:pPr>
    </w:p>
    <w:p>
      <w:pPr>
        <w:jc w:val="both"/>
        <w:ind w:right="20" w:firstLine="1288"/>
        <w:spacing w:after="0" w:line="247" w:lineRule="auto"/>
        <w:tabs>
          <w:tab w:leader="none" w:pos="1899"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based on the Dollar Equivalent amount thereof among the parties entitled thereto in accordance with the amounts of interest and fees then due to such parties, and (ii) second, towards payment of principal and unreimbursed L/C Disbursements then due hereunder, ratably based on the Dollar Equivalent amount thereof among the parties entitled thereto in accordance with the amounts of principal and unreimbursed L/C Disbursements then due to such parties.</w:t>
      </w:r>
    </w:p>
    <w:p>
      <w:pPr>
        <w:spacing w:after="0" w:line="180" w:lineRule="exact"/>
        <w:rPr>
          <w:rFonts w:ascii="Arial" w:cs="Arial" w:eastAsia="Arial" w:hAnsi="Arial"/>
          <w:sz w:val="19"/>
          <w:szCs w:val="19"/>
          <w:color w:val="auto"/>
        </w:rPr>
      </w:pPr>
    </w:p>
    <w:p>
      <w:pPr>
        <w:jc w:val="both"/>
        <w:ind w:firstLine="1288"/>
        <w:spacing w:after="0" w:line="242" w:lineRule="auto"/>
        <w:tabs>
          <w:tab w:leader="none" w:pos="190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w:t>
      </w:r>
    </w:p>
    <w:p>
      <w:pPr>
        <w:sectPr>
          <w:pgSz w:w="11900" w:h="16838" w:orient="portrait"/>
          <w:cols w:equalWidth="0" w:num="1">
            <w:col w:w="10440"/>
          </w:cols>
          <w:pgMar w:left="1020" w:top="1347" w:right="439" w:bottom="1440" w:gutter="0" w:footer="0" w:header="0"/>
        </w:sectPr>
      </w:pPr>
    </w:p>
    <w:bookmarkStart w:id="187" w:name="page188"/>
    <w:bookmarkEnd w:id="187"/>
    <w:p>
      <w:pPr>
        <w:jc w:val="both"/>
        <w:spacing w:after="0" w:line="216" w:lineRule="auto"/>
        <w:rPr>
          <w:sz w:val="20"/>
          <w:szCs w:val="20"/>
          <w:color w:val="auto"/>
        </w:rPr>
      </w:pPr>
      <w:r>
        <w:rPr>
          <w:rFonts w:ascii="Arial" w:cs="Arial" w:eastAsia="Arial" w:hAnsi="Arial"/>
          <w:sz w:val="22"/>
          <w:szCs w:val="22"/>
          <w:color w:val="auto"/>
        </w:rPr>
        <w:t>participations in L/C Disbursements and Swingline Loans to any assignee or participant in accordance with Section 9.04.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8" w:lineRule="exact"/>
        <w:rPr>
          <w:sz w:val="20"/>
          <w:szCs w:val="20"/>
          <w:color w:val="auto"/>
        </w:rPr>
      </w:pPr>
    </w:p>
    <w:p>
      <w:pPr>
        <w:jc w:val="both"/>
        <w:ind w:firstLine="1288"/>
        <w:spacing w:after="0" w:line="241" w:lineRule="auto"/>
        <w:tabs>
          <w:tab w:leader="none" w:pos="189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 Unless the Administrative Agent shall have received notice from the Borrower prior to the date on which any payment is due to the Administrative Agent for the account of the Lenders or the relevant Issuing Bank hereunder that the Borrower will not make such payment, the Administrative Agent may assume that the Borrower has made such payment on such date in accordance herewith and may, in reliance upon such assumption, distribute to the Lenders or such Issuing Bank, as the case may be, the amount due; and (ii) 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Arial" w:cs="Arial" w:eastAsia="Arial" w:hAnsi="Arial"/>
          <w:sz w:val="19"/>
          <w:szCs w:val="19"/>
          <w:u w:val="single" w:color="auto"/>
          <w:color w:val="auto"/>
        </w:rPr>
        <w:t>Rescindable Amount</w:t>
      </w:r>
      <w:r>
        <w:rPr>
          <w:rFonts w:ascii="Arial" w:cs="Arial" w:eastAsia="Arial" w:hAnsi="Arial"/>
          <w:sz w:val="19"/>
          <w:szCs w:val="19"/>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relevant Issuing Bank, as the case may be, severally agrees to repay to the Administrative Agent forthwith on demand the Rescindable Amount so distributed to such Lender or such Issuing Bank, in immediately available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A notice of the Administrative Agent to any Lender, any Issuing Bank or the Borrower with respect to any amount owing under this subsection (d) shall be conclusive, absent manifest error.</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right="20" w:firstLine="1288"/>
        <w:spacing w:after="0" w:line="221" w:lineRule="auto"/>
        <w:tabs>
          <w:tab w:leader="none" w:pos="190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If any Lender shall fail to make any payment required to be made by it pursuant to Section 2.04, 2.05,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to fund participations in Letters of Credit and Swingline Loans and to make payments are several and not joint. The failure of any Lender to make any Loan, to fund any such participation or to make any payment on any date required hereunder shall not relieve any other Lender of its corresponding obligation to do so on such date, and no Lender shall be responsible for the failure of any other Lender to so make its Loan, to purchase its participation or to make its payments.</w:t>
      </w:r>
    </w:p>
    <w:p>
      <w:pPr>
        <w:spacing w:after="0" w:line="199"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20" w:lineRule="exact"/>
        <w:rPr>
          <w:sz w:val="20"/>
          <w:szCs w:val="20"/>
          <w:color w:val="auto"/>
        </w:rPr>
      </w:pPr>
    </w:p>
    <w:p>
      <w:pPr>
        <w:jc w:val="both"/>
        <w:ind w:firstLine="1288"/>
        <w:spacing w:after="0" w:line="244" w:lineRule="auto"/>
        <w:tabs>
          <w:tab w:leader="none" w:pos="190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If any Lender requests compensation under Section 2.14, or if the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 Any Lender claiming reimbursement of such costs and</w:t>
      </w:r>
    </w:p>
    <w:p>
      <w:pPr>
        <w:sectPr>
          <w:pgSz w:w="11900" w:h="16838" w:orient="portrait"/>
          <w:cols w:equalWidth="0" w:num="1">
            <w:col w:w="10440"/>
          </w:cols>
          <w:pgMar w:left="1020" w:top="1401" w:right="439" w:bottom="1440" w:gutter="0" w:footer="0" w:header="0"/>
        </w:sectPr>
      </w:pPr>
    </w:p>
    <w:bookmarkStart w:id="188" w:name="page189"/>
    <w:bookmarkEnd w:id="188"/>
    <w:p>
      <w:pPr>
        <w:ind w:left="8" w:right="80"/>
        <w:spacing w:after="0" w:line="232" w:lineRule="auto"/>
        <w:rPr>
          <w:sz w:val="20"/>
          <w:szCs w:val="20"/>
          <w:color w:val="auto"/>
        </w:rPr>
      </w:pPr>
      <w:r>
        <w:rPr>
          <w:rFonts w:ascii="Arial" w:cs="Arial" w:eastAsia="Arial" w:hAnsi="Arial"/>
          <w:sz w:val="22"/>
          <w:szCs w:val="22"/>
          <w:color w:val="auto"/>
        </w:rPr>
        <w:t>expenses shall deliver to the Borrower a certificate setting forth such costs and expenses in reasonable detail which shall be conclusive absent manifest error.</w:t>
      </w:r>
    </w:p>
    <w:p>
      <w:pPr>
        <w:spacing w:after="0" w:line="199" w:lineRule="exact"/>
        <w:rPr>
          <w:sz w:val="20"/>
          <w:szCs w:val="20"/>
          <w:color w:val="auto"/>
        </w:rPr>
      </w:pPr>
    </w:p>
    <w:p>
      <w:pPr>
        <w:jc w:val="both"/>
        <w:ind w:left="8" w:right="80" w:firstLine="1288"/>
        <w:spacing w:after="0" w:line="210" w:lineRule="auto"/>
        <w:tabs>
          <w:tab w:leader="none" w:pos="1907" w:val="left"/>
        </w:tabs>
        <w:numPr>
          <w:ilvl w:val="1"/>
          <w:numId w:val="185"/>
        </w:numPr>
        <w:rPr>
          <w:rFonts w:ascii="Arial" w:cs="Arial" w:eastAsia="Arial" w:hAnsi="Arial"/>
          <w:sz w:val="22"/>
          <w:szCs w:val="22"/>
          <w:color w:val="auto"/>
        </w:rPr>
      </w:pPr>
      <w:r>
        <w:rPr>
          <w:rFonts w:ascii="Arial" w:cs="Arial" w:eastAsia="Arial" w:hAnsi="Arial"/>
          <w:sz w:val="22"/>
          <w:szCs w:val="22"/>
          <w:color w:val="auto"/>
        </w:rPr>
        <w:t>If (1) any Lender requests compensation under Section 2.14, (2) the Borrower is required to pay any additional amount to any Lender or any Governmental Authority for the account of any Lender pursuant to Section 2.16, (3) any Lender is a Defaulting Lender,</w:t>
      </w:r>
    </w:p>
    <w:p>
      <w:pPr>
        <w:spacing w:after="0" w:line="1" w:lineRule="exact"/>
        <w:rPr>
          <w:rFonts w:ascii="Arial" w:cs="Arial" w:eastAsia="Arial" w:hAnsi="Arial"/>
          <w:sz w:val="22"/>
          <w:szCs w:val="22"/>
          <w:color w:val="auto"/>
        </w:rPr>
      </w:pPr>
    </w:p>
    <w:p>
      <w:pPr>
        <w:jc w:val="both"/>
        <w:ind w:left="8" w:right="60" w:hanging="8"/>
        <w:spacing w:after="0" w:line="241" w:lineRule="auto"/>
        <w:tabs>
          <w:tab w:leader="none" w:pos="611" w:val="left"/>
        </w:tabs>
        <w:numPr>
          <w:ilvl w:val="0"/>
          <w:numId w:val="186"/>
        </w:numPr>
        <w:rPr>
          <w:rFonts w:ascii="Arial" w:cs="Arial" w:eastAsia="Arial" w:hAnsi="Arial"/>
          <w:sz w:val="19"/>
          <w:szCs w:val="19"/>
          <w:color w:val="auto"/>
          <w:strike w:val="1"/>
        </w:rPr>
      </w:pPr>
      <w:r>
        <w:rPr>
          <w:rFonts w:ascii="Arial" w:cs="Arial" w:eastAsia="Arial" w:hAnsi="Arial"/>
          <w:sz w:val="19"/>
          <w:szCs w:val="19"/>
          <w:color w:val="auto"/>
        </w:rPr>
        <w:t xml:space="preserve">any Lender fails to grant a consent in connection with any proposed change, waiver, discharge or termination of the provisions of this Agreement as contemplated by Section 9.02 for which the consent of each Lender or each affected Lender is required but the consent of the Required Lenders is obtained, (5) if any Lender is prohibited under applicable Law from making Loans or Letters of Credit denominated in one or more Alternative Currencies to the Borrower in accordance with the terms of this Agreement, and at such time the Required Lenders are permitted under applicable Law (and have agreed) to make such Loans and Letters of Credit in such Alternative Currencies, or (6)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4" w:lineRule="exact"/>
        <w:rPr>
          <w:rFonts w:ascii="Arial" w:cs="Arial" w:eastAsia="Arial" w:hAnsi="Arial"/>
          <w:sz w:val="19"/>
          <w:szCs w:val="19"/>
          <w:color w:val="auto"/>
          <w:strike w:val="1"/>
        </w:rPr>
      </w:pPr>
    </w:p>
    <w:p>
      <w:pPr>
        <w:ind w:left="648" w:right="100" w:firstLine="648"/>
        <w:spacing w:after="0" w:line="232" w:lineRule="auto"/>
        <w:tabs>
          <w:tab w:leader="none" w:pos="1905"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the Borrower shall have paid to the Administrative Agent the assignment fee specified in Section 9.04 (unless otherwise agreed by the Administrative Agent);</w:t>
      </w:r>
    </w:p>
    <w:p>
      <w:pPr>
        <w:spacing w:after="0" w:line="199" w:lineRule="exact"/>
        <w:rPr>
          <w:sz w:val="20"/>
          <w:szCs w:val="20"/>
          <w:color w:val="auto"/>
        </w:rPr>
      </w:pPr>
    </w:p>
    <w:p>
      <w:pPr>
        <w:jc w:val="both"/>
        <w:ind w:left="648" w:right="80" w:firstLine="648"/>
        <w:spacing w:after="0" w:line="216" w:lineRule="auto"/>
        <w:tabs>
          <w:tab w:leader="none" w:pos="1898" w:val="left"/>
        </w:tabs>
        <w:numPr>
          <w:ilvl w:val="1"/>
          <w:numId w:val="187"/>
        </w:numPr>
        <w:rPr>
          <w:rFonts w:ascii="Arial" w:cs="Arial" w:eastAsia="Arial" w:hAnsi="Arial"/>
          <w:sz w:val="22"/>
          <w:szCs w:val="22"/>
          <w:color w:val="auto"/>
        </w:rPr>
      </w:pPr>
      <w:r>
        <w:rPr>
          <w:rFonts w:ascii="Arial" w:cs="Arial" w:eastAsia="Arial" w:hAnsi="Arial"/>
          <w:sz w:val="22"/>
          <w:szCs w:val="22"/>
          <w:color w:val="auto"/>
        </w:rPr>
        <w:t>such Lender shall have received payment of an amount equal to the outstanding principal of its Loans and L/C Disbursements, accrued interest thereon, accrued fees and all other amounts payable to it hereunder and under the other Loan Documents (including any amounts under Section 2.15) from the assignee (to the extent of such outstanding principal and accrued interest and fees) or the Borrower (in the case of all other amounts);</w:t>
      </w:r>
    </w:p>
    <w:p>
      <w:pPr>
        <w:spacing w:after="0" w:line="198" w:lineRule="exact"/>
        <w:rPr>
          <w:rFonts w:ascii="Arial" w:cs="Arial" w:eastAsia="Arial" w:hAnsi="Arial"/>
          <w:sz w:val="22"/>
          <w:szCs w:val="22"/>
          <w:color w:val="auto"/>
        </w:rPr>
      </w:pPr>
    </w:p>
    <w:p>
      <w:pPr>
        <w:jc w:val="both"/>
        <w:ind w:left="648" w:right="80" w:firstLine="648"/>
        <w:spacing w:after="0" w:line="223" w:lineRule="auto"/>
        <w:tabs>
          <w:tab w:leader="none" w:pos="1904" w:val="left"/>
        </w:tabs>
        <w:numPr>
          <w:ilvl w:val="1"/>
          <w:numId w:val="187"/>
        </w:numPr>
        <w:rPr>
          <w:rFonts w:ascii="Arial" w:cs="Arial" w:eastAsia="Arial" w:hAnsi="Arial"/>
          <w:sz w:val="22"/>
          <w:szCs w:val="22"/>
          <w:color w:val="auto"/>
        </w:rPr>
      </w:pPr>
      <w:r>
        <w:rPr>
          <w:rFonts w:ascii="Arial" w:cs="Arial" w:eastAsia="Arial" w:hAnsi="Arial"/>
          <w:sz w:val="22"/>
          <w:szCs w:val="22"/>
          <w:color w:val="auto"/>
        </w:rPr>
        <w:t>in the case of any such assignment resulting from a claim for compensation under Section 2.14 or payments required to be made pursuant to Section 2.16, such assignment will result in a reduction in such compensation or payments thereafter;</w:t>
      </w:r>
    </w:p>
    <w:p>
      <w:pPr>
        <w:spacing w:after="0" w:line="166" w:lineRule="exact"/>
        <w:rPr>
          <w:rFonts w:ascii="Arial" w:cs="Arial" w:eastAsia="Arial" w:hAnsi="Arial"/>
          <w:sz w:val="22"/>
          <w:szCs w:val="22"/>
          <w:color w:val="auto"/>
        </w:rPr>
      </w:pPr>
    </w:p>
    <w:p>
      <w:pPr>
        <w:ind w:left="1928" w:hanging="632"/>
        <w:spacing w:after="0"/>
        <w:tabs>
          <w:tab w:leader="none" w:pos="1928" w:val="left"/>
        </w:tabs>
        <w:numPr>
          <w:ilvl w:val="1"/>
          <w:numId w:val="187"/>
        </w:numPr>
        <w:rPr>
          <w:rFonts w:ascii="Arial" w:cs="Arial" w:eastAsia="Arial" w:hAnsi="Arial"/>
          <w:sz w:val="22"/>
          <w:szCs w:val="22"/>
          <w:color w:val="auto"/>
        </w:rPr>
      </w:pPr>
      <w:r>
        <w:rPr>
          <w:rFonts w:ascii="Arial" w:cs="Arial" w:eastAsia="Arial" w:hAnsi="Arial"/>
          <w:sz w:val="22"/>
          <w:szCs w:val="22"/>
          <w:color w:val="auto"/>
        </w:rPr>
        <w:t>in the case of an assignment resulting from an event described in clause</w:t>
      </w:r>
    </w:p>
    <w:p>
      <w:pPr>
        <w:ind w:left="948" w:hanging="300"/>
        <w:spacing w:after="0" w:line="237" w:lineRule="auto"/>
        <w:tabs>
          <w:tab w:leader="none" w:pos="94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above, (A) the applicable assignee shall have consented to the applicable amendment, waiver or consent and</w:t>
      </w:r>
    </w:p>
    <w:p>
      <w:pPr>
        <w:ind w:left="648"/>
        <w:spacing w:after="0" w:line="224" w:lineRule="auto"/>
        <w:rPr>
          <w:rFonts w:ascii="Arial" w:cs="Arial" w:eastAsia="Arial" w:hAnsi="Arial"/>
          <w:sz w:val="19"/>
          <w:szCs w:val="19"/>
          <w:color w:val="auto"/>
        </w:rPr>
      </w:pPr>
      <w:r>
        <w:rPr>
          <w:rFonts w:ascii="Arial" w:cs="Arial" w:eastAsia="Arial" w:hAnsi="Arial"/>
          <w:sz w:val="22"/>
          <w:szCs w:val="22"/>
          <w:color w:val="auto"/>
        </w:rPr>
        <w:t>(B) after giving effect to such assignment (and any other assignments made in connection therewith), each Lender shall have consented to the applicable amendment, waiver or consent;</w:t>
      </w:r>
    </w:p>
    <w:p>
      <w:pPr>
        <w:spacing w:after="0" w:line="198" w:lineRule="exact"/>
        <w:rPr>
          <w:rFonts w:ascii="Arial" w:cs="Arial" w:eastAsia="Arial" w:hAnsi="Arial"/>
          <w:sz w:val="19"/>
          <w:szCs w:val="19"/>
          <w:color w:val="auto"/>
        </w:rPr>
      </w:pPr>
    </w:p>
    <w:p>
      <w:pPr>
        <w:jc w:val="both"/>
        <w:ind w:left="648" w:right="80" w:firstLine="648"/>
        <w:spacing w:after="0" w:line="243" w:lineRule="auto"/>
        <w:tabs>
          <w:tab w:leader="none" w:pos="1899" w:val="left"/>
        </w:tabs>
        <w:numPr>
          <w:ilvl w:val="1"/>
          <w:numId w:val="188"/>
        </w:numPr>
        <w:rPr>
          <w:rFonts w:ascii="Arial" w:cs="Arial" w:eastAsia="Arial" w:hAnsi="Arial"/>
          <w:sz w:val="19"/>
          <w:szCs w:val="19"/>
          <w:color w:val="auto"/>
        </w:rPr>
      </w:pPr>
      <w:r>
        <w:rPr>
          <w:rFonts w:ascii="Arial" w:cs="Arial" w:eastAsia="Arial" w:hAnsi="Arial"/>
          <w:sz w:val="19"/>
          <w:szCs w:val="19"/>
          <w:color w:val="auto"/>
        </w:rPr>
        <w:t>in the case of an assignment resulting from a circumstance described in clause (5) above, (A) the applicable assignee shall be permitted under Law to make Loans and Letters of Credit in all Alternative Currencies to the Borrower in accordance with the terms of this Agreement and the other Loan Documents, and</w:t>
      </w:r>
    </w:p>
    <w:p>
      <w:pPr>
        <w:spacing w:after="0" w:line="2" w:lineRule="exact"/>
        <w:rPr>
          <w:rFonts w:ascii="Arial" w:cs="Arial" w:eastAsia="Arial" w:hAnsi="Arial"/>
          <w:sz w:val="19"/>
          <w:szCs w:val="19"/>
          <w:color w:val="auto"/>
        </w:rPr>
      </w:pPr>
    </w:p>
    <w:p>
      <w:pPr>
        <w:jc w:val="both"/>
        <w:ind w:left="648" w:right="80"/>
        <w:spacing w:after="0" w:line="217" w:lineRule="auto"/>
        <w:rPr>
          <w:rFonts w:ascii="Arial" w:cs="Arial" w:eastAsia="Arial" w:hAnsi="Arial"/>
          <w:sz w:val="19"/>
          <w:szCs w:val="19"/>
          <w:color w:val="auto"/>
        </w:rPr>
      </w:pPr>
      <w:r>
        <w:rPr>
          <w:rFonts w:ascii="Arial" w:cs="Arial" w:eastAsia="Arial" w:hAnsi="Arial"/>
          <w:sz w:val="22"/>
          <w:szCs w:val="22"/>
          <w:color w:val="auto"/>
        </w:rPr>
        <w:t>(B) after giving effect to such assignment (and any other assignments made in connection therewith), each Lender shall be permitted under applicable Law to make Loans to and Letters of Credit to the Borrower in all Alternative Currencies;</w:t>
      </w:r>
    </w:p>
    <w:p>
      <w:pPr>
        <w:spacing w:after="0" w:line="186" w:lineRule="exact"/>
        <w:rPr>
          <w:rFonts w:ascii="Arial" w:cs="Arial" w:eastAsia="Arial" w:hAnsi="Arial"/>
          <w:sz w:val="19"/>
          <w:szCs w:val="19"/>
          <w:color w:val="auto"/>
        </w:rPr>
      </w:pPr>
    </w:p>
    <w:p>
      <w:pPr>
        <w:jc w:val="both"/>
        <w:ind w:left="648" w:right="80" w:firstLine="648"/>
        <w:spacing w:after="0" w:line="223" w:lineRule="auto"/>
        <w:tabs>
          <w:tab w:leader="none" w:pos="1905" w:val="left"/>
        </w:tabs>
        <w:numPr>
          <w:ilvl w:val="1"/>
          <w:numId w:val="188"/>
        </w:numPr>
        <w:rPr>
          <w:rFonts w:ascii="Arial" w:cs="Arial" w:eastAsia="Arial" w:hAnsi="Arial"/>
          <w:sz w:val="22"/>
          <w:szCs w:val="22"/>
          <w:color w:val="auto"/>
        </w:rPr>
      </w:pPr>
      <w:r>
        <w:rPr>
          <w:rFonts w:ascii="Arial" w:cs="Arial" w:eastAsia="Arial" w:hAnsi="Arial"/>
          <w:sz w:val="22"/>
          <w:szCs w:val="22"/>
          <w:color w:val="auto"/>
        </w:rPr>
        <w:t>in the case of an assignment resulting from a circumstance described in clause (6) above, (A) the applicable assignee shall be permitted under Law and licensed to make Loans and other applicable extensions of credit to the Borrower in accordance</w:t>
      </w:r>
    </w:p>
    <w:p>
      <w:pPr>
        <w:sectPr>
          <w:pgSz w:w="11900" w:h="16838" w:orient="portrait"/>
          <w:cols w:equalWidth="0" w:num="1">
            <w:col w:w="10508"/>
          </w:cols>
          <w:pgMar w:left="1012" w:top="1347" w:right="379" w:bottom="1440" w:gutter="0" w:footer="0" w:header="0"/>
        </w:sectPr>
      </w:pPr>
    </w:p>
    <w:bookmarkStart w:id="189" w:name="page190"/>
    <w:bookmarkEnd w:id="189"/>
    <w:p>
      <w:pPr>
        <w:jc w:val="both"/>
        <w:ind w:left="640" w:right="20"/>
        <w:spacing w:after="0" w:line="234" w:lineRule="auto"/>
        <w:rPr>
          <w:sz w:val="20"/>
          <w:szCs w:val="20"/>
          <w:color w:val="auto"/>
        </w:rPr>
      </w:pPr>
      <w:r>
        <w:rPr>
          <w:rFonts w:ascii="Arial" w:cs="Arial" w:eastAsia="Arial" w:hAnsi="Arial"/>
          <w:sz w:val="21"/>
          <w:szCs w:val="21"/>
          <w:color w:val="auto"/>
        </w:rPr>
        <w:t>with the terms of this Agreement and (B) after giving effect to such assignment (and to any other assignments made in connection therewith), each Lender shall be permitted under applicable Law and licensed to make such Loans and other applicable extensions of credit under this Agreement; and</w:t>
      </w:r>
    </w:p>
    <w:p>
      <w:pPr>
        <w:spacing w:after="0" w:line="198" w:lineRule="exact"/>
        <w:rPr>
          <w:sz w:val="20"/>
          <w:szCs w:val="20"/>
          <w:color w:val="auto"/>
        </w:rPr>
      </w:pPr>
    </w:p>
    <w:p>
      <w:pPr>
        <w:ind w:left="1920" w:hanging="632"/>
        <w:spacing w:after="0"/>
        <w:tabs>
          <w:tab w:leader="none" w:pos="192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Laws.</w:t>
      </w:r>
    </w:p>
    <w:p>
      <w:pPr>
        <w:spacing w:after="0" w:line="206" w:lineRule="exact"/>
        <w:rPr>
          <w:sz w:val="20"/>
          <w:szCs w:val="20"/>
          <w:color w:val="auto"/>
        </w:rPr>
      </w:pPr>
    </w:p>
    <w:p>
      <w:pPr>
        <w:jc w:val="both"/>
        <w:ind w:right="40"/>
        <w:spacing w:after="0" w:line="223" w:lineRule="auto"/>
        <w:rPr>
          <w:sz w:val="20"/>
          <w:szCs w:val="20"/>
          <w:color w:val="auto"/>
        </w:rPr>
      </w:pPr>
      <w:r>
        <w:rPr>
          <w:rFonts w:ascii="Arial" w:cs="Arial" w:eastAsia="Arial" w:hAnsi="Arial"/>
          <w:sz w:val="22"/>
          <w:szCs w:val="2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99"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2.19</w:t>
      </w:r>
      <w:r>
        <w:rPr>
          <w:sz w:val="20"/>
          <w:szCs w:val="20"/>
          <w:color w:val="auto"/>
        </w:rPr>
        <w:tab/>
      </w:r>
      <w:r>
        <w:rPr>
          <w:rFonts w:ascii="Arial" w:cs="Arial" w:eastAsia="Arial" w:hAnsi="Arial"/>
          <w:sz w:val="19"/>
          <w:szCs w:val="19"/>
          <w:u w:val="single" w:color="auto"/>
          <w:color w:val="auto"/>
        </w:rPr>
        <w:t>Expansion Option</w:t>
      </w:r>
      <w:r>
        <w:rPr>
          <w:rFonts w:ascii="Arial" w:cs="Arial" w:eastAsia="Arial" w:hAnsi="Arial"/>
          <w:sz w:val="19"/>
          <w:szCs w:val="19"/>
          <w:color w:val="auto"/>
        </w:rPr>
        <w:t>.</w:t>
      </w:r>
    </w:p>
    <w:p>
      <w:pPr>
        <w:spacing w:after="0" w:line="220" w:lineRule="exact"/>
        <w:rPr>
          <w:sz w:val="20"/>
          <w:szCs w:val="20"/>
          <w:color w:val="auto"/>
        </w:rPr>
      </w:pPr>
    </w:p>
    <w:p>
      <w:pPr>
        <w:jc w:val="both"/>
        <w:ind w:firstLine="1288"/>
        <w:spacing w:after="0" w:line="241" w:lineRule="auto"/>
        <w:tabs>
          <w:tab w:leader="none" w:pos="190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Borrower may from time to time after the Closing Date elect to increase the Revolving Commitments (“</w:t>
      </w:r>
      <w:r>
        <w:rPr>
          <w:rFonts w:ascii="Arial" w:cs="Arial" w:eastAsia="Arial" w:hAnsi="Arial"/>
          <w:sz w:val="19"/>
          <w:szCs w:val="19"/>
          <w:u w:val="single" w:color="auto"/>
          <w:color w:val="auto"/>
        </w:rPr>
        <w:t>Increased Commitments</w:t>
      </w:r>
      <w:r>
        <w:rPr>
          <w:rFonts w:ascii="Arial" w:cs="Arial" w:eastAsia="Arial" w:hAnsi="Arial"/>
          <w:sz w:val="19"/>
          <w:szCs w:val="19"/>
          <w:color w:val="auto"/>
        </w:rPr>
        <w:t>”) in an aggregate principal amount of not less than $25,000,000. The Borrower may arrange for any such increase to be provided by one or more Lenders (each Lender so agreeing to an increase in its Revolving Commitment,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or by one or more new banks, financial institutions or other entities (each such new bank, financial institution or other entity, an “</w:t>
      </w:r>
      <w:r>
        <w:rPr>
          <w:rFonts w:ascii="Arial" w:cs="Arial" w:eastAsia="Arial" w:hAnsi="Arial"/>
          <w:sz w:val="19"/>
          <w:szCs w:val="19"/>
          <w:u w:val="single" w:color="auto"/>
          <w:color w:val="auto"/>
        </w:rPr>
        <w:t>Augmenting Lender</w:t>
      </w:r>
      <w:r>
        <w:rPr>
          <w:rFonts w:ascii="Arial" w:cs="Arial" w:eastAsia="Arial" w:hAnsi="Arial"/>
          <w:sz w:val="19"/>
          <w:szCs w:val="19"/>
          <w:color w:val="auto"/>
        </w:rPr>
        <w:t xml:space="preserve">”), to increase their existing Revolving Commitments or to participate in such Revolving Commitments,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Augmenting Lender (and, in the case of an Increased Commitment, each Increasing Lender) shall be subject to the approval of the Borrower, the Administrative Agent, each Issuing Bank and Swingline Lender (such consents not to be unreasonably withheld or delayed). Without the consent of any Lenders other than the relevant Increasing Lenders or Augmenting Lenders, this Agreement and the other Loan Documents may be amended pursuant to an Additional Credit Extension Amendment as may be necessary or appropriate, in the reasonable opinion of the Administrative Agent and the Borrower, to effect the provisions of this Section 2.19. Increases of Revolving Commitments shall become effective on the date agreed by the Borrower, the Administrative Agent and the relevant Increasing Lenders or Augmenting Lenders and the Administrative Agent shall notify each Lender thereof. Notwithstanding the foregoing, no increase in the Revolving Commitments shall be permitted under this paragraph unless on the proposed date of the effectiveness of such increase in the Revolving Commitments, (i) the conditions set forth in paragraphs (a) and (b) of</w:t>
      </w:r>
    </w:p>
    <w:p>
      <w:pPr>
        <w:sectPr>
          <w:pgSz w:w="11900" w:h="16838" w:orient="portrait"/>
          <w:cols w:equalWidth="0" w:num="1">
            <w:col w:w="10440"/>
          </w:cols>
          <w:pgMar w:left="1020" w:top="1347" w:right="439" w:bottom="1440" w:gutter="0" w:footer="0" w:header="0"/>
        </w:sectPr>
      </w:pPr>
    </w:p>
    <w:bookmarkStart w:id="190" w:name="page191"/>
    <w:bookmarkEnd w:id="190"/>
    <w:p>
      <w:pPr>
        <w:ind w:left="9"/>
        <w:spacing w:after="0"/>
        <w:rPr>
          <w:sz w:val="20"/>
          <w:szCs w:val="20"/>
          <w:color w:val="auto"/>
        </w:rPr>
      </w:pPr>
      <w:r>
        <w:rPr>
          <w:rFonts w:ascii="Arial" w:cs="Arial" w:eastAsia="Arial" w:hAnsi="Arial"/>
          <w:sz w:val="22"/>
          <w:szCs w:val="22"/>
          <w:color w:val="auto"/>
        </w:rPr>
        <w:t>Section 4.02 shall be satisfied or waived by the Required Lenders and the Administrative Agent,</w:t>
      </w:r>
    </w:p>
    <w:p>
      <w:pPr>
        <w:jc w:val="both"/>
        <w:ind w:left="9" w:right="40" w:hanging="9"/>
        <w:spacing w:after="0" w:line="237" w:lineRule="auto"/>
        <w:tabs>
          <w:tab w:leader="none" w:pos="34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after giving effect to such increase in the Revolving Commitments, the Borrower shall be in compliance, on a Pro Forma Basis, with the Consolidated Leverage Ratio (determined as of the most recently ended fiscal quarter and assuming that the entire amount of such increase had been borrowed as of such quarter end), and (iii) the Administrative Agent shall have received a certificate confirming (and, as applicable, setting forth reasonably detailed calculations demonstrating) compliance with each of the requirements set forth in clauses (i) and (ii) above, dated such date and executed by a Financial Officer of the Borrower. On the effective date of any increase in the Revolving Commitments,</w:t>
      </w:r>
    </w:p>
    <w:p>
      <w:pPr>
        <w:spacing w:after="0" w:line="1" w:lineRule="exact"/>
        <w:rPr>
          <w:rFonts w:ascii="Arial" w:cs="Arial" w:eastAsia="Arial" w:hAnsi="Arial"/>
          <w:sz w:val="19"/>
          <w:szCs w:val="19"/>
          <w:color w:val="auto"/>
        </w:rPr>
      </w:pPr>
    </w:p>
    <w:p>
      <w:pPr>
        <w:jc w:val="both"/>
        <w:ind w:left="9" w:right="40" w:hanging="9"/>
        <w:spacing w:after="0"/>
        <w:tabs>
          <w:tab w:leader="none" w:pos="299" w:val="left"/>
        </w:tabs>
        <w:numPr>
          <w:ilvl w:val="0"/>
          <w:numId w:val="192"/>
        </w:numPr>
        <w:rPr>
          <w:rFonts w:ascii="Arial" w:cs="Arial" w:eastAsia="Arial" w:hAnsi="Arial"/>
          <w:sz w:val="19"/>
          <w:szCs w:val="19"/>
          <w:color w:val="auto"/>
        </w:rPr>
      </w:pPr>
      <w:r>
        <w:rPr>
          <w:rFonts w:ascii="Arial" w:cs="Arial" w:eastAsia="Arial" w:hAnsi="Arial"/>
          <w:sz w:val="19"/>
          <w:szCs w:val="19"/>
          <w:color w:val="auto"/>
        </w:rPr>
        <w:t>each relevant Increasing Lender and Augmenting Lender shall make available to the Administrative Agent such amounts in Same Day Funds as the Administrative Agent shall determine, for the benefit of the other Lenders, as being required in order to cause, after giving effect to such increase and the use of such amounts to make payments to such other Lenders, each Lender’s portion of the outstanding Loans of all the Lenders to equal its Applicable Percentage of such outstanding Loans, and (ii) if, on the date of such increase, there are any Revolving Loans outstanding, such Revolving Loans shall on or prior to the effectiveness of such Increased Commitments be prepaid to the extent necessary from the proceeds of additional Revolving Loans made hereunder by the Increasing Lenders and Augmenting Lenders, so that, after giving effect to such prepayments and any borrowings on such date of all or any portion of such Increased Commitments, the principal balance of all outstanding Revolving Loans owing to each Lender is equal to such Lender’s pro rata share (after giving effect to any nonratable Increased Commitment pursuant to this Section 2.19) of all then outstanding Revolving Loans. The Administrative Agent and the Lenders hereby agree that the Borrowing Request, minimum borrowing, pro rata borrowing and pro rata payment requirements contained elsewhere in this Agreement shall not apply to the transactions effected pursuant to the immediately preceding sentence. The deemed payments made pursuant to clause</w:t>
      </w:r>
    </w:p>
    <w:p>
      <w:pPr>
        <w:spacing w:after="0" w:line="183" w:lineRule="exact"/>
        <w:rPr>
          <w:rFonts w:ascii="Arial" w:cs="Arial" w:eastAsia="Arial" w:hAnsi="Arial"/>
          <w:sz w:val="19"/>
          <w:szCs w:val="19"/>
          <w:color w:val="auto"/>
        </w:rPr>
      </w:pPr>
    </w:p>
    <w:p>
      <w:pPr>
        <w:jc w:val="both"/>
        <w:ind w:left="9" w:right="40" w:hanging="9"/>
        <w:spacing w:after="0" w:line="212" w:lineRule="auto"/>
        <w:tabs>
          <w:tab w:leader="none" w:pos="34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of the second preceding sentence shall be accompanied by payment of all accrued interest on the amount prepaid and, in respect of each </w:t>
      </w:r>
      <w:r>
        <w:rPr>
          <w:rFonts w:ascii="Arial" w:cs="Arial" w:eastAsia="Arial" w:hAnsi="Arial"/>
          <w:sz w:val="22"/>
          <w:szCs w:val="22"/>
          <w:color w:val="FF0000"/>
          <w:strike w:val="1"/>
        </w:rPr>
        <w:t>Eurocurrency</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Loan and each Alternative Currency Term Rate Loan, shall be subject to indemnification by the Borrower pursuant to the provisions of Section 2.15 if the deemed payment occurs other than on the last day of the related Interest Periods. For the avoidance of doubt, no Lender shall have any obligation to provide any Increased Commitment.</w:t>
      </w:r>
    </w:p>
    <w:p>
      <w:pPr>
        <w:spacing w:after="0" w:line="196" w:lineRule="exact"/>
        <w:rPr>
          <w:sz w:val="20"/>
          <w:szCs w:val="20"/>
          <w:color w:val="auto"/>
        </w:rPr>
      </w:pPr>
    </w:p>
    <w:p>
      <w:pPr>
        <w:ind w:left="1949" w:hanging="652"/>
        <w:spacing w:after="0"/>
        <w:tabs>
          <w:tab w:leader="none" w:pos="1949"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This Section 2.19 shall override any provisions in Section 9.02 to the</w:t>
      </w:r>
    </w:p>
    <w:p>
      <w:pPr>
        <w:ind w:left="9"/>
        <w:spacing w:after="0"/>
        <w:rPr>
          <w:sz w:val="20"/>
          <w:szCs w:val="20"/>
          <w:color w:val="auto"/>
        </w:rPr>
      </w:pPr>
      <w:r>
        <w:rPr>
          <w:rFonts w:ascii="Arial" w:cs="Arial" w:eastAsia="Arial" w:hAnsi="Arial"/>
          <w:sz w:val="22"/>
          <w:szCs w:val="22"/>
          <w:color w:val="auto"/>
        </w:rPr>
        <w:t>contrary.</w:t>
      </w:r>
    </w:p>
    <w:p>
      <w:pPr>
        <w:spacing w:after="0" w:line="215" w:lineRule="exact"/>
        <w:rPr>
          <w:sz w:val="20"/>
          <w:szCs w:val="20"/>
          <w:color w:val="auto"/>
        </w:rPr>
      </w:pPr>
    </w:p>
    <w:p>
      <w:pPr>
        <w:jc w:val="both"/>
        <w:ind w:left="9" w:firstLine="648"/>
        <w:spacing w:after="0" w:line="244"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from the Borrower hereunder in the currency expressed to be payable herein (the “</w:t>
      </w:r>
      <w:r>
        <w:rPr>
          <w:rFonts w:ascii="Arial" w:cs="Arial" w:eastAsia="Arial" w:hAnsi="Arial"/>
          <w:sz w:val="19"/>
          <w:szCs w:val="19"/>
          <w:u w:val="single" w:color="auto"/>
          <w:color w:val="auto"/>
        </w:rPr>
        <w:t>specified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currency</w:t>
      </w:r>
      <w:r>
        <w:rPr>
          <w:rFonts w:ascii="Arial" w:cs="Arial" w:eastAsia="Arial" w:hAnsi="Arial"/>
          <w:sz w:val="19"/>
          <w:szCs w:val="19"/>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any Issuing Bank or the Administrative Agent hereunder shall, notwithstanding any judgment in a currency other than the specified currency, be discharged only to the extent that on the Business Day following receipt by such Lender, such Issuing Bank or the Administrative Agent (as the case may be) of any sum adjudged to be so due in such other currency such Lender, such Issuing Bank or the</w:t>
      </w:r>
    </w:p>
    <w:p>
      <w:pPr>
        <w:sectPr>
          <w:pgSz w:w="11900" w:h="16838" w:orient="portrait"/>
          <w:cols w:equalWidth="0" w:num="1">
            <w:col w:w="10449"/>
          </w:cols>
          <w:pgMar w:left="1011" w:top="1382" w:right="439" w:bottom="1440" w:gutter="0" w:footer="0" w:header="0"/>
        </w:sectPr>
      </w:pPr>
    </w:p>
    <w:bookmarkStart w:id="191" w:name="page192"/>
    <w:bookmarkEnd w:id="191"/>
    <w:p>
      <w:pPr>
        <w:jc w:val="both"/>
        <w:ind w:left="9" w:right="40"/>
        <w:spacing w:after="0" w:line="244" w:lineRule="auto"/>
        <w:rPr>
          <w:sz w:val="20"/>
          <w:szCs w:val="20"/>
          <w:color w:val="auto"/>
        </w:rPr>
      </w:pPr>
      <w:r>
        <w:rPr>
          <w:rFonts w:ascii="Arial" w:cs="Arial" w:eastAsia="Arial" w:hAnsi="Arial"/>
          <w:sz w:val="19"/>
          <w:szCs w:val="19"/>
          <w:color w:val="auto"/>
        </w:rPr>
        <w:t>Administrative Agent (as the case may be) may in accordance with normal, reasonable banking procedures purchase the specified currency with such other currency. If the amount of the specified currency so purchased is less than the sum originally due to such Lender, such Issuing Bank or the Administrative Agent, as the case may be, in the specified currency, the Borrower agrees, to the fullest extent that it may effectively do so, as a separate obligation and notwithstanding any such judgment, to indemnify such Lender, such Issuing Bank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201" w:lineRule="exact"/>
        <w:rPr>
          <w:sz w:val="20"/>
          <w:szCs w:val="20"/>
          <w:color w:val="auto"/>
        </w:rPr>
      </w:pPr>
    </w:p>
    <w:p>
      <w:pPr>
        <w:ind w:left="649"/>
        <w:spacing w:after="0"/>
        <w:tabs>
          <w:tab w:leader="none" w:pos="2189" w:val="left"/>
        </w:tabs>
        <w:rPr>
          <w:sz w:val="20"/>
          <w:szCs w:val="20"/>
          <w:color w:val="auto"/>
        </w:rPr>
      </w:pPr>
      <w:r>
        <w:rPr>
          <w:rFonts w:ascii="Arial" w:cs="Arial" w:eastAsia="Arial" w:hAnsi="Arial"/>
          <w:sz w:val="22"/>
          <w:szCs w:val="22"/>
          <w:color w:val="auto"/>
        </w:rPr>
        <w:t>SECTION 2.21</w:t>
      </w:r>
      <w:r>
        <w:rPr>
          <w:sz w:val="20"/>
          <w:szCs w:val="20"/>
          <w:color w:val="auto"/>
        </w:rPr>
        <w:tab/>
      </w:r>
      <w:r>
        <w:rPr>
          <w:rFonts w:ascii="Arial" w:cs="Arial" w:eastAsia="Arial" w:hAnsi="Arial"/>
          <w:sz w:val="19"/>
          <w:szCs w:val="19"/>
          <w:u w:val="single" w:color="auto"/>
          <w:color w:val="auto"/>
        </w:rPr>
        <w:t>Extended Revolving Commitments</w:t>
      </w:r>
      <w:r>
        <w:rPr>
          <w:rFonts w:ascii="Arial" w:cs="Arial" w:eastAsia="Arial" w:hAnsi="Arial"/>
          <w:sz w:val="19"/>
          <w:szCs w:val="19"/>
          <w:color w:val="auto"/>
        </w:rPr>
        <w:t>.</w:t>
      </w:r>
    </w:p>
    <w:p>
      <w:pPr>
        <w:spacing w:after="0" w:line="206" w:lineRule="exact"/>
        <w:rPr>
          <w:sz w:val="20"/>
          <w:szCs w:val="20"/>
          <w:color w:val="auto"/>
        </w:rPr>
      </w:pPr>
    </w:p>
    <w:p>
      <w:pPr>
        <w:ind w:left="9" w:firstLine="1288"/>
        <w:spacing w:after="0" w:line="239" w:lineRule="auto"/>
        <w:tabs>
          <w:tab w:leader="none" w:pos="1909" w:val="left"/>
        </w:tabs>
        <w:numPr>
          <w:ilvl w:val="1"/>
          <w:numId w:val="194"/>
        </w:numPr>
        <w:rPr>
          <w:rFonts w:ascii="Arial" w:cs="Arial" w:eastAsia="Arial" w:hAnsi="Arial"/>
          <w:sz w:val="19"/>
          <w:szCs w:val="19"/>
          <w:color w:val="auto"/>
        </w:rPr>
      </w:pPr>
      <w:r>
        <w:rPr>
          <w:rFonts w:ascii="Arial" w:cs="Arial" w:eastAsia="Arial" w:hAnsi="Arial"/>
          <w:sz w:val="19"/>
          <w:szCs w:val="19"/>
          <w:u w:val="single" w:color="auto"/>
          <w:color w:val="auto"/>
        </w:rPr>
        <w:t>Request for Extended Revolving Commitments</w:t>
      </w:r>
      <w:r>
        <w:rPr>
          <w:rFonts w:ascii="Arial" w:cs="Arial" w:eastAsia="Arial" w:hAnsi="Arial"/>
          <w:sz w:val="19"/>
          <w:szCs w:val="19"/>
          <w:color w:val="auto"/>
        </w:rPr>
        <w:t>. The Borrower may at any time and from time to time after the Closing Date, upon written request to and the consent of the Administrative Agent (each, a “</w:t>
      </w:r>
      <w:r>
        <w:rPr>
          <w:rFonts w:ascii="Arial" w:cs="Arial" w:eastAsia="Arial" w:hAnsi="Arial"/>
          <w:sz w:val="19"/>
          <w:szCs w:val="19"/>
          <w:u w:val="single" w:color="auto"/>
          <w:color w:val="auto"/>
        </w:rPr>
        <w:t>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Extension Request</w:t>
      </w:r>
      <w:r>
        <w:rPr>
          <w:rFonts w:ascii="Arial" w:cs="Arial" w:eastAsia="Arial" w:hAnsi="Arial"/>
          <w:sz w:val="19"/>
          <w:szCs w:val="19"/>
          <w:color w:val="auto"/>
        </w:rPr>
        <w:t>”), request that an aggregate principal amount of not less than $300,000,000 of the then existing Commitments of any Class (each, an “</w:t>
      </w:r>
      <w:r>
        <w:rPr>
          <w:rFonts w:ascii="Arial" w:cs="Arial" w:eastAsia="Arial" w:hAnsi="Arial"/>
          <w:sz w:val="19"/>
          <w:szCs w:val="19"/>
          <w:u w:val="single" w:color="auto"/>
          <w:color w:val="auto"/>
        </w:rPr>
        <w:t>Existing Revolver Tranche</w:t>
      </w:r>
      <w:r>
        <w:rPr>
          <w:rFonts w:ascii="Arial" w:cs="Arial" w:eastAsia="Arial" w:hAnsi="Arial"/>
          <w:sz w:val="19"/>
          <w:szCs w:val="19"/>
          <w:color w:val="auto"/>
        </w:rPr>
        <w:t>”) be amended to, among other things, extend the applicable Revolving Credit Maturity Date with respect thereto (the “</w:t>
      </w:r>
      <w:r>
        <w:rPr>
          <w:rFonts w:ascii="Arial" w:cs="Arial" w:eastAsia="Arial" w:hAnsi="Arial"/>
          <w:sz w:val="19"/>
          <w:szCs w:val="19"/>
          <w:u w:val="single" w:color="auto"/>
          <w:color w:val="auto"/>
        </w:rPr>
        <w:t>Existing Maturity Date</w:t>
      </w:r>
      <w:r>
        <w:rPr>
          <w:rFonts w:ascii="Arial" w:cs="Arial" w:eastAsia="Arial" w:hAnsi="Arial"/>
          <w:sz w:val="19"/>
          <w:szCs w:val="19"/>
          <w:color w:val="auto"/>
        </w:rPr>
        <w:t>”) to a date that is no earlier than the then Latest Maturity Date of any other Commitment hereunder (any such Revolving Commitments so amended, “</w:t>
      </w:r>
      <w:r>
        <w:rPr>
          <w:rFonts w:ascii="Arial" w:cs="Arial" w:eastAsia="Arial" w:hAnsi="Arial"/>
          <w:sz w:val="19"/>
          <w:szCs w:val="19"/>
          <w:u w:val="single" w:color="auto"/>
          <w:color w:val="auto"/>
        </w:rPr>
        <w:t>Extended Revolving Commitments</w:t>
      </w:r>
      <w:r>
        <w:rPr>
          <w:rFonts w:ascii="Arial" w:cs="Arial" w:eastAsia="Arial" w:hAnsi="Arial"/>
          <w:sz w:val="19"/>
          <w:szCs w:val="19"/>
          <w:color w:val="auto"/>
        </w:rPr>
        <w:t>”); provided that (i) after giving effect to any Extended Revolving Commitment under this Section 2.21, there shall be no more than three (3) Classes of Commitments outstanding at any time and</w:t>
      </w:r>
    </w:p>
    <w:p>
      <w:pPr>
        <w:spacing w:after="0" w:line="5" w:lineRule="exact"/>
        <w:rPr>
          <w:rFonts w:ascii="Arial" w:cs="Arial" w:eastAsia="Arial" w:hAnsi="Arial"/>
          <w:sz w:val="19"/>
          <w:szCs w:val="19"/>
          <w:color w:val="auto"/>
        </w:rPr>
      </w:pPr>
    </w:p>
    <w:p>
      <w:pPr>
        <w:jc w:val="both"/>
        <w:ind w:left="9" w:right="40" w:hanging="9"/>
        <w:spacing w:after="0"/>
        <w:tabs>
          <w:tab w:leader="none" w:pos="36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any such Extended Revolving Commitments shall be offered on the same terms (including as to the proposed interest rates and fees) to each Revolving Lender under the applicable Existing Revolver Tranche on a ratable basis. Promptly after receipt of any Revolving Extension Request, the Administrative Agent shall provide a copy of such request to each of the Revolving Lenders under the applicable Existing Revolver Tranche to be amended, which request shall set forth the proposed terms (which shall be determined in consultation with the Administrative Agent) of the Extended Revolving Commitments to be established. Each Revolving Extension Request shall specify (A) the applicable Class of Commitments and Loans hereunder to be extended, (B) the date to which the applicable maturity date is sought to be extended, (C) the changes, if any, to the Applicable Rate to be applied in determining the interest payable on the Loans of, and fees payable hereunder to, Extending Revolving Lenders (as defined below) in respect of that portion of their Commitments and Loans extended to such new maturity date and the time as of which such changes will become effective (which may be prior to the Existing Maturity Date) and (D) any other amendments or modifications to this Agreement applicable to such Extended Revolving Commitments,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 such changes or modifications pursuant to this clause (D) shall become effective prior to the then Latest Maturity Date. At the time of sending such notice, the Borrower (in consultation with the Administrative Agent) shall specify the time period within which each applicable Revolving Lender is requested to respond to such request (which shall in no event be less than fifteen (15) calendar days (or such shorter period as may be agreed by the Administrative Agent) from the date of delivery of such notice to such Revolving Lenders) and shall agree to such procedures, if any, as may be established by, or</w:t>
      </w:r>
    </w:p>
    <w:p>
      <w:pPr>
        <w:sectPr>
          <w:pgSz w:w="11900" w:h="16838" w:orient="portrait"/>
          <w:cols w:equalWidth="0" w:num="1">
            <w:col w:w="10429"/>
          </w:cols>
          <w:pgMar w:left="1011" w:top="1401" w:right="45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reasonably acceptable to, the Administrative Agent to accomplish the purposes of this Section 2.21.</w:t>
      </w:r>
    </w:p>
    <w:p>
      <w:pPr>
        <w:spacing w:after="0" w:line="287" w:lineRule="exact"/>
        <w:rPr>
          <w:sz w:val="20"/>
          <w:szCs w:val="20"/>
          <w:color w:val="auto"/>
        </w:rPr>
      </w:pPr>
    </w:p>
    <w:p>
      <w:pPr>
        <w:jc w:val="both"/>
        <w:ind w:firstLine="1288"/>
        <w:spacing w:after="0" w:line="241" w:lineRule="auto"/>
        <w:tabs>
          <w:tab w:leader="none" w:pos="1899"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Election to Extend</w:t>
      </w:r>
      <w:r>
        <w:rPr>
          <w:rFonts w:ascii="Arial" w:cs="Arial" w:eastAsia="Arial" w:hAnsi="Arial"/>
          <w:sz w:val="19"/>
          <w:szCs w:val="19"/>
          <w:color w:val="auto"/>
        </w:rPr>
        <w:t>. Any Revolving Lender wishing to have all or a portion of its Revolving Commitments under the Existing Revolver Tranche amended into Extended Revolving Commitments (each, an “</w:t>
      </w:r>
      <w:r>
        <w:rPr>
          <w:rFonts w:ascii="Arial" w:cs="Arial" w:eastAsia="Arial" w:hAnsi="Arial"/>
          <w:sz w:val="19"/>
          <w:szCs w:val="19"/>
          <w:u w:val="single" w:color="auto"/>
          <w:color w:val="auto"/>
        </w:rPr>
        <w:t>Extending Revolving Lender</w:t>
      </w:r>
      <w:r>
        <w:rPr>
          <w:rFonts w:ascii="Arial" w:cs="Arial" w:eastAsia="Arial" w:hAnsi="Arial"/>
          <w:sz w:val="19"/>
          <w:szCs w:val="19"/>
          <w:color w:val="auto"/>
        </w:rPr>
        <w:t>”) specified in the Revolving Extension Request shall notify the Administrative Agent on or prior to the response date specified in such Revolving Extension Request of the amount of its Revolving Commitments it has elected to be amended (subject to any minimum denomination requirements imposed by the Administrative Agent not to exceed $50,000,000). No Revolving Lender shall have any obligation to agree to provide any Extended Revolving Commitment pursuant to any Revolving Extension Request. Any Revolving Lender not responding on or prior to such response date shall be deemed to have declined such Revolving Extension Request. The Administrative Agent shall notify the Borrower and each Revolving Lender under the applicable Existing Revolver Tranche of responses to such Revolving Extension Request. In the event that the aggregate principal amount of existing Revolving Commitments that the Extending Revolving Lenders have elected to amend pursuant to the relevant Revolving Extension Request exceeds the amount of Extended Revolving Commitments requested by the Borrower, the principal amount of Extended Revolving Commitments requested by the Borrower shall be allocated to each Extending Revolving Lender in such manner and in such amounts as may be agreed by Administrative Agent and the Borrower, in their sole discretion.</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jc w:val="both"/>
        <w:ind w:firstLine="1288"/>
        <w:spacing w:after="0" w:line="241" w:lineRule="auto"/>
        <w:tabs>
          <w:tab w:leader="none" w:pos="1900"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Revolving Extension Amendment</w:t>
      </w:r>
      <w:r>
        <w:rPr>
          <w:rFonts w:ascii="Arial" w:cs="Arial" w:eastAsia="Arial" w:hAnsi="Arial"/>
          <w:sz w:val="19"/>
          <w:szCs w:val="19"/>
          <w:color w:val="auto"/>
        </w:rPr>
        <w:t>. Extended Revolving Commitments shall be established pursuant to an amendment (each, a “</w:t>
      </w:r>
      <w:r>
        <w:rPr>
          <w:rFonts w:ascii="Arial" w:cs="Arial" w:eastAsia="Arial" w:hAnsi="Arial"/>
          <w:sz w:val="19"/>
          <w:szCs w:val="19"/>
          <w:u w:val="single" w:color="auto"/>
          <w:color w:val="auto"/>
        </w:rPr>
        <w:t>Revolving Extension Amendment</w:t>
      </w:r>
      <w:r>
        <w:rPr>
          <w:rFonts w:ascii="Arial" w:cs="Arial" w:eastAsia="Arial" w:hAnsi="Arial"/>
          <w:sz w:val="19"/>
          <w:szCs w:val="19"/>
          <w:color w:val="auto"/>
        </w:rPr>
        <w:t>”) to this Agreement among the Borrower, the Administrative Agent and each Extending Revolving Lender, if any, providing an Extended Revolving Commitment thereunder, which shall be consistent with the provisions set forth in Sections 2.21(a), (b) and (d) (but which shall not require the consent of any other Lender). The effectiveness of any Revolving Extension Amendment shall be subject to the satisfaction on the date thereof of each of the conditions set forth in Sections 4.02(a) and (b) (with all references in such Sections to a Borrowing being deemed to be references to such Revolving Extension Request) and receipt of a certificate to that effect and, any other condition as may be agreed among the Borrower, the Administrative Agent and the Extending Revolving Lenders. The Administrative Agent shall promptly notify each Revolving Lender as to the effectiveness of each Revolving Extension Amendment and the matters specified therein. Each of the parties hereto hereby agrees that this Agreement and the other Loan Documents may be amended pursuant to a Revolving Extension Amendment, without the consent of any other Lender, to the extent (but only to the extent) necessary to (i) reflect the existence and terms of the Extended Revolving Commitments incurred pursuant thereto, and (ii) effect such other amendments to this Agreement and the other Loan Documents as may be necessary or appropriate, in the reasonable opinion of the Administrative Agent and the Borrower, to effect the provisions of this Section 2.21, in each case, in a manner consistent with the terms of this Section 2.21 and the Required Lenders hereby expressly authorize the Administrative Agent to enter into any such Revolving Extension Amendment.</w:t>
      </w:r>
    </w:p>
    <w:p>
      <w:pPr>
        <w:spacing w:after="0" w:line="198" w:lineRule="exact"/>
        <w:rPr>
          <w:rFonts w:ascii="Arial" w:cs="Arial" w:eastAsia="Arial" w:hAnsi="Arial"/>
          <w:sz w:val="19"/>
          <w:szCs w:val="19"/>
          <w:color w:val="auto"/>
        </w:rPr>
      </w:pPr>
    </w:p>
    <w:p>
      <w:pPr>
        <w:jc w:val="both"/>
        <w:ind w:firstLine="1288"/>
        <w:spacing w:after="0" w:line="223" w:lineRule="auto"/>
        <w:tabs>
          <w:tab w:leader="none" w:pos="1899"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Terms of Extended Revolving Commitments</w:t>
      </w:r>
      <w:r>
        <w:rPr>
          <w:rFonts w:ascii="Arial" w:cs="Arial" w:eastAsia="Arial" w:hAnsi="Arial"/>
          <w:sz w:val="22"/>
          <w:szCs w:val="22"/>
          <w:color w:val="auto"/>
        </w:rPr>
        <w:t>. Except as expressly provided herein, all Extended Revolving Commitments effected pursuant to any Revolving Extension Request and Revolving Extension Amendment shall be subject to the same terms</w:t>
      </w:r>
    </w:p>
    <w:p>
      <w:pPr>
        <w:sectPr>
          <w:pgSz w:w="11900" w:h="16838" w:orient="portrait"/>
          <w:cols w:equalWidth="0" w:num="1">
            <w:col w:w="10440"/>
          </w:cols>
          <w:pgMar w:left="1020" w:top="1401" w:right="439" w:bottom="1440" w:gutter="0" w:footer="0" w:header="0"/>
        </w:sectPr>
      </w:pPr>
    </w:p>
    <w:bookmarkStart w:id="193" w:name="page194"/>
    <w:bookmarkEnd w:id="193"/>
    <w:p>
      <w:pPr>
        <w:jc w:val="both"/>
        <w:spacing w:after="0"/>
        <w:rPr>
          <w:sz w:val="20"/>
          <w:szCs w:val="20"/>
          <w:color w:val="auto"/>
        </w:rPr>
      </w:pPr>
      <w:r>
        <w:rPr>
          <w:rFonts w:ascii="Arial" w:cs="Arial" w:eastAsia="Arial" w:hAnsi="Arial"/>
          <w:sz w:val="19"/>
          <w:szCs w:val="19"/>
          <w:color w:val="auto"/>
        </w:rPr>
        <w:t>(including borrowing terms, interest terms and payment terms), and shall be subject to the same conditions as the then existing Revolving Commitments (it being understood that customary arrangement or commitment fees payable to one or more Arrangers (or their Affiliates) or one or more Extending Revolving Lenders, as the case may be, may be different than those paid with respect to the existing Revolving Lenders under the then existing Revolving Commitments on or prior to the Closing Date or with respect to any other Extending Revolving Lenders in connection with any other Extended Revolving Commitments effected pursuant to this Section 2.21); provided, however, that at the election of the Borrower (in consultation with the Administrative Agent), the Borrower may offer to effect Extended Revolving Commitments with (i) interest and fees at different rates applicable solely with respect to such Extended Revolving Commitments (and related outstandings), which may take effect as of the date of the Revolving Extension Amendment, and (ii) such other covenants and terms, which in the case of this clause (ii), apply to any period after the Latest Maturity Date that is in effect on the effective date of the Revolving Extension Amendment related thereto (immediately prior to the establishment of such Extended Revolving Commitments). After giving effect to any Extended Revolving Commitment, all borrowings under the Revolving Commitments (including any such Extended Revolving Commitments) and repayments thereunder shall be made on a pro rata basis (except for (x) any payments of interest and fees at different rates on any Revolving Extension Series (and related Loans thereunder) and (y) repayments required upon the applicable Revolving Credit Maturity Date of other Revolving Commitments). If a Revolving Extension Amendment has become effective hereunder, not later than the fifth Business Day prior to the Existing Maturity Date the Borrower shall make prepayments of Revolving Loans and shall Cash Collateralize Letters of Credit, such that, after giving effect to such prepayments and such provision of cash collateral, the aggregate Revolving Credit Exposure as of such date will not exceed the aggregate Extended Revolving Commitments of the Extending Revolving Lenders extended pursuant to this Section 2.21 (and the Borrower shall not be permitted thereafter to request any Revolving Loan or any issuance, amendment, renewal or extension of a Letter of Credit if, after giving effect thereto, the aggregate Revolving Credit Exposure would exceed the aggregate amount of the Extended Revolving Commitments then in effect).</w:t>
      </w:r>
    </w:p>
    <w:p>
      <w:pPr>
        <w:spacing w:after="0" w:line="200" w:lineRule="exact"/>
        <w:rPr>
          <w:sz w:val="20"/>
          <w:szCs w:val="20"/>
          <w:color w:val="auto"/>
        </w:rPr>
      </w:pPr>
    </w:p>
    <w:p>
      <w:pPr>
        <w:spacing w:after="0" w:line="215" w:lineRule="exact"/>
        <w:rPr>
          <w:sz w:val="20"/>
          <w:szCs w:val="20"/>
          <w:color w:val="auto"/>
        </w:rPr>
      </w:pPr>
    </w:p>
    <w:p>
      <w:pPr>
        <w:jc w:val="both"/>
        <w:ind w:right="40" w:firstLine="1288"/>
        <w:spacing w:after="0" w:line="214" w:lineRule="auto"/>
        <w:tabs>
          <w:tab w:leader="none" w:pos="190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Revolving Extension Series</w:t>
      </w:r>
      <w:r>
        <w:rPr>
          <w:rFonts w:ascii="Arial" w:cs="Arial" w:eastAsia="Arial" w:hAnsi="Arial"/>
          <w:sz w:val="22"/>
          <w:szCs w:val="22"/>
          <w:color w:val="auto"/>
        </w:rPr>
        <w:t>. Any Extended Revolving Commitments effected pursuant to a Revolving Extension Request shall be designated a series (each, a “</w:t>
      </w:r>
      <w:r>
        <w:rPr>
          <w:rFonts w:ascii="Arial" w:cs="Arial" w:eastAsia="Arial" w:hAnsi="Arial"/>
          <w:sz w:val="22"/>
          <w:szCs w:val="22"/>
          <w:u w:val="single" w:color="auto"/>
          <w:color w:val="auto"/>
        </w:rPr>
        <w:t>Revolving Extension Series</w:t>
      </w:r>
      <w:r>
        <w:rPr>
          <w:rFonts w:ascii="Arial" w:cs="Arial" w:eastAsia="Arial" w:hAnsi="Arial"/>
          <w:sz w:val="22"/>
          <w:szCs w:val="22"/>
          <w:color w:val="auto"/>
        </w:rPr>
        <w:t>”) of Extended Revolving Commitments for all purposes of this Agreement; provided that any Extended Revolving Commitments effected from an Existing Revolver Tranche may, to the extent provided in the applicable Revolving Extension Amendment, be designated as an increase in any previously established Revolving Extension Series with respect to such Existing Revolver Tranche.</w:t>
      </w:r>
    </w:p>
    <w:p>
      <w:pPr>
        <w:spacing w:after="0" w:line="186"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2.22</w:t>
      </w:r>
      <w:r>
        <w:rPr>
          <w:sz w:val="20"/>
          <w:szCs w:val="20"/>
          <w:color w:val="auto"/>
        </w:rPr>
        <w:tab/>
      </w:r>
      <w:r>
        <w:rPr>
          <w:rFonts w:ascii="Arial" w:cs="Arial" w:eastAsia="Arial" w:hAnsi="Arial"/>
          <w:sz w:val="19"/>
          <w:szCs w:val="19"/>
          <w:u w:val="single" w:color="auto"/>
          <w:color w:val="auto"/>
        </w:rPr>
        <w:t>Defaulting Lender</w:t>
      </w:r>
      <w:r>
        <w:rPr>
          <w:rFonts w:ascii="Arial" w:cs="Arial" w:eastAsia="Arial" w:hAnsi="Arial"/>
          <w:sz w:val="19"/>
          <w:szCs w:val="19"/>
          <w:color w:val="auto"/>
        </w:rPr>
        <w:t>.</w:t>
      </w:r>
    </w:p>
    <w:p>
      <w:pPr>
        <w:spacing w:after="0" w:line="220" w:lineRule="exact"/>
        <w:rPr>
          <w:sz w:val="20"/>
          <w:szCs w:val="20"/>
          <w:color w:val="auto"/>
        </w:rPr>
      </w:pPr>
    </w:p>
    <w:p>
      <w:pPr>
        <w:jc w:val="both"/>
        <w:ind w:right="20" w:firstLine="1288"/>
        <w:spacing w:after="0" w:line="223" w:lineRule="auto"/>
        <w:tabs>
          <w:tab w:leader="none" w:pos="190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99" w:lineRule="exact"/>
        <w:rPr>
          <w:rFonts w:ascii="Arial" w:cs="Arial" w:eastAsia="Arial" w:hAnsi="Arial"/>
          <w:sz w:val="22"/>
          <w:szCs w:val="22"/>
          <w:color w:val="auto"/>
        </w:rPr>
      </w:pPr>
    </w:p>
    <w:p>
      <w:pPr>
        <w:jc w:val="both"/>
        <w:ind w:left="-40" w:right="40" w:firstLine="1772"/>
        <w:spacing w:after="0" w:line="244" w:lineRule="auto"/>
        <w:tabs>
          <w:tab w:leader="none" w:pos="2538" w:val="left"/>
        </w:tabs>
        <w:numPr>
          <w:ilvl w:val="1"/>
          <w:numId w:val="198"/>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to the payment on a pro rata basis of any amounts owing by such Defaulting Lender to any Issuing Bank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Swingline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the Issuing Banks’ L/C Exposure with respect to such Defaulting Lender in accordance with Section 2.05(g); </w:t>
      </w:r>
      <w:r>
        <w:rPr>
          <w:rFonts w:ascii="Arial" w:cs="Arial" w:eastAsia="Arial" w:hAnsi="Arial"/>
          <w:sz w:val="19"/>
          <w:szCs w:val="19"/>
          <w:i w:val="1"/>
          <w:iCs w:val="1"/>
          <w:color w:val="auto"/>
        </w:rPr>
        <w:t>fourth</w:t>
      </w:r>
      <w:r>
        <w:rPr>
          <w:rFonts w:ascii="Arial" w:cs="Arial" w:eastAsia="Arial" w:hAnsi="Arial"/>
          <w:sz w:val="19"/>
          <w:szCs w:val="19"/>
          <w:color w:val="auto"/>
        </w:rPr>
        <w:t>, as the Borrower may request (so long as no Default or Event of Default exists), to the funding of any Loan in respect of which such Defaulting Lender</w:t>
      </w:r>
    </w:p>
    <w:p>
      <w:pPr>
        <w:sectPr>
          <w:pgSz w:w="11900" w:h="16838" w:orient="portrait"/>
          <w:cols w:equalWidth="0" w:num="1">
            <w:col w:w="10440"/>
          </w:cols>
          <w:pgMar w:left="1020" w:top="1401" w:right="439" w:bottom="1440" w:gutter="0" w:footer="0" w:header="0"/>
        </w:sectPr>
      </w:pPr>
    </w:p>
    <w:bookmarkStart w:id="194" w:name="page195"/>
    <w:bookmarkEnd w:id="194"/>
    <w:p>
      <w:pPr>
        <w:jc w:val="both"/>
        <w:ind w:right="40"/>
        <w:spacing w:after="0" w:line="238" w:lineRule="auto"/>
        <w:rPr>
          <w:sz w:val="20"/>
          <w:szCs w:val="20"/>
          <w:color w:val="auto"/>
        </w:rPr>
      </w:pPr>
      <w:r>
        <w:rPr>
          <w:rFonts w:ascii="Arial" w:cs="Arial" w:eastAsia="Arial" w:hAnsi="Arial"/>
          <w:sz w:val="19"/>
          <w:szCs w:val="19"/>
          <w:color w:val="auto"/>
        </w:rPr>
        <w:t xml:space="preserve">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Section 2.05(g);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the Issuing Banks or Swingline Lenders as a result of any judgment of a court of competent jurisdiction obtained by any Lender, the Issuing Banks or Swingline Lenders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Disbursements in respect of which such Defaulting Lender has not fully funded its appropriate share, and</w:t>
      </w:r>
    </w:p>
    <w:p>
      <w:pPr>
        <w:spacing w:after="0" w:line="9" w:lineRule="exact"/>
        <w:rPr>
          <w:sz w:val="20"/>
          <w:szCs w:val="20"/>
          <w:color w:val="auto"/>
        </w:rPr>
      </w:pPr>
    </w:p>
    <w:p>
      <w:pPr>
        <w:jc w:val="both"/>
        <w:ind w:right="40" w:firstLine="6"/>
        <w:spacing w:after="0" w:line="219" w:lineRule="auto"/>
        <w:tabs>
          <w:tab w:leader="none" w:pos="31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such Loans were made or the related Letters of Credit were issued at a time when the conditions set forth in Section 4.01 or Section 4.02, as applicable,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Disbursements and Swingline Loans are held by the Lenders pro rata in accordance with the Commitments without giving effect to Section 2.22(a)(ii). Any payments, prepayments or other amounts paid or payable to a Defaulting Lender that are applied (or held) to pay amounts owed by a Defaulting Lender or to post Cash Collateral pursuant to this Section 2.22(a)(i) shall be deemed paid to and redirected by such Defaulting Lender, and each Lender irrevocably consents hereto.</w:t>
      </w:r>
    </w:p>
    <w:p>
      <w:pPr>
        <w:spacing w:after="0" w:line="199" w:lineRule="exact"/>
        <w:rPr>
          <w:rFonts w:ascii="Arial" w:cs="Arial" w:eastAsia="Arial" w:hAnsi="Arial"/>
          <w:sz w:val="21"/>
          <w:szCs w:val="21"/>
          <w:color w:val="auto"/>
        </w:rPr>
      </w:pPr>
    </w:p>
    <w:p>
      <w:pPr>
        <w:ind w:right="200" w:firstLine="1712"/>
        <w:spacing w:after="0" w:line="221" w:lineRule="auto"/>
        <w:tabs>
          <w:tab w:leader="none" w:pos="2578" w:val="left"/>
        </w:tabs>
        <w:numPr>
          <w:ilvl w:val="2"/>
          <w:numId w:val="199"/>
        </w:numPr>
        <w:rPr>
          <w:rFonts w:ascii="Arial" w:cs="Arial" w:eastAsia="Arial" w:hAnsi="Arial"/>
          <w:sz w:val="21"/>
          <w:szCs w:val="21"/>
          <w:color w:val="auto"/>
        </w:rPr>
      </w:pPr>
      <w:r>
        <w:rPr>
          <w:rFonts w:ascii="Arial" w:cs="Arial" w:eastAsia="Arial" w:hAnsi="Arial"/>
          <w:sz w:val="21"/>
          <w:szCs w:val="21"/>
          <w:u w:val="single" w:color="auto"/>
          <w:color w:val="auto"/>
        </w:rPr>
        <w:t>Reallocation of Participations to Reduce Fronting Exposure</w:t>
      </w:r>
      <w:r>
        <w:rPr>
          <w:rFonts w:ascii="Arial" w:cs="Arial" w:eastAsia="Arial" w:hAnsi="Arial"/>
          <w:sz w:val="21"/>
          <w:szCs w:val="21"/>
          <w:color w:val="auto"/>
        </w:rPr>
        <w:t>. All or any part of such Defaulting Lender’s participation in L/C Disbursements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Revolving Commitment. Subject to Section 9.20,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39" w:lineRule="exact"/>
        <w:rPr>
          <w:rFonts w:ascii="Arial" w:cs="Arial" w:eastAsia="Arial" w:hAnsi="Arial"/>
          <w:sz w:val="21"/>
          <w:szCs w:val="21"/>
          <w:color w:val="auto"/>
        </w:rPr>
      </w:pPr>
    </w:p>
    <w:p>
      <w:pPr>
        <w:jc w:val="both"/>
        <w:ind w:right="40" w:firstLine="1652"/>
        <w:spacing w:after="0" w:line="210" w:lineRule="auto"/>
        <w:tabs>
          <w:tab w:leader="none" w:pos="2577" w:val="left"/>
        </w:tabs>
        <w:numPr>
          <w:ilvl w:val="2"/>
          <w:numId w:val="199"/>
        </w:numPr>
        <w:rPr>
          <w:rFonts w:ascii="Arial" w:cs="Arial" w:eastAsia="Arial" w:hAnsi="Arial"/>
          <w:sz w:val="22"/>
          <w:szCs w:val="22"/>
          <w:color w:val="auto"/>
        </w:rPr>
      </w:pPr>
      <w:r>
        <w:rPr>
          <w:rFonts w:ascii="Arial" w:cs="Arial" w:eastAsia="Arial" w:hAnsi="Arial"/>
          <w:sz w:val="22"/>
          <w:szCs w:val="22"/>
          <w:u w:val="single" w:color="auto"/>
          <w:color w:val="auto"/>
        </w:rPr>
        <w:t>Cash Collateral, Repayment of Swingline Loans</w:t>
      </w:r>
      <w:r>
        <w:rPr>
          <w:rFonts w:ascii="Arial" w:cs="Arial" w:eastAsia="Arial" w:hAnsi="Arial"/>
          <w:sz w:val="22"/>
          <w:szCs w:val="22"/>
          <w:color w:val="auto"/>
        </w:rPr>
        <w:t>. If the reallocation described in Section 2.22(a)(ii) above cannot, or can only partially, be effected, the Borrower shall, without prejudice to any right or remedy available to it hereunder or under law,</w:t>
      </w:r>
    </w:p>
    <w:p>
      <w:pPr>
        <w:spacing w:after="0" w:line="1" w:lineRule="exact"/>
        <w:rPr>
          <w:rFonts w:ascii="Arial" w:cs="Arial" w:eastAsia="Arial" w:hAnsi="Arial"/>
          <w:sz w:val="22"/>
          <w:szCs w:val="22"/>
          <w:color w:val="auto"/>
        </w:rPr>
      </w:pPr>
    </w:p>
    <w:p>
      <w:pPr>
        <w:ind w:firstLine="6"/>
        <w:spacing w:after="0" w:line="278" w:lineRule="auto"/>
        <w:tabs>
          <w:tab w:leader="none" w:pos="331" w:val="left"/>
        </w:tabs>
        <w:numPr>
          <w:ilvl w:val="0"/>
          <w:numId w:val="200"/>
        </w:numPr>
        <w:rPr>
          <w:rFonts w:ascii="Arial" w:cs="Arial" w:eastAsia="Arial" w:hAnsi="Arial"/>
          <w:sz w:val="19"/>
          <w:szCs w:val="19"/>
          <w:color w:val="auto"/>
        </w:rPr>
      </w:pPr>
      <w:r>
        <w:rPr>
          <w:rFonts w:ascii="Arial" w:cs="Arial" w:eastAsia="Arial" w:hAnsi="Arial"/>
          <w:sz w:val="19"/>
          <w:szCs w:val="19"/>
          <w:color w:val="auto"/>
        </w:rPr>
        <w:t>first, prepay Swingline Loans in an amount equal to the Swingline Lenders’ Swingline Exposure and (y) second, Cash Collateralize the Issuing Banks’ L/C Exposure in accordance with the procedures set forth in Section 2.05(g).</w:t>
      </w:r>
    </w:p>
    <w:p>
      <w:pPr>
        <w:spacing w:after="0" w:line="164" w:lineRule="exact"/>
        <w:rPr>
          <w:rFonts w:ascii="Arial" w:cs="Arial" w:eastAsia="Arial" w:hAnsi="Arial"/>
          <w:sz w:val="19"/>
          <w:szCs w:val="19"/>
          <w:color w:val="auto"/>
        </w:rPr>
      </w:pPr>
    </w:p>
    <w:p>
      <w:pPr>
        <w:jc w:val="both"/>
        <w:ind w:left="40" w:right="40" w:firstLine="1288"/>
        <w:spacing w:after="0" w:line="221" w:lineRule="auto"/>
        <w:tabs>
          <w:tab w:leader="none" w:pos="1939" w:val="left"/>
        </w:tabs>
        <w:numPr>
          <w:ilvl w:val="1"/>
          <w:numId w:val="200"/>
        </w:numPr>
        <w:rPr>
          <w:rFonts w:ascii="Arial" w:cs="Arial" w:eastAsia="Arial" w:hAnsi="Arial"/>
          <w:sz w:val="21"/>
          <w:szCs w:val="21"/>
          <w:color w:val="auto"/>
        </w:rPr>
      </w:pPr>
      <w:r>
        <w:rPr>
          <w:rFonts w:ascii="Arial" w:cs="Arial" w:eastAsia="Arial" w:hAnsi="Arial"/>
          <w:sz w:val="21"/>
          <w:szCs w:val="21"/>
          <w:u w:val="single" w:color="auto"/>
          <w:color w:val="auto"/>
        </w:rPr>
        <w:t>Defaulting Lender Cure</w:t>
      </w:r>
      <w:r>
        <w:rPr>
          <w:rFonts w:ascii="Arial" w:cs="Arial" w:eastAsia="Arial" w:hAnsi="Arial"/>
          <w:sz w:val="21"/>
          <w:szCs w:val="21"/>
          <w:color w:val="auto"/>
        </w:rPr>
        <w:t>. If the Borrower, the Administrative Agent and each Swingline Lender and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(without giving effect to Section 2.22(a)(ii)),</w:t>
      </w:r>
    </w:p>
    <w:p>
      <w:pPr>
        <w:sectPr>
          <w:pgSz w:w="11900" w:h="16838" w:orient="portrait"/>
          <w:cols w:equalWidth="0" w:num="1">
            <w:col w:w="10480"/>
          </w:cols>
          <w:pgMar w:left="980" w:top="1347" w:right="439" w:bottom="1440" w:gutter="0" w:footer="0" w:header="0"/>
        </w:sectPr>
      </w:pPr>
    </w:p>
    <w:bookmarkStart w:id="195" w:name="page196"/>
    <w:bookmarkEnd w:id="195"/>
    <w:p>
      <w:pPr>
        <w:jc w:val="both"/>
        <w:ind w:right="20"/>
        <w:spacing w:after="0" w:line="226" w:lineRule="auto"/>
        <w:rPr>
          <w:sz w:val="20"/>
          <w:szCs w:val="20"/>
          <w:color w:val="auto"/>
        </w:rPr>
      </w:pPr>
      <w:r>
        <w:rPr>
          <w:rFonts w:ascii="Arial" w:cs="Arial" w:eastAsia="Arial" w:hAnsi="Arial"/>
          <w:sz w:val="21"/>
          <w:szCs w:val="21"/>
          <w:color w:val="auto"/>
        </w:rPr>
        <w:t xml:space="preserve">whereupon such Lender will cease to be a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jc w:val="both"/>
        <w:ind w:right="20" w:firstLine="1288"/>
        <w:spacing w:after="0" w:line="214" w:lineRule="auto"/>
        <w:tabs>
          <w:tab w:leader="none" w:pos="1900"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New Swingline Loans/Letters of Credit</w:t>
      </w:r>
      <w:r>
        <w:rPr>
          <w:rFonts w:ascii="Arial" w:cs="Arial" w:eastAsia="Arial" w:hAnsi="Arial"/>
          <w:sz w:val="22"/>
          <w:szCs w:val="22"/>
          <w:color w:val="auto"/>
        </w:rPr>
        <w:t>. So long as any Lender is a Defaulting Lender, the Swingline Lender shall not be required to fund any Swingline Loan and no Issuing Bank shall be required to issue, amend or increase any Letter of Credit, unless it is satisfied that, after giving effect to such Swingline Loan or Letter of Credit and the reallocation of all Defaulting Lenders’ participation therein pursuant to Section 2.22(a)(ii), the aggregate Revolving Credit Exposure of all non-Defaulting Lenders does not exceed the aggregate Revolving Commitments of all non-Defaulting Lenders.</w:t>
      </w:r>
    </w:p>
    <w:p>
      <w:pPr>
        <w:spacing w:after="0" w:line="200" w:lineRule="exact"/>
        <w:rPr>
          <w:sz w:val="20"/>
          <w:szCs w:val="20"/>
          <w:color w:val="auto"/>
        </w:rPr>
      </w:pPr>
    </w:p>
    <w:p>
      <w:pPr>
        <w:spacing w:after="0" w:line="229"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2.23</w:t>
      </w:r>
      <w:r>
        <w:rPr>
          <w:sz w:val="20"/>
          <w:szCs w:val="20"/>
          <w:color w:val="auto"/>
        </w:rPr>
        <w:tab/>
      </w:r>
      <w:r>
        <w:rPr>
          <w:rFonts w:ascii="Arial" w:cs="Arial" w:eastAsia="Arial" w:hAnsi="Arial"/>
          <w:sz w:val="19"/>
          <w:szCs w:val="19"/>
          <w:u w:val="single" w:color="auto"/>
          <w:color w:val="auto"/>
        </w:rPr>
        <w:t>Sustainability Adjustments</w:t>
      </w:r>
      <w:r>
        <w:rPr>
          <w:rFonts w:ascii="Arial" w:cs="Arial" w:eastAsia="Arial" w:hAnsi="Arial"/>
          <w:sz w:val="19"/>
          <w:szCs w:val="19"/>
          <w:color w:val="auto"/>
        </w:rPr>
        <w:t>.</w:t>
      </w:r>
    </w:p>
    <w:p>
      <w:pPr>
        <w:spacing w:after="0" w:line="220" w:lineRule="exact"/>
        <w:rPr>
          <w:sz w:val="20"/>
          <w:szCs w:val="20"/>
          <w:color w:val="auto"/>
        </w:rPr>
      </w:pPr>
    </w:p>
    <w:p>
      <w:pPr>
        <w:jc w:val="both"/>
        <w:ind w:firstLine="1288"/>
        <w:spacing w:after="0"/>
        <w:tabs>
          <w:tab w:leader="none" w:pos="1900"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ESG Amendment</w:t>
      </w:r>
      <w:r>
        <w:rPr>
          <w:rFonts w:ascii="Arial" w:cs="Arial" w:eastAsia="Arial" w:hAnsi="Arial"/>
          <w:sz w:val="19"/>
          <w:szCs w:val="19"/>
          <w:color w:val="auto"/>
        </w:rPr>
        <w:t>. After the Closing Date, the Borrower, in consultation with the Sustainability Coordinator, shall be entitled to establish specified key performance indicators (“</w:t>
      </w:r>
      <w:r>
        <w:rPr>
          <w:rFonts w:ascii="Arial" w:cs="Arial" w:eastAsia="Arial" w:hAnsi="Arial"/>
          <w:sz w:val="19"/>
          <w:szCs w:val="19"/>
          <w:u w:val="single" w:color="auto"/>
          <w:color w:val="auto"/>
        </w:rPr>
        <w:t>KPIs</w:t>
      </w:r>
      <w:r>
        <w:rPr>
          <w:rFonts w:ascii="Arial" w:cs="Arial" w:eastAsia="Arial" w:hAnsi="Arial"/>
          <w:sz w:val="19"/>
          <w:szCs w:val="19"/>
          <w:color w:val="auto"/>
        </w:rPr>
        <w:t>”) with respect to certain environmental, social and governance (“</w:t>
      </w:r>
      <w:r>
        <w:rPr>
          <w:rFonts w:ascii="Arial" w:cs="Arial" w:eastAsia="Arial" w:hAnsi="Arial"/>
          <w:sz w:val="19"/>
          <w:szCs w:val="19"/>
          <w:u w:val="single" w:color="auto"/>
          <w:color w:val="auto"/>
        </w:rPr>
        <w:t>ESG</w:t>
      </w:r>
      <w:r>
        <w:rPr>
          <w:rFonts w:ascii="Arial" w:cs="Arial" w:eastAsia="Arial" w:hAnsi="Arial"/>
          <w:sz w:val="19"/>
          <w:szCs w:val="19"/>
          <w:color w:val="auto"/>
        </w:rPr>
        <w:t>”) targets of the Borrower and its Subsidiaries. The Sustainability Coordinator and the Borrower may amend this Agreement (such amendment, the “</w:t>
      </w:r>
      <w:r>
        <w:rPr>
          <w:rFonts w:ascii="Arial" w:cs="Arial" w:eastAsia="Arial" w:hAnsi="Arial"/>
          <w:sz w:val="19"/>
          <w:szCs w:val="19"/>
          <w:u w:val="single" w:color="auto"/>
          <w:color w:val="auto"/>
        </w:rPr>
        <w:t>ESG Amendment</w:t>
      </w:r>
      <w:r>
        <w:rPr>
          <w:rFonts w:ascii="Arial" w:cs="Arial" w:eastAsia="Arial" w:hAnsi="Arial"/>
          <w:sz w:val="19"/>
          <w:szCs w:val="19"/>
          <w:color w:val="auto"/>
        </w:rPr>
        <w:t>”) solely for the purpose of incorporating the KPIs and other related provisions (the “</w:t>
      </w:r>
      <w:r>
        <w:rPr>
          <w:rFonts w:ascii="Arial" w:cs="Arial" w:eastAsia="Arial" w:hAnsi="Arial"/>
          <w:sz w:val="19"/>
          <w:szCs w:val="19"/>
          <w:u w:val="single" w:color="auto"/>
          <w:color w:val="auto"/>
        </w:rPr>
        <w:t>ESG Pricing Provisions</w:t>
      </w:r>
      <w:r>
        <w:rPr>
          <w:rFonts w:ascii="Arial" w:cs="Arial" w:eastAsia="Arial" w:hAnsi="Arial"/>
          <w:sz w:val="19"/>
          <w:szCs w:val="19"/>
          <w:color w:val="auto"/>
        </w:rPr>
        <w:t xml:space="preserve">”) into this Agreement, and any such amendment shall become effective at 5:00 p.m., New York City time, on the tenth Business Day after the Administrative Agent shall have posted such proposed amendment to all Lenders and the Borrower unless, prior to such time, Lenders comprising the Required Lenders have delivered to the Administrative Agent (who shall promptly notify the Borrower) written notice that such Required Lenders object to such ESG Amendment. In the event that Required Lenders deliver a written notice objecting to any such ESG Amendment, an alternative ESG Amendment may be effectuated with the consent of the Required Lenders, the Borrower and the Sustainability Coordinator. Upon the effectiveness of any such ESG Amendment, based on the Borrower’s performance against the KPIs, certain adjustments (increase, decrease or no adjustment) to the otherwise applicable facility fee, Applicable Rate for Base Rate Loans, Swingline Loans,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Alternative Currency Loans,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Daily Floating Rate Loans and Letter of Credit Fees will be made; provided that the amount of such adjustments shall not exceed (i) in the case of the facility fee, an increase and/or decrease of 0.01% and (ii) in the case of the Applicable Rate for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Loans, Alternative Currency Loans,</w:t>
      </w:r>
      <w:r>
        <w:rPr>
          <w:rFonts w:ascii="Arial" w:cs="Arial" w:eastAsia="Arial" w:hAnsi="Arial"/>
          <w:sz w:val="19"/>
          <w:szCs w:val="19"/>
          <w:color w:val="FF0000"/>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Daily Floating Rate Loans and Letter of</w:t>
      </w:r>
      <w:r>
        <w:rPr>
          <w:rFonts w:ascii="Arial" w:cs="Arial" w:eastAsia="Arial" w:hAnsi="Arial"/>
          <w:sz w:val="19"/>
          <w:szCs w:val="19"/>
          <w:color w:val="FF0000"/>
        </w:rPr>
        <w:t xml:space="preserve"> </w:t>
      </w:r>
      <w:r>
        <w:rPr>
          <w:rFonts w:ascii="Arial" w:cs="Arial" w:eastAsia="Arial" w:hAnsi="Arial"/>
          <w:sz w:val="19"/>
          <w:szCs w:val="19"/>
          <w:color w:val="000000"/>
        </w:rPr>
        <w:t xml:space="preserve">Credit Fees, an increase and/or decrease of 0.04%, and the adjustments to the Applicable Rate for Base Rate Loans and Swingline Loans shall be the same amount, in basis points, as the adjustments to the Applicable Rate for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Loans and Letter of Credit Fees, provided that in no event shall the Applicable Rate for Base</w:t>
      </w:r>
      <w:r>
        <w:rPr>
          <w:rFonts w:ascii="Arial" w:cs="Arial" w:eastAsia="Arial" w:hAnsi="Arial"/>
          <w:sz w:val="19"/>
          <w:szCs w:val="19"/>
          <w:color w:val="FF0000"/>
        </w:rPr>
        <w:t xml:space="preserve"> </w:t>
      </w:r>
      <w:r>
        <w:rPr>
          <w:rFonts w:ascii="Arial" w:cs="Arial" w:eastAsia="Arial" w:hAnsi="Arial"/>
          <w:sz w:val="19"/>
          <w:szCs w:val="19"/>
          <w:color w:val="000000"/>
        </w:rPr>
        <w:t>Rate Loans and Swingline Loans be less than zero. The pricing adjustments pursuant to the KPIs will require, among other things, reporting and validation of the measurement of the KPIs in a manner that is aligned with the Sustainability Linked Loan Principles and is to be agreed between the Borrower and the Sustainability Coordinator (each acting reasonably). Following the effectiveness of the ESG Amendment:</w:t>
      </w:r>
    </w:p>
    <w:p>
      <w:pPr>
        <w:spacing w:after="0" w:line="200" w:lineRule="exact"/>
        <w:rPr>
          <w:rFonts w:ascii="Arial" w:cs="Arial" w:eastAsia="Arial" w:hAnsi="Arial"/>
          <w:sz w:val="19"/>
          <w:szCs w:val="19"/>
          <w:color w:val="auto"/>
        </w:rPr>
      </w:pPr>
    </w:p>
    <w:p>
      <w:pPr>
        <w:spacing w:after="0" w:line="282" w:lineRule="exact"/>
        <w:rPr>
          <w:rFonts w:ascii="Arial" w:cs="Arial" w:eastAsia="Arial" w:hAnsi="Arial"/>
          <w:sz w:val="19"/>
          <w:szCs w:val="19"/>
          <w:color w:val="auto"/>
        </w:rPr>
      </w:pPr>
    </w:p>
    <w:p>
      <w:pPr>
        <w:jc w:val="both"/>
        <w:ind w:firstLine="1936"/>
        <w:spacing w:after="0" w:line="257" w:lineRule="auto"/>
        <w:tabs>
          <w:tab w:leader="none" w:pos="2553" w:val="left"/>
        </w:tabs>
        <w:numPr>
          <w:ilvl w:val="1"/>
          <w:numId w:val="202"/>
        </w:numPr>
        <w:rPr>
          <w:rFonts w:ascii="Arial" w:cs="Arial" w:eastAsia="Arial" w:hAnsi="Arial"/>
          <w:sz w:val="19"/>
          <w:szCs w:val="19"/>
          <w:color w:val="auto"/>
        </w:rPr>
      </w:pPr>
      <w:r>
        <w:rPr>
          <w:rFonts w:ascii="Arial" w:cs="Arial" w:eastAsia="Arial" w:hAnsi="Arial"/>
          <w:sz w:val="19"/>
          <w:szCs w:val="19"/>
          <w:color w:val="auto"/>
        </w:rPr>
        <w:t xml:space="preserve">any modification to the ESG Pricing Provisions which has the effect of (x) reducing the facility fee, Applicable Rate for Base Rate Loans and Swingline Loans, or Applicable Rate for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Loans, Alternative Currency Loans,</w:t>
      </w:r>
      <w:r>
        <w:rPr>
          <w:rFonts w:ascii="Arial" w:cs="Arial" w:eastAsia="Arial" w:hAnsi="Arial"/>
          <w:sz w:val="19"/>
          <w:szCs w:val="19"/>
          <w:color w:val="0000FF"/>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Daily Floating Rate Loans and Letter of Credit Fees to a level</w:t>
      </w:r>
      <w:r>
        <w:rPr>
          <w:rFonts w:ascii="Arial" w:cs="Arial" w:eastAsia="Arial" w:hAnsi="Arial"/>
          <w:sz w:val="19"/>
          <w:szCs w:val="19"/>
          <w:color w:val="0000FF"/>
        </w:rPr>
        <w:t xml:space="preserve"> </w:t>
      </w:r>
      <w:r>
        <w:rPr>
          <w:rFonts w:ascii="Arial" w:cs="Arial" w:eastAsia="Arial" w:hAnsi="Arial"/>
          <w:sz w:val="19"/>
          <w:szCs w:val="19"/>
          <w:color w:val="000000"/>
        </w:rPr>
        <w:t>not otherwise permitted by Section 2.23(a) or (y) increasing the facility fee, Applicable Rate for Base Rate</w:t>
      </w:r>
    </w:p>
    <w:p>
      <w:pPr>
        <w:sectPr>
          <w:pgSz w:w="11900" w:h="16838" w:orient="portrait"/>
          <w:cols w:equalWidth="0" w:num="1">
            <w:col w:w="10420"/>
          </w:cols>
          <w:pgMar w:left="1020" w:top="1347" w:right="459" w:bottom="1440" w:gutter="0" w:footer="0" w:header="0"/>
        </w:sectPr>
      </w:pPr>
    </w:p>
    <w:bookmarkStart w:id="196" w:name="page197"/>
    <w:bookmarkEnd w:id="196"/>
    <w:p>
      <w:pPr>
        <w:jc w:val="both"/>
        <w:spacing w:after="0" w:line="252" w:lineRule="auto"/>
        <w:rPr>
          <w:sz w:val="20"/>
          <w:szCs w:val="20"/>
          <w:color w:val="auto"/>
        </w:rPr>
      </w:pPr>
      <w:r>
        <w:rPr>
          <w:rFonts w:ascii="Arial" w:cs="Arial" w:eastAsia="Arial" w:hAnsi="Arial"/>
          <w:sz w:val="19"/>
          <w:szCs w:val="19"/>
          <w:color w:val="auto"/>
        </w:rPr>
        <w:t xml:space="preserve">Loans and Swingline Loans, or Applicable Rate for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Alternative Currency Loans,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Daily Floating Rate Loans and Letter of Credit Fees that is not accompanied by a corresponding reduction</w:t>
      </w:r>
      <w:r>
        <w:rPr>
          <w:rFonts w:ascii="Arial" w:cs="Arial" w:eastAsia="Arial" w:hAnsi="Arial"/>
          <w:sz w:val="19"/>
          <w:szCs w:val="19"/>
          <w:color w:val="FF0000"/>
        </w:rPr>
        <w:t xml:space="preserve"> </w:t>
      </w:r>
      <w:r>
        <w:rPr>
          <w:rFonts w:ascii="Arial" w:cs="Arial" w:eastAsia="Arial" w:hAnsi="Arial"/>
          <w:sz w:val="19"/>
          <w:szCs w:val="19"/>
          <w:color w:val="000000"/>
        </w:rPr>
        <w:t xml:space="preserve">of the facility fee, Applicable Rate for Base Rate Loans and Swingline Loans, or Applicable Rate for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Term</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Loans, Alternative Currency Loans,</w:t>
      </w:r>
      <w:r>
        <w:rPr>
          <w:rFonts w:ascii="Arial" w:cs="Arial" w:eastAsia="Arial" w:hAnsi="Arial"/>
          <w:sz w:val="19"/>
          <w:szCs w:val="19"/>
          <w:color w:val="0000FF"/>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Daily Floating Rate Loans and Letter of Credit Fees by a</w:t>
      </w:r>
      <w:r>
        <w:rPr>
          <w:rFonts w:ascii="Arial" w:cs="Arial" w:eastAsia="Arial" w:hAnsi="Arial"/>
          <w:sz w:val="19"/>
          <w:szCs w:val="19"/>
          <w:color w:val="0000FF"/>
        </w:rPr>
        <w:t xml:space="preserve"> </w:t>
      </w:r>
      <w:r>
        <w:rPr>
          <w:rFonts w:ascii="Arial" w:cs="Arial" w:eastAsia="Arial" w:hAnsi="Arial"/>
          <w:sz w:val="19"/>
          <w:szCs w:val="19"/>
          <w:color w:val="000000"/>
        </w:rPr>
        <w:t>percentage equivalent to such increase, shall (in each case) be subject to the consent of all Lenders; and</w:t>
      </w:r>
    </w:p>
    <w:p>
      <w:pPr>
        <w:spacing w:after="0" w:line="257" w:lineRule="exact"/>
        <w:rPr>
          <w:sz w:val="20"/>
          <w:szCs w:val="20"/>
          <w:color w:val="auto"/>
        </w:rPr>
      </w:pPr>
    </w:p>
    <w:p>
      <w:pPr>
        <w:ind w:right="20" w:firstLine="1936"/>
        <w:spacing w:after="0" w:line="232" w:lineRule="auto"/>
        <w:tabs>
          <w:tab w:leader="none" w:pos="2545" w:val="left"/>
        </w:tabs>
        <w:numPr>
          <w:ilvl w:val="1"/>
          <w:numId w:val="203"/>
        </w:numPr>
        <w:rPr>
          <w:rFonts w:ascii="Arial" w:cs="Arial" w:eastAsia="Arial" w:hAnsi="Arial"/>
          <w:sz w:val="22"/>
          <w:szCs w:val="22"/>
          <w:color w:val="auto"/>
        </w:rPr>
      </w:pPr>
      <w:r>
        <w:rPr>
          <w:rFonts w:ascii="Arial" w:cs="Arial" w:eastAsia="Arial" w:hAnsi="Arial"/>
          <w:sz w:val="22"/>
          <w:szCs w:val="22"/>
          <w:color w:val="auto"/>
        </w:rPr>
        <w:t>any other modification to the ESG Pricing Provisions (other than as provided for in Section 2.23(a)(i) above) shall be subject only to the consent of the Required Lenders.</w:t>
      </w:r>
    </w:p>
    <w:p>
      <w:pPr>
        <w:spacing w:after="0" w:line="266" w:lineRule="exact"/>
        <w:rPr>
          <w:rFonts w:ascii="Arial" w:cs="Arial" w:eastAsia="Arial" w:hAnsi="Arial"/>
          <w:sz w:val="22"/>
          <w:szCs w:val="22"/>
          <w:color w:val="auto"/>
        </w:rPr>
      </w:pPr>
    </w:p>
    <w:p>
      <w:pPr>
        <w:jc w:val="both"/>
        <w:ind w:right="20" w:firstLine="1288"/>
        <w:spacing w:after="0" w:line="234" w:lineRule="auto"/>
        <w:tabs>
          <w:tab w:leader="none" w:pos="1899"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Sustainability Coordinator</w:t>
      </w:r>
      <w:r>
        <w:rPr>
          <w:rFonts w:ascii="Arial" w:cs="Arial" w:eastAsia="Arial" w:hAnsi="Arial"/>
          <w:sz w:val="21"/>
          <w:szCs w:val="21"/>
          <w:color w:val="FF0000"/>
        </w:rPr>
        <w:t>.</w:t>
      </w:r>
      <w:r>
        <w:rPr>
          <w:rFonts w:ascii="Arial" w:cs="Arial" w:eastAsia="Arial" w:hAnsi="Arial"/>
          <w:sz w:val="21"/>
          <w:szCs w:val="21"/>
          <w:color w:val="auto"/>
        </w:rPr>
        <w:t xml:space="preserve"> The Sustainability Coordinator will (i) assist the Borrower in determining the ESG Pricing Provisions in connection with the ESG Amendment and (ii) assist the Borrower in preparing informational materials focused on ESG to be used in connection with the ESG Amendment.</w:t>
      </w:r>
    </w:p>
    <w:p>
      <w:pPr>
        <w:spacing w:after="0" w:line="190" w:lineRule="exact"/>
        <w:rPr>
          <w:rFonts w:ascii="Arial" w:cs="Arial" w:eastAsia="Arial" w:hAnsi="Arial"/>
          <w:sz w:val="21"/>
          <w:szCs w:val="21"/>
          <w:color w:val="auto"/>
        </w:rPr>
      </w:pPr>
    </w:p>
    <w:p>
      <w:pPr>
        <w:ind w:left="1900" w:hanging="612"/>
        <w:spacing w:after="0"/>
        <w:tabs>
          <w:tab w:leader="none" w:pos="1900"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Conflicting Provisions</w:t>
      </w:r>
      <w:r>
        <w:rPr>
          <w:rFonts w:ascii="Arial" w:cs="Arial" w:eastAsia="Arial" w:hAnsi="Arial"/>
          <w:sz w:val="21"/>
          <w:szCs w:val="21"/>
          <w:color w:val="auto"/>
        </w:rPr>
        <w:t>. This Section shall supersede any provisions in Section 9.02 to the</w:t>
      </w:r>
    </w:p>
    <w:p>
      <w:pPr>
        <w:spacing w:after="0"/>
        <w:rPr>
          <w:rFonts w:ascii="Arial" w:cs="Arial" w:eastAsia="Arial" w:hAnsi="Arial"/>
          <w:sz w:val="21"/>
          <w:szCs w:val="21"/>
          <w:color w:val="auto"/>
        </w:rPr>
      </w:pPr>
      <w:r>
        <w:rPr>
          <w:rFonts w:ascii="Arial" w:cs="Arial" w:eastAsia="Arial" w:hAnsi="Arial"/>
          <w:sz w:val="22"/>
          <w:szCs w:val="22"/>
          <w:color w:val="auto"/>
        </w:rPr>
        <w:t>contrary.</w:t>
      </w:r>
    </w:p>
    <w:p>
      <w:pPr>
        <w:spacing w:after="0" w:line="188"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u w:val="single" w:color="auto"/>
          <w:color w:val="0000FF"/>
        </w:rPr>
        <w:t>SECTION 2.24 Illegality. If any Lender determines that any Law has made it unlawful, or that any Governmental Authority has asserted that it is unlawful, for any Lender or its applicable Lending Office to make, maintain or fund or charge interest with respect to any</w:t>
      </w:r>
    </w:p>
    <w:p>
      <w:pPr>
        <w:sectPr>
          <w:pgSz w:w="11900" w:h="16838" w:orient="portrait"/>
          <w:cols w:equalWidth="0" w:num="1">
            <w:col w:w="10420"/>
          </w:cols>
          <w:pgMar w:left="1020" w:top="1428" w:right="459" w:bottom="1440" w:gutter="0" w:footer="0" w:header="0"/>
        </w:sectPr>
      </w:pPr>
    </w:p>
    <w:bookmarkStart w:id="197" w:name="page198"/>
    <w:bookmarkEnd w:id="197"/>
    <w:p>
      <w:pPr>
        <w:jc w:val="both"/>
        <w:ind w:right="20"/>
        <w:spacing w:after="0"/>
        <w:rPr>
          <w:sz w:val="20"/>
          <w:szCs w:val="20"/>
          <w:color w:val="auto"/>
        </w:rPr>
      </w:pPr>
      <w:r>
        <w:rPr>
          <w:rFonts w:ascii="Arial" w:cs="Arial" w:eastAsia="Arial" w:hAnsi="Arial"/>
          <w:sz w:val="19"/>
          <w:szCs w:val="19"/>
          <w:u w:val="single" w:color="auto"/>
          <w:color w:val="0000FF"/>
        </w:rPr>
        <w:t>Credit Event, or to determine or charge interest rates based upon a Relevant Rate, or to determine or charge interest rates based upon a Relevant Rate purchase or sell, or to take deposits of, Dollars or any Alternative Currency in the applicable interbank market, then, upon notice thereof by such Lender to the Borrower (through the Administrative Agent), (i) any obligation of such Lender to make or maintain Alternative Currency Loans in the affected currency or currencies or, in the case of Loans denominated in Dollars, any obligation of such Lender to make or continue Term SOFR Loans, SOFR Daily Floating Rate Loans, Alternative Currency Loans or to convert Base Rate Loans to Term SOFR Loans or SOFR Daily Floating Rate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(A) the Borrower shall, promptly, following written demand from such Lender (with a copy to the Administrative Agent), prepay all Term SOFR Loans, SOFR Daily Floating Rate Loans or Alternative Currency Loans, as applicable in the affected currency or currencies or, if applicable, convert all Term SOFR Loans, SOFR Daily Floating Rate Loans or Alternative Currency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Term Rate Loans, on the last day of the Interest Period therefor, if such Lender may lawfully continue to maintain such Alternative Currency Term Rate Loans to such day, or immediately, if such Lender may not lawfully continue to maintain such Alternative Currency Term Rate Loans and (B)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by Section 2.15. Each Lender agrees to use reasonable efforts to designate a different Lending Office if such designation will avoid the need for such notice and will not, in good faith judgment of such Lender, otherwise be materially disadvantageous to such Lender.</w:t>
      </w:r>
    </w:p>
    <w:p>
      <w:pPr>
        <w:spacing w:after="0" w:line="200" w:lineRule="exact"/>
        <w:rPr>
          <w:sz w:val="20"/>
          <w:szCs w:val="20"/>
          <w:color w:val="auto"/>
        </w:rPr>
      </w:pPr>
    </w:p>
    <w:p>
      <w:pPr>
        <w:spacing w:after="0" w:line="205" w:lineRule="exact"/>
        <w:rPr>
          <w:sz w:val="20"/>
          <w:szCs w:val="20"/>
          <w:color w:val="auto"/>
        </w:rPr>
      </w:pPr>
    </w:p>
    <w:p>
      <w:pPr>
        <w:jc w:val="center"/>
        <w:ind w:right="580"/>
        <w:spacing w:after="0"/>
        <w:rPr>
          <w:sz w:val="20"/>
          <w:szCs w:val="20"/>
          <w:color w:val="auto"/>
        </w:rPr>
      </w:pPr>
      <w:r>
        <w:rPr>
          <w:rFonts w:ascii="Arial" w:cs="Arial" w:eastAsia="Arial" w:hAnsi="Arial"/>
          <w:sz w:val="22"/>
          <w:szCs w:val="22"/>
          <w:color w:val="auto"/>
        </w:rPr>
        <w:t>ARTICLE III</w:t>
      </w: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22"/>
          <w:szCs w:val="22"/>
          <w:b w:val="1"/>
          <w:bCs w:val="1"/>
          <w:color w:val="auto"/>
        </w:rPr>
        <w:t>Representations and Warranties</w:t>
      </w:r>
    </w:p>
    <w:p>
      <w:pPr>
        <w:spacing w:after="0" w:line="212"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21"/>
          <w:szCs w:val="21"/>
          <w:color w:val="auto"/>
        </w:rPr>
        <w:t>The Borrower represents and warrants to the Administrative Agent, the Lenders and the Issuing Banks as of the Closing Date and (except as to representations and warranties made as of a date certain) as of the date such representations and warranties are deemed to be made under Section 4.02 of this Agreement, that:</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Powers; Subsidiaries</w:t>
      </w:r>
      <w:r>
        <w:rPr>
          <w:rFonts w:ascii="Arial" w:cs="Arial" w:eastAsia="Arial" w:hAnsi="Arial"/>
          <w:sz w:val="19"/>
          <w:szCs w:val="19"/>
          <w:color w:val="auto"/>
        </w:rPr>
        <w:t>. The Borrower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would not reasonably be expected to result in a Material Adverse Effect, are qualified to do business in, and are in good standing (to the extent such concept is applicable) in, every jurisdiction where such qualification is required. All of the outstanding shares of capital stock and other equity interests on the Closing Date, to the extent owned by the Borrower or any Subsidiary, of each Material Subsidiary are validly issued and outstanding and fully paid and nonassessable (if</w:t>
      </w:r>
    </w:p>
    <w:p>
      <w:pPr>
        <w:sectPr>
          <w:pgSz w:w="11900" w:h="16838" w:orient="portrait"/>
          <w:cols w:equalWidth="0" w:num="1">
            <w:col w:w="10440"/>
          </w:cols>
          <w:pgMar w:left="1020" w:top="1401" w:right="439" w:bottom="1440" w:gutter="0" w:footer="0" w:header="0"/>
        </w:sectPr>
      </w:pPr>
    </w:p>
    <w:bookmarkStart w:id="198" w:name="page199"/>
    <w:bookmarkEnd w:id="198"/>
    <w:p>
      <w:pPr>
        <w:jc w:val="both"/>
        <w:ind w:left="8"/>
        <w:spacing w:after="0" w:line="221" w:lineRule="auto"/>
        <w:rPr>
          <w:sz w:val="20"/>
          <w:szCs w:val="20"/>
          <w:color w:val="auto"/>
        </w:rPr>
      </w:pPr>
      <w:r>
        <w:rPr>
          <w:rFonts w:ascii="Arial" w:cs="Arial" w:eastAsia="Arial" w:hAnsi="Arial"/>
          <w:sz w:val="21"/>
          <w:szCs w:val="21"/>
          <w:color w:val="auto"/>
        </w:rPr>
        <w:t xml:space="preserve">applicable) and all such shares and other equity interests are owned, beneficially and of record, by the Borrower or such other Subsidiary on the Closing Date free and clear of all Liens, other than Liens permitted under Section 6.02; provided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the Borrower or any Subsidiary to issue, and no options, warrants or other rights of any Person other than the Borrower or any Subsidiary to acquire, any shares of any class of capital stock or other equity interests of any Material Subsidiary, except as disclosed on </w:t>
      </w:r>
      <w:r>
        <w:rPr>
          <w:rFonts w:ascii="Arial" w:cs="Arial" w:eastAsia="Arial" w:hAnsi="Arial"/>
          <w:sz w:val="21"/>
          <w:szCs w:val="21"/>
          <w:u w:val="single" w:color="auto"/>
          <w:color w:val="auto"/>
        </w:rPr>
        <w:t>Schedule 3.01</w:t>
      </w:r>
      <w:r>
        <w:rPr>
          <w:rFonts w:ascii="Arial" w:cs="Arial" w:eastAsia="Arial" w:hAnsi="Arial"/>
          <w:sz w:val="21"/>
          <w:szCs w:val="21"/>
          <w:color w:val="auto"/>
        </w:rPr>
        <w:t>.</w:t>
      </w:r>
    </w:p>
    <w:p>
      <w:pPr>
        <w:spacing w:after="0" w:line="206" w:lineRule="exact"/>
        <w:rPr>
          <w:sz w:val="20"/>
          <w:szCs w:val="20"/>
          <w:color w:val="auto"/>
        </w:rPr>
      </w:pPr>
    </w:p>
    <w:p>
      <w:pPr>
        <w:jc w:val="both"/>
        <w:ind w:left="8" w:firstLine="648"/>
        <w:spacing w:after="0" w:line="222"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91" w:lineRule="exact"/>
        <w:rPr>
          <w:sz w:val="20"/>
          <w:szCs w:val="20"/>
          <w:color w:val="auto"/>
        </w:rPr>
      </w:pPr>
    </w:p>
    <w:p>
      <w:pPr>
        <w:jc w:val="both"/>
        <w:ind w:left="8" w:firstLine="648"/>
        <w:spacing w:after="0" w:line="241"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would not reasonably be expected to have a Material Adverse Effect, (b) will not violate</w:t>
      </w:r>
    </w:p>
    <w:p>
      <w:pPr>
        <w:spacing w:after="0" w:line="1" w:lineRule="exact"/>
        <w:rPr>
          <w:sz w:val="20"/>
          <w:szCs w:val="20"/>
          <w:color w:val="auto"/>
        </w:rPr>
      </w:pPr>
    </w:p>
    <w:p>
      <w:pPr>
        <w:jc w:val="both"/>
        <w:ind w:left="8" w:right="20" w:hanging="8"/>
        <w:spacing w:after="0" w:line="220" w:lineRule="auto"/>
        <w:tabs>
          <w:tab w:leader="none" w:pos="617" w:val="left"/>
        </w:tabs>
        <w:numPr>
          <w:ilvl w:val="0"/>
          <w:numId w:val="205"/>
        </w:numPr>
        <w:rPr>
          <w:rFonts w:ascii="Arial" w:cs="Arial" w:eastAsia="Arial" w:hAnsi="Arial"/>
          <w:sz w:val="21"/>
          <w:szCs w:val="21"/>
          <w:color w:val="auto"/>
        </w:rPr>
      </w:pPr>
      <w:r>
        <w:rPr>
          <w:rFonts w:ascii="Arial" w:cs="Arial" w:eastAsia="Arial" w:hAnsi="Arial"/>
          <w:sz w:val="21"/>
          <w:szCs w:val="21"/>
          <w:color w:val="auto"/>
        </w:rPr>
        <w:t>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 (c) above, to the extent that such violation or default would not reasonably be expected to have a Material Adverse Effect.</w:t>
      </w:r>
    </w:p>
    <w:p>
      <w:pPr>
        <w:spacing w:after="0" w:line="201" w:lineRule="exact"/>
        <w:rPr>
          <w:sz w:val="20"/>
          <w:szCs w:val="20"/>
          <w:color w:val="auto"/>
        </w:rPr>
      </w:pPr>
    </w:p>
    <w:p>
      <w:pPr>
        <w:ind w:left="648"/>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Statements; Financial Condition; No Material Adverse Change</w:t>
      </w:r>
      <w:r>
        <w:rPr>
          <w:rFonts w:ascii="Arial" w:cs="Arial" w:eastAsia="Arial" w:hAnsi="Arial"/>
          <w:sz w:val="22"/>
          <w:szCs w:val="22"/>
          <w:color w:val="auto"/>
        </w:rPr>
        <w:t>.</w:t>
      </w:r>
    </w:p>
    <w:p>
      <w:pPr>
        <w:spacing w:after="0" w:line="287" w:lineRule="exact"/>
        <w:rPr>
          <w:sz w:val="20"/>
          <w:szCs w:val="20"/>
          <w:color w:val="auto"/>
        </w:rPr>
      </w:pPr>
    </w:p>
    <w:p>
      <w:pPr>
        <w:ind w:left="8" w:right="180" w:firstLine="1288"/>
        <w:spacing w:after="0" w:line="232" w:lineRule="auto"/>
        <w:tabs>
          <w:tab w:leader="none" w:pos="1908"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Borrower has heretofore furnished to the Lenders the Borrower’s consolidated balance sheet and statements of earnings, stockholders equity and cash flows, (x)</w:t>
      </w:r>
    </w:p>
    <w:p>
      <w:pPr>
        <w:sectPr>
          <w:pgSz w:w="11900" w:h="16838" w:orient="portrait"/>
          <w:cols w:equalWidth="0" w:num="1">
            <w:col w:w="10448"/>
          </w:cols>
          <w:pgMar w:left="1012" w:top="1347" w:right="439" w:bottom="1440" w:gutter="0" w:footer="0" w:header="0"/>
        </w:sectPr>
      </w:pPr>
    </w:p>
    <w:bookmarkStart w:id="199" w:name="page200"/>
    <w:bookmarkEnd w:id="199"/>
    <w:p>
      <w:pPr>
        <w:jc w:val="both"/>
        <w:ind w:right="60"/>
        <w:spacing w:after="0" w:line="216" w:lineRule="auto"/>
        <w:rPr>
          <w:sz w:val="20"/>
          <w:szCs w:val="20"/>
          <w:color w:val="auto"/>
        </w:rPr>
      </w:pPr>
      <w:r>
        <w:rPr>
          <w:rFonts w:ascii="Arial" w:cs="Arial" w:eastAsia="Arial" w:hAnsi="Arial"/>
          <w:sz w:val="22"/>
          <w:szCs w:val="22"/>
          <w:color w:val="auto"/>
        </w:rPr>
        <w:t>for each of the three fiscal years ended December 31, 2020, December 31, 2019 and December 31, 2018 reported on by Deloitte &amp; Touche LLP, independent public accountants, and (y) as of, and for the fiscal quarter ended, March 31, 2020, certified by its chief financial officer which financial statements present fairly, in all material respects, the consolidated financial position and results of operations and cash flows of the Borrower as of such dates and for such periods in accordance with GAAP.</w:t>
      </w:r>
    </w:p>
    <w:p>
      <w:pPr>
        <w:spacing w:after="0" w:line="198" w:lineRule="exact"/>
        <w:rPr>
          <w:sz w:val="20"/>
          <w:szCs w:val="20"/>
          <w:color w:val="auto"/>
        </w:rPr>
      </w:pPr>
    </w:p>
    <w:p>
      <w:pPr>
        <w:jc w:val="both"/>
        <w:ind w:right="60" w:firstLine="1288"/>
        <w:spacing w:after="0" w:line="223" w:lineRule="auto"/>
        <w:tabs>
          <w:tab w:leader="none" w:pos="1899"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3.04(b)</w:t>
      </w:r>
      <w:r>
        <w:rPr>
          <w:rFonts w:ascii="Arial" w:cs="Arial" w:eastAsia="Arial" w:hAnsi="Arial"/>
          <w:sz w:val="22"/>
          <w:szCs w:val="22"/>
          <w:color w:val="auto"/>
        </w:rPr>
        <w:t>, since December 31, 2020, there has been no material adverse change in the business, assets, properties or financial condition of the Borrower and its Subsidiaries, taken as a whole.</w:t>
      </w:r>
    </w:p>
    <w:p>
      <w:pPr>
        <w:spacing w:after="0" w:line="186"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220" w:lineRule="exact"/>
        <w:rPr>
          <w:sz w:val="20"/>
          <w:szCs w:val="20"/>
          <w:color w:val="auto"/>
        </w:rPr>
      </w:pPr>
    </w:p>
    <w:p>
      <w:pPr>
        <w:jc w:val="both"/>
        <w:ind w:right="40" w:firstLine="1288"/>
        <w:spacing w:after="0" w:line="257" w:lineRule="auto"/>
        <w:tabs>
          <w:tab w:leader="none" w:pos="190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would not reasonably be expected to have a Material Adverse Effect.</w:t>
      </w:r>
    </w:p>
    <w:p>
      <w:pPr>
        <w:spacing w:after="0" w:line="184" w:lineRule="exact"/>
        <w:rPr>
          <w:rFonts w:ascii="Arial" w:cs="Arial" w:eastAsia="Arial" w:hAnsi="Arial"/>
          <w:sz w:val="19"/>
          <w:szCs w:val="19"/>
          <w:color w:val="auto"/>
        </w:rPr>
      </w:pPr>
    </w:p>
    <w:p>
      <w:pPr>
        <w:jc w:val="both"/>
        <w:ind w:firstLine="1288"/>
        <w:spacing w:after="0" w:line="252" w:lineRule="auto"/>
        <w:tabs>
          <w:tab w:leader="none" w:pos="189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Borrower and its Subsidiaries own, or are licensed or possess the right to use, all trademarks, tradenames, copyrights, patents and other intellectual property material to the operation of the business of the Borrower and its Subsidiaries, taken as a whole, and, to the knowledge of the Borrower, the use thereof by the Borrower and its Subsidiaries does not infringe upon the rights of any other Person, except for any such infringements that, individually or in the aggregate, would not reasonably be expected to result in a Material Adverse Effect.</w:t>
      </w:r>
    </w:p>
    <w:p>
      <w:pPr>
        <w:spacing w:after="0" w:line="176"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w:t>
      </w:r>
    </w:p>
    <w:p>
      <w:pPr>
        <w:spacing w:after="0" w:line="220" w:lineRule="exact"/>
        <w:rPr>
          <w:sz w:val="20"/>
          <w:szCs w:val="20"/>
          <w:color w:val="auto"/>
        </w:rPr>
      </w:pPr>
    </w:p>
    <w:p>
      <w:pPr>
        <w:jc w:val="both"/>
        <w:ind w:firstLine="1288"/>
        <w:spacing w:after="0" w:line="212" w:lineRule="auto"/>
        <w:tabs>
          <w:tab w:leader="none" w:pos="190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There are no actions, suits or proceedings by or before any arbitrator or Governmental Authority pending against or, to the knowledge of the Borrower, threatened against or affecting the Borrower or any of its Subsidiaries as to which there is a reasonable possibility of an adverse determination that would reasonably be expected, individually or in the aggregate, to result in a Material Adverse Effect (other than the Disclosed Matters). There are no labor controversies pending against or, to the knowledge of the Borrower, threatened against or affecting the Borrower or any of its Subsidiaries which would reasonably be expected, individually or in the aggregate, to result in a Material Adverse Effect.</w:t>
      </w:r>
    </w:p>
    <w:p>
      <w:pPr>
        <w:spacing w:after="0" w:line="190" w:lineRule="exact"/>
        <w:rPr>
          <w:rFonts w:ascii="Arial" w:cs="Arial" w:eastAsia="Arial" w:hAnsi="Arial"/>
          <w:sz w:val="22"/>
          <w:szCs w:val="22"/>
          <w:color w:val="auto"/>
        </w:rPr>
      </w:pPr>
    </w:p>
    <w:p>
      <w:pPr>
        <w:jc w:val="both"/>
        <w:ind w:right="40" w:firstLine="1288"/>
        <w:spacing w:after="0" w:line="224" w:lineRule="auto"/>
        <w:tabs>
          <w:tab w:leader="none" w:pos="1899" w:val="left"/>
        </w:tabs>
        <w:numPr>
          <w:ilvl w:val="0"/>
          <w:numId w:val="209"/>
        </w:numPr>
        <w:rPr>
          <w:rFonts w:ascii="Arial" w:cs="Arial" w:eastAsia="Arial" w:hAnsi="Arial"/>
          <w:sz w:val="21"/>
          <w:szCs w:val="21"/>
          <w:color w:val="auto"/>
        </w:rPr>
      </w:pPr>
      <w:r>
        <w:rPr>
          <w:rFonts w:ascii="Arial" w:cs="Arial" w:eastAsia="Arial" w:hAnsi="Arial"/>
          <w:sz w:val="21"/>
          <w:szCs w:val="21"/>
          <w:color w:val="auto"/>
        </w:rPr>
        <w:t>Except for the Disclosed Matters and except with respect to any other matters that, individually or in the aggregate, would not reasonably be expected to result in a Material Adverse Effect, neither the Borrower nor any of its Subsidiaries (i) has failed to comply with any applicable Environmental Law or to obtain, maintain or comply with any permit, license or other approval required under any Environmental Law, (ii) has become subject to any pending or known Environmental Liability, (iii) has received notice of any claim with respect to any Environmental Liability or (iv) knows of any basis for any Environmental Liability.</w:t>
      </w:r>
    </w:p>
    <w:p>
      <w:pPr>
        <w:spacing w:after="0" w:line="200"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3.07</w:t>
      </w:r>
      <w:r>
        <w:rPr>
          <w:rFonts w:ascii="Arial" w:cs="Arial" w:eastAsia="Arial" w:hAnsi="Arial"/>
          <w:sz w:val="22"/>
          <w:szCs w:val="22"/>
          <w:color w:val="auto"/>
        </w:rPr>
        <w:t>, each of the Borrower and its Subsidiaries is in compliance with all laws, regulations and orders of any Governmental Authority applicable to it or its property and all</w:t>
      </w:r>
    </w:p>
    <w:p>
      <w:pPr>
        <w:sectPr>
          <w:pgSz w:w="11900" w:h="16838" w:orient="portrait"/>
          <w:cols w:equalWidth="0" w:num="1">
            <w:col w:w="10440"/>
          </w:cols>
          <w:pgMar w:left="1020" w:top="1401" w:right="439" w:bottom="1440" w:gutter="0" w:footer="0" w:header="0"/>
        </w:sectPr>
      </w:pPr>
    </w:p>
    <w:bookmarkStart w:id="200" w:name="page201"/>
    <w:bookmarkEnd w:id="200"/>
    <w:p>
      <w:pPr>
        <w:jc w:val="both"/>
        <w:ind w:right="60"/>
        <w:spacing w:after="0" w:line="223" w:lineRule="auto"/>
        <w:rPr>
          <w:sz w:val="20"/>
          <w:szCs w:val="20"/>
          <w:color w:val="auto"/>
        </w:rPr>
      </w:pPr>
      <w:r>
        <w:rPr>
          <w:rFonts w:ascii="Arial" w:cs="Arial" w:eastAsia="Arial" w:hAnsi="Arial"/>
          <w:sz w:val="22"/>
          <w:szCs w:val="22"/>
          <w:color w:val="auto"/>
        </w:rPr>
        <w:t>agreements and other instruments (excluding agreements governing Indebtedness) binding upon it or its property, except where the failure to do so, individually or in the aggregate, would not reasonably be expected to result in a Material Adverse Effect.</w:t>
      </w:r>
    </w:p>
    <w:p>
      <w:pPr>
        <w:spacing w:after="0" w:line="19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Neither the Borrower nor any other Loan Party is required to register as an “investment company” as defined in the Investment Company Act of 1940.</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Taxes</w:t>
      </w:r>
      <w:r>
        <w:rPr>
          <w:rFonts w:ascii="Arial" w:cs="Arial" w:eastAsia="Arial" w:hAnsi="Arial"/>
          <w:sz w:val="19"/>
          <w:szCs w:val="19"/>
          <w:color w:val="auto"/>
        </w:rPr>
        <w:t>. Each of the Borrower and its Subsidiaries has filed or caused to be filed all Tax returns and reports required to have been filed and has paid or caused to be paid all Taxes (including any Taxes in the capacity of a withholding agent) required to have been paid by it, except (a) Taxes that are being contested in good faith by appropriate proceedings and for which the Borrower or such Subsidiary, as applicable, has set aside on its books reserves to the extent required by GAAP or (b) to the extent that the failure to do so would not reasonably be expected, individually or in the aggregate, to result in a Material Adverse Effect.</w:t>
      </w:r>
    </w:p>
    <w:p>
      <w:pPr>
        <w:spacing w:after="0" w:line="19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Solvency</w:t>
      </w:r>
      <w:r>
        <w:rPr>
          <w:rFonts w:ascii="Arial" w:cs="Arial" w:eastAsia="Arial" w:hAnsi="Arial"/>
          <w:sz w:val="22"/>
          <w:szCs w:val="22"/>
          <w:color w:val="auto"/>
        </w:rPr>
        <w:t>. On the Closing Date after giving effect to the Transactions, the Borrower and its Subsidiaries, on a consolidated basis, are Solvent.</w:t>
      </w:r>
    </w:p>
    <w:p>
      <w:pPr>
        <w:spacing w:after="0" w:line="199"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Disclosure</w:t>
      </w:r>
      <w:r>
        <w:rPr>
          <w:rFonts w:ascii="Arial" w:cs="Arial" w:eastAsia="Arial" w:hAnsi="Arial"/>
          <w:sz w:val="19"/>
          <w:szCs w:val="19"/>
          <w:color w:val="auto"/>
        </w:rPr>
        <w:t>. None of the reports, financial statements, certificates or other written information (excluding any financial projections or pro forma financial information and information of a general economic or general industry nature) furnished by or on behalf of the Borrower to the Administrative Agent or any Lender in connection with the negotiation of this Agreement or delivered hereunder (as modified or supplemented by other information so furnished), when taken as a whole and when taken together with the Borrower’s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Borrower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205" w:lineRule="exact"/>
        <w:rPr>
          <w:sz w:val="20"/>
          <w:szCs w:val="20"/>
          <w:color w:val="auto"/>
        </w:rPr>
      </w:pPr>
    </w:p>
    <w:p>
      <w:pPr>
        <w:jc w:val="both"/>
        <w:ind w:right="60" w:firstLine="648"/>
        <w:spacing w:after="0" w:line="223"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Federal Reserve Regulations</w:t>
      </w:r>
      <w:r>
        <w:rPr>
          <w:rFonts w:ascii="Arial" w:cs="Arial" w:eastAsia="Arial" w:hAnsi="Arial"/>
          <w:sz w:val="22"/>
          <w:szCs w:val="22"/>
          <w:color w:val="auto"/>
        </w:rPr>
        <w:t>. No part of the proceeds of any Loan have been used or will be used, whether directly or indirectly, for any purpose that entails a violation of any of the Regulations of the Board, including Regulations T, U and X.</w:t>
      </w:r>
    </w:p>
    <w:p>
      <w:pPr>
        <w:spacing w:after="0" w:line="186"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PATRIOT Act</w:t>
      </w:r>
      <w:r>
        <w:rPr>
          <w:rFonts w:ascii="Arial" w:cs="Arial" w:eastAsia="Arial" w:hAnsi="Arial"/>
          <w:sz w:val="19"/>
          <w:szCs w:val="19"/>
          <w:color w:val="auto"/>
        </w:rPr>
        <w:t>. Each of the Loan Parties and each of their respective Subsidiaries are in compliance, in all material respects, with the Act. No part of the proceeds of the Loans will be used, directly or, to the knowledge of the Borrower, indirectly, for any payments to any governmental official or employee, political party, official of a political party, candidate for political office, or anyone else acting in an official capacity, in order to obtain,</w:t>
      </w:r>
    </w:p>
    <w:p>
      <w:pPr>
        <w:sectPr>
          <w:pgSz w:w="11900" w:h="16838" w:orient="portrait"/>
          <w:cols w:equalWidth="0" w:num="1">
            <w:col w:w="10440"/>
          </w:cols>
          <w:pgMar w:left="1020" w:top="1401" w:right="439" w:bottom="1440" w:gutter="0" w:footer="0" w:header="0"/>
        </w:sectPr>
      </w:pPr>
    </w:p>
    <w:bookmarkStart w:id="201" w:name="page202"/>
    <w:bookmarkEnd w:id="201"/>
    <w:p>
      <w:pPr>
        <w:ind w:left="8" w:right="40"/>
        <w:spacing w:after="0" w:line="232" w:lineRule="auto"/>
        <w:rPr>
          <w:sz w:val="20"/>
          <w:szCs w:val="20"/>
          <w:color w:val="auto"/>
        </w:rPr>
      </w:pPr>
      <w:r>
        <w:rPr>
          <w:rFonts w:ascii="Arial" w:cs="Arial" w:eastAsia="Arial" w:hAnsi="Arial"/>
          <w:sz w:val="22"/>
          <w:szCs w:val="22"/>
          <w:color w:val="auto"/>
        </w:rPr>
        <w:t>retain or direct business or obtain any improper advantage, in violation of the United States Foreign Corrupt Practices Act of 1977, as amended.</w:t>
      </w:r>
    </w:p>
    <w:p>
      <w:pPr>
        <w:spacing w:after="0" w:line="199" w:lineRule="exact"/>
        <w:rPr>
          <w:sz w:val="20"/>
          <w:szCs w:val="20"/>
          <w:color w:val="auto"/>
        </w:rPr>
      </w:pPr>
    </w:p>
    <w:p>
      <w:pPr>
        <w:ind w:left="648"/>
        <w:spacing w:after="0"/>
        <w:tabs>
          <w:tab w:leader="none" w:pos="2188"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OFAC</w:t>
      </w:r>
      <w:r>
        <w:rPr>
          <w:rFonts w:ascii="Arial" w:cs="Arial" w:eastAsia="Arial" w:hAnsi="Arial"/>
          <w:sz w:val="19"/>
          <w:szCs w:val="19"/>
          <w:color w:val="auto"/>
        </w:rPr>
        <w:t>.</w:t>
      </w:r>
    </w:p>
    <w:p>
      <w:pPr>
        <w:spacing w:after="0" w:line="206" w:lineRule="exact"/>
        <w:rPr>
          <w:sz w:val="20"/>
          <w:szCs w:val="20"/>
          <w:color w:val="auto"/>
        </w:rPr>
      </w:pPr>
    </w:p>
    <w:p>
      <w:pPr>
        <w:jc w:val="both"/>
        <w:ind w:left="8" w:right="40" w:firstLine="1288"/>
        <w:spacing w:after="0" w:line="217" w:lineRule="auto"/>
        <w:tabs>
          <w:tab w:leader="none" w:pos="1908" w:val="left"/>
        </w:tabs>
        <w:numPr>
          <w:ilvl w:val="1"/>
          <w:numId w:val="210"/>
        </w:numPr>
        <w:rPr>
          <w:rFonts w:ascii="Arial" w:cs="Arial" w:eastAsia="Arial" w:hAnsi="Arial"/>
          <w:sz w:val="21"/>
          <w:szCs w:val="21"/>
          <w:color w:val="auto"/>
        </w:rPr>
      </w:pPr>
      <w:r>
        <w:rPr>
          <w:rFonts w:ascii="Arial" w:cs="Arial" w:eastAsia="Arial" w:hAnsi="Arial"/>
          <w:sz w:val="21"/>
          <w:szCs w:val="21"/>
          <w:color w:val="auto"/>
        </w:rPr>
        <w:t>Neither the Borrower, nor any Subsidiary is (i) a Person whose name appears on the list of Specially Designated Nationals and Blocked Persons published by OFAC (an “</w:t>
      </w:r>
      <w:r>
        <w:rPr>
          <w:rFonts w:ascii="Arial" w:cs="Arial" w:eastAsia="Arial" w:hAnsi="Arial"/>
          <w:sz w:val="21"/>
          <w:szCs w:val="21"/>
          <w:u w:val="single" w:color="auto"/>
          <w:color w:val="auto"/>
        </w:rPr>
        <w:t>OFAC Listed Person</w:t>
      </w:r>
      <w:r>
        <w:rPr>
          <w:rFonts w:ascii="Arial" w:cs="Arial" w:eastAsia="Arial" w:hAnsi="Arial"/>
          <w:sz w:val="21"/>
          <w:szCs w:val="21"/>
          <w:color w:val="auto"/>
        </w:rPr>
        <w:t>”) or a Person sanctioned by the United States of America pursuant to any of the regulations administered or enforced by OFAC (31 C.F.R., Subtitle B, Chapter V, as amended) or a Person whose name appears on any economic sanctions list administered by the European Union or Her Majesty’s Treasury (an “</w:t>
      </w:r>
      <w:r>
        <w:rPr>
          <w:rFonts w:ascii="Arial" w:cs="Arial" w:eastAsia="Arial" w:hAnsi="Arial"/>
          <w:sz w:val="21"/>
          <w:szCs w:val="21"/>
          <w:u w:val="single" w:color="auto"/>
          <w:color w:val="auto"/>
        </w:rPr>
        <w:t>EU/UK Listed Person</w:t>
      </w:r>
      <w:r>
        <w:rPr>
          <w:rFonts w:ascii="Arial" w:cs="Arial" w:eastAsia="Arial" w:hAnsi="Arial"/>
          <w:sz w:val="21"/>
          <w:szCs w:val="21"/>
          <w:color w:val="auto"/>
        </w:rPr>
        <w:t>”) or a Person that is the target of European Union or United Kingdom economic sanctions; or (ii) a department, agency or instrumentality of, or is otherwise controlled by or acting on behalf of, directly or indirectly,</w:t>
      </w:r>
    </w:p>
    <w:p>
      <w:pPr>
        <w:spacing w:after="0" w:line="1" w:lineRule="exact"/>
        <w:rPr>
          <w:rFonts w:ascii="Arial" w:cs="Arial" w:eastAsia="Arial" w:hAnsi="Arial"/>
          <w:sz w:val="21"/>
          <w:szCs w:val="21"/>
          <w:color w:val="auto"/>
        </w:rPr>
      </w:pPr>
    </w:p>
    <w:p>
      <w:pPr>
        <w:ind w:left="8" w:hanging="8"/>
        <w:spacing w:after="0" w:line="224" w:lineRule="auto"/>
        <w:tabs>
          <w:tab w:leader="none" w:pos="373" w:val="left"/>
        </w:tabs>
        <w:numPr>
          <w:ilvl w:val="0"/>
          <w:numId w:val="211"/>
        </w:numPr>
        <w:rPr>
          <w:rFonts w:ascii="Arial" w:cs="Arial" w:eastAsia="Arial" w:hAnsi="Arial"/>
          <w:sz w:val="22"/>
          <w:szCs w:val="22"/>
          <w:color w:val="auto"/>
        </w:rPr>
      </w:pPr>
      <w:r>
        <w:rPr>
          <w:rFonts w:ascii="Arial" w:cs="Arial" w:eastAsia="Arial" w:hAnsi="Arial"/>
          <w:sz w:val="22"/>
          <w:szCs w:val="22"/>
          <w:color w:val="auto"/>
        </w:rPr>
        <w:t>any OFAC Listed Person or any EU/UK Listed Person, or (y) the government of a country the subject of comprehensive U.S. economic sanctions administered by OFAC (collectively, “</w:t>
      </w:r>
      <w:r>
        <w:rPr>
          <w:rFonts w:ascii="Arial" w:cs="Arial" w:eastAsia="Arial" w:hAnsi="Arial"/>
          <w:sz w:val="22"/>
          <w:szCs w:val="22"/>
          <w:u w:val="single" w:color="auto"/>
          <w:color w:val="auto"/>
        </w:rPr>
        <w:t>OFAC Countries</w:t>
      </w:r>
      <w:r>
        <w:rPr>
          <w:rFonts w:ascii="Arial" w:cs="Arial" w:eastAsia="Arial" w:hAnsi="Arial"/>
          <w:sz w:val="22"/>
          <w:szCs w:val="22"/>
          <w:color w:val="auto"/>
        </w:rPr>
        <w:t>”).</w:t>
      </w:r>
    </w:p>
    <w:p>
      <w:pPr>
        <w:spacing w:after="0" w:line="265" w:lineRule="exact"/>
        <w:rPr>
          <w:rFonts w:ascii="Arial" w:cs="Arial" w:eastAsia="Arial" w:hAnsi="Arial"/>
          <w:sz w:val="22"/>
          <w:szCs w:val="22"/>
          <w:color w:val="auto"/>
        </w:rPr>
      </w:pPr>
    </w:p>
    <w:p>
      <w:pPr>
        <w:jc w:val="both"/>
        <w:ind w:left="8" w:right="40" w:firstLine="1288"/>
        <w:spacing w:after="0" w:line="246" w:lineRule="auto"/>
        <w:tabs>
          <w:tab w:leader="none" w:pos="1907" w:val="left"/>
        </w:tabs>
        <w:numPr>
          <w:ilvl w:val="1"/>
          <w:numId w:val="211"/>
        </w:numPr>
        <w:rPr>
          <w:rFonts w:ascii="Arial" w:cs="Arial" w:eastAsia="Arial" w:hAnsi="Arial"/>
          <w:sz w:val="19"/>
          <w:szCs w:val="19"/>
          <w:color w:val="auto"/>
        </w:rPr>
      </w:pPr>
      <w:r>
        <w:rPr>
          <w:rFonts w:ascii="Arial" w:cs="Arial" w:eastAsia="Arial" w:hAnsi="Arial"/>
          <w:sz w:val="19"/>
          <w:szCs w:val="19"/>
          <w:color w:val="auto"/>
        </w:rPr>
        <w:t>The Borrower represents and covenants that no Loan, nor the proceeds from any Loan, has been or will be used, directly or, to the knowledge of the Borrower, indirectly,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or an EU/UK Listed Person, absent valid and effective license and permits issued by the government of the United States or otherwise in accordance with applicable Laws, or in any other manner that will result in any material violation by any Lender, any Arranger or the Administrative Agent of the sanctions administered or enforced by OFAC (31 C.F.R., Subtitle B, Chapter V, as amended).</w:t>
      </w:r>
    </w:p>
    <w:p>
      <w:pPr>
        <w:spacing w:after="0" w:line="193" w:lineRule="exact"/>
        <w:rPr>
          <w:sz w:val="20"/>
          <w:szCs w:val="20"/>
          <w:color w:val="auto"/>
        </w:rPr>
      </w:pPr>
    </w:p>
    <w:p>
      <w:pPr>
        <w:jc w:val="right"/>
        <w:ind w:left="188" w:right="40"/>
        <w:spacing w:after="0" w:line="223" w:lineRule="auto"/>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The information included in the Beneficial Ownership Certification, if applicable, is true and correct in all respects, as of the Closing Date and each other date on which such Beneficial Ownership Certification is delivered.</w:t>
      </w:r>
    </w:p>
    <w:p>
      <w:pPr>
        <w:spacing w:after="0" w:line="180" w:lineRule="exact"/>
        <w:rPr>
          <w:sz w:val="20"/>
          <w:szCs w:val="20"/>
          <w:color w:val="auto"/>
        </w:rPr>
      </w:pPr>
    </w:p>
    <w:p>
      <w:pPr>
        <w:ind w:left="648"/>
        <w:spacing w:after="0"/>
        <w:tabs>
          <w:tab w:leader="none" w:pos="2188" w:val="left"/>
          <w:tab w:leader="none" w:pos="5828"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22"/>
          <w:szCs w:val="22"/>
          <w:u w:val="single" w:color="auto"/>
          <w:color w:val="auto"/>
        </w:rPr>
        <w:t>Representations as to Foreign Obligors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Each Foreign Obligor represents and warrants to the</w:t>
      </w:r>
    </w:p>
    <w:p>
      <w:pPr>
        <w:ind w:left="8"/>
        <w:spacing w:after="0"/>
        <w:rPr>
          <w:sz w:val="20"/>
          <w:szCs w:val="20"/>
          <w:color w:val="auto"/>
        </w:rPr>
      </w:pPr>
      <w:r>
        <w:rPr>
          <w:rFonts w:ascii="Arial" w:cs="Arial" w:eastAsia="Arial" w:hAnsi="Arial"/>
          <w:sz w:val="22"/>
          <w:szCs w:val="22"/>
          <w:color w:val="auto"/>
        </w:rPr>
        <w:t>Administrative Agent, the Lenders and the Issuing Banks that:</w:t>
      </w:r>
    </w:p>
    <w:p>
      <w:pPr>
        <w:spacing w:after="0" w:line="188" w:lineRule="exact"/>
        <w:rPr>
          <w:sz w:val="20"/>
          <w:szCs w:val="20"/>
          <w:color w:val="auto"/>
        </w:rPr>
      </w:pPr>
    </w:p>
    <w:p>
      <w:pPr>
        <w:jc w:val="both"/>
        <w:ind w:left="8" w:firstLine="1288"/>
        <w:spacing w:after="0" w:line="246" w:lineRule="auto"/>
        <w:tabs>
          <w:tab w:leader="none" w:pos="1908" w:val="left"/>
        </w:tabs>
        <w:numPr>
          <w:ilvl w:val="0"/>
          <w:numId w:val="212"/>
        </w:numPr>
        <w:rPr>
          <w:rFonts w:ascii="Arial" w:cs="Arial" w:eastAsia="Arial" w:hAnsi="Arial"/>
          <w:sz w:val="19"/>
          <w:szCs w:val="19"/>
          <w:color w:val="auto"/>
        </w:rPr>
      </w:pPr>
      <w:r>
        <w:rPr>
          <w:rFonts w:ascii="Arial" w:cs="Arial" w:eastAsia="Arial" w:hAnsi="Arial"/>
          <w:sz w:val="19"/>
          <w:szCs w:val="19"/>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(other than, in case of a Foreign Obligor organized under the laws of the Netherlands, assets located in the Netherlands that are destined for public service and books and records) has any immunity from jurisdiction of any court or from any legal process (whether through service or notice, attachment prior to judgment, attachment in aid of execution, execution or otherwise) under the laws of the</w:t>
      </w:r>
    </w:p>
    <w:p>
      <w:pPr>
        <w:sectPr>
          <w:pgSz w:w="11900" w:h="16838" w:orient="portrait"/>
          <w:cols w:equalWidth="0" w:num="1">
            <w:col w:w="10448"/>
          </w:cols>
          <w:pgMar w:left="1012" w:top="1401" w:right="439" w:bottom="1440" w:gutter="0" w:footer="0" w:header="0"/>
        </w:sectPr>
      </w:pPr>
    </w:p>
    <w:bookmarkStart w:id="202" w:name="page203"/>
    <w:bookmarkEnd w:id="202"/>
    <w:p>
      <w:pPr>
        <w:spacing w:after="0" w:line="204" w:lineRule="exact"/>
        <w:rPr>
          <w:sz w:val="20"/>
          <w:szCs w:val="20"/>
          <w:color w:val="auto"/>
        </w:rPr>
      </w:pPr>
    </w:p>
    <w:p>
      <w:pPr>
        <w:ind w:left="8" w:right="60"/>
        <w:spacing w:after="0" w:line="232" w:lineRule="auto"/>
        <w:rPr>
          <w:sz w:val="20"/>
          <w:szCs w:val="20"/>
          <w:color w:val="auto"/>
        </w:rPr>
      </w:pPr>
      <w:r>
        <w:rPr>
          <w:rFonts w:ascii="Arial" w:cs="Arial" w:eastAsia="Arial" w:hAnsi="Arial"/>
          <w:sz w:val="22"/>
          <w:szCs w:val="22"/>
          <w:color w:val="auto"/>
        </w:rPr>
        <w:t>jurisdiction in which such Foreign Obligor is organized and existing in respect of its obligations under the Applicable Foreign Obligor Documents.</w:t>
      </w:r>
    </w:p>
    <w:p>
      <w:pPr>
        <w:spacing w:after="0" w:line="199" w:lineRule="exact"/>
        <w:rPr>
          <w:sz w:val="20"/>
          <w:szCs w:val="20"/>
          <w:color w:val="auto"/>
        </w:rPr>
      </w:pPr>
    </w:p>
    <w:p>
      <w:pPr>
        <w:jc w:val="both"/>
        <w:ind w:left="8" w:firstLine="1288"/>
        <w:spacing w:after="0" w:line="219" w:lineRule="auto"/>
        <w:tabs>
          <w:tab w:leader="none" w:pos="1907" w:val="left"/>
        </w:tabs>
        <w:numPr>
          <w:ilvl w:val="1"/>
          <w:numId w:val="213"/>
        </w:numPr>
        <w:rPr>
          <w:rFonts w:ascii="Arial" w:cs="Arial" w:eastAsia="Arial" w:hAnsi="Arial"/>
          <w:sz w:val="21"/>
          <w:szCs w:val="21"/>
          <w:color w:val="auto"/>
        </w:rPr>
      </w:pPr>
      <w:r>
        <w:rPr>
          <w:rFonts w:ascii="Arial" w:cs="Arial" w:eastAsia="Arial" w:hAnsi="Arial"/>
          <w:sz w:val="21"/>
          <w:szCs w:val="21"/>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95" w:lineRule="exact"/>
        <w:rPr>
          <w:rFonts w:ascii="Arial" w:cs="Arial" w:eastAsia="Arial" w:hAnsi="Arial"/>
          <w:sz w:val="21"/>
          <w:szCs w:val="21"/>
          <w:color w:val="auto"/>
        </w:rPr>
      </w:pPr>
    </w:p>
    <w:p>
      <w:pPr>
        <w:jc w:val="both"/>
        <w:ind w:left="8" w:right="40" w:firstLine="1288"/>
        <w:spacing w:after="0" w:line="209" w:lineRule="auto"/>
        <w:tabs>
          <w:tab w:leader="none" w:pos="1908"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w:t>
      </w:r>
    </w:p>
    <w:p>
      <w:pPr>
        <w:ind w:left="8" w:right="60" w:hanging="8"/>
        <w:spacing w:after="0" w:line="224" w:lineRule="auto"/>
        <w:tabs>
          <w:tab w:leader="none" w:pos="61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such as cannot be made or obtained until a later date (provided that any notification or authorization described in clause (ii) shall be made or obtained as soon as is reasonably practicable).</w:t>
      </w:r>
    </w:p>
    <w:p>
      <w:pPr>
        <w:spacing w:after="0" w:line="266" w:lineRule="exact"/>
        <w:rPr>
          <w:sz w:val="20"/>
          <w:szCs w:val="20"/>
          <w:color w:val="auto"/>
        </w:rPr>
      </w:pPr>
    </w:p>
    <w:p>
      <w:pPr>
        <w:jc w:val="center"/>
        <w:ind w:right="572"/>
        <w:spacing w:after="0"/>
        <w:rPr>
          <w:sz w:val="20"/>
          <w:szCs w:val="20"/>
          <w:color w:val="auto"/>
        </w:rPr>
      </w:pPr>
      <w:r>
        <w:rPr>
          <w:rFonts w:ascii="Arial" w:cs="Arial" w:eastAsia="Arial" w:hAnsi="Arial"/>
          <w:sz w:val="22"/>
          <w:szCs w:val="22"/>
          <w:color w:val="auto"/>
        </w:rPr>
        <w:t>ARTICLE IV</w:t>
      </w:r>
    </w:p>
    <w:p>
      <w:pPr>
        <w:spacing w:after="0" w:line="214" w:lineRule="exact"/>
        <w:rPr>
          <w:sz w:val="20"/>
          <w:szCs w:val="20"/>
          <w:color w:val="auto"/>
        </w:rPr>
      </w:pPr>
    </w:p>
    <w:p>
      <w:pPr>
        <w:jc w:val="center"/>
        <w:ind w:right="572"/>
        <w:spacing w:after="0"/>
        <w:rPr>
          <w:sz w:val="20"/>
          <w:szCs w:val="20"/>
          <w:color w:val="auto"/>
        </w:rPr>
      </w:pPr>
      <w:r>
        <w:rPr>
          <w:rFonts w:ascii="Arial" w:cs="Arial" w:eastAsia="Arial" w:hAnsi="Arial"/>
          <w:sz w:val="22"/>
          <w:szCs w:val="22"/>
          <w:b w:val="1"/>
          <w:bCs w:val="1"/>
          <w:color w:val="auto"/>
        </w:rPr>
        <w:t>Conditions Precedent</w:t>
      </w:r>
    </w:p>
    <w:p>
      <w:pPr>
        <w:spacing w:after="0" w:line="226" w:lineRule="exact"/>
        <w:rPr>
          <w:sz w:val="20"/>
          <w:szCs w:val="20"/>
          <w:color w:val="auto"/>
        </w:rPr>
      </w:pPr>
    </w:p>
    <w:p>
      <w:pPr>
        <w:jc w:val="both"/>
        <w:ind w:left="8" w:right="40" w:firstLine="648"/>
        <w:spacing w:after="0" w:line="22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Initial Credit Events</w:t>
      </w:r>
      <w:r>
        <w:rPr>
          <w:rFonts w:ascii="Arial" w:cs="Arial" w:eastAsia="Arial" w:hAnsi="Arial"/>
          <w:sz w:val="22"/>
          <w:szCs w:val="22"/>
          <w:color w:val="auto"/>
        </w:rPr>
        <w:t>. The obligations of the Lenders to make Loans and of the Issuing Banks to issue Letters of Credit on the Closing Date are subject to each of the following conditions being satisfied on or prior to the Closing Date:</w:t>
      </w:r>
    </w:p>
    <w:p>
      <w:pPr>
        <w:spacing w:after="0" w:line="167" w:lineRule="exact"/>
        <w:rPr>
          <w:sz w:val="20"/>
          <w:szCs w:val="20"/>
          <w:color w:val="auto"/>
        </w:rPr>
      </w:pPr>
    </w:p>
    <w:p>
      <w:pPr>
        <w:ind w:left="1908" w:hanging="612"/>
        <w:spacing w:after="0"/>
        <w:tabs>
          <w:tab w:leader="none" w:pos="1908" w:val="left"/>
        </w:tabs>
        <w:numPr>
          <w:ilvl w:val="1"/>
          <w:numId w:val="215"/>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from</w:t>
      </w:r>
    </w:p>
    <w:p>
      <w:pPr>
        <w:jc w:val="both"/>
        <w:ind w:left="8" w:right="40" w:hanging="8"/>
        <w:spacing w:after="0" w:line="214" w:lineRule="auto"/>
        <w:tabs>
          <w:tab w:leader="none" w:pos="287" w:val="left"/>
        </w:tabs>
        <w:numPr>
          <w:ilvl w:val="0"/>
          <w:numId w:val="216"/>
        </w:numPr>
        <w:rPr>
          <w:rFonts w:ascii="Arial" w:cs="Arial" w:eastAsia="Arial" w:hAnsi="Arial"/>
          <w:sz w:val="22"/>
          <w:szCs w:val="22"/>
          <w:color w:val="auto"/>
        </w:rPr>
      </w:pPr>
      <w:r>
        <w:rPr>
          <w:rFonts w:ascii="Arial" w:cs="Arial" w:eastAsia="Arial" w:hAnsi="Arial"/>
          <w:sz w:val="22"/>
          <w:szCs w:val="22"/>
          <w:color w:val="auto"/>
        </w:rPr>
        <w:t>each party hereto either (A) a counterpart of this Agreement duly executed and delivered by or on behalf of such party or (B) written evidence reasonably satisfactory to the Administrative Agent (which may include telecopy or electronic mail transmission in accordance with Section 9.01) that such party has signed a counterpart of this Agreement;</w:t>
      </w:r>
    </w:p>
    <w:p>
      <w:pPr>
        <w:spacing w:after="0" w:line="200" w:lineRule="exact"/>
        <w:rPr>
          <w:rFonts w:ascii="Arial" w:cs="Arial" w:eastAsia="Arial" w:hAnsi="Arial"/>
          <w:sz w:val="22"/>
          <w:szCs w:val="22"/>
          <w:color w:val="auto"/>
        </w:rPr>
      </w:pPr>
    </w:p>
    <w:p>
      <w:pPr>
        <w:jc w:val="both"/>
        <w:ind w:left="8" w:firstLine="1288"/>
        <w:spacing w:after="0" w:line="226" w:lineRule="auto"/>
        <w:tabs>
          <w:tab w:leader="none" w:pos="1907" w:val="left"/>
        </w:tabs>
        <w:numPr>
          <w:ilvl w:val="1"/>
          <w:numId w:val="216"/>
        </w:numPr>
        <w:rPr>
          <w:rFonts w:ascii="Arial" w:cs="Arial" w:eastAsia="Arial" w:hAnsi="Arial"/>
          <w:sz w:val="21"/>
          <w:szCs w:val="21"/>
          <w:color w:val="auto"/>
        </w:rPr>
      </w:pPr>
      <w:r>
        <w:rPr>
          <w:rFonts w:ascii="Arial" w:cs="Arial" w:eastAsia="Arial" w:hAnsi="Arial"/>
          <w:sz w:val="21"/>
          <w:szCs w:val="21"/>
          <w:color w:val="auto"/>
        </w:rPr>
        <w:t>The Administrative Agent shall have received the executed legal opinions of (i) Cravath, Swaine &amp; Moore LLP, special New York counsel to the Borrower and the Loan Parties, (ii) Morgan, Lewis &amp; Bockius LLP, special Pennsylvania counsel to the Borrower and the Loan Parties, and (iii) NautaDutilh N.V., special Dutch counsel to the Borrower and the Loan Parties, in each case in a form reasonably satisfactory to the Administrative Agent. The Borrower hereby requests such counsel to deliver such opinions;</w:t>
      </w:r>
    </w:p>
    <w:p>
      <w:pPr>
        <w:sectPr>
          <w:pgSz w:w="11900" w:h="16838" w:orient="portrait"/>
          <w:cols w:equalWidth="0" w:num="1">
            <w:col w:w="10448"/>
          </w:cols>
          <w:pgMar w:left="1012" w:top="1440" w:right="439" w:bottom="1440" w:gutter="0" w:footer="0" w:header="0"/>
        </w:sectPr>
      </w:pPr>
    </w:p>
    <w:bookmarkStart w:id="203" w:name="page204"/>
    <w:bookmarkEnd w:id="203"/>
    <w:p>
      <w:pPr>
        <w:jc w:val="both"/>
        <w:ind w:firstLine="1288"/>
        <w:spacing w:after="0" w:line="214" w:lineRule="auto"/>
        <w:tabs>
          <w:tab w:leader="none" w:pos="190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Administrative Agent shall have received such customary closing documents and certificates as the Administrative Agent or its counsel may reasonably request relating to the organization, existence and good standing (to the extent such concept is applicable in the relevant jurisdiction) of the Borrower and the Loan Parties, the authorization of the Transactions and any other legal matters relating to the Borrower and the Loan Parties, the Loan Documents or the Transactions, all in form and substance reasonably satisfactory to the Administrative Agent and its counsel;</w:t>
      </w:r>
    </w:p>
    <w:p>
      <w:pPr>
        <w:spacing w:after="0" w:line="199" w:lineRule="exact"/>
        <w:rPr>
          <w:rFonts w:ascii="Arial" w:cs="Arial" w:eastAsia="Arial" w:hAnsi="Arial"/>
          <w:sz w:val="22"/>
          <w:szCs w:val="22"/>
          <w:color w:val="auto"/>
        </w:rPr>
      </w:pPr>
    </w:p>
    <w:p>
      <w:pPr>
        <w:jc w:val="both"/>
        <w:ind w:right="20" w:firstLine="1288"/>
        <w:spacing w:after="0" w:line="218" w:lineRule="auto"/>
        <w:tabs>
          <w:tab w:leader="none" w:pos="189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evidence reasonably satisfactory to it that prior to or substantially concurrently with the making of the initial Credit Events hereunder, all Indebtedness under the </w:t>
      </w:r>
      <w:r>
        <w:rPr>
          <w:rFonts w:ascii="Arial" w:cs="Arial" w:eastAsia="Arial" w:hAnsi="Arial"/>
          <w:sz w:val="22"/>
          <w:szCs w:val="22"/>
          <w:color w:val="FF0000"/>
          <w:strike w:val="1"/>
        </w:rPr>
        <w:t>Existing</w:t>
      </w:r>
      <w:r>
        <w:rPr>
          <w:rFonts w:ascii="Arial" w:cs="Arial" w:eastAsia="Arial" w:hAnsi="Arial"/>
          <w:sz w:val="22"/>
          <w:szCs w:val="22"/>
          <w:u w:val="single" w:color="auto"/>
          <w:color w:val="0000FF"/>
        </w:rPr>
        <w:t>Original</w:t>
      </w:r>
      <w:r>
        <w:rPr>
          <w:rFonts w:ascii="Arial" w:cs="Arial" w:eastAsia="Arial" w:hAnsi="Arial"/>
          <w:sz w:val="22"/>
          <w:szCs w:val="22"/>
          <w:color w:val="FF0000"/>
        </w:rPr>
        <w:t xml:space="preserve"> </w:t>
      </w:r>
      <w:r>
        <w:rPr>
          <w:rFonts w:ascii="Arial" w:cs="Arial" w:eastAsia="Arial" w:hAnsi="Arial"/>
          <w:sz w:val="22"/>
          <w:szCs w:val="22"/>
          <w:color w:val="000000"/>
        </w:rPr>
        <w:t>Credit Agreement and all other amounts payable thereunder have been paid in full and all</w:t>
      </w:r>
      <w:r>
        <w:rPr>
          <w:rFonts w:ascii="Arial" w:cs="Arial" w:eastAsia="Arial" w:hAnsi="Arial"/>
          <w:sz w:val="22"/>
          <w:szCs w:val="22"/>
          <w:color w:val="FF0000"/>
        </w:rPr>
        <w:t xml:space="preserve"> </w:t>
      </w:r>
      <w:r>
        <w:rPr>
          <w:rFonts w:ascii="Arial" w:cs="Arial" w:eastAsia="Arial" w:hAnsi="Arial"/>
          <w:sz w:val="22"/>
          <w:szCs w:val="22"/>
          <w:color w:val="000000"/>
        </w:rPr>
        <w:t>commitments to extend credit thereunder shall have terminated;</w:t>
      </w:r>
    </w:p>
    <w:p>
      <w:pPr>
        <w:spacing w:after="0" w:line="187" w:lineRule="exact"/>
        <w:rPr>
          <w:rFonts w:ascii="Arial" w:cs="Arial" w:eastAsia="Arial" w:hAnsi="Arial"/>
          <w:sz w:val="22"/>
          <w:szCs w:val="22"/>
          <w:color w:val="auto"/>
        </w:rPr>
      </w:pPr>
    </w:p>
    <w:p>
      <w:pPr>
        <w:jc w:val="both"/>
        <w:ind w:right="20" w:firstLine="1288"/>
        <w:spacing w:after="0" w:line="234" w:lineRule="auto"/>
        <w:tabs>
          <w:tab w:leader="none" w:pos="190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attesting to the Solvency of the Borrower and its Subsidiaries (taken as a whole) on the Closing Date after giving effect to the Transactions in or substantially in the form attached as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hereto, from a Financial Officer of the Borrower;</w:t>
      </w:r>
    </w:p>
    <w:p>
      <w:pPr>
        <w:spacing w:after="0" w:line="198" w:lineRule="exact"/>
        <w:rPr>
          <w:rFonts w:ascii="Arial" w:cs="Arial" w:eastAsia="Arial" w:hAnsi="Arial"/>
          <w:sz w:val="21"/>
          <w:szCs w:val="21"/>
          <w:color w:val="auto"/>
        </w:rPr>
      </w:pPr>
    </w:p>
    <w:p>
      <w:pPr>
        <w:jc w:val="both"/>
        <w:ind w:firstLine="1288"/>
        <w:spacing w:after="0" w:line="222" w:lineRule="auto"/>
        <w:tabs>
          <w:tab w:leader="none" w:pos="1903" w:val="left"/>
        </w:tabs>
        <w:numPr>
          <w:ilvl w:val="0"/>
          <w:numId w:val="217"/>
        </w:numPr>
        <w:rPr>
          <w:rFonts w:ascii="Arial" w:cs="Arial" w:eastAsia="Arial" w:hAnsi="Arial"/>
          <w:sz w:val="21"/>
          <w:szCs w:val="21"/>
          <w:color w:val="auto"/>
        </w:rPr>
      </w:pPr>
      <w:r>
        <w:rPr>
          <w:rFonts w:ascii="Arial" w:cs="Arial" w:eastAsia="Arial" w:hAnsi="Arial"/>
          <w:sz w:val="21"/>
          <w:szCs w:val="21"/>
          <w:color w:val="auto"/>
        </w:rPr>
        <w:t>(i) Upon the reasonable request of the Administrative Agent or any Lender made at least ten days prior to the Closing Date, the Borrower shall have provided to the Administrative Agent or such Lender the documentation and other information so requested in connection with applicable “know your customer” and anti-money-laundering rules and regulations, including the Act, in each case at least five days prior to the Closing Date and (ii) at least five days prior to the Closing Date, if the Borrower qualifies as a “legal entity customer” under the Beneficial Ownership Regulation, the Borrower shall deliver to the Administrative Agent and the Lenders a Beneficial Ownership Certification in relation to the Borrower;</w:t>
      </w:r>
    </w:p>
    <w:p>
      <w:pPr>
        <w:spacing w:after="0" w:line="204" w:lineRule="exact"/>
        <w:rPr>
          <w:rFonts w:ascii="Arial" w:cs="Arial" w:eastAsia="Arial" w:hAnsi="Arial"/>
          <w:sz w:val="21"/>
          <w:szCs w:val="21"/>
          <w:color w:val="auto"/>
        </w:rPr>
      </w:pPr>
    </w:p>
    <w:p>
      <w:pPr>
        <w:jc w:val="both"/>
        <w:ind w:right="20" w:firstLine="1288"/>
        <w:spacing w:after="0" w:line="257" w:lineRule="auto"/>
        <w:tabs>
          <w:tab w:leader="none" w:pos="1899" w:val="left"/>
        </w:tabs>
        <w:numPr>
          <w:ilvl w:val="0"/>
          <w:numId w:val="217"/>
        </w:numPr>
        <w:rPr>
          <w:rFonts w:ascii="Arial" w:cs="Arial" w:eastAsia="Arial" w:hAnsi="Arial"/>
          <w:sz w:val="19"/>
          <w:szCs w:val="19"/>
          <w:color w:val="auto"/>
        </w:rPr>
      </w:pPr>
      <w:r>
        <w:rPr>
          <w:rFonts w:ascii="Arial" w:cs="Arial" w:eastAsia="Arial" w:hAnsi="Arial"/>
          <w:sz w:val="19"/>
          <w:szCs w:val="19"/>
          <w:color w:val="auto"/>
        </w:rPr>
        <w:t>All costs, fees, expenses (including legal fees and expenses) to the extent invoiced at least two Business Days prior to the Closing Date and the fees contemplated by the Fee Letters payable to the Arrangers, the Administrative Agent or the Lenders shall have been paid on or prior to the Closing Date, in each case, to the extent required by the Fee Letters or the Loan Documents to be paid on or prior to the Closing Date;</w:t>
      </w:r>
    </w:p>
    <w:p>
      <w:pPr>
        <w:spacing w:after="0" w:line="171" w:lineRule="exact"/>
        <w:rPr>
          <w:rFonts w:ascii="Arial" w:cs="Arial" w:eastAsia="Arial" w:hAnsi="Arial"/>
          <w:sz w:val="19"/>
          <w:szCs w:val="19"/>
          <w:color w:val="auto"/>
        </w:rPr>
      </w:pPr>
    </w:p>
    <w:p>
      <w:pPr>
        <w:ind w:right="20" w:firstLine="1288"/>
        <w:spacing w:after="0" w:line="232" w:lineRule="auto"/>
        <w:tabs>
          <w:tab w:leader="none" w:pos="189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Administrative Agent shall have received Notes executed by the Borrower in favor of each Lender requesting Notes at least three Business Days prior to the Closing Date;</w:t>
      </w:r>
    </w:p>
    <w:p>
      <w:pPr>
        <w:spacing w:after="0" w:line="266" w:lineRule="exact"/>
        <w:rPr>
          <w:rFonts w:ascii="Arial" w:cs="Arial" w:eastAsia="Arial" w:hAnsi="Arial"/>
          <w:sz w:val="22"/>
          <w:szCs w:val="22"/>
          <w:color w:val="auto"/>
        </w:rPr>
      </w:pPr>
    </w:p>
    <w:p>
      <w:pPr>
        <w:jc w:val="both"/>
        <w:ind w:right="20" w:firstLine="1288"/>
        <w:spacing w:after="0" w:line="216" w:lineRule="auto"/>
        <w:tabs>
          <w:tab w:leader="none" w:pos="190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signed by a Responsible Officer of the Borrower certifying (A) that the conditions specified in Section 4.02(a) and Section 4.02(b) have been satisfied and (B) that, except as set forth on </w:t>
      </w:r>
      <w:r>
        <w:rPr>
          <w:rFonts w:ascii="Arial" w:cs="Arial" w:eastAsia="Arial" w:hAnsi="Arial"/>
          <w:sz w:val="22"/>
          <w:szCs w:val="22"/>
          <w:u w:val="single" w:color="auto"/>
          <w:color w:val="auto"/>
        </w:rPr>
        <w:t>Schedule 3.04(b)</w:t>
      </w:r>
      <w:r>
        <w:rPr>
          <w:rFonts w:ascii="Arial" w:cs="Arial" w:eastAsia="Arial" w:hAnsi="Arial"/>
          <w:sz w:val="22"/>
          <w:szCs w:val="22"/>
          <w:color w:val="auto"/>
        </w:rPr>
        <w:t>, there has been no event or circumstance since the date of the audited financial statements that has had or could be reasonably expected to have, either individually or in the aggregate, a Material Adverse Effect; and</w:t>
      </w:r>
    </w:p>
    <w:p>
      <w:pPr>
        <w:spacing w:after="0" w:line="198" w:lineRule="exact"/>
        <w:rPr>
          <w:rFonts w:ascii="Arial" w:cs="Arial" w:eastAsia="Arial" w:hAnsi="Arial"/>
          <w:sz w:val="22"/>
          <w:szCs w:val="22"/>
          <w:color w:val="auto"/>
        </w:rPr>
      </w:pPr>
    </w:p>
    <w:p>
      <w:pPr>
        <w:ind w:left="1900" w:hanging="612"/>
        <w:spacing w:after="0"/>
        <w:tabs>
          <w:tab w:leader="none" w:pos="190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The Administrative Agent shall have received a Borrowing Request, duly completed and executed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the Borrower.</w:t>
      </w:r>
    </w:p>
    <w:p>
      <w:pPr>
        <w:sectPr>
          <w:pgSz w:w="11900" w:h="16838" w:orient="portrait"/>
          <w:cols w:equalWidth="0" w:num="1">
            <w:col w:w="10440"/>
          </w:cols>
          <w:pgMar w:left="1020" w:top="1401" w:right="439" w:bottom="1440" w:gutter="0" w:footer="0" w:header="0"/>
        </w:sectPr>
      </w:pPr>
    </w:p>
    <w:bookmarkStart w:id="204" w:name="page205"/>
    <w:bookmarkEnd w:id="204"/>
    <w:p>
      <w:pPr>
        <w:ind w:left="1288"/>
        <w:spacing w:after="0"/>
        <w:rPr>
          <w:sz w:val="20"/>
          <w:szCs w:val="20"/>
          <w:color w:val="auto"/>
        </w:rPr>
      </w:pPr>
      <w:r>
        <w:rPr>
          <w:rFonts w:ascii="Arial" w:cs="Arial" w:eastAsia="Arial" w:hAnsi="Arial"/>
          <w:sz w:val="22"/>
          <w:szCs w:val="22"/>
          <w:color w:val="auto"/>
        </w:rPr>
        <w:t>Without limiting the generality of the provisions of the sub-clause (e)(v) of clause</w:t>
      </w:r>
    </w:p>
    <w:p>
      <w:pPr>
        <w:jc w:val="both"/>
        <w:ind w:left="8" w:right="40" w:hanging="8"/>
        <w:spacing w:after="0" w:line="212" w:lineRule="auto"/>
        <w:tabs>
          <w:tab w:leader="none" w:pos="612" w:val="left"/>
        </w:tabs>
        <w:numPr>
          <w:ilvl w:val="0"/>
          <w:numId w:val="218"/>
        </w:numPr>
        <w:rPr>
          <w:rFonts w:ascii="Arial" w:cs="Arial" w:eastAsia="Arial" w:hAnsi="Arial"/>
          <w:sz w:val="22"/>
          <w:szCs w:val="22"/>
          <w:color w:val="auto"/>
        </w:rPr>
      </w:pPr>
      <w:r>
        <w:rPr>
          <w:rFonts w:ascii="Arial" w:cs="Arial" w:eastAsia="Arial" w:hAnsi="Arial"/>
          <w:sz w:val="22"/>
          <w:szCs w:val="22"/>
          <w:color w:val="auto"/>
        </w:rPr>
        <w:t>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1" w:lineRule="exact"/>
        <w:rPr>
          <w:sz w:val="20"/>
          <w:szCs w:val="20"/>
          <w:color w:val="auto"/>
        </w:rPr>
      </w:pPr>
    </w:p>
    <w:p>
      <w:pPr>
        <w:jc w:val="both"/>
        <w:ind w:left="8" w:right="40" w:firstLine="648"/>
        <w:spacing w:after="0" w:line="268"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Subsequent Credit Events</w:t>
      </w:r>
      <w:r>
        <w:rPr>
          <w:rFonts w:ascii="Arial" w:cs="Arial" w:eastAsia="Arial" w:hAnsi="Arial"/>
          <w:sz w:val="19"/>
          <w:szCs w:val="19"/>
          <w:color w:val="auto"/>
        </w:rPr>
        <w:t>. The obligation of each Lender to make a Loan on the occasion of any Borrowing (but not a conversion or continuation of Loans), and of the Issuing Banks to issue, amend, renew or extend any Letter of Credit, in each case, following the Closing Date is subject to the satisfaction of the following conditions:</w:t>
      </w:r>
    </w:p>
    <w:p>
      <w:pPr>
        <w:spacing w:after="0" w:line="159" w:lineRule="exact"/>
        <w:rPr>
          <w:sz w:val="20"/>
          <w:szCs w:val="20"/>
          <w:color w:val="auto"/>
        </w:rPr>
      </w:pPr>
    </w:p>
    <w:p>
      <w:pPr>
        <w:jc w:val="both"/>
        <w:ind w:left="8" w:right="40" w:firstLine="1288"/>
        <w:spacing w:after="0" w:line="221" w:lineRule="auto"/>
        <w:tabs>
          <w:tab w:leader="none" w:pos="1908"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representations and warranties of the Borrower set forth in this Agreement and the other Loan Documents shall be true and correct in all material respects (except to the extent that any representation and warranty that is qualified by materiality shall be true and correct in all respects) on and as of the date of such Borrowing or the date of issuance, amendment, renewal or extension of such Letter of Credit, as applicable, except (i) where any representation and warranty is expressly made as of a specific earlier date, such representation and warranty shall be true in all material respects as of any such earlier date and (ii) the representations and warranties set forth in Section 3.04(b) and Section 3.06 shall only be required to be made on the Closing Date and shall not be required to be made for any Credit Event following the Closing Date (but shall be required to be made on the date any Increased Commitments are established);</w:t>
      </w:r>
    </w:p>
    <w:p>
      <w:pPr>
        <w:spacing w:after="0" w:line="199" w:lineRule="exact"/>
        <w:rPr>
          <w:rFonts w:ascii="Arial" w:cs="Arial" w:eastAsia="Arial" w:hAnsi="Arial"/>
          <w:sz w:val="21"/>
          <w:szCs w:val="21"/>
          <w:color w:val="auto"/>
        </w:rPr>
      </w:pPr>
    </w:p>
    <w:p>
      <w:pPr>
        <w:ind w:left="8" w:firstLine="1288"/>
        <w:spacing w:after="0" w:line="298" w:lineRule="auto"/>
        <w:tabs>
          <w:tab w:leader="none" w:pos="1907"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such Borrowing or the issuance, amendment, renewal or extension of such Letter of Credit, as applicable, no Default shall have occurred and be continuing; and</w:t>
      </w:r>
    </w:p>
    <w:p>
      <w:pPr>
        <w:spacing w:after="0" w:line="145" w:lineRule="exact"/>
        <w:rPr>
          <w:rFonts w:ascii="Arial" w:cs="Arial" w:eastAsia="Arial" w:hAnsi="Arial"/>
          <w:sz w:val="19"/>
          <w:szCs w:val="19"/>
          <w:color w:val="auto"/>
        </w:rPr>
      </w:pPr>
    </w:p>
    <w:p>
      <w:pPr>
        <w:ind w:left="1908" w:hanging="612"/>
        <w:spacing w:after="0"/>
        <w:tabs>
          <w:tab w:leader="none" w:pos="1908"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Administrative Agent shall have received a Borrowing Request, duly completed and executed</w:t>
      </w:r>
    </w:p>
    <w:p>
      <w:pPr>
        <w:spacing w:after="0" w:line="15" w:lineRule="exact"/>
        <w:rPr>
          <w:rFonts w:ascii="Arial" w:cs="Arial" w:eastAsia="Arial" w:hAnsi="Arial"/>
          <w:sz w:val="19"/>
          <w:szCs w:val="19"/>
          <w:color w:val="auto"/>
        </w:rPr>
      </w:pPr>
    </w:p>
    <w:p>
      <w:pPr>
        <w:ind w:left="8"/>
        <w:spacing w:after="0"/>
        <w:rPr>
          <w:rFonts w:ascii="Arial" w:cs="Arial" w:eastAsia="Arial" w:hAnsi="Arial"/>
          <w:sz w:val="19"/>
          <w:szCs w:val="19"/>
          <w:color w:val="auto"/>
        </w:rPr>
      </w:pPr>
      <w:r>
        <w:rPr>
          <w:rFonts w:ascii="Arial" w:cs="Arial" w:eastAsia="Arial" w:hAnsi="Arial"/>
          <w:sz w:val="22"/>
          <w:szCs w:val="22"/>
          <w:color w:val="auto"/>
        </w:rPr>
        <w:t>by the Borrower.</w:t>
      </w:r>
    </w:p>
    <w:p>
      <w:pPr>
        <w:spacing w:after="0" w:line="188" w:lineRule="exact"/>
        <w:rPr>
          <w:sz w:val="20"/>
          <w:szCs w:val="20"/>
          <w:color w:val="auto"/>
        </w:rPr>
      </w:pPr>
    </w:p>
    <w:p>
      <w:pPr>
        <w:jc w:val="both"/>
        <w:ind w:left="8" w:right="60"/>
        <w:spacing w:after="0" w:line="223" w:lineRule="auto"/>
        <w:rPr>
          <w:sz w:val="20"/>
          <w:szCs w:val="20"/>
          <w:color w:val="auto"/>
        </w:rPr>
      </w:pPr>
      <w:r>
        <w:rPr>
          <w:rFonts w:ascii="Arial" w:cs="Arial" w:eastAsia="Arial" w:hAnsi="Arial"/>
          <w:sz w:val="22"/>
          <w:szCs w:val="22"/>
          <w:color w:val="auto"/>
        </w:rPr>
        <w:t>Except to the extent required above, each Borrowing and each issuance, amendment, renewal or extension of a Letter of Credit shall be deemed to constitute a representation and warranty by the Borrower on the date thereof as to the matters specified in paragraphs (a) and (b) of this Section 4.02.</w:t>
      </w:r>
    </w:p>
    <w:p>
      <w:pPr>
        <w:spacing w:after="0" w:line="267" w:lineRule="exact"/>
        <w:rPr>
          <w:sz w:val="20"/>
          <w:szCs w:val="20"/>
          <w:color w:val="auto"/>
        </w:rPr>
      </w:pPr>
    </w:p>
    <w:p>
      <w:pPr>
        <w:jc w:val="center"/>
        <w:ind w:right="572"/>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jc w:val="center"/>
        <w:ind w:right="572"/>
        <w:spacing w:after="0"/>
        <w:rPr>
          <w:sz w:val="20"/>
          <w:szCs w:val="20"/>
          <w:color w:val="auto"/>
        </w:rPr>
      </w:pPr>
      <w:r>
        <w:rPr>
          <w:rFonts w:ascii="Arial" w:cs="Arial" w:eastAsia="Arial" w:hAnsi="Arial"/>
          <w:sz w:val="22"/>
          <w:szCs w:val="22"/>
          <w:b w:val="1"/>
          <w:bCs w:val="1"/>
          <w:color w:val="auto"/>
        </w:rPr>
        <w:t>Affirmative Covenants</w:t>
      </w:r>
    </w:p>
    <w:p>
      <w:pPr>
        <w:spacing w:after="0" w:line="226" w:lineRule="exact"/>
        <w:rPr>
          <w:sz w:val="20"/>
          <w:szCs w:val="20"/>
          <w:color w:val="auto"/>
        </w:rPr>
      </w:pPr>
    </w:p>
    <w:p>
      <w:pPr>
        <w:jc w:val="both"/>
        <w:ind w:left="8" w:right="40" w:firstLine="648"/>
        <w:spacing w:after="0" w:line="257" w:lineRule="auto"/>
        <w:rPr>
          <w:sz w:val="20"/>
          <w:szCs w:val="20"/>
          <w:color w:val="auto"/>
        </w:rPr>
      </w:pPr>
      <w:r>
        <w:rPr>
          <w:rFonts w:ascii="Arial" w:cs="Arial" w:eastAsia="Arial" w:hAnsi="Arial"/>
          <w:sz w:val="19"/>
          <w:szCs w:val="19"/>
          <w:color w:val="auto"/>
        </w:rPr>
        <w:t>Until the Commitments have expired or been terminated and the principal of and interest on each Loan and all fees payable hereunder shall have been paid in full and all Letters of Credit shall have expired or terminated or been Cash Collateralized on terms satisfactory to the Issuing Banks and all L/C Disbursements shall have been reimbursed, the Borrower covenants and agrees with the Administrative Agent, the Lenders and the Issuing Banks that:</w:t>
      </w:r>
    </w:p>
    <w:p>
      <w:pPr>
        <w:sectPr>
          <w:pgSz w:w="11900" w:h="16838" w:orient="portrait"/>
          <w:cols w:equalWidth="0" w:num="1">
            <w:col w:w="10448"/>
          </w:cols>
          <w:pgMar w:left="1012" w:top="1382" w:right="439" w:bottom="1440" w:gutter="0" w:footer="0" w:header="0"/>
        </w:sectPr>
      </w:pPr>
    </w:p>
    <w:bookmarkStart w:id="205" w:name="page206"/>
    <w:bookmarkEnd w:id="205"/>
    <w:p>
      <w:pPr>
        <w:ind w:left="648"/>
        <w:spacing w:after="0"/>
        <w:tabs>
          <w:tab w:leader="none" w:pos="2188" w:val="left"/>
          <w:tab w:leader="none" w:pos="6248"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Borrower will furnish to the</w:t>
      </w:r>
    </w:p>
    <w:p>
      <w:pPr>
        <w:ind w:left="8"/>
        <w:spacing w:after="0"/>
        <w:rPr>
          <w:sz w:val="20"/>
          <w:szCs w:val="20"/>
          <w:color w:val="auto"/>
        </w:rPr>
      </w:pPr>
      <w:r>
        <w:rPr>
          <w:rFonts w:ascii="Arial" w:cs="Arial" w:eastAsia="Arial" w:hAnsi="Arial"/>
          <w:sz w:val="22"/>
          <w:szCs w:val="22"/>
          <w:color w:val="auto"/>
        </w:rPr>
        <w:t>Administrative Agent (who shall promptly furnish a copy to each Lender):</w:t>
      </w:r>
    </w:p>
    <w:p>
      <w:pPr>
        <w:spacing w:after="0" w:line="202" w:lineRule="exact"/>
        <w:rPr>
          <w:sz w:val="20"/>
          <w:szCs w:val="20"/>
          <w:color w:val="auto"/>
        </w:rPr>
      </w:pPr>
    </w:p>
    <w:p>
      <w:pPr>
        <w:jc w:val="both"/>
        <w:ind w:left="8" w:firstLine="1288"/>
        <w:spacing w:after="0" w:line="221" w:lineRule="auto"/>
        <w:tabs>
          <w:tab w:leader="none" w:pos="1908" w:val="left"/>
        </w:tabs>
        <w:numPr>
          <w:ilvl w:val="1"/>
          <w:numId w:val="220"/>
        </w:numPr>
        <w:rPr>
          <w:rFonts w:ascii="Arial" w:cs="Arial" w:eastAsia="Arial" w:hAnsi="Arial"/>
          <w:sz w:val="21"/>
          <w:szCs w:val="21"/>
          <w:color w:val="auto"/>
        </w:rPr>
      </w:pPr>
      <w:r>
        <w:rPr>
          <w:rFonts w:ascii="Arial" w:cs="Arial" w:eastAsia="Arial" w:hAnsi="Arial"/>
          <w:sz w:val="21"/>
          <w:szCs w:val="21"/>
          <w:color w:val="auto"/>
        </w:rPr>
        <w:t>as soon as available, but in any event within ninety (90) days after the end of each fiscal year of the Borrower, the audited consolidated balance sheet of the Borrower and its Consolidated Subsidiaries and related statements of operations, stockholders’ equity and cash flows as of the end of and for such year,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Borrower and its Consolidated Subsidiaries on a consolidated basis in accordance with GAAP;</w:t>
      </w:r>
    </w:p>
    <w:p>
      <w:pPr>
        <w:spacing w:after="0" w:line="192" w:lineRule="exact"/>
        <w:rPr>
          <w:rFonts w:ascii="Arial" w:cs="Arial" w:eastAsia="Arial" w:hAnsi="Arial"/>
          <w:sz w:val="21"/>
          <w:szCs w:val="21"/>
          <w:color w:val="auto"/>
        </w:rPr>
      </w:pPr>
    </w:p>
    <w:p>
      <w:pPr>
        <w:jc w:val="both"/>
        <w:ind w:left="8" w:right="20" w:firstLine="1288"/>
        <w:spacing w:after="0" w:line="246" w:lineRule="auto"/>
        <w:tabs>
          <w:tab w:leader="none" w:pos="1907" w:val="left"/>
        </w:tabs>
        <w:numPr>
          <w:ilvl w:val="1"/>
          <w:numId w:val="220"/>
        </w:numPr>
        <w:rPr>
          <w:rFonts w:ascii="Arial" w:cs="Arial" w:eastAsia="Arial" w:hAnsi="Arial"/>
          <w:sz w:val="19"/>
          <w:szCs w:val="19"/>
          <w:color w:val="auto"/>
        </w:rPr>
      </w:pPr>
      <w:r>
        <w:rPr>
          <w:rFonts w:ascii="Arial" w:cs="Arial" w:eastAsia="Arial" w:hAnsi="Arial"/>
          <w:sz w:val="19"/>
          <w:szCs w:val="19"/>
          <w:color w:val="auto"/>
        </w:rPr>
        <w:t>as soon as available, but in any event within forty-five (45) days after the end of each of the first three fiscal quarters of each fiscal year of the Borrower, the unaudited consolidated balance sheet of the Borrower and its Consolidated Subsidiaries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Borrower and its Consolidated Subsidiaries on a consolidated basis in accordance with GAAP, subject to normal year-end audit adjustments and the absence of footnotes;</w:t>
      </w:r>
    </w:p>
    <w:p>
      <w:pPr>
        <w:spacing w:after="0" w:line="173" w:lineRule="exact"/>
        <w:rPr>
          <w:rFonts w:ascii="Arial" w:cs="Arial" w:eastAsia="Arial" w:hAnsi="Arial"/>
          <w:sz w:val="19"/>
          <w:szCs w:val="19"/>
          <w:color w:val="auto"/>
        </w:rPr>
      </w:pPr>
    </w:p>
    <w:p>
      <w:pPr>
        <w:ind w:left="1948" w:hanging="652"/>
        <w:spacing w:after="0"/>
        <w:tabs>
          <w:tab w:leader="none" w:pos="1948" w:val="left"/>
        </w:tabs>
        <w:numPr>
          <w:ilvl w:val="1"/>
          <w:numId w:val="220"/>
        </w:numPr>
        <w:rPr>
          <w:rFonts w:ascii="Arial" w:cs="Arial" w:eastAsia="Arial" w:hAnsi="Arial"/>
          <w:sz w:val="22"/>
          <w:szCs w:val="22"/>
          <w:color w:val="auto"/>
        </w:rPr>
      </w:pPr>
      <w:r>
        <w:rPr>
          <w:rFonts w:ascii="Arial" w:cs="Arial" w:eastAsia="Arial" w:hAnsi="Arial"/>
          <w:sz w:val="22"/>
          <w:szCs w:val="22"/>
          <w:color w:val="auto"/>
        </w:rPr>
        <w:t>concurrently with any delivery of financial statements under clause (a) or</w:t>
      </w:r>
    </w:p>
    <w:p>
      <w:pPr>
        <w:jc w:val="both"/>
        <w:ind w:left="8" w:right="20" w:hanging="8"/>
        <w:spacing w:after="0" w:line="224" w:lineRule="auto"/>
        <w:tabs>
          <w:tab w:leader="none" w:pos="611"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above, a certificate substantially in the form of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executed by a Financial Officer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Section 6.07;</w:t>
      </w:r>
    </w:p>
    <w:p>
      <w:pPr>
        <w:spacing w:after="0" w:line="200" w:lineRule="exact"/>
        <w:rPr>
          <w:rFonts w:ascii="Arial" w:cs="Arial" w:eastAsia="Arial" w:hAnsi="Arial"/>
          <w:sz w:val="21"/>
          <w:szCs w:val="21"/>
          <w:color w:val="auto"/>
        </w:rPr>
      </w:pPr>
    </w:p>
    <w:p>
      <w:pPr>
        <w:ind w:left="1908" w:hanging="612"/>
        <w:spacing w:after="0"/>
        <w:tabs>
          <w:tab w:leader="none" w:pos="1908" w:val="left"/>
        </w:tabs>
        <w:numPr>
          <w:ilvl w:val="1"/>
          <w:numId w:val="22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left="8" w:right="20" w:firstLine="1288"/>
        <w:spacing w:after="0" w:line="223" w:lineRule="auto"/>
        <w:tabs>
          <w:tab w:leader="none" w:pos="1908" w:val="left"/>
        </w:tabs>
        <w:numPr>
          <w:ilvl w:val="1"/>
          <w:numId w:val="221"/>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annual, quarterly and current reports and proxy statements filed by the Borrower or any Subsidiary with the SEC, or any Governmental Authority succeeding to any or all of the functions of the SEC; and</w:t>
      </w:r>
    </w:p>
    <w:p>
      <w:pPr>
        <w:spacing w:after="0" w:line="266" w:lineRule="exact"/>
        <w:rPr>
          <w:rFonts w:ascii="Arial" w:cs="Arial" w:eastAsia="Arial" w:hAnsi="Arial"/>
          <w:sz w:val="22"/>
          <w:szCs w:val="22"/>
          <w:color w:val="auto"/>
        </w:rPr>
      </w:pPr>
    </w:p>
    <w:p>
      <w:pPr>
        <w:jc w:val="both"/>
        <w:ind w:left="8" w:right="20" w:firstLine="1288"/>
        <w:spacing w:after="0" w:line="268" w:lineRule="auto"/>
        <w:tabs>
          <w:tab w:leader="none" w:pos="1912" w:val="left"/>
        </w:tabs>
        <w:numPr>
          <w:ilvl w:val="1"/>
          <w:numId w:val="221"/>
        </w:numPr>
        <w:rPr>
          <w:rFonts w:ascii="Arial" w:cs="Arial" w:eastAsia="Arial" w:hAnsi="Arial"/>
          <w:sz w:val="19"/>
          <w:szCs w:val="19"/>
          <w:color w:val="auto"/>
        </w:rPr>
      </w:pPr>
      <w:r>
        <w:rPr>
          <w:rFonts w:ascii="Arial" w:cs="Arial" w:eastAsia="Arial" w:hAnsi="Arial"/>
          <w:sz w:val="19"/>
          <w:szCs w:val="19"/>
          <w:color w:val="auto"/>
        </w:rPr>
        <w:t>promptly following any request therefor, such other information regarding the operations, business affairs and financial condition of the Borrower or any Subsidiary, or compliance with the terms of this Agreement, as the Administrative Agent or any Lender (through the Administrative Agent) may reasonably request.</w:t>
      </w:r>
    </w:p>
    <w:p>
      <w:pPr>
        <w:spacing w:after="0" w:line="173" w:lineRule="exact"/>
        <w:rPr>
          <w:sz w:val="20"/>
          <w:szCs w:val="20"/>
          <w:color w:val="auto"/>
        </w:rPr>
      </w:pPr>
    </w:p>
    <w:p>
      <w:pPr>
        <w:jc w:val="both"/>
        <w:ind w:left="8" w:right="20"/>
        <w:spacing w:after="0" w:line="223" w:lineRule="auto"/>
        <w:rPr>
          <w:sz w:val="20"/>
          <w:szCs w:val="20"/>
          <w:color w:val="auto"/>
        </w:rPr>
      </w:pPr>
      <w:r>
        <w:rPr>
          <w:rFonts w:ascii="Arial" w:cs="Arial" w:eastAsia="Arial" w:hAnsi="Arial"/>
          <w:sz w:val="22"/>
          <w:szCs w:val="22"/>
          <w:color w:val="auto"/>
        </w:rPr>
        <w:t>Financial statements and other information required to be delivered pursuant to Sections 5.01(a), 5.01(b) and 5.01(e) shall be deemed to have been delivered if such statements and information shall have been posted by the Borrower on its website or shall have been posted on IntraLinks or</w:t>
      </w:r>
    </w:p>
    <w:p>
      <w:pPr>
        <w:sectPr>
          <w:pgSz w:w="11900" w:h="16838" w:orient="portrait"/>
          <w:cols w:equalWidth="0" w:num="1">
            <w:col w:w="10448"/>
          </w:cols>
          <w:pgMar w:left="1012" w:top="1382" w:right="439" w:bottom="1440" w:gutter="0" w:footer="0" w:header="0"/>
        </w:sectPr>
      </w:pPr>
    </w:p>
    <w:bookmarkStart w:id="206" w:name="page207"/>
    <w:bookmarkEnd w:id="206"/>
    <w:p>
      <w:pPr>
        <w:jc w:val="both"/>
        <w:ind w:left="8" w:right="40"/>
        <w:spacing w:after="0" w:line="232" w:lineRule="auto"/>
        <w:rPr>
          <w:sz w:val="20"/>
          <w:szCs w:val="20"/>
          <w:color w:val="auto"/>
        </w:rPr>
      </w:pPr>
      <w:r>
        <w:rPr>
          <w:rFonts w:ascii="Arial" w:cs="Arial" w:eastAsia="Arial" w:hAnsi="Arial"/>
          <w:sz w:val="22"/>
          <w:szCs w:val="22"/>
          <w:color w:val="auto"/>
        </w:rPr>
        <w:t>similar site to which all of the Lenders have been granted access or are publicly available on the SEC’s website pursuant to the EDGAR system.</w:t>
      </w:r>
    </w:p>
    <w:p>
      <w:pPr>
        <w:spacing w:after="0" w:line="199" w:lineRule="exact"/>
        <w:rPr>
          <w:sz w:val="20"/>
          <w:szCs w:val="20"/>
          <w:color w:val="auto"/>
        </w:rPr>
      </w:pPr>
    </w:p>
    <w:p>
      <w:pPr>
        <w:jc w:val="both"/>
        <w:ind w:left="8" w:right="40" w:firstLine="648"/>
        <w:spacing w:after="0" w:line="246" w:lineRule="auto"/>
        <w:rPr>
          <w:sz w:val="20"/>
          <w:szCs w:val="20"/>
          <w:color w:val="auto"/>
        </w:rPr>
      </w:pPr>
      <w:r>
        <w:rPr>
          <w:rFonts w:ascii="Arial" w:cs="Arial" w:eastAsia="Arial" w:hAnsi="Arial"/>
          <w:sz w:val="19"/>
          <w:szCs w:val="19"/>
          <w:color w:val="auto"/>
        </w:rPr>
        <w:t>The Borrower acknowledges that (a) the Administrative Agent and/or the Arrangers may, but shall not be obligated to, make available to the Lenders and the Issuing Banks materials and/or information provided by or on behalf of the Borrower hereunder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by posting such information on DebtDomain, IntraLinks, Syndtrak, ClearPar, or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may be “public side” Lenders (i.e., Lenders that do not wish to receive material non-public information with respect to the Borrower, its Subsidiaries or their securities)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The Borrower agrees to identify that portion of the information to be provided to Public Lenders hereunder as “PUBLIC” and that such information will not contain material non-public information relating to the Borrower or its Subsidiaries (or any of their securities).</w:t>
      </w:r>
    </w:p>
    <w:p>
      <w:pPr>
        <w:spacing w:after="0" w:line="179" w:lineRule="exact"/>
        <w:rPr>
          <w:sz w:val="20"/>
          <w:szCs w:val="20"/>
          <w:color w:val="auto"/>
        </w:rPr>
      </w:pPr>
    </w:p>
    <w:p>
      <w:pPr>
        <w:jc w:val="both"/>
        <w:ind w:left="8" w:right="40" w:firstLine="648"/>
        <w:spacing w:after="0" w:line="22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Borrower will furnish to the Administrative Agent (for prompt notification to each Lender) prompt (but in any event within five (5) Business Days) written notice after any Financial Officer obtains knowledge of the following:</w:t>
      </w:r>
    </w:p>
    <w:p>
      <w:pPr>
        <w:spacing w:after="0" w:line="267" w:lineRule="exact"/>
        <w:rPr>
          <w:sz w:val="20"/>
          <w:szCs w:val="20"/>
          <w:color w:val="auto"/>
        </w:rPr>
      </w:pPr>
    </w:p>
    <w:p>
      <w:pPr>
        <w:ind w:left="1908" w:hanging="612"/>
        <w:spacing w:after="0"/>
        <w:tabs>
          <w:tab w:leader="none" w:pos="1908"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occurrence of any continuing Default;</w:t>
      </w:r>
    </w:p>
    <w:p>
      <w:pPr>
        <w:spacing w:after="0" w:line="219" w:lineRule="exact"/>
        <w:rPr>
          <w:rFonts w:ascii="Arial" w:cs="Arial" w:eastAsia="Arial" w:hAnsi="Arial"/>
          <w:sz w:val="22"/>
          <w:szCs w:val="22"/>
          <w:color w:val="auto"/>
        </w:rPr>
      </w:pPr>
    </w:p>
    <w:p>
      <w:pPr>
        <w:jc w:val="both"/>
        <w:ind w:left="8" w:right="40" w:firstLine="1288"/>
        <w:spacing w:after="0" w:line="223" w:lineRule="auto"/>
        <w:tabs>
          <w:tab w:leader="none" w:pos="1907"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the Borrower or any Subsidiary thereof that would reasonably be expected to result in a Material Adverse Effect;</w:t>
      </w:r>
    </w:p>
    <w:p>
      <w:pPr>
        <w:spacing w:after="0" w:line="199" w:lineRule="exact"/>
        <w:rPr>
          <w:rFonts w:ascii="Arial" w:cs="Arial" w:eastAsia="Arial" w:hAnsi="Arial"/>
          <w:sz w:val="22"/>
          <w:szCs w:val="22"/>
          <w:color w:val="auto"/>
        </w:rPr>
      </w:pPr>
    </w:p>
    <w:p>
      <w:pPr>
        <w:ind w:left="8" w:right="40" w:firstLine="1288"/>
        <w:spacing w:after="0" w:line="232" w:lineRule="auto"/>
        <w:tabs>
          <w:tab w:leader="none" w:pos="1908"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occurrence of any ERISA Event that, alone or together with any other ERISA Events that have occurred, would reasonably be expected to result in a Material Adverse Effect; and</w:t>
      </w:r>
    </w:p>
    <w:p>
      <w:pPr>
        <w:spacing w:after="0" w:line="266" w:lineRule="exact"/>
        <w:rPr>
          <w:rFonts w:ascii="Arial" w:cs="Arial" w:eastAsia="Arial" w:hAnsi="Arial"/>
          <w:sz w:val="22"/>
          <w:szCs w:val="22"/>
          <w:color w:val="auto"/>
        </w:rPr>
      </w:pPr>
    </w:p>
    <w:p>
      <w:pPr>
        <w:ind w:left="8" w:firstLine="1288"/>
        <w:spacing w:after="0" w:line="213" w:lineRule="auto"/>
        <w:tabs>
          <w:tab w:leader="none" w:pos="1907" w:val="left"/>
        </w:tabs>
        <w:numPr>
          <w:ilvl w:val="1"/>
          <w:numId w:val="222"/>
        </w:numPr>
        <w:rPr>
          <w:rFonts w:ascii="Arial" w:cs="Arial" w:eastAsia="Arial" w:hAnsi="Arial"/>
          <w:sz w:val="22"/>
          <w:szCs w:val="22"/>
          <w:color w:val="auto"/>
        </w:rPr>
      </w:pPr>
      <w:r>
        <w:rPr>
          <w:rFonts w:ascii="Arial" w:cs="Arial" w:eastAsia="Arial" w:hAnsi="Arial"/>
          <w:sz w:val="22"/>
          <w:szCs w:val="22"/>
          <w:color w:val="auto"/>
        </w:rPr>
        <w:t>any change in the information provided in the Beneficial Ownership Certification that would result in a change to the list of beneficial owners identified in parts (c) or</w:t>
      </w:r>
    </w:p>
    <w:p>
      <w:pPr>
        <w:ind w:left="288" w:hanging="288"/>
        <w:spacing w:after="0"/>
        <w:tabs>
          <w:tab w:leader="none" w:pos="288" w:val="left"/>
        </w:tabs>
        <w:numPr>
          <w:ilvl w:val="0"/>
          <w:numId w:val="223"/>
        </w:numPr>
        <w:rPr>
          <w:rFonts w:ascii="Arial" w:cs="Arial" w:eastAsia="Arial" w:hAnsi="Arial"/>
          <w:sz w:val="22"/>
          <w:szCs w:val="22"/>
          <w:color w:val="auto"/>
        </w:rPr>
      </w:pPr>
      <w:r>
        <w:rPr>
          <w:rFonts w:ascii="Arial" w:cs="Arial" w:eastAsia="Arial" w:hAnsi="Arial"/>
          <w:sz w:val="22"/>
          <w:szCs w:val="22"/>
          <w:color w:val="auto"/>
        </w:rPr>
        <w:t>of such certification.</w:t>
      </w:r>
    </w:p>
    <w:p>
      <w:pPr>
        <w:spacing w:after="0" w:line="188" w:lineRule="exact"/>
        <w:rPr>
          <w:sz w:val="20"/>
          <w:szCs w:val="20"/>
          <w:color w:val="auto"/>
        </w:rPr>
      </w:pPr>
    </w:p>
    <w:p>
      <w:pPr>
        <w:jc w:val="both"/>
        <w:ind w:left="8" w:right="40"/>
        <w:spacing w:after="0" w:line="223" w:lineRule="auto"/>
        <w:rPr>
          <w:sz w:val="20"/>
          <w:szCs w:val="20"/>
          <w:color w:val="auto"/>
        </w:rPr>
      </w:pPr>
      <w:r>
        <w:rPr>
          <w:rFonts w:ascii="Arial" w:cs="Arial" w:eastAsia="Arial" w:hAnsi="Arial"/>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99" w:lineRule="exact"/>
        <w:rPr>
          <w:sz w:val="20"/>
          <w:szCs w:val="20"/>
          <w:color w:val="auto"/>
        </w:rPr>
      </w:pPr>
    </w:p>
    <w:p>
      <w:pPr>
        <w:jc w:val="both"/>
        <w:ind w:left="8" w:right="20" w:firstLine="648"/>
        <w:spacing w:after="0" w:line="214"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Existence; Conduct of Business</w:t>
      </w:r>
      <w:r>
        <w:rPr>
          <w:rFonts w:ascii="Arial" w:cs="Arial" w:eastAsia="Arial" w:hAnsi="Arial"/>
          <w:sz w:val="22"/>
          <w:szCs w:val="22"/>
          <w:color w:val="auto"/>
        </w:rPr>
        <w:t xml:space="preserve">. The Borrower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would not reasonably be expected to have a Material Adverse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prohibit any transaction that is not otherwise prohibited under Section 6.03.</w:t>
      </w:r>
    </w:p>
    <w:p>
      <w:pPr>
        <w:spacing w:after="0" w:line="199" w:lineRule="exact"/>
        <w:rPr>
          <w:sz w:val="20"/>
          <w:szCs w:val="20"/>
          <w:color w:val="auto"/>
        </w:rPr>
      </w:pPr>
    </w:p>
    <w:p>
      <w:pPr>
        <w:jc w:val="both"/>
        <w:ind w:left="8" w:right="40" w:firstLine="648"/>
        <w:spacing w:after="0" w:line="214"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Payment of Obligations</w:t>
      </w:r>
      <w:r>
        <w:rPr>
          <w:rFonts w:ascii="Arial" w:cs="Arial" w:eastAsia="Arial" w:hAnsi="Arial"/>
          <w:sz w:val="22"/>
          <w:szCs w:val="22"/>
          <w:color w:val="auto"/>
        </w:rPr>
        <w:t>. The Borrower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Borrower or such Subsidiary has set aside on its books reserves with respect thereto to the extent required by GAAP or (b) the failure to make payment would not reasonably be expected to, individually or in the aggregate, result in a Material Adverse Effect.</w:t>
      </w:r>
    </w:p>
    <w:p>
      <w:pPr>
        <w:spacing w:after="0" w:line="186" w:lineRule="exact"/>
        <w:rPr>
          <w:sz w:val="20"/>
          <w:szCs w:val="20"/>
          <w:color w:val="auto"/>
        </w:rPr>
      </w:pPr>
    </w:p>
    <w:p>
      <w:pPr>
        <w:ind w:left="8" w:right="20" w:firstLine="648"/>
        <w:spacing w:after="0" w:line="232"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 Insurance</w:t>
      </w:r>
      <w:r>
        <w:rPr>
          <w:rFonts w:ascii="Arial" w:cs="Arial" w:eastAsia="Arial" w:hAnsi="Arial"/>
          <w:sz w:val="22"/>
          <w:szCs w:val="22"/>
          <w:color w:val="auto"/>
        </w:rPr>
        <w:t>. The Borrower will, and will cause each of its Material Subsidiaries to, (a) keep and maintain all Property material to the conduct of</w:t>
      </w:r>
    </w:p>
    <w:p>
      <w:pPr>
        <w:sectPr>
          <w:pgSz w:w="11900" w:h="16838" w:orient="portrait"/>
          <w:cols w:equalWidth="0" w:num="1">
            <w:col w:w="10448"/>
          </w:cols>
          <w:pgMar w:left="1012" w:top="1401" w:right="439" w:bottom="1440" w:gutter="0" w:footer="0" w:header="0"/>
        </w:sectPr>
      </w:pPr>
    </w:p>
    <w:bookmarkStart w:id="207" w:name="page208"/>
    <w:bookmarkEnd w:id="207"/>
    <w:p>
      <w:pPr>
        <w:jc w:val="both"/>
        <w:ind w:right="20"/>
        <w:spacing w:after="0" w:line="216" w:lineRule="auto"/>
        <w:rPr>
          <w:sz w:val="20"/>
          <w:szCs w:val="20"/>
          <w:color w:val="auto"/>
        </w:rPr>
      </w:pPr>
      <w:r>
        <w:rPr>
          <w:rFonts w:ascii="Arial" w:cs="Arial" w:eastAsia="Arial" w:hAnsi="Arial"/>
          <w:sz w:val="22"/>
          <w:szCs w:val="22"/>
          <w:color w:val="auto"/>
        </w:rPr>
        <w:t>its business in good working order and condition, ordinary wear and tear excepted and casualty or condemnation excepted, except if the failure to do so would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Inspection Rights</w:t>
      </w:r>
      <w:r>
        <w:rPr>
          <w:rFonts w:ascii="Arial" w:cs="Arial" w:eastAsia="Arial" w:hAnsi="Arial"/>
          <w:sz w:val="19"/>
          <w:szCs w:val="19"/>
          <w:color w:val="auto"/>
        </w:rPr>
        <w:t xml:space="preserve">. The Borrower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Borrower, all at such reasonable times and as often as reasonably requested and in all cases subject to applicable Law and the terms of applicable confidentiality agreements and to the extent the Borrower reasonably determines that such inspection, examination or discussion will not violate or result in the waiver of any attorney-client privilege;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Lenders will conduct such requests for visits and inspections through the Administrative Agent and (ii) unless an Event of Default has occurred and is continuing, such visits and inspections can occur no more frequently than once per year. The Administrative Agent and the Lenders shall give the Borrower the opportunity to participate in any discussions with the Borrower’s independent accountants.</w:t>
      </w:r>
    </w:p>
    <w:p>
      <w:pPr>
        <w:spacing w:after="0" w:line="191" w:lineRule="exact"/>
        <w:rPr>
          <w:sz w:val="20"/>
          <w:szCs w:val="20"/>
          <w:color w:val="auto"/>
        </w:rPr>
      </w:pPr>
    </w:p>
    <w:p>
      <w:pPr>
        <w:jc w:val="both"/>
        <w:ind w:right="40" w:firstLine="648"/>
        <w:spacing w:after="0" w:line="218"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Borrower will, and will cause each of its Subsidiaries to, comply with all laws, rules, regulations and orders of any Governmental Authority applicable to it or its property (including Environmental Laws), except where the failure to do so, individually or in the aggregate, would not reasonably be expected to result in a Material Adverse Effect.</w:t>
      </w:r>
    </w:p>
    <w:p>
      <w:pPr>
        <w:spacing w:after="0" w:line="20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Use of Proceeds and Letters of Credit</w:t>
      </w:r>
      <w:r>
        <w:rPr>
          <w:rFonts w:ascii="Arial" w:cs="Arial" w:eastAsia="Arial" w:hAnsi="Arial"/>
          <w:sz w:val="22"/>
          <w:szCs w:val="22"/>
          <w:color w:val="auto"/>
        </w:rPr>
        <w:t>. The proceeds of Loans and other Credit Events will be used for general lawful corporate purposes of the Borrower and its Subsidiaries. No part of the proceeds of any Loan will be used, whether directly or indirectly, for any purpose that entails a violation of any of the Regulations of the Board, including Regulations T, U and X.</w:t>
      </w:r>
    </w:p>
    <w:p>
      <w:pPr>
        <w:spacing w:after="0" w:line="201"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Guarantees</w:t>
      </w:r>
      <w:r>
        <w:rPr>
          <w:rFonts w:ascii="Arial" w:cs="Arial" w:eastAsia="Arial" w:hAnsi="Arial"/>
          <w:sz w:val="19"/>
          <w:szCs w:val="19"/>
          <w:color w:val="auto"/>
        </w:rPr>
        <w:t>. (i) In the event that any Subsidiary of the Borrower (other than an Excluded Finco or a Receivables Entity) incurs or guarantees (x) any Indebtedness of the Borrower, owed to a Person other than any Subsidiary, in excess of an aggregate principal amount of $500,000,000 for all such Indebtedness of such Subsidiary with respect to the Borrower (such Indebtedness of such Subsidiary with respect to the Borrower, “</w:t>
      </w:r>
      <w:r>
        <w:rPr>
          <w:rFonts w:ascii="Arial" w:cs="Arial" w:eastAsia="Arial" w:hAnsi="Arial"/>
          <w:sz w:val="19"/>
          <w:szCs w:val="19"/>
          <w:u w:val="single" w:color="auto"/>
          <w:color w:val="auto"/>
        </w:rPr>
        <w:t>Triggering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Indebtedness</w:t>
      </w:r>
      <w:r>
        <w:rPr>
          <w:rFonts w:ascii="Arial" w:cs="Arial" w:eastAsia="Arial" w:hAnsi="Arial"/>
          <w:sz w:val="19"/>
          <w:szCs w:val="19"/>
          <w:color w:val="auto"/>
        </w:rPr>
        <w:t>”) or (y) Mylan Notes in excess of an aggregate principal amount of $500,000,000, and (ii) if Finco ceases to be an Excluded Finco and would otherwise satisfy clause (i) above, then, in each case, the Borrower shall cause each such Subsidiary to Guarantee the Obligations in favor of the Administrative Agent for the benefit of the Administrative Agent and the Lenders and shall cause each such Subsidiary to deliver to the Administrative Agent (A) a joinder to this Agreement in or substantially in the form attached as Exhibit F (each such joinder, a “</w:t>
      </w:r>
      <w:r>
        <w:rPr>
          <w:rFonts w:ascii="Arial" w:cs="Arial" w:eastAsia="Arial" w:hAnsi="Arial"/>
          <w:sz w:val="19"/>
          <w:szCs w:val="19"/>
          <w:u w:val="single" w:color="auto"/>
          <w:color w:val="auto"/>
        </w:rPr>
        <w:t>Guarantor Joinder Agreement</w:t>
      </w:r>
      <w:r>
        <w:rPr>
          <w:rFonts w:ascii="Arial" w:cs="Arial" w:eastAsia="Arial" w:hAnsi="Arial"/>
          <w:sz w:val="19"/>
          <w:szCs w:val="19"/>
          <w:color w:val="auto"/>
        </w:rPr>
        <w:t>”) duly executed and delivered by such Subsidiary, (B) all documents and other information reasonably requested by the Lenders in order to allow the Lenders to comply with the Act and the Beneficial Ownership Regulation,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(it being understood that any such guarantee of Indebtedness by such Subsidiary shall be subject to the provisions of Section 6.01 of this Agreement). In the event that (1) the Administrative Agent receives evidence reasonably satisfactory to it that any Guarantor</w:t>
      </w:r>
    </w:p>
    <w:p>
      <w:pPr>
        <w:sectPr>
          <w:pgSz w:w="11900" w:h="16838" w:orient="portrait"/>
          <w:cols w:equalWidth="0" w:num="1">
            <w:col w:w="10440"/>
          </w:cols>
          <w:pgMar w:left="1020" w:top="1347" w:right="439" w:bottom="1440" w:gutter="0" w:footer="0" w:header="0"/>
        </w:sectPr>
      </w:pPr>
    </w:p>
    <w:bookmarkStart w:id="208" w:name="page209"/>
    <w:bookmarkEnd w:id="208"/>
    <w:p>
      <w:pPr>
        <w:jc w:val="both"/>
        <w:spacing w:after="0" w:line="247" w:lineRule="auto"/>
        <w:rPr>
          <w:sz w:val="20"/>
          <w:szCs w:val="20"/>
          <w:color w:val="auto"/>
        </w:rPr>
      </w:pPr>
      <w:r>
        <w:rPr>
          <w:rFonts w:ascii="Arial" w:cs="Arial" w:eastAsia="Arial" w:hAnsi="Arial"/>
          <w:sz w:val="19"/>
          <w:szCs w:val="19"/>
          <w:color w:val="auto"/>
        </w:rPr>
        <w:t>has been or will concurrently be released from, or otherwise not be an issuer or guarantor in respect of, (i) Triggering Indebtedness of such Guarantor and (ii) Mylan Notes in excess of an aggregate principal amount of $500,000,000, or (2) Finco becomes an Excluded Finco, then, in each case, at the request of the Borrower, such Guarantor shall be released from the Guarantee Agreement (and, for the avoidance of doubt, such release shall not require the approval of the Lenders) so long as at the time of and after giving effect to such release and all such concurrent releases, all of such Guarantor’s then outstanding Indebtedness would then be permitted to be incurred at such time under Section 6.01 (treating, for this purpose, all Indebtedness of such Guarantor as being incurred at the time of such release).</w:t>
      </w:r>
    </w:p>
    <w:p>
      <w:pPr>
        <w:spacing w:after="0" w:line="194"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ARTICLE VI</w:t>
      </w:r>
    </w:p>
    <w:p>
      <w:pPr>
        <w:spacing w:after="0" w:line="200"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color w:val="auto"/>
        </w:rPr>
        <w:t>Negative Covenants</w:t>
      </w:r>
    </w:p>
    <w:p>
      <w:pPr>
        <w:spacing w:after="0" w:line="226"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color w:val="auto"/>
        </w:rPr>
        <w:t>Until the Commitments have expired or terminated and the principal of and interest on each Loan and all fees payable hereunder have been paid in full and all Letters of Credit have expired or terminated or been Cash Collateralized on terms satisfactory to the Issuing Banks and all L/C Disbursements shall have been reimbursed, the Borrower covenants and agrees with the Administrative Agent, the Lenders and the Issuing Banks that:</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 will not permit any Subsidiary that is not a Loan Party to create, incur, assume or permit to exist any Indebtedness, except:</w:t>
      </w:r>
    </w:p>
    <w:p>
      <w:pPr>
        <w:spacing w:after="0" w:line="186" w:lineRule="exact"/>
        <w:rPr>
          <w:sz w:val="20"/>
          <w:szCs w:val="20"/>
          <w:color w:val="auto"/>
        </w:rPr>
      </w:pPr>
    </w:p>
    <w:p>
      <w:pPr>
        <w:ind w:left="1900" w:hanging="612"/>
        <w:spacing w:after="0"/>
        <w:tabs>
          <w:tab w:leader="none" w:pos="19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Indebtedness created under the Loan Documents;</w:t>
      </w:r>
    </w:p>
    <w:p>
      <w:pPr>
        <w:spacing w:after="0" w:line="219" w:lineRule="exact"/>
        <w:rPr>
          <w:rFonts w:ascii="Arial" w:cs="Arial" w:eastAsia="Arial" w:hAnsi="Arial"/>
          <w:sz w:val="22"/>
          <w:szCs w:val="22"/>
          <w:color w:val="auto"/>
        </w:rPr>
      </w:pPr>
    </w:p>
    <w:p>
      <w:pPr>
        <w:ind w:right="80" w:firstLine="1288"/>
        <w:spacing w:after="0" w:line="213" w:lineRule="auto"/>
        <w:tabs>
          <w:tab w:leader="none" w:pos="189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Indebtedness existing on the Closing Date and set forth in </w:t>
      </w:r>
      <w:r>
        <w:rPr>
          <w:rFonts w:ascii="Arial" w:cs="Arial" w:eastAsia="Arial" w:hAnsi="Arial"/>
          <w:sz w:val="22"/>
          <w:szCs w:val="22"/>
          <w:u w:val="single" w:color="auto"/>
          <w:color w:val="auto"/>
        </w:rPr>
        <w:t>Schedule 6.01</w:t>
      </w:r>
      <w:r>
        <w:rPr>
          <w:rFonts w:ascii="Arial" w:cs="Arial" w:eastAsia="Arial" w:hAnsi="Arial"/>
          <w:sz w:val="22"/>
          <w:szCs w:val="22"/>
          <w:color w:val="auto"/>
        </w:rPr>
        <w:t xml:space="preserve"> or that could be incurred on the Closing Date pursuant to commitments set forth in </w:t>
      </w:r>
      <w:r>
        <w:rPr>
          <w:rFonts w:ascii="Arial" w:cs="Arial" w:eastAsia="Arial" w:hAnsi="Arial"/>
          <w:sz w:val="22"/>
          <w:szCs w:val="22"/>
          <w:u w:val="single" w:color="auto"/>
          <w:color w:val="auto"/>
        </w:rPr>
        <w:t>Schedule</w:t>
      </w:r>
    </w:p>
    <w:p>
      <w:pPr>
        <w:ind w:right="40"/>
        <w:spacing w:after="0" w:line="224" w:lineRule="auto"/>
        <w:rPr>
          <w:rFonts w:ascii="Arial" w:cs="Arial" w:eastAsia="Arial" w:hAnsi="Arial"/>
          <w:sz w:val="22"/>
          <w:szCs w:val="22"/>
          <w:color w:val="auto"/>
        </w:rPr>
      </w:pPr>
      <w:r>
        <w:rPr>
          <w:rFonts w:ascii="Arial" w:cs="Arial" w:eastAsia="Arial" w:hAnsi="Arial"/>
          <w:sz w:val="22"/>
          <w:szCs w:val="22"/>
          <w:u w:val="single" w:color="auto"/>
          <w:color w:val="auto"/>
        </w:rPr>
        <w:t>6.01</w:t>
      </w:r>
      <w:r>
        <w:rPr>
          <w:rFonts w:ascii="Arial" w:cs="Arial" w:eastAsia="Arial" w:hAnsi="Arial"/>
          <w:sz w:val="22"/>
          <w:szCs w:val="22"/>
          <w:color w:val="auto"/>
        </w:rPr>
        <w:t xml:space="preserve"> or as contemplated in </w:t>
      </w:r>
      <w:r>
        <w:rPr>
          <w:rFonts w:ascii="Arial" w:cs="Arial" w:eastAsia="Arial" w:hAnsi="Arial"/>
          <w:sz w:val="22"/>
          <w:szCs w:val="22"/>
          <w:u w:val="single" w:color="auto"/>
          <w:color w:val="auto"/>
        </w:rPr>
        <w:t>Schedule 6.01</w:t>
      </w:r>
      <w:r>
        <w:rPr>
          <w:rFonts w:ascii="Arial" w:cs="Arial" w:eastAsia="Arial" w:hAnsi="Arial"/>
          <w:sz w:val="22"/>
          <w:szCs w:val="22"/>
          <w:color w:val="auto"/>
        </w:rPr>
        <w:t xml:space="preserve"> and Permitted Refinancing Indebtedness in respect of Indebtedness permitted by this clause (b);</w:t>
      </w:r>
    </w:p>
    <w:p>
      <w:pPr>
        <w:sectPr>
          <w:pgSz w:w="11900" w:h="16838" w:orient="portrait"/>
          <w:cols w:equalWidth="0" w:num="1">
            <w:col w:w="10420"/>
          </w:cols>
          <w:pgMar w:left="1020" w:top="1347" w:right="459" w:bottom="1440" w:gutter="0" w:footer="0" w:header="0"/>
        </w:sectPr>
      </w:pPr>
    </w:p>
    <w:bookmarkStart w:id="209" w:name="page210"/>
    <w:bookmarkEnd w:id="209"/>
    <w:p>
      <w:pPr>
        <w:jc w:val="both"/>
        <w:ind w:left="8" w:right="20" w:firstLine="1288"/>
        <w:spacing w:after="0" w:line="223" w:lineRule="auto"/>
        <w:tabs>
          <w:tab w:leader="none" w:pos="1908" w:val="left"/>
        </w:tabs>
        <w:numPr>
          <w:ilvl w:val="1"/>
          <w:numId w:val="225"/>
        </w:numPr>
        <w:rPr>
          <w:rFonts w:ascii="Arial" w:cs="Arial" w:eastAsia="Arial" w:hAnsi="Arial"/>
          <w:sz w:val="22"/>
          <w:szCs w:val="22"/>
          <w:color w:val="auto"/>
        </w:rPr>
      </w:pPr>
      <w:r>
        <w:rPr>
          <w:rFonts w:ascii="Arial" w:cs="Arial" w:eastAsia="Arial" w:hAnsi="Arial"/>
          <w:sz w:val="22"/>
          <w:szCs w:val="22"/>
          <w:color w:val="auto"/>
        </w:rPr>
        <w:t>(i) Indebtedness of any Subsidiary that is not a Loan Party owing to (x) a Loan Party or (y) any other Subsidiary; and (ii) Guarantees of Indebtedness of any Loan Party or any Subsidiary by any other Subsidiary, to the extent such Indebtedness is otherwise permitted under this Agreement;</w:t>
      </w:r>
    </w:p>
    <w:p>
      <w:pPr>
        <w:spacing w:after="0" w:line="199" w:lineRule="exact"/>
        <w:rPr>
          <w:rFonts w:ascii="Arial" w:cs="Arial" w:eastAsia="Arial" w:hAnsi="Arial"/>
          <w:sz w:val="22"/>
          <w:szCs w:val="22"/>
          <w:color w:val="auto"/>
        </w:rPr>
      </w:pPr>
    </w:p>
    <w:p>
      <w:pPr>
        <w:jc w:val="both"/>
        <w:ind w:left="8" w:right="20" w:firstLine="1288"/>
        <w:spacing w:after="0" w:line="217" w:lineRule="auto"/>
        <w:tabs>
          <w:tab w:leader="none" w:pos="1907" w:val="left"/>
        </w:tabs>
        <w:numPr>
          <w:ilvl w:val="1"/>
          <w:numId w:val="225"/>
        </w:numPr>
        <w:rPr>
          <w:rFonts w:ascii="Arial" w:cs="Arial" w:eastAsia="Arial" w:hAnsi="Arial"/>
          <w:sz w:val="21"/>
          <w:szCs w:val="21"/>
          <w:color w:val="auto"/>
        </w:rPr>
      </w:pPr>
      <w:r>
        <w:rPr>
          <w:rFonts w:ascii="Arial" w:cs="Arial" w:eastAsia="Arial" w:hAnsi="Arial"/>
          <w:sz w:val="21"/>
          <w:szCs w:val="21"/>
          <w:color w:val="auto"/>
        </w:rPr>
        <w:t xml:space="preserve">(i) Indebtedness incurred to finance the acquisition, construction, repair, replacement or improvement of any fixed or capital assets, including Capital Lease Obligations and any Indebtedness assumed in connection with the acquisition of any such assets or secured by a Lien on any such assets prior to the acquisition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Indebtedness is incurred prior to or within two hundred seventy (270) days after such acquisition or the completion of such construction, repair, replacement or improvement and (B) the aggregate principal amount of Indebtedness permitted by this clause (d) shall not exceed the greater of</w:t>
      </w:r>
    </w:p>
    <w:p>
      <w:pPr>
        <w:spacing w:after="0" w:line="3" w:lineRule="exact"/>
        <w:rPr>
          <w:rFonts w:ascii="Arial" w:cs="Arial" w:eastAsia="Arial" w:hAnsi="Arial"/>
          <w:sz w:val="21"/>
          <w:szCs w:val="21"/>
          <w:color w:val="auto"/>
        </w:rPr>
      </w:pPr>
    </w:p>
    <w:p>
      <w:pPr>
        <w:jc w:val="both"/>
        <w:ind w:left="8" w:right="20" w:hanging="8"/>
        <w:spacing w:after="0" w:line="214" w:lineRule="auto"/>
        <w:tabs>
          <w:tab w:leader="none" w:pos="335" w:val="left"/>
        </w:tabs>
        <w:numPr>
          <w:ilvl w:val="0"/>
          <w:numId w:val="226"/>
        </w:numPr>
        <w:rPr>
          <w:rFonts w:ascii="Arial" w:cs="Arial" w:eastAsia="Arial" w:hAnsi="Arial"/>
          <w:sz w:val="22"/>
          <w:szCs w:val="22"/>
          <w:color w:val="auto"/>
        </w:rPr>
      </w:pPr>
      <w:r>
        <w:rPr>
          <w:rFonts w:ascii="Arial" w:cs="Arial" w:eastAsia="Arial" w:hAnsi="Arial"/>
          <w:sz w:val="22"/>
          <w:szCs w:val="22"/>
          <w:color w:val="auto"/>
        </w:rPr>
        <w:t>$375,000,000 and (y) 1.05% of Consolidated Total Assets, determined as of the last day of the most recent fiscal quarter prior to the date such Indebtedness is incurred for which financial statements have been delivered pursuant to Section 5.01(a) or (b) and (ii) any Permitted Refinancing Indebtedness in respect of Indebtedness permitted by clause (i) of this clause (d);</w:t>
      </w:r>
    </w:p>
    <w:p>
      <w:pPr>
        <w:spacing w:after="0" w:line="186" w:lineRule="exact"/>
        <w:rPr>
          <w:rFonts w:ascii="Arial" w:cs="Arial" w:eastAsia="Arial" w:hAnsi="Arial"/>
          <w:sz w:val="22"/>
          <w:szCs w:val="22"/>
          <w:color w:val="auto"/>
        </w:rPr>
      </w:pPr>
    </w:p>
    <w:p>
      <w:pPr>
        <w:jc w:val="both"/>
        <w:ind w:left="8" w:firstLine="1288"/>
        <w:spacing w:after="0" w:line="214" w:lineRule="auto"/>
        <w:tabs>
          <w:tab w:leader="none" w:pos="1908" w:val="left"/>
        </w:tabs>
        <w:numPr>
          <w:ilvl w:val="1"/>
          <w:numId w:val="226"/>
        </w:numPr>
        <w:rPr>
          <w:rFonts w:ascii="Arial" w:cs="Arial" w:eastAsia="Arial" w:hAnsi="Arial"/>
          <w:sz w:val="22"/>
          <w:szCs w:val="22"/>
          <w:color w:val="auto"/>
        </w:rPr>
      </w:pPr>
      <w:r>
        <w:rPr>
          <w:rFonts w:ascii="Arial" w:cs="Arial" w:eastAsia="Arial" w:hAnsi="Arial"/>
          <w:sz w:val="22"/>
          <w:szCs w:val="22"/>
          <w:color w:val="auto"/>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99" w:lineRule="exact"/>
        <w:rPr>
          <w:rFonts w:ascii="Arial" w:cs="Arial" w:eastAsia="Arial" w:hAnsi="Arial"/>
          <w:sz w:val="22"/>
          <w:szCs w:val="22"/>
          <w:color w:val="auto"/>
        </w:rPr>
      </w:pPr>
    </w:p>
    <w:p>
      <w:pPr>
        <w:jc w:val="both"/>
        <w:ind w:left="8" w:right="20" w:firstLine="1288"/>
        <w:spacing w:after="0" w:line="234" w:lineRule="auto"/>
        <w:tabs>
          <w:tab w:leader="none" w:pos="1912" w:val="left"/>
        </w:tabs>
        <w:numPr>
          <w:ilvl w:val="1"/>
          <w:numId w:val="226"/>
        </w:numPr>
        <w:rPr>
          <w:rFonts w:ascii="Arial" w:cs="Arial" w:eastAsia="Arial" w:hAnsi="Arial"/>
          <w:sz w:val="21"/>
          <w:szCs w:val="21"/>
          <w:color w:val="auto"/>
        </w:rPr>
      </w:pPr>
      <w:r>
        <w:rPr>
          <w:rFonts w:ascii="Arial" w:cs="Arial" w:eastAsia="Arial" w:hAnsi="Arial"/>
          <w:sz w:val="21"/>
          <w:szCs w:val="21"/>
          <w:color w:val="auto"/>
        </w:rPr>
        <w:t xml:space="preserve">Indebtedness incurred pursuant to Permitted Receivables Facilities;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Attributable Receivables Indebtedness thereunder shall not exceed at any time outstanding (x) $750,000,000, in the case of all Domestic Subsidiaries and (y) $750,000,000, in the case of all other Subsidiaries;</w:t>
      </w:r>
    </w:p>
    <w:p>
      <w:pPr>
        <w:spacing w:after="0" w:line="198" w:lineRule="exact"/>
        <w:rPr>
          <w:rFonts w:ascii="Arial" w:cs="Arial" w:eastAsia="Arial" w:hAnsi="Arial"/>
          <w:sz w:val="21"/>
          <w:szCs w:val="21"/>
          <w:color w:val="auto"/>
        </w:rPr>
      </w:pPr>
    </w:p>
    <w:p>
      <w:pPr>
        <w:ind w:left="1908" w:hanging="612"/>
        <w:spacing w:after="0"/>
        <w:tabs>
          <w:tab w:leader="none" w:pos="1908" w:val="left"/>
        </w:tabs>
        <w:numPr>
          <w:ilvl w:val="1"/>
          <w:numId w:val="226"/>
        </w:numPr>
        <w:rPr>
          <w:rFonts w:ascii="Arial" w:cs="Arial" w:eastAsia="Arial" w:hAnsi="Arial"/>
          <w:sz w:val="19"/>
          <w:szCs w:val="19"/>
          <w:color w:val="auto"/>
        </w:rPr>
      </w:pPr>
      <w:r>
        <w:rPr>
          <w:rFonts w:ascii="Arial" w:cs="Arial" w:eastAsia="Arial" w:hAnsi="Arial"/>
          <w:sz w:val="19"/>
          <w:szCs w:val="19"/>
          <w:color w:val="auto"/>
        </w:rPr>
        <w:t>Indebtedness under Swap Agreements entered into in the ordinary course of business and not for</w:t>
      </w:r>
    </w:p>
    <w:p>
      <w:pPr>
        <w:spacing w:after="0" w:line="15" w:lineRule="exact"/>
        <w:rPr>
          <w:rFonts w:ascii="Arial" w:cs="Arial" w:eastAsia="Arial" w:hAnsi="Arial"/>
          <w:sz w:val="19"/>
          <w:szCs w:val="19"/>
          <w:color w:val="auto"/>
        </w:rPr>
      </w:pPr>
    </w:p>
    <w:p>
      <w:pPr>
        <w:ind w:left="8"/>
        <w:spacing w:after="0"/>
        <w:rPr>
          <w:rFonts w:ascii="Arial" w:cs="Arial" w:eastAsia="Arial" w:hAnsi="Arial"/>
          <w:sz w:val="19"/>
          <w:szCs w:val="19"/>
          <w:color w:val="auto"/>
        </w:rPr>
      </w:pPr>
      <w:r>
        <w:rPr>
          <w:rFonts w:ascii="Arial" w:cs="Arial" w:eastAsia="Arial" w:hAnsi="Arial"/>
          <w:sz w:val="22"/>
          <w:szCs w:val="22"/>
          <w:color w:val="auto"/>
        </w:rPr>
        <w:t>speculative purposes;</w:t>
      </w:r>
    </w:p>
    <w:p>
      <w:pPr>
        <w:spacing w:after="0" w:line="188" w:lineRule="exact"/>
        <w:rPr>
          <w:rFonts w:ascii="Arial" w:cs="Arial" w:eastAsia="Arial" w:hAnsi="Arial"/>
          <w:sz w:val="19"/>
          <w:szCs w:val="19"/>
          <w:color w:val="auto"/>
        </w:rPr>
      </w:pPr>
    </w:p>
    <w:p>
      <w:pPr>
        <w:jc w:val="both"/>
        <w:ind w:left="8" w:firstLine="1288"/>
        <w:spacing w:after="0" w:line="257" w:lineRule="auto"/>
        <w:tabs>
          <w:tab w:leader="none" w:pos="1907" w:val="left"/>
        </w:tabs>
        <w:numPr>
          <w:ilvl w:val="1"/>
          <w:numId w:val="226"/>
        </w:numPr>
        <w:rPr>
          <w:rFonts w:ascii="Arial" w:cs="Arial" w:eastAsia="Arial" w:hAnsi="Arial"/>
          <w:sz w:val="19"/>
          <w:szCs w:val="19"/>
          <w:color w:val="auto"/>
        </w:rPr>
      </w:pPr>
      <w:r>
        <w:rPr>
          <w:rFonts w:ascii="Arial" w:cs="Arial" w:eastAsia="Arial" w:hAnsi="Arial"/>
          <w:sz w:val="19"/>
          <w:szCs w:val="19"/>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84" w:lineRule="exact"/>
        <w:rPr>
          <w:rFonts w:ascii="Arial" w:cs="Arial" w:eastAsia="Arial" w:hAnsi="Arial"/>
          <w:sz w:val="19"/>
          <w:szCs w:val="19"/>
          <w:color w:val="auto"/>
        </w:rPr>
      </w:pPr>
    </w:p>
    <w:p>
      <w:pPr>
        <w:ind w:left="8" w:right="40" w:firstLine="1288"/>
        <w:spacing w:after="0" w:line="232" w:lineRule="auto"/>
        <w:tabs>
          <w:tab w:leader="none" w:pos="1913" w:val="left"/>
        </w:tabs>
        <w:numPr>
          <w:ilvl w:val="1"/>
          <w:numId w:val="226"/>
        </w:numPr>
        <w:rPr>
          <w:rFonts w:ascii="Arial" w:cs="Arial" w:eastAsia="Arial" w:hAnsi="Arial"/>
          <w:sz w:val="22"/>
          <w:szCs w:val="22"/>
          <w:color w:val="auto"/>
        </w:rPr>
      </w:pPr>
      <w:r>
        <w:rPr>
          <w:rFonts w:ascii="Arial" w:cs="Arial" w:eastAsia="Arial" w:hAnsi="Arial"/>
          <w:sz w:val="22"/>
          <w:szCs w:val="22"/>
          <w:color w:val="auto"/>
        </w:rPr>
        <w:t>Indebtedness in respect of judgments, decrees, attachments or awards that do not constitute an Event of Default under clause (k) of Article VII;</w:t>
      </w:r>
    </w:p>
    <w:p>
      <w:pPr>
        <w:spacing w:after="0" w:line="185" w:lineRule="exact"/>
        <w:rPr>
          <w:rFonts w:ascii="Arial" w:cs="Arial" w:eastAsia="Arial" w:hAnsi="Arial"/>
          <w:sz w:val="22"/>
          <w:szCs w:val="22"/>
          <w:color w:val="auto"/>
        </w:rPr>
      </w:pPr>
    </w:p>
    <w:p>
      <w:pPr>
        <w:jc w:val="both"/>
        <w:ind w:left="8" w:right="20" w:firstLine="1288"/>
        <w:spacing w:after="0" w:line="223" w:lineRule="auto"/>
        <w:tabs>
          <w:tab w:leader="none" w:pos="1913" w:val="left"/>
        </w:tabs>
        <w:numPr>
          <w:ilvl w:val="1"/>
          <w:numId w:val="226"/>
        </w:numPr>
        <w:rPr>
          <w:rFonts w:ascii="Arial" w:cs="Arial" w:eastAsia="Arial" w:hAnsi="Arial"/>
          <w:sz w:val="22"/>
          <w:szCs w:val="22"/>
          <w:color w:val="auto"/>
        </w:rPr>
      </w:pPr>
      <w:r>
        <w:rPr>
          <w:rFonts w:ascii="Arial" w:cs="Arial" w:eastAsia="Arial" w:hAnsi="Arial"/>
          <w:sz w:val="22"/>
          <w:szCs w:val="22"/>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ectPr>
          <w:pgSz w:w="11900" w:h="16838" w:orient="portrait"/>
          <w:cols w:equalWidth="0" w:num="1">
            <w:col w:w="10448"/>
          </w:cols>
          <w:pgMar w:left="1012" w:top="1401" w:right="439" w:bottom="1440" w:gutter="0" w:footer="0" w:header="0"/>
        </w:sectPr>
      </w:pPr>
    </w:p>
    <w:bookmarkStart w:id="210" w:name="page211"/>
    <w:bookmarkEnd w:id="210"/>
    <w:p>
      <w:pPr>
        <w:jc w:val="both"/>
        <w:ind w:firstLine="1288"/>
        <w:spacing w:after="0" w:line="257" w:lineRule="auto"/>
        <w:tabs>
          <w:tab w:leader="none" w:pos="1899" w:val="left"/>
        </w:tabs>
        <w:numPr>
          <w:ilvl w:val="0"/>
          <w:numId w:val="227"/>
        </w:numPr>
        <w:rPr>
          <w:rFonts w:ascii="Arial" w:cs="Arial" w:eastAsia="Arial" w:hAnsi="Arial"/>
          <w:sz w:val="19"/>
          <w:szCs w:val="19"/>
          <w:color w:val="auto"/>
        </w:rPr>
      </w:pPr>
      <w:r>
        <w:rPr>
          <w:rFonts w:ascii="Arial" w:cs="Arial" w:eastAsia="Arial" w:hAnsi="Arial"/>
          <w:sz w:val="19"/>
          <w:szCs w:val="19"/>
          <w:color w:val="auto"/>
        </w:rPr>
        <w:t>Indebtedness in respect of letters of credit denominated in currencies other than Dollars in an aggregate amount outstanding not to exceed the greater of the foreign currency equivalent of (x) $325,000,000 and (y) 0.85% of Consolidated Total Assets, determined as of the last day of the most recent fiscal quarter prior to the date such Indebtedness is incurred for which financial statements have been delivered pursuant to Section 5.01(a) or (b);</w:t>
      </w:r>
    </w:p>
    <w:p>
      <w:pPr>
        <w:spacing w:after="0" w:line="184" w:lineRule="exact"/>
        <w:rPr>
          <w:rFonts w:ascii="Arial" w:cs="Arial" w:eastAsia="Arial" w:hAnsi="Arial"/>
          <w:sz w:val="19"/>
          <w:szCs w:val="19"/>
          <w:color w:val="auto"/>
        </w:rPr>
      </w:pPr>
    </w:p>
    <w:p>
      <w:pPr>
        <w:ind w:right="40" w:firstLine="1288"/>
        <w:spacing w:after="0" w:line="232" w:lineRule="auto"/>
        <w:tabs>
          <w:tab w:leader="none" w:pos="1905" w:val="left"/>
        </w:tabs>
        <w:numPr>
          <w:ilvl w:val="0"/>
          <w:numId w:val="227"/>
        </w:numPr>
        <w:rPr>
          <w:rFonts w:ascii="Arial" w:cs="Arial" w:eastAsia="Arial" w:hAnsi="Arial"/>
          <w:sz w:val="22"/>
          <w:szCs w:val="22"/>
          <w:color w:val="auto"/>
        </w:rPr>
      </w:pPr>
      <w:r>
        <w:rPr>
          <w:rFonts w:ascii="Arial" w:cs="Arial" w:eastAsia="Arial" w:hAnsi="Arial"/>
          <w:sz w:val="22"/>
          <w:szCs w:val="22"/>
          <w:color w:val="auto"/>
        </w:rPr>
        <w:t>Indebtedness in respect of card obligations, netting services, overdraft protections and similar arrangements in each case in connection with deposit accounts;</w:t>
      </w:r>
    </w:p>
    <w:p>
      <w:pPr>
        <w:spacing w:after="0" w:line="185" w:lineRule="exact"/>
        <w:rPr>
          <w:rFonts w:ascii="Arial" w:cs="Arial" w:eastAsia="Arial" w:hAnsi="Arial"/>
          <w:sz w:val="22"/>
          <w:szCs w:val="22"/>
          <w:color w:val="auto"/>
        </w:rPr>
      </w:pPr>
    </w:p>
    <w:p>
      <w:pPr>
        <w:jc w:val="both"/>
        <w:ind w:right="40" w:firstLine="1288"/>
        <w:spacing w:after="0" w:line="223" w:lineRule="auto"/>
        <w:tabs>
          <w:tab w:leader="none" w:pos="1905" w:val="left"/>
        </w:tabs>
        <w:numPr>
          <w:ilvl w:val="0"/>
          <w:numId w:val="227"/>
        </w:numPr>
        <w:rPr>
          <w:rFonts w:ascii="Arial" w:cs="Arial" w:eastAsia="Arial" w:hAnsi="Arial"/>
          <w:sz w:val="22"/>
          <w:szCs w:val="22"/>
          <w:color w:val="auto"/>
        </w:rPr>
      </w:pPr>
      <w:r>
        <w:rPr>
          <w:rFonts w:ascii="Arial" w:cs="Arial" w:eastAsia="Arial" w:hAnsi="Arial"/>
          <w:sz w:val="22"/>
          <w:szCs w:val="22"/>
          <w:color w:val="auto"/>
        </w:rPr>
        <w:t>Indebtedness consisting of (x) the financing of insurance premiums with the providers of such insurance or their affiliates or (y) take-or-pay obligations contained in supply arrangements, in each case, in the ordinary course of business;</w:t>
      </w:r>
    </w:p>
    <w:p>
      <w:pPr>
        <w:spacing w:after="0" w:line="199" w:lineRule="exact"/>
        <w:rPr>
          <w:rFonts w:ascii="Arial" w:cs="Arial" w:eastAsia="Arial" w:hAnsi="Arial"/>
          <w:sz w:val="22"/>
          <w:szCs w:val="22"/>
          <w:color w:val="auto"/>
        </w:rPr>
      </w:pPr>
    </w:p>
    <w:p>
      <w:pPr>
        <w:ind w:left="1940" w:hanging="652"/>
        <w:spacing w:after="0"/>
        <w:tabs>
          <w:tab w:leader="none" w:pos="194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Foreign Jurisdiction Deposits;</w:t>
      </w:r>
    </w:p>
    <w:p>
      <w:pPr>
        <w:spacing w:after="0" w:line="219" w:lineRule="exact"/>
        <w:rPr>
          <w:rFonts w:ascii="Arial" w:cs="Arial" w:eastAsia="Arial" w:hAnsi="Arial"/>
          <w:sz w:val="22"/>
          <w:szCs w:val="22"/>
          <w:color w:val="auto"/>
        </w:rPr>
      </w:pPr>
    </w:p>
    <w:p>
      <w:pPr>
        <w:jc w:val="both"/>
        <w:ind w:right="20" w:firstLine="1288"/>
        <w:spacing w:after="0" w:line="247" w:lineRule="auto"/>
        <w:tabs>
          <w:tab w:leader="none" w:pos="1899" w:val="left"/>
        </w:tabs>
        <w:numPr>
          <w:ilvl w:val="0"/>
          <w:numId w:val="227"/>
        </w:numPr>
        <w:rPr>
          <w:rFonts w:ascii="Arial" w:cs="Arial" w:eastAsia="Arial" w:hAnsi="Arial"/>
          <w:sz w:val="19"/>
          <w:szCs w:val="19"/>
          <w:color w:val="auto"/>
        </w:rPr>
      </w:pPr>
      <w:r>
        <w:rPr>
          <w:rFonts w:ascii="Arial" w:cs="Arial" w:eastAsia="Arial" w:hAnsi="Arial"/>
          <w:sz w:val="19"/>
          <w:szCs w:val="19"/>
          <w:color w:val="auto"/>
        </w:rPr>
        <w:t>(i) so long as the Borrower is in compliance with Section 6.07 on a Pro Forma Basis as of the last day of the most recently completed Test Period (for which financial statements have been delivered pursuant to Section 5.01(a) or (b)), other Indebtedness in an aggregate amount, when aggregated with the amount of Indebtedness of the Loan Parties secured by Liens pursuant to Section 6.02(r), not to exceed the greater of (x) $2,750,000,000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80" w:lineRule="exact"/>
        <w:rPr>
          <w:rFonts w:ascii="Arial" w:cs="Arial" w:eastAsia="Arial" w:hAnsi="Arial"/>
          <w:sz w:val="19"/>
          <w:szCs w:val="19"/>
          <w:color w:val="auto"/>
        </w:rPr>
      </w:pPr>
    </w:p>
    <w:p>
      <w:pPr>
        <w:jc w:val="both"/>
        <w:ind w:right="40" w:firstLine="1288"/>
        <w:spacing w:after="0" w:line="226" w:lineRule="auto"/>
        <w:tabs>
          <w:tab w:leader="none" w:pos="1899" w:val="left"/>
        </w:tabs>
        <w:numPr>
          <w:ilvl w:val="0"/>
          <w:numId w:val="227"/>
        </w:numPr>
        <w:rPr>
          <w:rFonts w:ascii="Arial" w:cs="Arial" w:eastAsia="Arial" w:hAnsi="Arial"/>
          <w:sz w:val="21"/>
          <w:szCs w:val="21"/>
          <w:color w:val="auto"/>
        </w:rPr>
      </w:pPr>
      <w:r>
        <w:rPr>
          <w:rFonts w:ascii="Arial" w:cs="Arial" w:eastAsia="Arial" w:hAnsi="Arial"/>
          <w:sz w:val="21"/>
          <w:szCs w:val="21"/>
          <w:color w:val="auto"/>
        </w:rPr>
        <w:t xml:space="preserve">(i) Indebtedness of a Person existing at the time such Person becomes a Subsidiary and not created in contemplation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after giving effect to the acquisition of such Person, on a Pro Forma Basis, the Borrower would be in compliance with Section 6.07 as of the last day of the most recent fiscal year or fiscal quarter for which financial statements have been delivered pursuant to Section 5.01(a) or 5.01(b) and (ii) any Permitted Refinancing Indebtedness in respect of Indebtedness permitted by this clause (p);</w:t>
      </w:r>
    </w:p>
    <w:p>
      <w:pPr>
        <w:spacing w:after="0" w:line="199" w:lineRule="exact"/>
        <w:rPr>
          <w:rFonts w:ascii="Arial" w:cs="Arial" w:eastAsia="Arial" w:hAnsi="Arial"/>
          <w:sz w:val="21"/>
          <w:szCs w:val="21"/>
          <w:color w:val="auto"/>
        </w:rPr>
      </w:pPr>
    </w:p>
    <w:p>
      <w:pPr>
        <w:ind w:right="40" w:firstLine="1288"/>
        <w:spacing w:after="0" w:line="232" w:lineRule="auto"/>
        <w:tabs>
          <w:tab w:leader="none" w:pos="1899" w:val="left"/>
        </w:tabs>
        <w:numPr>
          <w:ilvl w:val="0"/>
          <w:numId w:val="227"/>
        </w:numPr>
        <w:rPr>
          <w:rFonts w:ascii="Arial" w:cs="Arial" w:eastAsia="Arial" w:hAnsi="Arial"/>
          <w:sz w:val="22"/>
          <w:szCs w:val="22"/>
          <w:color w:val="auto"/>
        </w:rPr>
      </w:pPr>
      <w:r>
        <w:rPr>
          <w:rFonts w:ascii="Arial" w:cs="Arial" w:eastAsia="Arial" w:hAnsi="Arial"/>
          <w:sz w:val="22"/>
          <w:szCs w:val="22"/>
          <w:color w:val="auto"/>
        </w:rPr>
        <w:t>Indebtedness supported by a Letter of Credit, in a principal amount not to exceed the face amount of such Letter of Credit;</w:t>
      </w:r>
    </w:p>
    <w:p>
      <w:pPr>
        <w:spacing w:after="0" w:line="185" w:lineRule="exact"/>
        <w:rPr>
          <w:rFonts w:ascii="Arial" w:cs="Arial" w:eastAsia="Arial" w:hAnsi="Arial"/>
          <w:sz w:val="22"/>
          <w:szCs w:val="22"/>
          <w:color w:val="auto"/>
        </w:rPr>
      </w:pPr>
    </w:p>
    <w:p>
      <w:pPr>
        <w:ind w:left="1940" w:hanging="652"/>
        <w:spacing w:after="0"/>
        <w:tabs>
          <w:tab w:leader="none" w:pos="194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Indebtedness in respect of Investments permitted by Section 6.05(q);</w:t>
      </w:r>
    </w:p>
    <w:p>
      <w:pPr>
        <w:spacing w:after="0" w:line="219" w:lineRule="exact"/>
        <w:rPr>
          <w:rFonts w:ascii="Arial" w:cs="Arial" w:eastAsia="Arial" w:hAnsi="Arial"/>
          <w:sz w:val="22"/>
          <w:szCs w:val="22"/>
          <w:color w:val="auto"/>
        </w:rPr>
      </w:pPr>
    </w:p>
    <w:p>
      <w:pPr>
        <w:ind w:right="40" w:firstLine="1288"/>
        <w:spacing w:after="0" w:line="232" w:lineRule="auto"/>
        <w:tabs>
          <w:tab w:leader="none" w:pos="1902"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all premiums (if any), interest (including post-petition interest), fees, expenses, charges and additional or contingent interest on obligations described in clauses (a) through (r) above; and</w:t>
      </w:r>
    </w:p>
    <w:p>
      <w:pPr>
        <w:spacing w:after="0" w:line="199" w:lineRule="exact"/>
        <w:rPr>
          <w:rFonts w:ascii="Arial" w:cs="Arial" w:eastAsia="Arial" w:hAnsi="Arial"/>
          <w:sz w:val="22"/>
          <w:szCs w:val="22"/>
          <w:color w:val="auto"/>
        </w:rPr>
      </w:pPr>
    </w:p>
    <w:p>
      <w:pPr>
        <w:ind w:left="1920" w:hanging="632"/>
        <w:spacing w:after="0"/>
        <w:tabs>
          <w:tab w:leader="none" w:pos="192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Indebtedness of the Excluded Finco.</w:t>
      </w:r>
    </w:p>
    <w:p>
      <w:pPr>
        <w:spacing w:after="0" w:line="206"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and will not permit any Subsidiary to, create, incur, assume or permit to exist any Lien on any Property now owned or hereafter acquired by it, except:</w:t>
      </w:r>
    </w:p>
    <w:p>
      <w:pPr>
        <w:spacing w:after="0" w:line="240" w:lineRule="exact"/>
        <w:rPr>
          <w:sz w:val="20"/>
          <w:szCs w:val="20"/>
          <w:color w:val="auto"/>
        </w:rPr>
      </w:pPr>
    </w:p>
    <w:p>
      <w:pPr>
        <w:ind w:left="1900" w:hanging="612"/>
        <w:spacing w:after="0"/>
        <w:tabs>
          <w:tab w:leader="none" w:pos="190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19" w:lineRule="exact"/>
        <w:rPr>
          <w:rFonts w:ascii="Arial" w:cs="Arial" w:eastAsia="Arial" w:hAnsi="Arial"/>
          <w:sz w:val="22"/>
          <w:szCs w:val="22"/>
          <w:color w:val="auto"/>
        </w:rPr>
      </w:pPr>
    </w:p>
    <w:p>
      <w:pPr>
        <w:jc w:val="both"/>
        <w:ind w:firstLine="1288"/>
        <w:spacing w:after="0" w:line="252" w:lineRule="auto"/>
        <w:tabs>
          <w:tab w:leader="none" w:pos="1899"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any Lien on any Property of the Borrower or any Subsidiary existing on the Closing Date and set forth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and any modifications, replacements, renewals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Property of the Borrower or any other Subsidiary other than (A) improvements and after-acquired Property that is affixed or incorporated into the Property covered by such Lien or financed by Indebtedness permitted under Section 6.01, and (B) proceeds and products thereof, and (ii) such Lien shall</w:t>
      </w:r>
    </w:p>
    <w:p>
      <w:pPr>
        <w:sectPr>
          <w:pgSz w:w="11900" w:h="16838" w:orient="portrait"/>
          <w:cols w:equalWidth="0" w:num="1">
            <w:col w:w="10440"/>
          </w:cols>
          <w:pgMar w:left="1020" w:top="1401" w:right="439" w:bottom="1440" w:gutter="0" w:footer="0" w:header="0"/>
        </w:sectPr>
      </w:pPr>
    </w:p>
    <w:bookmarkStart w:id="211" w:name="page212"/>
    <w:bookmarkEnd w:id="211"/>
    <w:p>
      <w:pPr>
        <w:spacing w:after="0" w:line="232" w:lineRule="auto"/>
        <w:rPr>
          <w:sz w:val="20"/>
          <w:szCs w:val="20"/>
          <w:color w:val="auto"/>
        </w:rPr>
      </w:pPr>
      <w:r>
        <w:rPr>
          <w:rFonts w:ascii="Arial" w:cs="Arial" w:eastAsia="Arial" w:hAnsi="Arial"/>
          <w:sz w:val="22"/>
          <w:szCs w:val="22"/>
          <w:color w:val="auto"/>
        </w:rPr>
        <w:t>secure only those obligations which it secures on the Closing Date and any Permitted Refinancing Indebtedness in respect thereof;</w:t>
      </w:r>
    </w:p>
    <w:p>
      <w:pPr>
        <w:spacing w:after="0" w:line="199" w:lineRule="exact"/>
        <w:rPr>
          <w:sz w:val="20"/>
          <w:szCs w:val="20"/>
          <w:color w:val="auto"/>
        </w:rPr>
      </w:pPr>
    </w:p>
    <w:p>
      <w:pPr>
        <w:jc w:val="both"/>
        <w:ind w:right="40" w:firstLine="1288"/>
        <w:spacing w:after="0" w:line="221" w:lineRule="auto"/>
        <w:tabs>
          <w:tab w:leader="none" w:pos="1900" w:val="left"/>
        </w:tabs>
        <w:numPr>
          <w:ilvl w:val="0"/>
          <w:numId w:val="229"/>
        </w:numPr>
        <w:rPr>
          <w:rFonts w:ascii="Arial" w:cs="Arial" w:eastAsia="Arial" w:hAnsi="Arial"/>
          <w:sz w:val="21"/>
          <w:szCs w:val="21"/>
          <w:color w:val="auto"/>
        </w:rPr>
      </w:pPr>
      <w:r>
        <w:rPr>
          <w:rFonts w:ascii="Arial" w:cs="Arial" w:eastAsia="Arial" w:hAnsi="Arial"/>
          <w:sz w:val="21"/>
          <w:szCs w:val="21"/>
          <w:color w:val="auto"/>
        </w:rPr>
        <w:t xml:space="preserve">any Lien existing on any Property prior to the acquisition thereof by the Borrower or any Subsidiary or existing on any Property of any Person that becomes a Subsidiary after the Closing Date prior to the time such Person becomes a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 is not created in contemplation of or in connection with such acquisition or such Person becoming a Subsidiary, as the case may be, (ii) such Lien shall not apply to any other Property of the Borrower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spacing w:after="0" w:line="185" w:lineRule="exact"/>
        <w:rPr>
          <w:rFonts w:ascii="Arial" w:cs="Arial" w:eastAsia="Arial" w:hAnsi="Arial"/>
          <w:sz w:val="21"/>
          <w:szCs w:val="21"/>
          <w:color w:val="auto"/>
        </w:rPr>
      </w:pPr>
    </w:p>
    <w:p>
      <w:pPr>
        <w:jc w:val="both"/>
        <w:ind w:right="20" w:firstLine="1288"/>
        <w:spacing w:after="0" w:line="242" w:lineRule="auto"/>
        <w:tabs>
          <w:tab w:leader="none" w:pos="1899"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(i) Liens on fixed or capital assets acquired, constructed, repaired, replaced or improved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security interests secure Indebtedness incurred to fund the acquisition of such assets in an aggregate principal amount not to exceed the greater of $400,000,000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Borrower or any Subsidiary, except for accessions to such fixed or capital assets covered by such Lien, Property financed by such Indebtedness and the proceeds and products thereof;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individual financings of fixed or capital assets provided by one lender may be cross-collateralized to other financings of fixed or capital assets provided by such lender;</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right="40" w:firstLine="1288"/>
        <w:spacing w:after="0" w:line="226" w:lineRule="auto"/>
        <w:tabs>
          <w:tab w:leader="none" w:pos="1900" w:val="left"/>
        </w:tabs>
        <w:numPr>
          <w:ilvl w:val="0"/>
          <w:numId w:val="229"/>
        </w:numPr>
        <w:rPr>
          <w:rFonts w:ascii="Arial" w:cs="Arial" w:eastAsia="Arial" w:hAnsi="Arial"/>
          <w:sz w:val="21"/>
          <w:szCs w:val="21"/>
          <w:color w:val="auto"/>
        </w:rPr>
      </w:pPr>
      <w:r>
        <w:rPr>
          <w:rFonts w:ascii="Arial" w:cs="Arial" w:eastAsia="Arial" w:hAnsi="Arial"/>
          <w:sz w:val="21"/>
          <w:szCs w:val="21"/>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253" w:lineRule="exact"/>
        <w:rPr>
          <w:rFonts w:ascii="Arial" w:cs="Arial" w:eastAsia="Arial" w:hAnsi="Arial"/>
          <w:sz w:val="21"/>
          <w:szCs w:val="21"/>
          <w:color w:val="auto"/>
        </w:rPr>
      </w:pPr>
    </w:p>
    <w:p>
      <w:pPr>
        <w:jc w:val="both"/>
        <w:ind w:right="40" w:firstLine="1288"/>
        <w:spacing w:after="0" w:line="293" w:lineRule="auto"/>
        <w:tabs>
          <w:tab w:leader="none" w:pos="1903"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Liens on Receivables and Permitted Receivables Facility Assets securing Indebtedness arising under Permitted Receivables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$750,000,000, in the case of all Domestic Subsidiaries and (y) $750,000,000, in the case of all other Subsidiaries;</w:t>
      </w:r>
    </w:p>
    <w:p>
      <w:pPr>
        <w:spacing w:after="0" w:line="124" w:lineRule="exact"/>
        <w:rPr>
          <w:rFonts w:ascii="Arial" w:cs="Arial" w:eastAsia="Arial" w:hAnsi="Arial"/>
          <w:sz w:val="19"/>
          <w:szCs w:val="19"/>
          <w:color w:val="auto"/>
        </w:rPr>
      </w:pPr>
    </w:p>
    <w:p>
      <w:pPr>
        <w:jc w:val="both"/>
        <w:ind w:right="40" w:firstLine="1288"/>
        <w:spacing w:after="0" w:line="268" w:lineRule="auto"/>
        <w:tabs>
          <w:tab w:leader="none" w:pos="1899" w:val="left"/>
        </w:tabs>
        <w:numPr>
          <w:ilvl w:val="0"/>
          <w:numId w:val="229"/>
        </w:numPr>
        <w:rPr>
          <w:rFonts w:ascii="Arial" w:cs="Arial" w:eastAsia="Arial" w:hAnsi="Arial"/>
          <w:sz w:val="19"/>
          <w:szCs w:val="19"/>
          <w:color w:val="auto"/>
        </w:rPr>
      </w:pPr>
      <w:r>
        <w:rPr>
          <w:rFonts w:ascii="Arial" w:cs="Arial" w:eastAsia="Arial" w:hAnsi="Arial"/>
          <w:sz w:val="19"/>
          <w:szCs w:val="19"/>
          <w:color w:val="auto"/>
        </w:rPr>
        <w:t>Liens (i) on “earnest money” or similar deposits or other cash advances in connection with acquisitions permitted by Section 6.05 or (ii) consisting of an agreement to dispose of any Property in a disposition permitted under this Agreement including customary rights and restrictions contained in such agreements;</w:t>
      </w:r>
    </w:p>
    <w:p>
      <w:pPr>
        <w:spacing w:after="0" w:line="172" w:lineRule="exact"/>
        <w:rPr>
          <w:rFonts w:ascii="Arial" w:cs="Arial" w:eastAsia="Arial" w:hAnsi="Arial"/>
          <w:sz w:val="19"/>
          <w:szCs w:val="19"/>
          <w:color w:val="auto"/>
        </w:rPr>
      </w:pPr>
    </w:p>
    <w:p>
      <w:pPr>
        <w:ind w:left="1900" w:hanging="612"/>
        <w:spacing w:after="0"/>
        <w:tabs>
          <w:tab w:leader="none" w:pos="190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Liens on cash, cash equivalents or other assets securing Indebtedness permitted by Section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6.01(g);</w:t>
      </w:r>
    </w:p>
    <w:p>
      <w:pPr>
        <w:sectPr>
          <w:pgSz w:w="11900" w:h="16838" w:orient="portrait"/>
          <w:cols w:equalWidth="0" w:num="1">
            <w:col w:w="10440"/>
          </w:cols>
          <w:pgMar w:left="1020" w:top="1347" w:right="439" w:bottom="1440" w:gutter="0" w:footer="0" w:header="0"/>
        </w:sectPr>
      </w:pPr>
    </w:p>
    <w:bookmarkStart w:id="212" w:name="page213"/>
    <w:bookmarkEnd w:id="212"/>
    <w:p>
      <w:pPr>
        <w:jc w:val="both"/>
        <w:ind w:right="40" w:firstLine="1288"/>
        <w:spacing w:after="0" w:line="223" w:lineRule="auto"/>
        <w:tabs>
          <w:tab w:leader="none" w:pos="190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leases, licenses, subleases or sublicenses granted to others in the ordinary course of business which do not (i) interfere in any material respect with the business of the Borrower or any Subsidiary or (ii) secure any Indebtedness;</w:t>
      </w:r>
    </w:p>
    <w:p>
      <w:pPr>
        <w:spacing w:after="0" w:line="199" w:lineRule="exact"/>
        <w:rPr>
          <w:rFonts w:ascii="Arial" w:cs="Arial" w:eastAsia="Arial" w:hAnsi="Arial"/>
          <w:sz w:val="22"/>
          <w:szCs w:val="22"/>
          <w:color w:val="auto"/>
        </w:rPr>
      </w:pPr>
    </w:p>
    <w:p>
      <w:pPr>
        <w:ind w:right="40" w:firstLine="1288"/>
        <w:spacing w:after="0" w:line="232" w:lineRule="auto"/>
        <w:tabs>
          <w:tab w:leader="none" w:pos="190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in the ordinary course of business;</w:t>
      </w:r>
    </w:p>
    <w:p>
      <w:pPr>
        <w:spacing w:after="0" w:line="185" w:lineRule="exact"/>
        <w:rPr>
          <w:rFonts w:ascii="Arial" w:cs="Arial" w:eastAsia="Arial" w:hAnsi="Arial"/>
          <w:sz w:val="22"/>
          <w:szCs w:val="22"/>
          <w:color w:val="auto"/>
        </w:rPr>
      </w:pPr>
    </w:p>
    <w:p>
      <w:pPr>
        <w:jc w:val="both"/>
        <w:ind w:right="40" w:firstLine="1288"/>
        <w:spacing w:after="0" w:line="218" w:lineRule="auto"/>
        <w:tabs>
          <w:tab w:leader="none" w:pos="1899" w:val="left"/>
        </w:tabs>
        <w:numPr>
          <w:ilvl w:val="0"/>
          <w:numId w:val="230"/>
        </w:numPr>
        <w:rPr>
          <w:rFonts w:ascii="Arial" w:cs="Arial" w:eastAsia="Arial" w:hAnsi="Arial"/>
          <w:sz w:val="22"/>
          <w:szCs w:val="22"/>
          <w:color w:val="auto"/>
        </w:rPr>
      </w:pPr>
      <w:r>
        <w:rPr>
          <w:rFonts w:ascii="Arial" w:cs="Arial" w:eastAsia="Arial" w:hAnsi="Arial"/>
          <w:sz w:val="22"/>
          <w:szCs w:val="22"/>
          <w:color w:val="auto"/>
        </w:rPr>
        <w:t>Liens (i) of a collection bank arising under Section 4-210 of the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201" w:lineRule="exact"/>
        <w:rPr>
          <w:rFonts w:ascii="Arial" w:cs="Arial" w:eastAsia="Arial" w:hAnsi="Arial"/>
          <w:sz w:val="22"/>
          <w:szCs w:val="22"/>
          <w:color w:val="auto"/>
        </w:rPr>
      </w:pPr>
    </w:p>
    <w:p>
      <w:pPr>
        <w:ind w:firstLine="1288"/>
        <w:spacing w:after="0" w:line="247" w:lineRule="auto"/>
        <w:tabs>
          <w:tab w:leader="none" w:pos="1905" w:val="left"/>
        </w:tabs>
        <w:numPr>
          <w:ilvl w:val="0"/>
          <w:numId w:val="230"/>
        </w:numPr>
        <w:rPr>
          <w:rFonts w:ascii="Arial" w:cs="Arial" w:eastAsia="Arial" w:hAnsi="Arial"/>
          <w:sz w:val="21"/>
          <w:szCs w:val="21"/>
          <w:color w:val="auto"/>
        </w:rPr>
      </w:pPr>
      <w:r>
        <w:rPr>
          <w:rFonts w:ascii="Arial" w:cs="Arial" w:eastAsia="Arial" w:hAnsi="Arial"/>
          <w:sz w:val="21"/>
          <w:szCs w:val="21"/>
          <w:color w:val="auto"/>
        </w:rPr>
        <w:t>Liens arising out of conditional sale, title retention, consignment or similar arrangements for sale of goods entered into by a Loan Party or any Subsidiary in the ordinary course of business;</w:t>
      </w:r>
    </w:p>
    <w:p>
      <w:pPr>
        <w:spacing w:after="0" w:line="191" w:lineRule="exact"/>
        <w:rPr>
          <w:rFonts w:ascii="Arial" w:cs="Arial" w:eastAsia="Arial" w:hAnsi="Arial"/>
          <w:sz w:val="21"/>
          <w:szCs w:val="21"/>
          <w:color w:val="auto"/>
        </w:rPr>
      </w:pPr>
    </w:p>
    <w:p>
      <w:pPr>
        <w:ind w:left="1900" w:hanging="612"/>
        <w:spacing w:after="0"/>
        <w:tabs>
          <w:tab w:leader="none" w:pos="190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Liens deemed to exist in connection with Investments in repurchase agreements permitted under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6.05;</w:t>
      </w:r>
    </w:p>
    <w:p>
      <w:pPr>
        <w:spacing w:after="0" w:line="188" w:lineRule="exact"/>
        <w:rPr>
          <w:rFonts w:ascii="Arial" w:cs="Arial" w:eastAsia="Arial" w:hAnsi="Arial"/>
          <w:sz w:val="19"/>
          <w:szCs w:val="19"/>
          <w:color w:val="auto"/>
        </w:rPr>
      </w:pPr>
    </w:p>
    <w:p>
      <w:pPr>
        <w:ind w:right="60" w:firstLine="1288"/>
        <w:spacing w:after="0" w:line="232" w:lineRule="auto"/>
        <w:tabs>
          <w:tab w:leader="none" w:pos="1899"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rights of setoff relating to purchase orders and other agreements entered into with customers of the Borrower or any Subsidiary in the ordinary course of business;</w:t>
      </w:r>
    </w:p>
    <w:p>
      <w:pPr>
        <w:spacing w:after="0" w:line="199" w:lineRule="exact"/>
        <w:rPr>
          <w:rFonts w:ascii="Arial" w:cs="Arial" w:eastAsia="Arial" w:hAnsi="Arial"/>
          <w:sz w:val="22"/>
          <w:szCs w:val="22"/>
          <w:color w:val="auto"/>
        </w:rPr>
      </w:pPr>
    </w:p>
    <w:p>
      <w:pPr>
        <w:jc w:val="both"/>
        <w:ind w:firstLine="1288"/>
        <w:spacing w:after="0" w:line="223" w:lineRule="auto"/>
        <w:tabs>
          <w:tab w:leader="none" w:pos="1899" w:val="left"/>
        </w:tabs>
        <w:numPr>
          <w:ilvl w:val="0"/>
          <w:numId w:val="230"/>
        </w:numPr>
        <w:rPr>
          <w:rFonts w:ascii="Arial" w:cs="Arial" w:eastAsia="Arial" w:hAnsi="Arial"/>
          <w:sz w:val="22"/>
          <w:szCs w:val="22"/>
          <w:color w:val="auto"/>
        </w:rPr>
      </w:pPr>
      <w:r>
        <w:rPr>
          <w:rFonts w:ascii="Arial" w:cs="Arial" w:eastAsia="Arial" w:hAnsi="Arial"/>
          <w:sz w:val="22"/>
          <w:szCs w:val="22"/>
          <w:color w:val="auto"/>
        </w:rPr>
        <w:t>ground leases in respect of real property on which facilities owned or leased by the Borrower or any of its Subsidiaries are located and other Liens affecting the interest of any landlord (and any underlying landlord) of any real property leased by the Borrower or any Subsidiary;</w:t>
      </w:r>
    </w:p>
    <w:p>
      <w:pPr>
        <w:spacing w:after="0" w:line="266" w:lineRule="exact"/>
        <w:rPr>
          <w:rFonts w:ascii="Arial" w:cs="Arial" w:eastAsia="Arial" w:hAnsi="Arial"/>
          <w:sz w:val="22"/>
          <w:szCs w:val="22"/>
          <w:color w:val="auto"/>
        </w:rPr>
      </w:pPr>
    </w:p>
    <w:p>
      <w:pPr>
        <w:ind w:right="40" w:firstLine="1288"/>
        <w:spacing w:after="0" w:line="232" w:lineRule="auto"/>
        <w:tabs>
          <w:tab w:leader="none" w:pos="1899" w:val="left"/>
        </w:tabs>
        <w:numPr>
          <w:ilvl w:val="0"/>
          <w:numId w:val="230"/>
        </w:numPr>
        <w:rPr>
          <w:rFonts w:ascii="Arial" w:cs="Arial" w:eastAsia="Arial" w:hAnsi="Arial"/>
          <w:sz w:val="22"/>
          <w:szCs w:val="22"/>
          <w:color w:val="auto"/>
        </w:rPr>
      </w:pPr>
      <w:r>
        <w:rPr>
          <w:rFonts w:ascii="Arial" w:cs="Arial" w:eastAsia="Arial" w:hAnsi="Arial"/>
          <w:sz w:val="22"/>
          <w:szCs w:val="22"/>
          <w:color w:val="auto"/>
        </w:rPr>
        <w:t>Liens on equipment owned by the Borrower or any Subsidiary and located on the premises of any supplier and used in the ordinary course of business and not securing Indebtedness;</w:t>
      </w:r>
    </w:p>
    <w:p>
      <w:pPr>
        <w:sectPr>
          <w:pgSz w:w="11900" w:h="16838" w:orient="portrait"/>
          <w:cols w:equalWidth="0" w:num="1">
            <w:col w:w="10440"/>
          </w:cols>
          <w:pgMar w:left="1020" w:top="1347" w:right="439" w:bottom="1440" w:gutter="0" w:footer="0" w:header="0"/>
        </w:sectPr>
      </w:pPr>
    </w:p>
    <w:bookmarkStart w:id="213" w:name="page214"/>
    <w:bookmarkEnd w:id="213"/>
    <w:p>
      <w:pPr>
        <w:ind w:left="1900" w:hanging="612"/>
        <w:spacing w:after="0"/>
        <w:tabs>
          <w:tab w:leader="none" w:pos="19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any restriction or encumbrance with respect to the pledge or transfer of the Equity Interests of a</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joint venture;</w:t>
      </w:r>
    </w:p>
    <w:p>
      <w:pPr>
        <w:spacing w:after="0" w:line="202" w:lineRule="exact"/>
        <w:rPr>
          <w:sz w:val="20"/>
          <w:szCs w:val="20"/>
          <w:color w:val="auto"/>
        </w:rPr>
      </w:pPr>
    </w:p>
    <w:p>
      <w:pPr>
        <w:jc w:val="both"/>
        <w:ind w:right="20" w:firstLine="1288"/>
        <w:spacing w:after="0" w:line="247" w:lineRule="auto"/>
        <w:tabs>
          <w:tab w:leader="none" w:pos="1903"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Liens not otherwise permitted by this Section 6.02,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Lien shall be permitted to be incurred pursuant to this clause (r) 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$2,750,000,000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80" w:lineRule="exact"/>
        <w:rPr>
          <w:rFonts w:ascii="Arial" w:cs="Arial" w:eastAsia="Arial" w:hAnsi="Arial"/>
          <w:sz w:val="19"/>
          <w:szCs w:val="19"/>
          <w:color w:val="auto"/>
        </w:rPr>
      </w:pPr>
    </w:p>
    <w:p>
      <w:pPr>
        <w:ind w:left="1900" w:hanging="612"/>
        <w:spacing w:after="0"/>
        <w:tabs>
          <w:tab w:leader="none" w:pos="190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Liens on any Property of the Borrower or any Subsidiary in favor of the Borrower or any other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201" w:lineRule="exact"/>
        <w:rPr>
          <w:rFonts w:ascii="Arial" w:cs="Arial" w:eastAsia="Arial" w:hAnsi="Arial"/>
          <w:sz w:val="19"/>
          <w:szCs w:val="19"/>
          <w:color w:val="auto"/>
        </w:rPr>
      </w:pPr>
    </w:p>
    <w:p>
      <w:pPr>
        <w:jc w:val="both"/>
        <w:ind w:firstLine="1288"/>
        <w:spacing w:after="0" w:line="223" w:lineRule="auto"/>
        <w:tabs>
          <w:tab w:leader="none" w:pos="1905" w:val="left"/>
        </w:tabs>
        <w:numPr>
          <w:ilvl w:val="0"/>
          <w:numId w:val="232"/>
        </w:numPr>
        <w:rPr>
          <w:rFonts w:ascii="Arial" w:cs="Arial" w:eastAsia="Arial" w:hAnsi="Arial"/>
          <w:sz w:val="22"/>
          <w:szCs w:val="22"/>
          <w:color w:val="auto"/>
        </w:rPr>
      </w:pPr>
      <w:r>
        <w:rPr>
          <w:rFonts w:ascii="Arial" w:cs="Arial" w:eastAsia="Arial" w:hAnsi="Arial"/>
          <w:sz w:val="22"/>
          <w:szCs w:val="22"/>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266" w:lineRule="exact"/>
        <w:rPr>
          <w:rFonts w:ascii="Arial" w:cs="Arial" w:eastAsia="Arial" w:hAnsi="Arial"/>
          <w:sz w:val="22"/>
          <w:szCs w:val="22"/>
          <w:color w:val="auto"/>
        </w:rPr>
      </w:pPr>
    </w:p>
    <w:p>
      <w:pPr>
        <w:ind w:right="20" w:firstLine="1288"/>
        <w:spacing w:after="0" w:line="298" w:lineRule="auto"/>
        <w:tabs>
          <w:tab w:leader="none" w:pos="189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Liens arising from Uniform Commercial Code financing statement filings regarding operating leases or consignments entered into by the Borrower and its Subsidiaries in the ordinary course of business;</w:t>
      </w:r>
    </w:p>
    <w:p>
      <w:pPr>
        <w:spacing w:after="0" w:line="145" w:lineRule="exact"/>
        <w:rPr>
          <w:rFonts w:ascii="Arial" w:cs="Arial" w:eastAsia="Arial" w:hAnsi="Arial"/>
          <w:sz w:val="19"/>
          <w:szCs w:val="19"/>
          <w:color w:val="auto"/>
        </w:rPr>
      </w:pPr>
    </w:p>
    <w:p>
      <w:pPr>
        <w:ind w:left="1900" w:hanging="612"/>
        <w:spacing w:after="0"/>
        <w:tabs>
          <w:tab w:leader="none" w:pos="190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Liens, pledges or deposits made in the ordinary course of business to secure liability to insurance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carriers;</w:t>
      </w:r>
    </w:p>
    <w:p>
      <w:pPr>
        <w:spacing w:after="0" w:line="188" w:lineRule="exact"/>
        <w:rPr>
          <w:rFonts w:ascii="Arial" w:cs="Arial" w:eastAsia="Arial" w:hAnsi="Arial"/>
          <w:sz w:val="19"/>
          <w:szCs w:val="19"/>
          <w:color w:val="auto"/>
        </w:rPr>
      </w:pPr>
    </w:p>
    <w:p>
      <w:pPr>
        <w:jc w:val="both"/>
        <w:ind w:right="20" w:firstLine="1288"/>
        <w:spacing w:after="0" w:line="223" w:lineRule="auto"/>
        <w:tabs>
          <w:tab w:leader="none" w:pos="1906"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Liens securing insurance premiums financing arrangements;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are limited to the applicable unpaid insurance premiums under the insurance policy related to such insurance premium financing arrangement;</w:t>
      </w:r>
    </w:p>
    <w:p>
      <w:pPr>
        <w:spacing w:after="0" w:line="199" w:lineRule="exact"/>
        <w:rPr>
          <w:rFonts w:ascii="Arial" w:cs="Arial" w:eastAsia="Arial" w:hAnsi="Arial"/>
          <w:sz w:val="22"/>
          <w:szCs w:val="22"/>
          <w:color w:val="auto"/>
        </w:rPr>
      </w:pPr>
    </w:p>
    <w:p>
      <w:pPr>
        <w:ind w:left="1900" w:hanging="612"/>
        <w:spacing w:after="0"/>
        <w:tabs>
          <w:tab w:leader="none" w:pos="190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Liens on Cash Equivalents deposited as Cash Collateral on Letters of Credit as contemplated by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01" w:lineRule="exact"/>
        <w:rPr>
          <w:rFonts w:ascii="Arial" w:cs="Arial" w:eastAsia="Arial" w:hAnsi="Arial"/>
          <w:sz w:val="19"/>
          <w:szCs w:val="19"/>
          <w:color w:val="auto"/>
        </w:rPr>
      </w:pPr>
    </w:p>
    <w:p>
      <w:pPr>
        <w:ind w:right="40" w:firstLine="1288"/>
        <w:spacing w:after="0" w:line="232" w:lineRule="auto"/>
        <w:tabs>
          <w:tab w:leader="none" w:pos="1899" w:val="left"/>
        </w:tabs>
        <w:numPr>
          <w:ilvl w:val="0"/>
          <w:numId w:val="232"/>
        </w:numPr>
        <w:rPr>
          <w:rFonts w:ascii="Arial" w:cs="Arial" w:eastAsia="Arial" w:hAnsi="Arial"/>
          <w:sz w:val="22"/>
          <w:szCs w:val="22"/>
          <w:color w:val="auto"/>
        </w:rPr>
      </w:pPr>
      <w:r>
        <w:rPr>
          <w:rFonts w:ascii="Arial" w:cs="Arial" w:eastAsia="Arial" w:hAnsi="Arial"/>
          <w:sz w:val="22"/>
          <w:szCs w:val="22"/>
          <w:color w:val="auto"/>
        </w:rPr>
        <w:t>Liens on any Property of any Subsidiary that is not a Loan Party securing Indebtedness of such Subsidiary that is otherwise permitted under Section 6.01; and</w:t>
      </w:r>
    </w:p>
    <w:p>
      <w:pPr>
        <w:spacing w:after="0" w:line="185" w:lineRule="exact"/>
        <w:rPr>
          <w:rFonts w:ascii="Arial" w:cs="Arial" w:eastAsia="Arial" w:hAnsi="Arial"/>
          <w:sz w:val="22"/>
          <w:szCs w:val="22"/>
          <w:color w:val="auto"/>
        </w:rPr>
      </w:pPr>
    </w:p>
    <w:p>
      <w:pPr>
        <w:jc w:val="both"/>
        <w:ind w:right="20" w:firstLine="1288"/>
        <w:spacing w:after="0" w:line="229" w:lineRule="auto"/>
        <w:tabs>
          <w:tab w:leader="none" w:pos="190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Liens on equity interests of any Person formed for the purposes of engaging in activities in the renewable energy sector (including refined coal) that qualify for federal tax benefits allocable to the Borrower and its Subsidiaries in which the Borrower or any Subsidiary has made an investment and Liens on the rights of the Borrower and its Subsidiaries under any agreement relating to any such investment.</w:t>
      </w:r>
    </w:p>
    <w:p>
      <w:pPr>
        <w:spacing w:after="0" w:line="199"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Fundamental Changes</w:t>
      </w:r>
      <w:r>
        <w:rPr>
          <w:rFonts w:ascii="Arial" w:cs="Arial" w:eastAsia="Arial" w:hAnsi="Arial"/>
          <w:sz w:val="22"/>
          <w:szCs w:val="22"/>
          <w:color w:val="auto"/>
        </w:rPr>
        <w:t>. The Borrower will not merge into or consolidate with or transfer all or substantially all of its assets to any other Person, or permit any other Person to merge into or consolidate with it, or liquidate or dissolve, except that, if at the time thereof and immediately after giving effect thereto no Event of Default shall have occurred</w:t>
      </w:r>
    </w:p>
    <w:p>
      <w:pPr>
        <w:sectPr>
          <w:pgSz w:w="11900" w:h="16838" w:orient="portrait"/>
          <w:cols w:equalWidth="0" w:num="1">
            <w:col w:w="10440"/>
          </w:cols>
          <w:pgMar w:left="1020" w:top="1401" w:right="439" w:bottom="1440" w:gutter="0" w:footer="0" w:header="0"/>
        </w:sectPr>
      </w:pPr>
    </w:p>
    <w:bookmarkStart w:id="214" w:name="page215"/>
    <w:bookmarkEnd w:id="214"/>
    <w:p>
      <w:pPr>
        <w:jc w:val="both"/>
        <w:spacing w:after="0" w:line="246" w:lineRule="auto"/>
        <w:rPr>
          <w:sz w:val="20"/>
          <w:szCs w:val="20"/>
          <w:color w:val="auto"/>
        </w:rPr>
      </w:pPr>
      <w:r>
        <w:rPr>
          <w:rFonts w:ascii="Arial" w:cs="Arial" w:eastAsia="Arial" w:hAnsi="Arial"/>
          <w:sz w:val="19"/>
          <w:szCs w:val="19"/>
          <w:color w:val="auto"/>
        </w:rPr>
        <w:t xml:space="preserve">and be continuing, the Borrower may be consolidated with or merged into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Investment in connection therewith is otherwise permitted by Section 6.05;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simultaneously with such transaction, (x) the Person formed by such consolidation or into which the Borrower is merged shall expressly assume all obligations of the Borrower under the Loan Documents, (y) the Person formed by such consolidation or into which the Borrower is merged shall be a corporation organized under the laws of a State in the United States, and shall take all actions as may be required to preserve the enforceability of the Loan Documents and (z) the Borrower shall have delivered to the Administrative Agent an officer’s certificate and an opinion of counsel, each stating that such merger or consolidation and such supplement to this Agreement comply with this Agreement.</w:t>
      </w:r>
    </w:p>
    <w:p>
      <w:pPr>
        <w:spacing w:after="0" w:line="193"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The Borrower will not, and will not permit any of its Subsidiaries to, declare or make, or agree to pay or make, directly or indirectly, any Restricted Payment, except (a) the Borrower or any Subsidiary may declare and pay dividends or other distributions with respect to its Equity Interests payable solely in additional shares of its Qualified Equity Interests or options to purchase Qualified Equity Interests; (b) Subsidiaries may declare and make Restricted Payments ratably with respect to their Equity Interests; (c) the Borrower or any Subsidiary may make Restricted Payments pursuant to and in accordance with stock option plans or other benefit plans for present or former officers, directors, consultants or employees of the Borrower and its Subsidiaries in an amount not to exceed $20,000,000 in any fiscal year (with any unused amount of such base amount available for use in the next succeeding fiscal year); (d) the Borrower or any Subsidiary may make Restricted Payments so long as no Event of Default has occurred and is continuing; (e) repurchases of Equity Interests in any Loan Party or any Subsidiary deemed to occur upon exercise of stock options or warrants if such Equity 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Borrower; (g) payments made to exercise, settle or terminate any Permitted Warrant Transaction (A) by delivery of the Borrower’s common stock, (B) by set-off against the related Permitted Bond Hedge Transaction, or (C) with cash payments in an aggregate amount not to exceed the aggregate amount of any payments received by the Borrower or any of its Subsidiaries pursuant to the exercise, settlement or termination of any related Permitted Bond Hedge Transaction; (h) payments made in connection with any Permitted Bond Hedge Transaction; and (i) the Borrower or any Subsidiary may make Restricted Payments pursuant to the arrangements set forth in Schedule 6.04.</w:t>
      </w:r>
    </w:p>
    <w:p>
      <w:pPr>
        <w:spacing w:after="0" w:line="196"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Investments</w:t>
      </w:r>
      <w:r>
        <w:rPr>
          <w:rFonts w:ascii="Arial" w:cs="Arial" w:eastAsia="Arial" w:hAnsi="Arial"/>
          <w:sz w:val="22"/>
          <w:szCs w:val="22"/>
          <w:color w:val="auto"/>
        </w:rPr>
        <w:t>. The Borrower will not, and will not allow any of its Subsidiaries to make or hold any Investments, except:</w:t>
      </w:r>
    </w:p>
    <w:p>
      <w:pPr>
        <w:spacing w:after="0" w:line="194" w:lineRule="exact"/>
        <w:rPr>
          <w:sz w:val="20"/>
          <w:szCs w:val="20"/>
          <w:color w:val="auto"/>
        </w:rPr>
      </w:pPr>
    </w:p>
    <w:p>
      <w:pPr>
        <w:ind w:left="1900" w:hanging="612"/>
        <w:spacing w:after="0"/>
        <w:tabs>
          <w:tab w:leader="none" w:pos="190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Investments by the Borrower or a Subsidiary in cash and Cash</w:t>
      </w:r>
    </w:p>
    <w:p>
      <w:pPr>
        <w:spacing w:after="0"/>
        <w:rPr>
          <w:sz w:val="20"/>
          <w:szCs w:val="20"/>
          <w:color w:val="auto"/>
        </w:rPr>
      </w:pPr>
      <w:r>
        <w:rPr>
          <w:rFonts w:ascii="Arial" w:cs="Arial" w:eastAsia="Arial" w:hAnsi="Arial"/>
          <w:sz w:val="22"/>
          <w:szCs w:val="22"/>
          <w:color w:val="auto"/>
        </w:rPr>
        <w:t>Equivalents;</w:t>
      </w:r>
    </w:p>
    <w:p>
      <w:pPr>
        <w:spacing w:after="0" w:line="196" w:lineRule="exact"/>
        <w:rPr>
          <w:sz w:val="20"/>
          <w:szCs w:val="20"/>
          <w:color w:val="auto"/>
        </w:rPr>
      </w:pPr>
    </w:p>
    <w:p>
      <w:pPr>
        <w:ind w:left="1940" w:hanging="652"/>
        <w:spacing w:after="0"/>
        <w:tabs>
          <w:tab w:leader="none" w:pos="194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loans or advances to officers, directors, consultants and employees of the</w:t>
      </w:r>
    </w:p>
    <w:p>
      <w:pPr>
        <w:jc w:val="both"/>
        <w:ind w:right="40"/>
        <w:spacing w:after="0" w:line="214" w:lineRule="auto"/>
        <w:rPr>
          <w:sz w:val="20"/>
          <w:szCs w:val="20"/>
          <w:color w:val="auto"/>
        </w:rPr>
      </w:pPr>
      <w:r>
        <w:rPr>
          <w:rFonts w:ascii="Arial" w:cs="Arial" w:eastAsia="Arial" w:hAnsi="Arial"/>
          <w:sz w:val="22"/>
          <w:szCs w:val="22"/>
          <w:color w:val="auto"/>
        </w:rPr>
        <w:t xml:space="preserve">Borrower and the Subsidiaries (i) for reasonable and customary business-related travel, entertainment, relocation and analogous ordinary business purposes, (ii) in connection with such Person’s purchase of Equity Interests of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such loans and advances shall be contributed to the Borrower in cash as common equity, and (iii) for</w:t>
      </w:r>
    </w:p>
    <w:p>
      <w:pPr>
        <w:sectPr>
          <w:pgSz w:w="11900" w:h="16838" w:orient="portrait"/>
          <w:cols w:equalWidth="0" w:num="1">
            <w:col w:w="10440"/>
          </w:cols>
          <w:pgMar w:left="1020" w:top="1401" w:right="439" w:bottom="1440" w:gutter="0" w:footer="0" w:header="0"/>
        </w:sectPr>
      </w:pPr>
    </w:p>
    <w:bookmarkStart w:id="215" w:name="page216"/>
    <w:bookmarkEnd w:id="215"/>
    <w:p>
      <w:pPr>
        <w:ind w:right="540"/>
        <w:spacing w:after="0" w:line="232" w:lineRule="auto"/>
        <w:rPr>
          <w:sz w:val="20"/>
          <w:szCs w:val="20"/>
          <w:color w:val="auto"/>
        </w:rPr>
      </w:pPr>
      <w:r>
        <w:rPr>
          <w:rFonts w:ascii="Arial" w:cs="Arial" w:eastAsia="Arial" w:hAnsi="Arial"/>
          <w:sz w:val="22"/>
          <w:szCs w:val="22"/>
          <w:color w:val="auto"/>
        </w:rPr>
        <w:t>purposes not described in the foregoing subclauses (i) and (ii), in an aggregate principal amount outstanding not to exceed $10,000,000;</w:t>
      </w:r>
    </w:p>
    <w:p>
      <w:pPr>
        <w:spacing w:after="0" w:line="194" w:lineRule="exact"/>
        <w:rPr>
          <w:sz w:val="20"/>
          <w:szCs w:val="20"/>
          <w:color w:val="auto"/>
        </w:rPr>
      </w:pPr>
    </w:p>
    <w:p>
      <w:pPr>
        <w:ind w:left="1940" w:hanging="652"/>
        <w:spacing w:after="0"/>
        <w:tabs>
          <w:tab w:leader="none" w:pos="19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Investments by the Borrower or any Subsidiary in the Borrower or any</w:t>
      </w:r>
    </w:p>
    <w:p>
      <w:pPr>
        <w:spacing w:after="0"/>
        <w:rPr>
          <w:sz w:val="20"/>
          <w:szCs w:val="20"/>
          <w:color w:val="auto"/>
        </w:rPr>
      </w:pPr>
      <w:r>
        <w:rPr>
          <w:rFonts w:ascii="Arial" w:cs="Arial" w:eastAsia="Arial" w:hAnsi="Arial"/>
          <w:sz w:val="22"/>
          <w:szCs w:val="22"/>
          <w:color w:val="auto"/>
        </w:rPr>
        <w:t>Subsidiary;</w:t>
      </w:r>
    </w:p>
    <w:p>
      <w:pPr>
        <w:spacing w:after="0" w:line="196" w:lineRule="exact"/>
        <w:rPr>
          <w:sz w:val="20"/>
          <w:szCs w:val="20"/>
          <w:color w:val="auto"/>
        </w:rPr>
      </w:pPr>
    </w:p>
    <w:p>
      <w:pPr>
        <w:ind w:left="1940" w:hanging="652"/>
        <w:spacing w:after="0"/>
        <w:tabs>
          <w:tab w:leader="none" w:pos="19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 Investments consisting of extensions of credit in the nature of accounts</w:t>
      </w:r>
    </w:p>
    <w:p>
      <w:pPr>
        <w:jc w:val="both"/>
        <w:ind w:right="60"/>
        <w:spacing w:after="0" w:line="245" w:lineRule="auto"/>
        <w:rPr>
          <w:sz w:val="20"/>
          <w:szCs w:val="20"/>
          <w:color w:val="auto"/>
        </w:rPr>
      </w:pPr>
      <w:r>
        <w:rPr>
          <w:rFonts w:ascii="Arial" w:cs="Arial" w:eastAsia="Arial" w:hAnsi="Arial"/>
          <w:sz w:val="19"/>
          <w:szCs w:val="19"/>
          <w:color w:val="auto"/>
        </w:rPr>
        <w:t>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96" w:lineRule="exact"/>
        <w:rPr>
          <w:sz w:val="20"/>
          <w:szCs w:val="20"/>
          <w:color w:val="auto"/>
        </w:rPr>
      </w:pPr>
    </w:p>
    <w:p>
      <w:pPr>
        <w:jc w:val="both"/>
        <w:ind w:right="60" w:firstLine="1288"/>
        <w:spacing w:after="0" w:line="216" w:lineRule="auto"/>
        <w:tabs>
          <w:tab w:leader="none" w:pos="190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 xml:space="preserve">(i) Investments existing or contemplated on the Closing Date and set forth on </w:t>
      </w:r>
      <w:r>
        <w:rPr>
          <w:rFonts w:ascii="Arial" w:cs="Arial" w:eastAsia="Arial" w:hAnsi="Arial"/>
          <w:sz w:val="22"/>
          <w:szCs w:val="22"/>
          <w:u w:val="single" w:color="auto"/>
          <w:color w:val="auto"/>
        </w:rPr>
        <w:t>Schedule 6.05(e)</w:t>
      </w:r>
      <w:r>
        <w:rPr>
          <w:rFonts w:ascii="Arial" w:cs="Arial" w:eastAsia="Arial" w:hAnsi="Arial"/>
          <w:sz w:val="22"/>
          <w:szCs w:val="22"/>
          <w:color w:val="auto"/>
        </w:rPr>
        <w:t xml:space="preserve"> and any modification, replacement, renewal, reinvestment or extension thereof and (ii) Investments existing on the Closing Date by the Borrower or any Subsidiary in the Borrower or any other Subsidiary and any modification, renewal or extension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the original Investment is not increased except by the terms of such Investment or as otherwise permitted by this Section 6.05;</w:t>
      </w:r>
    </w:p>
    <w:p>
      <w:pPr>
        <w:spacing w:after="0" w:line="184" w:lineRule="exact"/>
        <w:rPr>
          <w:rFonts w:ascii="Arial" w:cs="Arial" w:eastAsia="Arial" w:hAnsi="Arial"/>
          <w:sz w:val="22"/>
          <w:szCs w:val="22"/>
          <w:color w:val="auto"/>
        </w:rPr>
      </w:pPr>
    </w:p>
    <w:p>
      <w:pPr>
        <w:ind w:left="1940" w:hanging="652"/>
        <w:spacing w:after="0"/>
        <w:tabs>
          <w:tab w:leader="none" w:pos="19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Investments in Swap Agreements in the ordinary course of business;</w:t>
      </w:r>
    </w:p>
    <w:p>
      <w:pPr>
        <w:spacing w:after="0" w:line="219" w:lineRule="exact"/>
        <w:rPr>
          <w:rFonts w:ascii="Arial" w:cs="Arial" w:eastAsia="Arial" w:hAnsi="Arial"/>
          <w:sz w:val="22"/>
          <w:szCs w:val="22"/>
          <w:color w:val="auto"/>
        </w:rPr>
      </w:pPr>
    </w:p>
    <w:p>
      <w:pPr>
        <w:jc w:val="both"/>
        <w:ind w:right="60" w:firstLine="1288"/>
        <w:spacing w:after="0" w:line="223" w:lineRule="auto"/>
        <w:tabs>
          <w:tab w:leader="none" w:pos="1899" w:val="left"/>
        </w:tabs>
        <w:numPr>
          <w:ilvl w:val="0"/>
          <w:numId w:val="237"/>
        </w:numPr>
        <w:rPr>
          <w:rFonts w:ascii="Arial" w:cs="Arial" w:eastAsia="Arial" w:hAnsi="Arial"/>
          <w:sz w:val="22"/>
          <w:szCs w:val="22"/>
          <w:color w:val="auto"/>
        </w:rPr>
      </w:pPr>
      <w:r>
        <w:rPr>
          <w:rFonts w:ascii="Arial" w:cs="Arial" w:eastAsia="Arial" w:hAnsi="Arial"/>
          <w:sz w:val="22"/>
          <w:szCs w:val="22"/>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78" w:lineRule="exact"/>
        <w:rPr>
          <w:rFonts w:ascii="Arial" w:cs="Arial" w:eastAsia="Arial" w:hAnsi="Arial"/>
          <w:sz w:val="22"/>
          <w:szCs w:val="22"/>
          <w:color w:val="auto"/>
        </w:rPr>
      </w:pPr>
    </w:p>
    <w:p>
      <w:pPr>
        <w:ind w:left="1900" w:hanging="612"/>
        <w:spacing w:after="0"/>
        <w:tabs>
          <w:tab w:leader="none" w:pos="190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Investments in the ordinary course of business consisting of endorsements for collection or</w:t>
      </w:r>
    </w:p>
    <w:p>
      <w:pPr>
        <w:spacing w:after="0"/>
        <w:rPr>
          <w:rFonts w:ascii="Arial" w:cs="Arial" w:eastAsia="Arial" w:hAnsi="Arial"/>
          <w:sz w:val="21"/>
          <w:szCs w:val="21"/>
          <w:color w:val="auto"/>
        </w:rPr>
      </w:pPr>
      <w:r>
        <w:rPr>
          <w:rFonts w:ascii="Arial" w:cs="Arial" w:eastAsia="Arial" w:hAnsi="Arial"/>
          <w:sz w:val="22"/>
          <w:szCs w:val="22"/>
          <w:color w:val="auto"/>
        </w:rPr>
        <w:t>deposit;</w:t>
      </w:r>
    </w:p>
    <w:p>
      <w:pPr>
        <w:spacing w:after="0" w:line="201" w:lineRule="exact"/>
        <w:rPr>
          <w:rFonts w:ascii="Arial" w:cs="Arial" w:eastAsia="Arial" w:hAnsi="Arial"/>
          <w:sz w:val="21"/>
          <w:szCs w:val="21"/>
          <w:color w:val="auto"/>
        </w:rPr>
      </w:pPr>
    </w:p>
    <w:p>
      <w:pPr>
        <w:jc w:val="both"/>
        <w:ind w:right="60" w:firstLine="1288"/>
        <w:spacing w:after="0" w:line="223" w:lineRule="auto"/>
        <w:tabs>
          <w:tab w:leader="none" w:pos="190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99" w:lineRule="exact"/>
        <w:rPr>
          <w:rFonts w:ascii="Arial" w:cs="Arial" w:eastAsia="Arial" w:hAnsi="Arial"/>
          <w:sz w:val="22"/>
          <w:szCs w:val="22"/>
          <w:color w:val="auto"/>
        </w:rPr>
      </w:pPr>
    </w:p>
    <w:p>
      <w:pPr>
        <w:ind w:left="1900" w:hanging="612"/>
        <w:spacing w:after="0"/>
        <w:tabs>
          <w:tab w:leader="none" w:pos="190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any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has occurred and is continuing at the time such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Investment is made;</w:t>
      </w:r>
    </w:p>
    <w:p>
      <w:pPr>
        <w:spacing w:after="0" w:line="188" w:lineRule="exact"/>
        <w:rPr>
          <w:rFonts w:ascii="Arial" w:cs="Arial" w:eastAsia="Arial" w:hAnsi="Arial"/>
          <w:sz w:val="19"/>
          <w:szCs w:val="19"/>
          <w:color w:val="auto"/>
        </w:rPr>
      </w:pPr>
    </w:p>
    <w:p>
      <w:pPr>
        <w:ind w:right="60" w:firstLine="1288"/>
        <w:spacing w:after="0" w:line="232" w:lineRule="auto"/>
        <w:tabs>
          <w:tab w:leader="none" w:pos="1899" w:val="left"/>
        </w:tabs>
        <w:numPr>
          <w:ilvl w:val="0"/>
          <w:numId w:val="237"/>
        </w:numPr>
        <w:rPr>
          <w:rFonts w:ascii="Arial" w:cs="Arial" w:eastAsia="Arial" w:hAnsi="Arial"/>
          <w:sz w:val="22"/>
          <w:szCs w:val="22"/>
          <w:color w:val="auto"/>
        </w:rPr>
      </w:pPr>
      <w:r>
        <w:rPr>
          <w:rFonts w:ascii="Arial" w:cs="Arial" w:eastAsia="Arial" w:hAnsi="Arial"/>
          <w:sz w:val="22"/>
          <w:szCs w:val="22"/>
          <w:color w:val="auto"/>
        </w:rPr>
        <w:t>advances of payroll payments, fees or other compensation to officers, directors, consultants or employees, in the ordinary course of business;</w:t>
      </w:r>
    </w:p>
    <w:p>
      <w:pPr>
        <w:spacing w:after="0" w:line="199" w:lineRule="exact"/>
        <w:rPr>
          <w:rFonts w:ascii="Arial" w:cs="Arial" w:eastAsia="Arial" w:hAnsi="Arial"/>
          <w:sz w:val="22"/>
          <w:szCs w:val="22"/>
          <w:color w:val="auto"/>
        </w:rPr>
      </w:pPr>
    </w:p>
    <w:p>
      <w:pPr>
        <w:ind w:firstLine="1288"/>
        <w:spacing w:after="0" w:line="232" w:lineRule="auto"/>
        <w:tabs>
          <w:tab w:leader="none" w:pos="190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Investments to the extent that payment for such Investments is made solely with Qualified Equity Interests of the Borrower;</w:t>
      </w:r>
    </w:p>
    <w:p>
      <w:pPr>
        <w:spacing w:after="0" w:line="199" w:lineRule="exact"/>
        <w:rPr>
          <w:rFonts w:ascii="Arial" w:cs="Arial" w:eastAsia="Arial" w:hAnsi="Arial"/>
          <w:sz w:val="22"/>
          <w:szCs w:val="22"/>
          <w:color w:val="auto"/>
        </w:rPr>
      </w:pPr>
    </w:p>
    <w:p>
      <w:pPr>
        <w:ind w:left="1920" w:hanging="632"/>
        <w:spacing w:after="0"/>
        <w:tabs>
          <w:tab w:leader="none" w:pos="192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lease, utility and other similar deposits in the ordinary course of business;</w:t>
      </w:r>
    </w:p>
    <w:p>
      <w:pPr>
        <w:spacing w:after="0" w:line="210" w:lineRule="exact"/>
        <w:rPr>
          <w:rFonts w:ascii="Arial" w:cs="Arial" w:eastAsia="Arial" w:hAnsi="Arial"/>
          <w:sz w:val="22"/>
          <w:szCs w:val="22"/>
          <w:color w:val="auto"/>
        </w:rPr>
      </w:pPr>
    </w:p>
    <w:p>
      <w:pPr>
        <w:ind w:left="1920" w:hanging="632"/>
        <w:spacing w:after="0"/>
        <w:tabs>
          <w:tab w:leader="none" w:pos="19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ind w:left="1920" w:hanging="632"/>
        <w:spacing w:after="0"/>
        <w:tabs>
          <w:tab w:leader="none" w:pos="19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customary Investments in connection with Permitted Receivables Facilities;</w:t>
      </w:r>
    </w:p>
    <w:p>
      <w:pPr>
        <w:spacing w:after="0" w:line="215" w:lineRule="exact"/>
        <w:rPr>
          <w:rFonts w:ascii="Arial" w:cs="Arial" w:eastAsia="Arial" w:hAnsi="Arial"/>
          <w:sz w:val="20"/>
          <w:szCs w:val="20"/>
          <w:color w:val="auto"/>
        </w:rPr>
      </w:pPr>
    </w:p>
    <w:p>
      <w:pPr>
        <w:ind w:left="1920" w:hanging="632"/>
        <w:spacing w:after="0"/>
        <w:tabs>
          <w:tab w:leader="none" w:pos="19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permitted Bond Hedge Transactions;</w:t>
      </w:r>
    </w:p>
    <w:p>
      <w:pPr>
        <w:sectPr>
          <w:pgSz w:w="11900" w:h="16838" w:orient="portrait"/>
          <w:cols w:equalWidth="0" w:num="1">
            <w:col w:w="10440"/>
          </w:cols>
          <w:pgMar w:left="1020" w:top="1401" w:right="439" w:bottom="1440" w:gutter="0" w:footer="0" w:header="0"/>
        </w:sectPr>
      </w:pPr>
    </w:p>
    <w:bookmarkStart w:id="216" w:name="page217"/>
    <w:bookmarkEnd w:id="216"/>
    <w:p>
      <w:pPr>
        <w:spacing w:after="0"/>
        <w:tabs>
          <w:tab w:leader="none" w:pos="1920" w:val="left"/>
        </w:tabs>
        <w:rPr>
          <w:sz w:val="20"/>
          <w:szCs w:val="20"/>
          <w:color w:val="auto"/>
        </w:rPr>
      </w:pPr>
    </w:p>
    <w:p>
      <w:pPr>
        <w:sectPr>
          <w:pgSz w:w="11900" w:h="16838" w:orient="portrait"/>
          <w:cols w:equalWidth="1" w:num="1" w:space="0"/>
          <w:pgMar w:left="1440" w:top="1440" w:right="1440" w:bottom="875" w:gutter="0" w:footer="0" w:header="0"/>
        </w:sectPr>
      </w:pPr>
    </w:p>
    <w:bookmarkStart w:id="217" w:name="page218"/>
    <w:bookmarkEnd w:id="217"/>
    <w:p>
      <w:pPr>
        <w:jc w:val="both"/>
        <w:ind w:left="649" w:firstLine="647"/>
        <w:spacing w:after="0" w:line="221" w:lineRule="auto"/>
        <w:tabs>
          <w:tab w:leader="none" w:pos="1819" w:val="left"/>
        </w:tabs>
        <w:numPr>
          <w:ilvl w:val="1"/>
          <w:numId w:val="238"/>
        </w:numPr>
        <w:rPr>
          <w:rFonts w:ascii="Arial" w:cs="Arial" w:eastAsia="Arial" w:hAnsi="Arial"/>
          <w:sz w:val="21"/>
          <w:szCs w:val="21"/>
          <w:color w:val="auto"/>
        </w:rPr>
      </w:pPr>
      <w:r>
        <w:rPr>
          <w:rFonts w:ascii="Arial" w:cs="Arial" w:eastAsia="Arial" w:hAnsi="Arial"/>
          <w:sz w:val="21"/>
          <w:szCs w:val="21"/>
          <w:color w:val="auto"/>
        </w:rPr>
        <w:t xml:space="preserve">Investments in limited liability companies formed for the purposes of engaging in activities in the renewable energy sector (including refined coal) that qualify for Federal tax benefits allocable to the Borrower and its Subsidiaries, including capital contributions and purchase price payments in respect thereof, so long as the Borrower determines in good faith that the amount of such tax benefits is expected to exceed the amount of such Investments;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all Investments made in reliance on this clause (q) exceeds $125,000,000 in any fiscal year of the Borrower, the Borrower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85" w:lineRule="exact"/>
        <w:rPr>
          <w:rFonts w:ascii="Arial" w:cs="Arial" w:eastAsia="Arial" w:hAnsi="Arial"/>
          <w:sz w:val="21"/>
          <w:szCs w:val="21"/>
          <w:color w:val="auto"/>
        </w:rPr>
      </w:pPr>
    </w:p>
    <w:p>
      <w:pPr>
        <w:jc w:val="both"/>
        <w:ind w:left="609" w:firstLine="652"/>
        <w:spacing w:after="0" w:line="218" w:lineRule="auto"/>
        <w:tabs>
          <w:tab w:leader="none" w:pos="1827" w:val="left"/>
        </w:tabs>
        <w:numPr>
          <w:ilvl w:val="0"/>
          <w:numId w:val="239"/>
        </w:numPr>
        <w:rPr>
          <w:rFonts w:ascii="Arial" w:cs="Arial" w:eastAsia="Arial" w:hAnsi="Arial"/>
          <w:sz w:val="22"/>
          <w:szCs w:val="22"/>
          <w:color w:val="auto"/>
        </w:rPr>
      </w:pPr>
      <w:r>
        <w:rPr>
          <w:rFonts w:ascii="Arial" w:cs="Arial" w:eastAsia="Arial" w:hAnsi="Arial"/>
          <w:sz w:val="22"/>
          <w:szCs w:val="22"/>
          <w:color w:val="auto"/>
        </w:rPr>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201" w:lineRule="exact"/>
        <w:rPr>
          <w:sz w:val="20"/>
          <w:szCs w:val="20"/>
          <w:color w:val="auto"/>
        </w:rPr>
      </w:pPr>
    </w:p>
    <w:p>
      <w:pPr>
        <w:jc w:val="both"/>
        <w:ind w:left="9" w:right="40" w:firstLine="648"/>
        <w:spacing w:after="0" w:line="238"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The Borrower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 favorable to the Borrower or such Subsidiary (in the good faith determination of the Borrower) as would reasonably be obtained on an arm’s-length basis from unrelated third parties, (b) transactions between or among the Borrower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Borrower or such Subsidiary, (d) loans and advances to officers, directors, consultants and employees in the ordinary course of business, (e) Restricted Payments and other payments permitted under Section 6.04, (f) employment, incentive, benefit, consulting and severance arrangements entered into (i) in the ordinary course of business or (ii) set forth in </w:t>
      </w:r>
      <w:r>
        <w:rPr>
          <w:rFonts w:ascii="Arial" w:cs="Arial" w:eastAsia="Arial" w:hAnsi="Arial"/>
          <w:sz w:val="19"/>
          <w:szCs w:val="19"/>
          <w:u w:val="single" w:color="auto"/>
          <w:color w:val="auto"/>
        </w:rPr>
        <w:t>Schedule 6.06</w:t>
      </w:r>
      <w:r>
        <w:rPr>
          <w:rFonts w:ascii="Arial" w:cs="Arial" w:eastAsia="Arial" w:hAnsi="Arial"/>
          <w:sz w:val="19"/>
          <w:szCs w:val="19"/>
          <w:color w:val="auto"/>
        </w:rPr>
        <w:t xml:space="preserve">, in each case, with officers, directors, consultants and employees of the Borrower or its Subsidiaries, (g) the transactions pursuant to the agreements set forth in </w:t>
      </w:r>
      <w:r>
        <w:rPr>
          <w:rFonts w:ascii="Arial" w:cs="Arial" w:eastAsia="Arial" w:hAnsi="Arial"/>
          <w:sz w:val="19"/>
          <w:szCs w:val="19"/>
          <w:u w:val="single" w:color="auto"/>
          <w:color w:val="auto"/>
        </w:rPr>
        <w:t>Schedule 6.06</w:t>
      </w:r>
      <w:r>
        <w:rPr>
          <w:rFonts w:ascii="Arial" w:cs="Arial" w:eastAsia="Arial" w:hAnsi="Arial"/>
          <w:sz w:val="19"/>
          <w:szCs w:val="19"/>
          <w:color w:val="auto"/>
        </w:rPr>
        <w:t xml:space="preserve"> or any amendment thereto to the extent such an amendment, taken as a whole, is not adverse to the Lenders in any material respect (as determined in good faith by the Borrower), (h) the payment of fees and expenses related to the Transactions,</w:t>
      </w:r>
    </w:p>
    <w:p>
      <w:pPr>
        <w:spacing w:after="0" w:line="8" w:lineRule="exact"/>
        <w:rPr>
          <w:sz w:val="20"/>
          <w:szCs w:val="20"/>
          <w:color w:val="auto"/>
        </w:rPr>
      </w:pPr>
    </w:p>
    <w:p>
      <w:pPr>
        <w:ind w:left="9" w:right="40" w:hanging="9"/>
        <w:spacing w:after="0" w:line="204" w:lineRule="auto"/>
        <w:tabs>
          <w:tab w:leader="none" w:pos="277"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issuance of Qualified Equity Interests of the Borrower and the granting of registration or other customary rights in connection therewith,</w:t>
      </w:r>
    </w:p>
    <w:p>
      <w:pPr>
        <w:spacing w:after="0" w:line="1" w:lineRule="exact"/>
        <w:rPr>
          <w:rFonts w:ascii="Arial" w:cs="Arial" w:eastAsia="Arial" w:hAnsi="Arial"/>
          <w:sz w:val="22"/>
          <w:szCs w:val="22"/>
          <w:color w:val="auto"/>
        </w:rPr>
      </w:pPr>
    </w:p>
    <w:p>
      <w:pPr>
        <w:jc w:val="both"/>
        <w:ind w:left="9" w:right="40" w:hanging="8"/>
        <w:spacing w:after="0" w:line="217" w:lineRule="auto"/>
        <w:tabs>
          <w:tab w:leader="none" w:pos="618"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existence of, and the performance by the Borrower or any Subsidiary of its obligations under the terms of, any limited liability company agreement, limited partnership or other organizational document or securityholders agreement (including any registration rights</w:t>
      </w:r>
    </w:p>
    <w:p>
      <w:pPr>
        <w:sectPr>
          <w:pgSz w:w="11900" w:h="16838" w:orient="portrait"/>
          <w:cols w:equalWidth="0" w:num="1">
            <w:col w:w="10449"/>
          </w:cols>
          <w:pgMar w:left="1011" w:top="982" w:right="439" w:bottom="1440" w:gutter="0" w:footer="0" w:header="0"/>
        </w:sectPr>
      </w:pPr>
    </w:p>
    <w:bookmarkStart w:id="218" w:name="page219"/>
    <w:bookmarkEnd w:id="218"/>
    <w:p>
      <w:pPr>
        <w:jc w:val="both"/>
        <w:spacing w:after="0" w:line="241" w:lineRule="auto"/>
        <w:rPr>
          <w:sz w:val="20"/>
          <w:szCs w:val="20"/>
          <w:color w:val="auto"/>
        </w:rPr>
      </w:pPr>
      <w:r>
        <w:rPr>
          <w:rFonts w:ascii="Arial" w:cs="Arial" w:eastAsia="Arial" w:hAnsi="Arial"/>
          <w:sz w:val="19"/>
          <w:szCs w:val="19"/>
          <w:color w:val="auto"/>
        </w:rPr>
        <w:t xml:space="preserve">agreement or purchase agreement related thereto) to which it is a party on the Closing Date and which is set forth on </w:t>
      </w:r>
      <w:r>
        <w:rPr>
          <w:rFonts w:ascii="Arial" w:cs="Arial" w:eastAsia="Arial" w:hAnsi="Arial"/>
          <w:sz w:val="19"/>
          <w:szCs w:val="19"/>
          <w:u w:val="single" w:color="auto"/>
          <w:color w:val="auto"/>
        </w:rPr>
        <w:t>Schedule 6.06</w:t>
      </w:r>
      <w:r>
        <w:rPr>
          <w:rFonts w:ascii="Arial" w:cs="Arial" w:eastAsia="Arial" w:hAnsi="Arial"/>
          <w:sz w:val="19"/>
          <w:szCs w:val="19"/>
          <w:color w:val="auto"/>
        </w:rPr>
        <w:t>, and similar agreements that it may enter into thereafter, provided that the existence of, or the performance by the Borrower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Borrower) than any of such documents and agreements as in effect on the Closing Date, (k) consulting services to joint ventures in the ordinary course of business and any other transactions between or among the Borrower,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Borrower or any of its Subsidiaries of the nature provided by the Borrower or any of its Subsidiaries to customers in the ordinary course of business and (o) transactions approved by the Audit Committee of the Board of Directors of the Borrower in accordance with the Borrower’s policy regarding related party transactions in effect from time to time.</w:t>
      </w:r>
    </w:p>
    <w:p>
      <w:pPr>
        <w:spacing w:after="0" w:line="27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Financial Covenant</w:t>
      </w:r>
      <w:r>
        <w:rPr>
          <w:rFonts w:ascii="Arial" w:cs="Arial" w:eastAsia="Arial" w:hAnsi="Arial"/>
          <w:sz w:val="19"/>
          <w:szCs w:val="19"/>
          <w:color w:val="auto"/>
        </w:rPr>
        <w:t xml:space="preserve">. The Borrower will not permit the Consolidated Leverage Ratio as of the last day of (x) each fiscal quarter ending after the Closing Date through and including the fiscal quarter ending June 30, 2022, to exceed 4.25 to 1.00, (y) each fiscal quarter ending after June 30, 2022 through and including the fiscal quarter ending December 31, 2022, to exceed 4.00 to 1.00 and (z) any fiscal quarter thereafter, to exceed 3.75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lieu of the ratio set forth in this clause (z), for any such date occurring after a Qualified Acquisition, on or prior to the last day of the third full fiscal quarter of the Borrower after the consummation of such Qualified Acquisition, the Borrower will not permit the Consolidated Leverage Ratio as of such date to exceed 4.25 to 1.00.</w:t>
      </w:r>
    </w:p>
    <w:p>
      <w:pPr>
        <w:spacing w:after="0" w:line="19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Lines of Business</w:t>
      </w:r>
      <w:r>
        <w:rPr>
          <w:rFonts w:ascii="Arial" w:cs="Arial" w:eastAsia="Arial" w:hAnsi="Arial"/>
          <w:sz w:val="22"/>
          <w:szCs w:val="22"/>
          <w:color w:val="auto"/>
        </w:rPr>
        <w:t>. The Borrower will not, and will not permit any of its Subsidiaries to, engage to any material extent in any business substantially different from the businesses of the type conducted by the Borrower and its Subsidiaries on the date of execution of this Agreement and businesses reasonably related, ancillary or complementary thereto and reasonable extensions thereof.</w:t>
      </w:r>
    </w:p>
    <w:p>
      <w:pPr>
        <w:spacing w:after="0" w:line="269" w:lineRule="exact"/>
        <w:rPr>
          <w:sz w:val="20"/>
          <w:szCs w:val="20"/>
          <w:color w:val="auto"/>
        </w:rPr>
      </w:pPr>
    </w:p>
    <w:p>
      <w:pPr>
        <w:jc w:val="center"/>
        <w:ind w:right="580"/>
        <w:spacing w:after="0"/>
        <w:rPr>
          <w:sz w:val="20"/>
          <w:szCs w:val="20"/>
          <w:color w:val="auto"/>
        </w:rPr>
      </w:pPr>
      <w:r>
        <w:rPr>
          <w:rFonts w:ascii="Arial" w:cs="Arial" w:eastAsia="Arial" w:hAnsi="Arial"/>
          <w:sz w:val="22"/>
          <w:szCs w:val="22"/>
          <w:color w:val="auto"/>
        </w:rPr>
        <w:t>ARTICLE VII</w:t>
      </w: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22"/>
          <w:szCs w:val="22"/>
          <w:b w:val="1"/>
          <w:bCs w:val="1"/>
          <w:color w:val="auto"/>
        </w:rPr>
        <w:t>Events of Default</w:t>
      </w:r>
    </w:p>
    <w:p>
      <w:pPr>
        <w:spacing w:after="0" w:line="212" w:lineRule="exact"/>
        <w:rPr>
          <w:sz w:val="20"/>
          <w:szCs w:val="20"/>
          <w:color w:val="auto"/>
        </w:rPr>
      </w:pPr>
    </w:p>
    <w:p>
      <w:pPr>
        <w:ind w:right="460" w:firstLine="648"/>
        <w:spacing w:after="0" w:line="232" w:lineRule="auto"/>
        <w:rPr>
          <w:sz w:val="20"/>
          <w:szCs w:val="20"/>
          <w:color w:val="auto"/>
        </w:rPr>
      </w:pPr>
      <w:r>
        <w:rPr>
          <w:rFonts w:ascii="Arial" w:cs="Arial" w:eastAsia="Arial" w:hAnsi="Arial"/>
          <w:sz w:val="22"/>
          <w:szCs w:val="22"/>
          <w:color w:val="auto"/>
        </w:rPr>
        <w:t>If any of the following events (each an “</w:t>
      </w:r>
      <w:r>
        <w:rPr>
          <w:rFonts w:ascii="Arial" w:cs="Arial" w:eastAsia="Arial" w:hAnsi="Arial"/>
          <w:sz w:val="22"/>
          <w:szCs w:val="22"/>
          <w:u w:val="single" w:color="auto"/>
          <w:color w:val="auto"/>
        </w:rPr>
        <w:t>Event of Default</w:t>
      </w:r>
      <w:r>
        <w:rPr>
          <w:rFonts w:ascii="Arial" w:cs="Arial" w:eastAsia="Arial" w:hAnsi="Arial"/>
          <w:sz w:val="22"/>
          <w:szCs w:val="22"/>
          <w:color w:val="auto"/>
        </w:rPr>
        <w:t>”) shall occur and be continuing at any time on and from the Closing Date:</w:t>
      </w:r>
    </w:p>
    <w:p>
      <w:pPr>
        <w:spacing w:after="0" w:line="199" w:lineRule="exact"/>
        <w:rPr>
          <w:sz w:val="20"/>
          <w:szCs w:val="20"/>
          <w:color w:val="auto"/>
        </w:rPr>
      </w:pPr>
    </w:p>
    <w:p>
      <w:pPr>
        <w:jc w:val="both"/>
        <w:ind w:right="20" w:firstLine="1288"/>
        <w:spacing w:after="0" w:line="223" w:lineRule="auto"/>
        <w:tabs>
          <w:tab w:leader="none" w:pos="19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ectPr>
          <w:pgSz w:w="11900" w:h="16838" w:orient="portrait"/>
          <w:cols w:equalWidth="0" w:num="1">
            <w:col w:w="10440"/>
          </w:cols>
          <w:pgMar w:left="1020" w:top="1401" w:right="439" w:bottom="1440" w:gutter="0" w:footer="0" w:header="0"/>
        </w:sectPr>
      </w:pPr>
    </w:p>
    <w:bookmarkStart w:id="219" w:name="page220"/>
    <w:bookmarkEnd w:id="219"/>
    <w:p>
      <w:pPr>
        <w:jc w:val="both"/>
        <w:ind w:left="8" w:right="40" w:firstLine="1288"/>
        <w:spacing w:after="0" w:line="268" w:lineRule="auto"/>
        <w:tabs>
          <w:tab w:leader="none" w:pos="1907" w:val="left"/>
        </w:tabs>
        <w:numPr>
          <w:ilvl w:val="1"/>
          <w:numId w:val="242"/>
        </w:numPr>
        <w:rPr>
          <w:rFonts w:ascii="Arial" w:cs="Arial" w:eastAsia="Arial" w:hAnsi="Arial"/>
          <w:sz w:val="19"/>
          <w:szCs w:val="19"/>
          <w:color w:val="auto"/>
        </w:rPr>
      </w:pPr>
      <w:r>
        <w:rPr>
          <w:rFonts w:ascii="Arial" w:cs="Arial" w:eastAsia="Arial" w:hAnsi="Arial"/>
          <w:sz w:val="19"/>
          <w:szCs w:val="19"/>
          <w:color w:val="auto"/>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72" w:lineRule="exact"/>
        <w:rPr>
          <w:rFonts w:ascii="Arial" w:cs="Arial" w:eastAsia="Arial" w:hAnsi="Arial"/>
          <w:sz w:val="19"/>
          <w:szCs w:val="19"/>
          <w:color w:val="auto"/>
        </w:rPr>
      </w:pPr>
    </w:p>
    <w:p>
      <w:pPr>
        <w:jc w:val="both"/>
        <w:ind w:left="8" w:right="20" w:firstLine="1288"/>
        <w:spacing w:after="0" w:line="252" w:lineRule="auto"/>
        <w:tabs>
          <w:tab w:leader="none" w:pos="1908" w:val="left"/>
        </w:tabs>
        <w:numPr>
          <w:ilvl w:val="1"/>
          <w:numId w:val="242"/>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the Borrower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256" w:lineRule="exact"/>
        <w:rPr>
          <w:rFonts w:ascii="Arial" w:cs="Arial" w:eastAsia="Arial" w:hAnsi="Arial"/>
          <w:sz w:val="19"/>
          <w:szCs w:val="19"/>
          <w:color w:val="auto"/>
        </w:rPr>
      </w:pPr>
    </w:p>
    <w:p>
      <w:pPr>
        <w:ind w:left="8" w:right="40" w:firstLine="1288"/>
        <w:spacing w:after="0" w:line="232" w:lineRule="auto"/>
        <w:tabs>
          <w:tab w:leader="none" w:pos="1907" w:val="left"/>
        </w:tabs>
        <w:numPr>
          <w:ilvl w:val="1"/>
          <w:numId w:val="242"/>
        </w:numPr>
        <w:rPr>
          <w:rFonts w:ascii="Arial" w:cs="Arial" w:eastAsia="Arial" w:hAnsi="Arial"/>
          <w:sz w:val="22"/>
          <w:szCs w:val="22"/>
          <w:color w:val="auto"/>
        </w:rPr>
      </w:pPr>
      <w:r>
        <w:rPr>
          <w:rFonts w:ascii="Arial" w:cs="Arial" w:eastAsia="Arial" w:hAnsi="Arial"/>
          <w:sz w:val="22"/>
          <w:szCs w:val="22"/>
          <w:color w:val="auto"/>
        </w:rPr>
        <w:t>the Borrower shall fail to observe or perform any covenant, condition or agreement contained in Section 5.03(i) (as to the Borrower’s existence), or Article VI;</w:t>
      </w:r>
    </w:p>
    <w:p>
      <w:pPr>
        <w:spacing w:after="0" w:line="185" w:lineRule="exact"/>
        <w:rPr>
          <w:rFonts w:ascii="Arial" w:cs="Arial" w:eastAsia="Arial" w:hAnsi="Arial"/>
          <w:sz w:val="22"/>
          <w:szCs w:val="22"/>
          <w:color w:val="auto"/>
        </w:rPr>
      </w:pPr>
    </w:p>
    <w:p>
      <w:pPr>
        <w:jc w:val="both"/>
        <w:ind w:left="8" w:right="40" w:firstLine="1288"/>
        <w:spacing w:after="0" w:line="218" w:lineRule="auto"/>
        <w:tabs>
          <w:tab w:leader="none" w:pos="1908"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201" w:lineRule="exact"/>
        <w:rPr>
          <w:rFonts w:ascii="Arial" w:cs="Arial" w:eastAsia="Arial" w:hAnsi="Arial"/>
          <w:sz w:val="22"/>
          <w:szCs w:val="22"/>
          <w:color w:val="auto"/>
        </w:rPr>
      </w:pPr>
    </w:p>
    <w:p>
      <w:pPr>
        <w:jc w:val="both"/>
        <w:ind w:left="8" w:right="40" w:firstLine="1288"/>
        <w:spacing w:after="0" w:line="208" w:lineRule="auto"/>
        <w:tabs>
          <w:tab w:leader="none" w:pos="1912" w:val="left"/>
        </w:tabs>
        <w:numPr>
          <w:ilvl w:val="1"/>
          <w:numId w:val="242"/>
        </w:numPr>
        <w:rPr>
          <w:rFonts w:ascii="Arial" w:cs="Arial" w:eastAsia="Arial" w:hAnsi="Arial"/>
          <w:sz w:val="22"/>
          <w:szCs w:val="22"/>
          <w:color w:val="auto"/>
        </w:rPr>
      </w:pPr>
      <w:r>
        <w:rPr>
          <w:rFonts w:ascii="Arial" w:cs="Arial" w:eastAsia="Arial" w:hAnsi="Arial"/>
          <w:sz w:val="22"/>
          <w:szCs w:val="22"/>
          <w:color w:val="auto"/>
        </w:rPr>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w:t>
      </w:r>
    </w:p>
    <w:p>
      <w:pPr>
        <w:spacing w:after="0" w:line="1" w:lineRule="exact"/>
        <w:rPr>
          <w:rFonts w:ascii="Arial" w:cs="Arial" w:eastAsia="Arial" w:hAnsi="Arial"/>
          <w:sz w:val="22"/>
          <w:szCs w:val="22"/>
          <w:color w:val="auto"/>
        </w:rPr>
      </w:pPr>
    </w:p>
    <w:p>
      <w:pPr>
        <w:jc w:val="both"/>
        <w:ind w:left="8" w:right="20" w:hanging="8"/>
        <w:spacing w:after="0" w:line="221" w:lineRule="auto"/>
        <w:tabs>
          <w:tab w:leader="none" w:pos="366" w:val="left"/>
        </w:tabs>
        <w:numPr>
          <w:ilvl w:val="0"/>
          <w:numId w:val="243"/>
        </w:numPr>
        <w:rPr>
          <w:rFonts w:ascii="Arial" w:cs="Arial" w:eastAsia="Arial" w:hAnsi="Arial"/>
          <w:sz w:val="21"/>
          <w:szCs w:val="21"/>
          <w:color w:val="auto"/>
        </w:rPr>
      </w:pPr>
      <w:r>
        <w:rPr>
          <w:rFonts w:ascii="Arial" w:cs="Arial" w:eastAsia="Arial" w:hAnsi="Arial"/>
          <w:sz w:val="21"/>
          <w:szCs w:val="21"/>
          <w:color w:val="auto"/>
        </w:rPr>
        <w:t>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$250,000,000 and any Loan Party or any Material Subsidiary fails to pay such termination value when due after applicable grace periods;</w:t>
      </w:r>
    </w:p>
    <w:p>
      <w:pPr>
        <w:spacing w:after="0" w:line="200" w:lineRule="exact"/>
        <w:rPr>
          <w:rFonts w:ascii="Arial" w:cs="Arial" w:eastAsia="Arial" w:hAnsi="Arial"/>
          <w:sz w:val="21"/>
          <w:szCs w:val="21"/>
          <w:color w:val="auto"/>
        </w:rPr>
      </w:pPr>
    </w:p>
    <w:p>
      <w:pPr>
        <w:jc w:val="both"/>
        <w:ind w:left="8" w:firstLine="1288"/>
        <w:spacing w:after="0" w:line="242" w:lineRule="auto"/>
        <w:tabs>
          <w:tab w:leader="none" w:pos="1907" w:val="left"/>
        </w:tabs>
        <w:numPr>
          <w:ilvl w:val="1"/>
          <w:numId w:val="243"/>
        </w:numPr>
        <w:rPr>
          <w:rFonts w:ascii="Arial" w:cs="Arial" w:eastAsia="Arial" w:hAnsi="Arial"/>
          <w:sz w:val="19"/>
          <w:szCs w:val="19"/>
          <w:color w:val="auto"/>
        </w:rPr>
      </w:pPr>
      <w:r>
        <w:rPr>
          <w:rFonts w:ascii="Arial" w:cs="Arial" w:eastAsia="Arial" w:hAnsi="Arial"/>
          <w:sz w:val="19"/>
          <w:szCs w:val="19"/>
          <w:color w:val="auto"/>
        </w:rPr>
        <w:t xml:space="preserve">the Borrower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(g) shall not apply to (i) secured Indebtedness that becomes due as a result of the voluntary sale or transfer of the property or assets securing such Indebtedness or as a result of a casualty event affecting such property or assets; or (ii) any “change of control” put arising as a result of any acquisition of any Acquired Entity or Business or any of its subsidiaries so long as any such Indebtedness that is put in accordance with the terms of such Indebtedness is paid as required by the terms of such Indebtedness;</w:t>
      </w: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jc w:val="both"/>
        <w:ind w:left="8" w:right="40" w:firstLine="1288"/>
        <w:spacing w:after="0" w:line="218" w:lineRule="auto"/>
        <w:tabs>
          <w:tab w:leader="none" w:pos="1907" w:val="left"/>
        </w:tabs>
        <w:numPr>
          <w:ilvl w:val="1"/>
          <w:numId w:val="243"/>
        </w:numPr>
        <w:rPr>
          <w:rFonts w:ascii="Arial" w:cs="Arial" w:eastAsia="Arial" w:hAnsi="Arial"/>
          <w:sz w:val="22"/>
          <w:szCs w:val="22"/>
          <w:color w:val="auto"/>
        </w:rPr>
      </w:pPr>
      <w:r>
        <w:rPr>
          <w:rFonts w:ascii="Arial" w:cs="Arial" w:eastAsia="Arial" w:hAnsi="Arial"/>
          <w:sz w:val="22"/>
          <w:szCs w:val="22"/>
          <w:color w:val="auto"/>
        </w:rPr>
        <w:t>an involuntary proceeding shall be commenced or an involuntary petition shall be filed seeking (i) liquidation, reorganization, moratorium, bankruptcy, dissolution or other relief in respect of any Loan Party or any Material Subsidiary or its debts, or of a substantial part of its assets, under any Federal, state or foreign bankruptcy, insolvency,</w:t>
      </w:r>
    </w:p>
    <w:p>
      <w:pPr>
        <w:sectPr>
          <w:pgSz w:w="11900" w:h="16838" w:orient="portrait"/>
          <w:cols w:equalWidth="0" w:num="1">
            <w:col w:w="10448"/>
          </w:cols>
          <w:pgMar w:left="1012" w:top="1401" w:right="439" w:bottom="1440" w:gutter="0" w:footer="0" w:header="0"/>
        </w:sectPr>
      </w:pPr>
    </w:p>
    <w:bookmarkStart w:id="220" w:name="page221"/>
    <w:bookmarkEnd w:id="220"/>
    <w:p>
      <w:pPr>
        <w:jc w:val="both"/>
        <w:ind w:right="60"/>
        <w:spacing w:after="0" w:line="216" w:lineRule="auto"/>
        <w:rPr>
          <w:sz w:val="20"/>
          <w:szCs w:val="20"/>
          <w:color w:val="auto"/>
        </w:rPr>
      </w:pPr>
      <w:r>
        <w:rPr>
          <w:rFonts w:ascii="Arial" w:cs="Arial" w:eastAsia="Arial" w:hAnsi="Arial"/>
          <w:sz w:val="22"/>
          <w:szCs w:val="22"/>
          <w:color w:val="auto"/>
        </w:rPr>
        <w:t>receivership or similar law now or hereafter in effect or (ii) the appointment of a receiver, trustee, custodian, sequestrator, conservator, administrator (</w:t>
      </w:r>
      <w:r>
        <w:rPr>
          <w:rFonts w:ascii="Arial" w:cs="Arial" w:eastAsia="Arial" w:hAnsi="Arial"/>
          <w:sz w:val="22"/>
          <w:szCs w:val="22"/>
          <w:i w:val="1"/>
          <w:iCs w:val="1"/>
          <w:color w:val="auto"/>
        </w:rPr>
        <w:t>bewindvoerder</w:t>
      </w:r>
      <w:r>
        <w:rPr>
          <w:rFonts w:ascii="Arial" w:cs="Arial" w:eastAsia="Arial" w:hAnsi="Arial"/>
          <w:sz w:val="22"/>
          <w:szCs w:val="22"/>
          <w:color w:val="auto"/>
        </w:rPr>
        <w:t>), trustee in bankruptcy (</w:t>
      </w:r>
      <w:r>
        <w:rPr>
          <w:rFonts w:ascii="Arial" w:cs="Arial" w:eastAsia="Arial" w:hAnsi="Arial"/>
          <w:sz w:val="22"/>
          <w:szCs w:val="22"/>
          <w:i w:val="1"/>
          <w:iCs w:val="1"/>
          <w:color w:val="auto"/>
        </w:rPr>
        <w:t>curator</w:t>
      </w:r>
      <w:r>
        <w:rPr>
          <w:rFonts w:ascii="Arial" w:cs="Arial" w:eastAsia="Arial" w:hAnsi="Arial"/>
          <w:sz w:val="22"/>
          <w:szCs w:val="22"/>
          <w:color w:val="auto"/>
        </w:rPr>
        <w:t>)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spacing w:after="0" w:line="198" w:lineRule="exact"/>
        <w:rPr>
          <w:sz w:val="20"/>
          <w:szCs w:val="20"/>
          <w:color w:val="auto"/>
        </w:rPr>
      </w:pPr>
    </w:p>
    <w:p>
      <w:pPr>
        <w:jc w:val="both"/>
        <w:ind w:right="60" w:firstLine="1288"/>
        <w:spacing w:after="0" w:line="211" w:lineRule="auto"/>
        <w:tabs>
          <w:tab w:leader="none" w:pos="1905"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any Loan Party or any Material Subsidiary shall (i) voluntarily commence any proceeding or file any petition seeking liquidation, reorganization, moratorium, bankruptcy, dissolution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administrator (</w:t>
      </w:r>
      <w:r>
        <w:rPr>
          <w:rFonts w:ascii="Arial" w:cs="Arial" w:eastAsia="Arial" w:hAnsi="Arial"/>
          <w:sz w:val="22"/>
          <w:szCs w:val="22"/>
          <w:i w:val="1"/>
          <w:iCs w:val="1"/>
          <w:color w:val="auto"/>
        </w:rPr>
        <w:t>bewindvoerder</w:t>
      </w:r>
      <w:r>
        <w:rPr>
          <w:rFonts w:ascii="Arial" w:cs="Arial" w:eastAsia="Arial" w:hAnsi="Arial"/>
          <w:sz w:val="22"/>
          <w:szCs w:val="22"/>
          <w:color w:val="auto"/>
        </w:rPr>
        <w:t>), trustee in bankruptcy (</w:t>
      </w:r>
      <w:r>
        <w:rPr>
          <w:rFonts w:ascii="Arial" w:cs="Arial" w:eastAsia="Arial" w:hAnsi="Arial"/>
          <w:sz w:val="22"/>
          <w:szCs w:val="22"/>
          <w:i w:val="1"/>
          <w:iCs w:val="1"/>
          <w:color w:val="auto"/>
        </w:rPr>
        <w:t>curator</w:t>
      </w:r>
      <w:r>
        <w:rPr>
          <w:rFonts w:ascii="Arial" w:cs="Arial" w:eastAsia="Arial" w:hAnsi="Arial"/>
          <w:sz w:val="22"/>
          <w:szCs w:val="22"/>
          <w:color w:val="auto"/>
        </w:rPr>
        <w:t>)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85" w:lineRule="exact"/>
        <w:rPr>
          <w:rFonts w:ascii="Arial" w:cs="Arial" w:eastAsia="Arial" w:hAnsi="Arial"/>
          <w:sz w:val="22"/>
          <w:szCs w:val="22"/>
          <w:color w:val="auto"/>
        </w:rPr>
      </w:pPr>
    </w:p>
    <w:p>
      <w:pPr>
        <w:ind w:right="60" w:firstLine="1288"/>
        <w:spacing w:after="0" w:line="232" w:lineRule="auto"/>
        <w:tabs>
          <w:tab w:leader="none" w:pos="1905"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any Loan Party or any Material Subsidiary shall become generally unable, admit in writing its inability generally or fail generally to pay its debts as they become due;</w:t>
      </w:r>
    </w:p>
    <w:p>
      <w:pPr>
        <w:spacing w:after="0" w:line="199" w:lineRule="exact"/>
        <w:rPr>
          <w:rFonts w:ascii="Arial" w:cs="Arial" w:eastAsia="Arial" w:hAnsi="Arial"/>
          <w:sz w:val="22"/>
          <w:szCs w:val="22"/>
          <w:color w:val="auto"/>
        </w:rPr>
      </w:pPr>
    </w:p>
    <w:p>
      <w:pPr>
        <w:jc w:val="both"/>
        <w:ind w:right="60" w:firstLine="1288"/>
        <w:spacing w:after="0" w:line="226" w:lineRule="auto"/>
        <w:tabs>
          <w:tab w:leader="none" w:pos="1899" w:val="left"/>
        </w:tabs>
        <w:numPr>
          <w:ilvl w:val="0"/>
          <w:numId w:val="244"/>
        </w:numPr>
        <w:rPr>
          <w:rFonts w:ascii="Arial" w:cs="Arial" w:eastAsia="Arial" w:hAnsi="Arial"/>
          <w:sz w:val="21"/>
          <w:szCs w:val="21"/>
          <w:color w:val="auto"/>
        </w:rPr>
      </w:pPr>
      <w:r>
        <w:rPr>
          <w:rFonts w:ascii="Arial" w:cs="Arial" w:eastAsia="Arial" w:hAnsi="Arial"/>
          <w:sz w:val="21"/>
          <w:szCs w:val="21"/>
          <w:color w:val="auto"/>
        </w:rPr>
        <w:t>one or more final, non-appealable judgments for the payment of money in an aggregate amount in excess of $250,000,000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99" w:lineRule="exact"/>
        <w:rPr>
          <w:rFonts w:ascii="Arial" w:cs="Arial" w:eastAsia="Arial" w:hAnsi="Arial"/>
          <w:sz w:val="21"/>
          <w:szCs w:val="21"/>
          <w:color w:val="auto"/>
        </w:rPr>
      </w:pPr>
    </w:p>
    <w:p>
      <w:pPr>
        <w:ind w:right="60" w:firstLine="1288"/>
        <w:spacing w:after="0" w:line="232" w:lineRule="auto"/>
        <w:tabs>
          <w:tab w:leader="none" w:pos="1905"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an ERISA Event shall have occurred that, when taken together with all other ERISA Events that have occurred, would reasonably be expected to result in a Material Adverse Effect;</w:t>
      </w:r>
    </w:p>
    <w:p>
      <w:pPr>
        <w:spacing w:after="0" w:line="185" w:lineRule="exact"/>
        <w:rPr>
          <w:rFonts w:ascii="Arial" w:cs="Arial" w:eastAsia="Arial" w:hAnsi="Arial"/>
          <w:sz w:val="22"/>
          <w:szCs w:val="22"/>
          <w:color w:val="auto"/>
        </w:rPr>
      </w:pPr>
    </w:p>
    <w:p>
      <w:pPr>
        <w:ind w:left="1920" w:hanging="632"/>
        <w:spacing w:after="0"/>
        <w:tabs>
          <w:tab w:leader="none" w:pos="192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 Change in Control shall occur; or</w:t>
      </w:r>
    </w:p>
    <w:p>
      <w:pPr>
        <w:spacing w:after="0" w:line="219" w:lineRule="exact"/>
        <w:rPr>
          <w:rFonts w:ascii="Arial" w:cs="Arial" w:eastAsia="Arial" w:hAnsi="Arial"/>
          <w:sz w:val="22"/>
          <w:szCs w:val="22"/>
          <w:color w:val="auto"/>
        </w:rPr>
      </w:pPr>
    </w:p>
    <w:p>
      <w:pPr>
        <w:jc w:val="both"/>
        <w:ind w:firstLine="1288"/>
        <w:spacing w:after="0" w:line="218" w:lineRule="auto"/>
        <w:tabs>
          <w:tab w:leader="none" w:pos="1899"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w:t>
      </w:r>
    </w:p>
    <w:p>
      <w:pPr>
        <w:sectPr>
          <w:pgSz w:w="11900" w:h="16838" w:orient="portrait"/>
          <w:cols w:equalWidth="0" w:num="1">
            <w:col w:w="10460"/>
          </w:cols>
          <w:pgMar w:left="1020" w:top="1428" w:right="419" w:bottom="1440" w:gutter="0" w:footer="0" w:header="0"/>
        </w:sectPr>
      </w:pPr>
    </w:p>
    <w:bookmarkStart w:id="221" w:name="page222"/>
    <w:bookmarkEnd w:id="221"/>
    <w:p>
      <w:pPr>
        <w:jc w:val="both"/>
        <w:ind w:left="8" w:right="20"/>
        <w:spacing w:after="0" w:line="224" w:lineRule="auto"/>
        <w:rPr>
          <w:sz w:val="20"/>
          <w:szCs w:val="20"/>
          <w:color w:val="auto"/>
        </w:rPr>
      </w:pPr>
      <w:r>
        <w:rPr>
          <w:rFonts w:ascii="Arial" w:cs="Arial" w:eastAsia="Arial" w:hAnsi="Arial"/>
          <w:sz w:val="21"/>
          <w:szCs w:val="21"/>
          <w:color w:val="auto"/>
        </w:rPr>
        <w:t>of all the 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 5.09), or purports in writing to revoke or rescind any Guarantee Agreement, in each case with respect to a material provision of any such Guarantee Agreement,</w:t>
      </w:r>
    </w:p>
    <w:p>
      <w:pPr>
        <w:spacing w:after="0" w:line="200" w:lineRule="exact"/>
        <w:rPr>
          <w:sz w:val="20"/>
          <w:szCs w:val="20"/>
          <w:color w:val="auto"/>
        </w:rPr>
      </w:pPr>
    </w:p>
    <w:p>
      <w:pPr>
        <w:jc w:val="both"/>
        <w:ind w:left="8" w:right="40"/>
        <w:spacing w:after="0" w:line="208" w:lineRule="auto"/>
        <w:rPr>
          <w:sz w:val="20"/>
          <w:szCs w:val="20"/>
          <w:color w:val="auto"/>
        </w:rPr>
      </w:pPr>
      <w:r>
        <w:rPr>
          <w:rFonts w:ascii="Arial" w:cs="Arial" w:eastAsia="Arial" w:hAnsi="Arial"/>
          <w:sz w:val="22"/>
          <w:szCs w:val="22"/>
          <w:color w:val="auto"/>
        </w:rPr>
        <w:t>then, and in every such event (other than an event with respect to the Borrower described in clause (h), (i) or (j)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w:t>
      </w:r>
    </w:p>
    <w:p>
      <w:pPr>
        <w:spacing w:after="0" w:line="2" w:lineRule="exact"/>
        <w:rPr>
          <w:sz w:val="20"/>
          <w:szCs w:val="20"/>
          <w:color w:val="auto"/>
        </w:rPr>
      </w:pPr>
    </w:p>
    <w:p>
      <w:pPr>
        <w:jc w:val="both"/>
        <w:ind w:left="8" w:right="20" w:hanging="8"/>
        <w:spacing w:after="0" w:line="214" w:lineRule="auto"/>
        <w:tabs>
          <w:tab w:leader="none" w:pos="344" w:val="left"/>
        </w:tabs>
        <w:numPr>
          <w:ilvl w:val="0"/>
          <w:numId w:val="245"/>
        </w:numPr>
        <w:rPr>
          <w:rFonts w:ascii="Arial" w:cs="Arial" w:eastAsia="Arial" w:hAnsi="Arial"/>
          <w:sz w:val="21"/>
          <w:szCs w:val="21"/>
          <w:color w:val="auto"/>
        </w:rPr>
      </w:pPr>
      <w:r>
        <w:rPr>
          <w:rFonts w:ascii="Arial" w:cs="Arial" w:eastAsia="Arial" w:hAnsi="Arial"/>
          <w:sz w:val="21"/>
          <w:szCs w:val="21"/>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w:t>
      </w:r>
    </w:p>
    <w:p>
      <w:pPr>
        <w:spacing w:after="0" w:line="4" w:lineRule="exact"/>
        <w:rPr>
          <w:sz w:val="20"/>
          <w:szCs w:val="20"/>
          <w:color w:val="auto"/>
        </w:rPr>
      </w:pPr>
    </w:p>
    <w:p>
      <w:pPr>
        <w:jc w:val="both"/>
        <w:ind w:left="8" w:right="20" w:hanging="8"/>
        <w:spacing w:after="0" w:line="214" w:lineRule="auto"/>
        <w:tabs>
          <w:tab w:leader="none" w:pos="617" w:val="left"/>
        </w:tabs>
        <w:numPr>
          <w:ilvl w:val="0"/>
          <w:numId w:val="246"/>
        </w:numPr>
        <w:rPr>
          <w:rFonts w:ascii="Arial" w:cs="Arial" w:eastAsia="Arial" w:hAnsi="Arial"/>
          <w:sz w:val="22"/>
          <w:szCs w:val="22"/>
          <w:color w:val="auto"/>
        </w:rPr>
      </w:pPr>
      <w:r>
        <w:rPr>
          <w:rFonts w:ascii="Arial" w:cs="Arial" w:eastAsia="Arial" w:hAnsi="Arial"/>
          <w:sz w:val="22"/>
          <w:szCs w:val="22"/>
          <w:color w:val="auto"/>
        </w:rPr>
        <w:t>or (j) of this Article, the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spacing w:after="0" w:line="268" w:lineRule="exact"/>
        <w:rPr>
          <w:sz w:val="20"/>
          <w:szCs w:val="20"/>
          <w:color w:val="auto"/>
        </w:rPr>
      </w:pPr>
    </w:p>
    <w:p>
      <w:pPr>
        <w:jc w:val="center"/>
        <w:ind w:right="572"/>
        <w:spacing w:after="0"/>
        <w:rPr>
          <w:sz w:val="20"/>
          <w:szCs w:val="20"/>
          <w:color w:val="auto"/>
        </w:rPr>
      </w:pPr>
      <w:r>
        <w:rPr>
          <w:rFonts w:ascii="Arial" w:cs="Arial" w:eastAsia="Arial" w:hAnsi="Arial"/>
          <w:sz w:val="22"/>
          <w:szCs w:val="22"/>
          <w:color w:val="auto"/>
        </w:rPr>
        <w:t>ARTICLE VIII</w:t>
      </w:r>
    </w:p>
    <w:p>
      <w:pPr>
        <w:spacing w:after="0" w:line="200" w:lineRule="exact"/>
        <w:rPr>
          <w:sz w:val="20"/>
          <w:szCs w:val="20"/>
          <w:color w:val="auto"/>
        </w:rPr>
      </w:pPr>
    </w:p>
    <w:p>
      <w:pPr>
        <w:jc w:val="center"/>
        <w:ind w:right="572"/>
        <w:spacing w:after="0"/>
        <w:rPr>
          <w:sz w:val="20"/>
          <w:szCs w:val="20"/>
          <w:color w:val="auto"/>
        </w:rPr>
      </w:pPr>
      <w:r>
        <w:rPr>
          <w:rFonts w:ascii="Arial" w:cs="Arial" w:eastAsia="Arial" w:hAnsi="Arial"/>
          <w:sz w:val="22"/>
          <w:szCs w:val="22"/>
          <w:b w:val="1"/>
          <w:bCs w:val="1"/>
          <w:color w:val="auto"/>
        </w:rPr>
        <w:t>The Administrative Agent</w:t>
      </w:r>
    </w:p>
    <w:p>
      <w:pPr>
        <w:spacing w:after="0" w:line="226" w:lineRule="exact"/>
        <w:rPr>
          <w:sz w:val="20"/>
          <w:szCs w:val="20"/>
          <w:color w:val="auto"/>
        </w:rPr>
      </w:pPr>
    </w:p>
    <w:p>
      <w:pPr>
        <w:jc w:val="both"/>
        <w:ind w:left="8" w:firstLine="1288"/>
        <w:spacing w:after="0" w:line="255" w:lineRule="auto"/>
        <w:tabs>
          <w:tab w:leader="none" w:pos="1908" w:val="left"/>
        </w:tabs>
        <w:numPr>
          <w:ilvl w:val="0"/>
          <w:numId w:val="247"/>
        </w:numPr>
        <w:rPr>
          <w:rFonts w:ascii="Arial" w:cs="Arial" w:eastAsia="Arial" w:hAnsi="Arial"/>
          <w:sz w:val="21"/>
          <w:szCs w:val="21"/>
          <w:color w:val="auto"/>
        </w:rPr>
      </w:pPr>
      <w:r>
        <w:rPr>
          <w:rFonts w:ascii="Arial" w:cs="Arial" w:eastAsia="Arial" w:hAnsi="Arial"/>
          <w:sz w:val="21"/>
          <w:szCs w:val="21"/>
          <w:color w:val="auto"/>
        </w:rPr>
        <w:t>Each of the Lenders and the Issuing 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and the other Loan Documents, together with such actions and powers as are reasonably incidental thereto. The provisions of this Article VIII and Article XI are solely for the benefit of the Administrative Agent, the Lenders and the Issuing Banks,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1" w:lineRule="exact"/>
        <w:rPr>
          <w:rFonts w:ascii="Arial" w:cs="Arial" w:eastAsia="Arial" w:hAnsi="Arial"/>
          <w:sz w:val="21"/>
          <w:szCs w:val="21"/>
          <w:color w:val="auto"/>
        </w:rPr>
      </w:pPr>
    </w:p>
    <w:p>
      <w:pPr>
        <w:jc w:val="both"/>
        <w:ind w:left="8" w:right="20" w:firstLine="1288"/>
        <w:spacing w:after="0" w:line="223" w:lineRule="auto"/>
        <w:tabs>
          <w:tab w:leader="none" w:pos="1907" w:val="left"/>
        </w:tabs>
        <w:numPr>
          <w:ilvl w:val="0"/>
          <w:numId w:val="247"/>
        </w:numPr>
        <w:rPr>
          <w:rFonts w:ascii="Arial" w:cs="Arial" w:eastAsia="Arial" w:hAnsi="Arial"/>
          <w:sz w:val="22"/>
          <w:szCs w:val="22"/>
          <w:color w:val="auto"/>
        </w:rPr>
      </w:pPr>
      <w:r>
        <w:rPr>
          <w:rFonts w:ascii="Arial" w:cs="Arial" w:eastAsia="Arial" w:hAnsi="Arial"/>
          <w:sz w:val="22"/>
          <w:szCs w:val="22"/>
          <w:color w:val="auto"/>
        </w:rPr>
        <w:t>The Person serving as the Administrative Agent hereunder shall have the same rights and powers in its capacity as a Lender as any other Lender and may exercise the same as though it were not the Administrative Agent, and the term “Lender” or “Lenders” shall,</w:t>
      </w:r>
    </w:p>
    <w:p>
      <w:pPr>
        <w:sectPr>
          <w:pgSz w:w="11900" w:h="16838" w:orient="portrait"/>
          <w:cols w:equalWidth="0" w:num="1">
            <w:col w:w="10448"/>
          </w:cols>
          <w:pgMar w:left="1012" w:top="1401" w:right="439" w:bottom="1440" w:gutter="0" w:footer="0" w:header="0"/>
        </w:sectPr>
      </w:pPr>
    </w:p>
    <w:bookmarkStart w:id="222" w:name="page223"/>
    <w:bookmarkEnd w:id="222"/>
    <w:p>
      <w:pPr>
        <w:jc w:val="both"/>
        <w:spacing w:after="0" w:line="249" w:lineRule="auto"/>
        <w:rPr>
          <w:sz w:val="20"/>
          <w:szCs w:val="20"/>
          <w:color w:val="auto"/>
        </w:rPr>
      </w:pPr>
      <w:r>
        <w:rPr>
          <w:rFonts w:ascii="Arial" w:cs="Arial" w:eastAsia="Arial" w:hAnsi="Arial"/>
          <w:sz w:val="19"/>
          <w:szCs w:val="19"/>
          <w:color w:val="auto"/>
        </w:rPr>
        <w:t>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banking, trust, financial, advisory, underwriting or other kind of business with the Loan Parties or any Subsidiary or other Affiliate thereof as if such Person were not the Administrative Agent hereunder and without any duty to account therefor to the Lenders or to provide notice or consent of the Lenders with respect thereto.</w:t>
      </w:r>
    </w:p>
    <w:p>
      <w:pPr>
        <w:spacing w:after="0" w:line="192" w:lineRule="exact"/>
        <w:rPr>
          <w:sz w:val="20"/>
          <w:szCs w:val="20"/>
          <w:color w:val="auto"/>
        </w:rPr>
      </w:pPr>
    </w:p>
    <w:p>
      <w:pPr>
        <w:jc w:val="both"/>
        <w:ind w:right="20" w:firstLine="1288"/>
        <w:spacing w:after="0"/>
        <w:tabs>
          <w:tab w:leader="none" w:pos="19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The Administrative Agent or the Arrangers, as applicable, shall not have any duties or obligations except those expressly set forth herein and in the other Loan Documents, and its or their duties hereunder shall be administrative in nature. Without limiting the generality of the foregoing, the Administrative Agent or the Arrangers, as applicable, and its Related Parties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or any of their Related Parties in any capacity, except for notices, reports and other documents expressly required to be furnished to the Lenders by the Administrative Agent herein; (d)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herein) or (ii) in the absence of its own gross negligence or willful misconduct as determined by a court of competent jurisdiction by final and non-appealable judgment, and the Administrative Agent shall be deemed not to have knowledge of any Default unless and until written notice describing such Default thereof is given to the Administrative Agent by the Borrower, a Lender or an Issuing Bank; and (e) shall not be responsible for or have any duty or obligation to any Lender, any Issuing Bank, any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w:t>
      </w:r>
    </w:p>
    <w:p>
      <w:pPr>
        <w:sectPr>
          <w:pgSz w:w="11900" w:h="16838" w:orient="portrait"/>
          <w:cols w:equalWidth="0" w:num="1">
            <w:col w:w="10440"/>
          </w:cols>
          <w:pgMar w:left="1020" w:top="1401" w:right="439" w:bottom="1440" w:gutter="0" w:footer="0" w:header="0"/>
        </w:sectPr>
      </w:pPr>
    </w:p>
    <w:bookmarkStart w:id="223" w:name="page224"/>
    <w:bookmarkEnd w:id="223"/>
    <w:p>
      <w:pPr>
        <w:jc w:val="both"/>
        <w:spacing w:after="0" w:line="218" w:lineRule="auto"/>
        <w:rPr>
          <w:sz w:val="20"/>
          <w:szCs w:val="20"/>
          <w:color w:val="auto"/>
        </w:rPr>
      </w:pPr>
      <w:r>
        <w:rPr>
          <w:rFonts w:ascii="Arial" w:cs="Arial" w:eastAsia="Arial" w:hAnsi="Arial"/>
          <w:sz w:val="22"/>
          <w:szCs w:val="22"/>
          <w:color w:val="auto"/>
        </w:rPr>
        <w:t>occurrence of any Default, (iv) the validity, enforceability, effectiveness or genuineness of this Agreement or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201" w:lineRule="exact"/>
        <w:rPr>
          <w:sz w:val="20"/>
          <w:szCs w:val="20"/>
          <w:color w:val="auto"/>
        </w:rPr>
      </w:pPr>
    </w:p>
    <w:p>
      <w:pPr>
        <w:jc w:val="both"/>
        <w:ind w:firstLine="1288"/>
        <w:spacing w:after="0" w:line="242" w:lineRule="auto"/>
        <w:tabs>
          <w:tab w:leader="none" w:pos="1899"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288"/>
        <w:spacing w:after="0" w:line="244" w:lineRule="auto"/>
        <w:tabs>
          <w:tab w:leader="none" w:pos="190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1" w:lineRule="exact"/>
        <w:rPr>
          <w:rFonts w:ascii="Arial" w:cs="Arial" w:eastAsia="Arial" w:hAnsi="Arial"/>
          <w:sz w:val="19"/>
          <w:szCs w:val="19"/>
          <w:color w:val="auto"/>
        </w:rPr>
      </w:pPr>
    </w:p>
    <w:p>
      <w:pPr>
        <w:jc w:val="both"/>
        <w:ind w:firstLine="1288"/>
        <w:spacing w:after="0" w:line="244" w:lineRule="auto"/>
        <w:tabs>
          <w:tab w:leader="none" w:pos="1903" w:val="left"/>
        </w:tabs>
        <w:numPr>
          <w:ilvl w:val="0"/>
          <w:numId w:val="249"/>
        </w:numPr>
        <w:rPr>
          <w:rFonts w:ascii="Arial" w:cs="Arial" w:eastAsia="Arial" w:hAnsi="Arial"/>
          <w:sz w:val="19"/>
          <w:szCs w:val="19"/>
          <w:color w:val="auto"/>
        </w:rPr>
      </w:pPr>
      <w:r>
        <w:rPr>
          <w:rFonts w:ascii="Arial" w:cs="Arial" w:eastAsia="Arial" w:hAnsi="Arial"/>
          <w:sz w:val="19"/>
          <w:szCs w:val="19"/>
          <w:color w:val="auto"/>
        </w:rPr>
        <w:t>(i) The Administrative Agent may at any time give notice of its resignation to the Lenders, the Issuing Banks and the Borrower. Upon receipt of any such notice of resignation, the Required Lenders shall have the right, in consultation with the Borrower and (unless an Event of Default under clause (a), (b), (h), (i) or (j) of Article VII shall have occurred and be continuing) with the consent of the Borrower (which consent of the Borrower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then the retiring Administrative Agent may (but shall not be obligated to) on behalf of the Lenders and the Issuing Banks, appoint a successor Administrative Agent meeting</w:t>
      </w:r>
    </w:p>
    <w:p>
      <w:pPr>
        <w:sectPr>
          <w:pgSz w:w="11900" w:h="16838" w:orient="portrait"/>
          <w:cols w:equalWidth="0" w:num="1">
            <w:col w:w="10440"/>
          </w:cols>
          <w:pgMar w:left="1020" w:top="1401" w:right="439" w:bottom="1440" w:gutter="0" w:footer="0" w:header="0"/>
        </w:sectPr>
      </w:pPr>
    </w:p>
    <w:bookmarkStart w:id="224" w:name="page225"/>
    <w:bookmarkEnd w:id="224"/>
    <w:p>
      <w:pPr>
        <w:ind w:right="60"/>
        <w:spacing w:after="0" w:line="232" w:lineRule="auto"/>
        <w:rPr>
          <w:sz w:val="20"/>
          <w:szCs w:val="20"/>
          <w:color w:val="auto"/>
        </w:rPr>
      </w:pPr>
      <w:r>
        <w:rPr>
          <w:rFonts w:ascii="Arial" w:cs="Arial" w:eastAsia="Arial" w:hAnsi="Arial"/>
          <w:sz w:val="22"/>
          <w:szCs w:val="22"/>
          <w:color w:val="auto"/>
        </w:rPr>
        <w:t>the qualifications set forth above. Whether or not a successor has been appointed, such resignation shall become effective in accordance with such notice on the Resignation Effective Date.</w:t>
      </w:r>
    </w:p>
    <w:p>
      <w:pPr>
        <w:spacing w:after="0" w:line="267" w:lineRule="exact"/>
        <w:rPr>
          <w:sz w:val="20"/>
          <w:szCs w:val="20"/>
          <w:color w:val="auto"/>
        </w:rPr>
      </w:pPr>
    </w:p>
    <w:p>
      <w:pPr>
        <w:jc w:val="both"/>
        <w:ind w:left="640" w:firstLine="648"/>
        <w:spacing w:after="0" w:line="242" w:lineRule="auto"/>
        <w:tabs>
          <w:tab w:leader="none" w:pos="188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the Borrower in consultation with the Lenders shall, unless an Event of Default shall have occurred and be continuing, in which case the Required Lenders in consultation with the Borrower shall, appoint a successor, which shall be a bank with an office in the United States, or an Affiliate of any such bank with an office in the United States; provided that, without the consent of the Borrower (not to be unreasonably withheld), the Required Lenders shall not be permitted to select a successor that is not a U.S. financial institution described in Treasury Regulation Section 1.1441-1(b)(2)(ii) or a U.S. branch of a foreign bank described in Treasury Regulation Section 1.1441-1(b)(2) (iv)(A). If no such successor shall have been so appointed and shall have accepted such appointment within 30 days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272" w:lineRule="exact"/>
        <w:rPr>
          <w:rFonts w:ascii="Arial" w:cs="Arial" w:eastAsia="Arial" w:hAnsi="Arial"/>
          <w:sz w:val="19"/>
          <w:szCs w:val="19"/>
          <w:color w:val="auto"/>
        </w:rPr>
      </w:pPr>
    </w:p>
    <w:p>
      <w:pPr>
        <w:ind w:left="640" w:firstLine="648"/>
        <w:spacing w:after="0"/>
        <w:tabs>
          <w:tab w:leader="none" w:pos="1895" w:val="left"/>
        </w:tabs>
        <w:numPr>
          <w:ilvl w:val="0"/>
          <w:numId w:val="250"/>
        </w:numPr>
        <w:rPr>
          <w:rFonts w:ascii="Arial" w:cs="Arial" w:eastAsia="Arial" w:hAnsi="Arial"/>
          <w:sz w:val="19"/>
          <w:szCs w:val="19"/>
          <w:color w:val="auto"/>
        </w:rPr>
      </w:pPr>
      <w:r>
        <w:rPr>
          <w:rFonts w:ascii="Arial" w:cs="Arial" w:eastAsia="Arial" w:hAnsi="Arial"/>
          <w:sz w:val="19"/>
          <w:szCs w:val="19"/>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2.16(e)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VIII, Article XI and Section 9.03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w:t>
      </w:r>
    </w:p>
    <w:p>
      <w:pPr>
        <w:sectPr>
          <w:pgSz w:w="11900" w:h="16838" w:orient="portrait"/>
          <w:cols w:equalWidth="0" w:num="1">
            <w:col w:w="10440"/>
          </w:cols>
          <w:pgMar w:left="1020" w:top="1401" w:right="439" w:bottom="1440" w:gutter="0" w:footer="0" w:header="0"/>
        </w:sectPr>
      </w:pPr>
    </w:p>
    <w:bookmarkStart w:id="225" w:name="page226"/>
    <w:bookmarkEnd w:id="225"/>
    <w:p>
      <w:pPr>
        <w:ind w:left="220"/>
        <w:spacing w:after="0"/>
        <w:rPr>
          <w:sz w:val="20"/>
          <w:szCs w:val="20"/>
          <w:color w:val="auto"/>
        </w:rPr>
      </w:pPr>
      <w:r>
        <w:rPr>
          <w:rFonts w:ascii="Arial" w:cs="Arial" w:eastAsia="Arial" w:hAnsi="Arial"/>
          <w:sz w:val="22"/>
          <w:szCs w:val="22"/>
          <w:color w:val="auto"/>
        </w:rPr>
        <w:t>taken in connection with transferring the agency to any successor Administrative Agent.</w:t>
      </w:r>
    </w:p>
    <w:p>
      <w:pPr>
        <w:spacing w:after="0" w:line="301" w:lineRule="exact"/>
        <w:rPr>
          <w:sz w:val="20"/>
          <w:szCs w:val="20"/>
          <w:color w:val="auto"/>
        </w:rPr>
      </w:pPr>
    </w:p>
    <w:p>
      <w:pPr>
        <w:jc w:val="both"/>
        <w:ind w:left="220" w:right="20" w:firstLine="648"/>
        <w:spacing w:after="0"/>
        <w:tabs>
          <w:tab w:leader="none" w:pos="1477" w:val="left"/>
        </w:tabs>
        <w:numPr>
          <w:ilvl w:val="0"/>
          <w:numId w:val="251"/>
        </w:numPr>
        <w:rPr>
          <w:rFonts w:ascii="Arial" w:cs="Arial" w:eastAsia="Arial" w:hAnsi="Arial"/>
          <w:sz w:val="19"/>
          <w:szCs w:val="19"/>
          <w:color w:val="auto"/>
        </w:rPr>
      </w:pPr>
      <w:r>
        <w:rPr>
          <w:rFonts w:ascii="Arial" w:cs="Arial" w:eastAsia="Arial" w:hAnsi="Arial"/>
          <w:sz w:val="19"/>
          <w:szCs w:val="19"/>
          <w:color w:val="auto"/>
        </w:rPr>
        <w:t>Any resignation by Bank of America as Administrative Agent pursuant to this clause (f) shall also constitute its resignation as an Issuing Bank and Swingline Lender. If Bank of America resigns as an Issuing Bank, it shall retain all the rights, powers, privileges and duties of an Issuing Bank hereunder with respect to all Letters of Credit outstanding as of the effective date of its resignation as Issuing Bank and all Obligations in respect of Letters of Credit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by the Borrower of a successor Issuing Bank or Swingline Lender hereunder (which successor shall in all cases be a Lender other than a Defaulting Lender and shall expressly agree to assume such role), (a) such successor shall succeed to and become vested with all of the rights, powers, privileges and duties of the retiring Issuing Bank or Swingline Lender, as applicable,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0" w:lineRule="exact"/>
        <w:rPr>
          <w:sz w:val="20"/>
          <w:szCs w:val="20"/>
          <w:color w:val="auto"/>
        </w:rPr>
      </w:pPr>
    </w:p>
    <w:p>
      <w:pPr>
        <w:spacing w:after="0" w:line="217" w:lineRule="exact"/>
        <w:rPr>
          <w:sz w:val="20"/>
          <w:szCs w:val="20"/>
          <w:color w:val="auto"/>
        </w:rPr>
      </w:pPr>
    </w:p>
    <w:p>
      <w:pPr>
        <w:jc w:val="both"/>
        <w:ind w:left="-420" w:firstLine="1288"/>
        <w:spacing w:after="0" w:line="241" w:lineRule="auto"/>
        <w:tabs>
          <w:tab w:leader="none" w:pos="147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Each Lender and each Issuing Bank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 Issuing Bank as to any matter, including whether the Administrative Agent or any Arranger have disclosed material information in their (or their Related Parties’) possession. Each Lender and each Issuing Bank represents to the Administrative Agent and the Arrangers that it has, independently and without reliance upon the Administrative Agent, the Arrangers, any other Lender or other Issuing Bank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 without reliance upon the Administrative Agent, the Arrangers, any other Lender or other Issuing Bank or any of their respective Related Parties and based on such documents and information as it shall from time to time</w:t>
      </w:r>
    </w:p>
    <w:p>
      <w:pPr>
        <w:sectPr>
          <w:pgSz w:w="11900" w:h="16838" w:orient="portrait"/>
          <w:cols w:equalWidth="0" w:num="1">
            <w:col w:w="10020"/>
          </w:cols>
          <w:pgMar w:left="1440" w:top="1428" w:right="439" w:bottom="1440" w:gutter="0" w:footer="0" w:header="0"/>
        </w:sectPr>
      </w:pPr>
    </w:p>
    <w:bookmarkStart w:id="226" w:name="page227"/>
    <w:bookmarkEnd w:id="226"/>
    <w:p>
      <w:pPr>
        <w:jc w:val="both"/>
        <w:ind w:left="9"/>
        <w:spacing w:after="0" w:line="279" w:lineRule="auto"/>
        <w:rPr>
          <w:sz w:val="20"/>
          <w:szCs w:val="20"/>
          <w:color w:val="auto"/>
        </w:rPr>
      </w:pPr>
      <w:r>
        <w:rPr>
          <w:rFonts w:ascii="Arial" w:cs="Arial" w:eastAsia="Arial" w:hAnsi="Arial"/>
          <w:sz w:val="19"/>
          <w:szCs w:val="19"/>
          <w:color w:val="auto"/>
        </w:rPr>
        <w:t>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As of the date it becomes a Lender or an Issuing Bank, as applicable, party hereto, each Lender and each Issuing Bank represents and warrants that</w:t>
      </w:r>
    </w:p>
    <w:p>
      <w:pPr>
        <w:spacing w:after="0" w:line="4" w:lineRule="exact"/>
        <w:rPr>
          <w:sz w:val="20"/>
          <w:szCs w:val="20"/>
          <w:color w:val="auto"/>
        </w:rPr>
      </w:pPr>
    </w:p>
    <w:p>
      <w:pPr>
        <w:jc w:val="both"/>
        <w:ind w:left="9" w:hanging="9"/>
        <w:spacing w:after="0" w:line="252" w:lineRule="auto"/>
        <w:tabs>
          <w:tab w:leader="none" w:pos="267" w:val="left"/>
        </w:tabs>
        <w:numPr>
          <w:ilvl w:val="0"/>
          <w:numId w:val="253"/>
        </w:numPr>
        <w:rPr>
          <w:rFonts w:ascii="Arial" w:cs="Arial" w:eastAsia="Arial" w:hAnsi="Arial"/>
          <w:sz w:val="21"/>
          <w:szCs w:val="21"/>
          <w:color w:val="auto"/>
        </w:rPr>
      </w:pPr>
      <w:r>
        <w:rPr>
          <w:rFonts w:ascii="Arial" w:cs="Arial" w:eastAsia="Arial" w:hAnsi="Arial"/>
          <w:sz w:val="21"/>
          <w:szCs w:val="21"/>
          <w:color w:val="auto"/>
        </w:rPr>
        <w:t>it is the intention of such Lender or such Issuing Bank, as applicable, that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6" w:lineRule="exact"/>
        <w:rPr>
          <w:rFonts w:ascii="Arial" w:cs="Arial" w:eastAsia="Arial" w:hAnsi="Arial"/>
          <w:sz w:val="21"/>
          <w:szCs w:val="21"/>
          <w:color w:val="auto"/>
        </w:rPr>
      </w:pPr>
    </w:p>
    <w:p>
      <w:pPr>
        <w:ind w:left="1949" w:hanging="652"/>
        <w:spacing w:after="0"/>
        <w:tabs>
          <w:tab w:leader="none" w:pos="1949" w:val="left"/>
        </w:tabs>
        <w:numPr>
          <w:ilvl w:val="1"/>
          <w:numId w:val="25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9" w:right="20" w:firstLine="1288"/>
        <w:spacing w:after="0" w:line="244" w:lineRule="auto"/>
        <w:tabs>
          <w:tab w:leader="none" w:pos="1914" w:val="left"/>
        </w:tabs>
        <w:numPr>
          <w:ilvl w:val="1"/>
          <w:numId w:val="253"/>
        </w:numPr>
        <w:rPr>
          <w:rFonts w:ascii="Arial" w:cs="Arial" w:eastAsia="Arial" w:hAnsi="Arial"/>
          <w:sz w:val="19"/>
          <w:szCs w:val="19"/>
          <w:color w:val="auto"/>
        </w:rPr>
      </w:pPr>
      <w:r>
        <w:rPr>
          <w:rFonts w:ascii="Arial" w:cs="Arial" w:eastAsia="Arial" w:hAnsi="Arial"/>
          <w:sz w:val="19"/>
          <w:szCs w:val="19"/>
          <w:color w:val="auto"/>
        </w:rPr>
        <w:t>The Lenders and the Issuing Banks irrevocably agree that any Guarantor shall be automatically released from its obligations under the applicable Guarantee if such Person ceases to be a Subsidiary as a result of a transaction permitted hereunder (and the Administrative Agent may rely conclusively on a certificate to that effect provided to it by a Responsible Officer of the Borrower without further inquiry). Upon request by the Administrative Agent at any time, the Required Lenders (or such greater number of Lenders as may be required by Section 9.02) will confirm in writing the Administrative Agent’s authority to release any Guarantor from its 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9" w:right="20" w:firstLine="1288"/>
        <w:spacing w:after="0" w:line="268" w:lineRule="auto"/>
        <w:tabs>
          <w:tab w:leader="none" w:pos="1914" w:val="left"/>
        </w:tabs>
        <w:numPr>
          <w:ilvl w:val="1"/>
          <w:numId w:val="253"/>
        </w:numPr>
        <w:rPr>
          <w:rFonts w:ascii="Arial" w:cs="Arial" w:eastAsia="Arial" w:hAnsi="Arial"/>
          <w:sz w:val="19"/>
          <w:szCs w:val="19"/>
          <w:color w:val="auto"/>
        </w:rPr>
      </w:pPr>
      <w:r>
        <w:rPr>
          <w:rFonts w:ascii="Arial" w:cs="Arial" w:eastAsia="Arial" w:hAnsi="Arial"/>
          <w:sz w:val="19"/>
          <w:szCs w:val="19"/>
          <w:color w:val="auto"/>
        </w:rPr>
        <w:t>Anything herein to the contrary notwithstanding, none of the Arrangers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72" w:lineRule="exact"/>
        <w:rPr>
          <w:rFonts w:ascii="Arial" w:cs="Arial" w:eastAsia="Arial" w:hAnsi="Arial"/>
          <w:sz w:val="19"/>
          <w:szCs w:val="19"/>
          <w:color w:val="auto"/>
        </w:rPr>
      </w:pPr>
    </w:p>
    <w:p>
      <w:pPr>
        <w:jc w:val="both"/>
        <w:ind w:left="9" w:right="20" w:firstLine="1288"/>
        <w:spacing w:after="0" w:line="257" w:lineRule="auto"/>
        <w:tabs>
          <w:tab w:leader="none" w:pos="1908" w:val="left"/>
        </w:tabs>
        <w:numPr>
          <w:ilvl w:val="1"/>
          <w:numId w:val="253"/>
        </w:numPr>
        <w:rPr>
          <w:rFonts w:ascii="Arial" w:cs="Arial" w:eastAsia="Arial" w:hAnsi="Arial"/>
          <w:sz w:val="19"/>
          <w:szCs w:val="19"/>
          <w:color w:val="auto"/>
        </w:rPr>
      </w:pPr>
      <w:r>
        <w:rPr>
          <w:rFonts w:ascii="Arial" w:cs="Arial" w:eastAsia="Arial" w:hAnsi="Arial"/>
          <w:sz w:val="19"/>
          <w:szCs w:val="19"/>
          <w:color w:val="auto"/>
        </w:rPr>
        <w:t>The Administrative Agent and each Arranger hereby informs the Lenders and the Issuing Banks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(x) may receive interest or other</w:t>
      </w:r>
    </w:p>
    <w:p>
      <w:pPr>
        <w:sectPr>
          <w:pgSz w:w="11900" w:h="16838" w:orient="portrait"/>
          <w:cols w:equalWidth="0" w:num="1">
            <w:col w:w="10449"/>
          </w:cols>
          <w:pgMar w:left="1011" w:top="1414" w:right="439" w:bottom="1440" w:gutter="0" w:footer="0" w:header="0"/>
        </w:sectPr>
      </w:pPr>
    </w:p>
    <w:bookmarkStart w:id="227" w:name="page228"/>
    <w:bookmarkEnd w:id="227"/>
    <w:p>
      <w:pPr>
        <w:ind w:left="8"/>
        <w:spacing w:after="0"/>
        <w:rPr>
          <w:sz w:val="20"/>
          <w:szCs w:val="20"/>
          <w:color w:val="auto"/>
        </w:rPr>
      </w:pPr>
      <w:r>
        <w:rPr>
          <w:rFonts w:ascii="Arial" w:cs="Arial" w:eastAsia="Arial" w:hAnsi="Arial"/>
          <w:sz w:val="22"/>
          <w:szCs w:val="22"/>
          <w:color w:val="auto"/>
        </w:rPr>
        <w:t>payments with respect to the Loans, the Letters of Credit, the Commitments and this Agreement,</w:t>
      </w:r>
    </w:p>
    <w:p>
      <w:pPr>
        <w:jc w:val="both"/>
        <w:ind w:left="8" w:right="20" w:hanging="8"/>
        <w:spacing w:after="0" w:line="244" w:lineRule="auto"/>
        <w:tabs>
          <w:tab w:leader="none" w:pos="319" w:val="left"/>
        </w:tabs>
        <w:numPr>
          <w:ilvl w:val="0"/>
          <w:numId w:val="254"/>
        </w:numPr>
        <w:rPr>
          <w:rFonts w:ascii="Arial" w:cs="Arial" w:eastAsia="Arial" w:hAnsi="Arial"/>
          <w:sz w:val="19"/>
          <w:szCs w:val="19"/>
          <w:color w:val="auto"/>
        </w:rPr>
      </w:pPr>
      <w:r>
        <w:rPr>
          <w:rFonts w:ascii="Arial" w:cs="Arial" w:eastAsia="Arial" w:hAnsi="Arial"/>
          <w:sz w:val="19"/>
          <w:szCs w:val="19"/>
          <w:color w:val="auto"/>
        </w:rPr>
        <w:t>may recognize a gain if it extended the Loans, the Letters of Credit or the Commitments for an amount less than the amount being paid for an interest in the Loans, the Letters of Credit or the Commitments by such Lender or (z)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95" w:lineRule="exact"/>
        <w:rPr>
          <w:rFonts w:ascii="Arial" w:cs="Arial" w:eastAsia="Arial" w:hAnsi="Arial"/>
          <w:sz w:val="19"/>
          <w:szCs w:val="19"/>
          <w:color w:val="auto"/>
        </w:rPr>
      </w:pPr>
    </w:p>
    <w:p>
      <w:pPr>
        <w:jc w:val="both"/>
        <w:ind w:left="8" w:firstLine="1287"/>
        <w:spacing w:after="0" w:line="242" w:lineRule="auto"/>
        <w:tabs>
          <w:tab w:leader="none" w:pos="1575" w:val="left"/>
        </w:tabs>
        <w:numPr>
          <w:ilvl w:val="1"/>
          <w:numId w:val="254"/>
        </w:numPr>
        <w:rPr>
          <w:rFonts w:ascii="Arial" w:cs="Arial" w:eastAsia="Arial" w:hAnsi="Arial"/>
          <w:sz w:val="19"/>
          <w:szCs w:val="19"/>
          <w:color w:val="auto"/>
        </w:rPr>
      </w:pPr>
      <w:r>
        <w:rPr>
          <w:rFonts w:ascii="Arial" w:cs="Arial" w:eastAsia="Arial" w:hAnsi="Arial"/>
          <w:sz w:val="19"/>
          <w:szCs w:val="19"/>
          <w:u w:val="single" w:color="auto"/>
          <w:color w:val="auto"/>
        </w:rPr>
        <w:t>Recovery of Erroneous Payments</w:t>
      </w:r>
      <w:r>
        <w:rPr>
          <w:rFonts w:ascii="Arial" w:cs="Arial" w:eastAsia="Arial" w:hAnsi="Arial"/>
          <w:sz w:val="19"/>
          <w:szCs w:val="19"/>
          <w:color w:val="auto"/>
        </w:rPr>
        <w:t>. Without limitation of any other provision in this Agreement, if at any time the Administrative Agent makes a payment hereunder in error to any Lender or any Issuing Bank (each a “</w:t>
      </w:r>
      <w:r>
        <w:rPr>
          <w:rFonts w:ascii="Arial" w:cs="Arial" w:eastAsia="Arial" w:hAnsi="Arial"/>
          <w:sz w:val="19"/>
          <w:szCs w:val="19"/>
          <w:u w:val="single" w:color="auto"/>
          <w:color w:val="auto"/>
        </w:rPr>
        <w:t>Credit Party</w:t>
      </w:r>
      <w:r>
        <w:rPr>
          <w:rFonts w:ascii="Arial" w:cs="Arial" w:eastAsia="Arial" w:hAnsi="Arial"/>
          <w:sz w:val="19"/>
          <w:szCs w:val="19"/>
          <w:color w:val="auto"/>
        </w:rPr>
        <w:t>”),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87" w:lineRule="exact"/>
        <w:rPr>
          <w:sz w:val="20"/>
          <w:szCs w:val="20"/>
          <w:color w:val="auto"/>
        </w:rPr>
      </w:pPr>
    </w:p>
    <w:p>
      <w:pPr>
        <w:ind w:left="4348"/>
        <w:spacing w:after="0"/>
        <w:rPr>
          <w:sz w:val="20"/>
          <w:szCs w:val="20"/>
          <w:color w:val="auto"/>
        </w:rPr>
      </w:pPr>
      <w:r>
        <w:rPr>
          <w:rFonts w:ascii="Arial" w:cs="Arial" w:eastAsia="Arial" w:hAnsi="Arial"/>
          <w:sz w:val="22"/>
          <w:szCs w:val="22"/>
          <w:color w:val="auto"/>
        </w:rPr>
        <w:t>ARTICLE IX</w:t>
      </w:r>
    </w:p>
    <w:p>
      <w:pPr>
        <w:spacing w:after="0" w:line="295" w:lineRule="exact"/>
        <w:rPr>
          <w:sz w:val="20"/>
          <w:szCs w:val="20"/>
          <w:color w:val="auto"/>
        </w:rPr>
      </w:pPr>
    </w:p>
    <w:p>
      <w:pPr>
        <w:ind w:left="4288"/>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ind w:left="648"/>
        <w:spacing w:after="0"/>
        <w:tabs>
          <w:tab w:leader="none" w:pos="2188"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87" w:lineRule="exact"/>
        <w:rPr>
          <w:sz w:val="20"/>
          <w:szCs w:val="20"/>
          <w:color w:val="auto"/>
        </w:rPr>
      </w:pPr>
    </w:p>
    <w:p>
      <w:pPr>
        <w:jc w:val="both"/>
        <w:ind w:left="8" w:firstLine="1288"/>
        <w:spacing w:after="0" w:line="252" w:lineRule="auto"/>
        <w:tabs>
          <w:tab w:leader="none" w:pos="1908" w:val="left"/>
        </w:tabs>
        <w:numPr>
          <w:ilvl w:val="0"/>
          <w:numId w:val="255"/>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9" w:lineRule="exact"/>
        <w:rPr>
          <w:sz w:val="20"/>
          <w:szCs w:val="20"/>
          <w:color w:val="auto"/>
        </w:rPr>
      </w:pPr>
    </w:p>
    <w:p>
      <w:pPr>
        <w:jc w:val="both"/>
        <w:ind w:left="648" w:right="20" w:firstLine="648"/>
        <w:spacing w:after="0" w:line="223" w:lineRule="auto"/>
        <w:tabs>
          <w:tab w:leader="none" w:pos="1905" w:val="left"/>
        </w:tabs>
        <w:numPr>
          <w:ilvl w:val="0"/>
          <w:numId w:val="256"/>
        </w:numPr>
        <w:rPr>
          <w:rFonts w:ascii="Arial" w:cs="Arial" w:eastAsia="Arial" w:hAnsi="Arial"/>
          <w:sz w:val="22"/>
          <w:szCs w:val="22"/>
          <w:color w:val="auto"/>
        </w:rPr>
      </w:pPr>
      <w:r>
        <w:rPr>
          <w:rFonts w:ascii="Arial" w:cs="Arial" w:eastAsia="Arial" w:hAnsi="Arial"/>
          <w:sz w:val="22"/>
          <w:szCs w:val="22"/>
          <w:color w:val="auto"/>
        </w:rPr>
        <w:t xml:space="preserve">if to any Loan Party, the Administrative Agent, any Issuing Bank or the Swingline Lender, to the address, telecopier number, electronic mail address or telephone number specified for such Person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w:t>
      </w:r>
      <w:r>
        <w:rPr>
          <w:rFonts w:ascii="Arial" w:cs="Arial" w:eastAsia="Arial" w:hAnsi="Arial"/>
          <w:sz w:val="22"/>
          <w:szCs w:val="22"/>
          <w:color w:val="auto"/>
        </w:rPr>
        <w:t>; and</w:t>
      </w:r>
    </w:p>
    <w:p>
      <w:pPr>
        <w:sectPr>
          <w:pgSz w:w="11900" w:h="16838" w:orient="portrait"/>
          <w:cols w:equalWidth="0" w:num="1">
            <w:col w:w="10448"/>
          </w:cols>
          <w:pgMar w:left="1012" w:top="1382" w:right="439" w:bottom="1440" w:gutter="0" w:footer="0" w:header="0"/>
        </w:sectPr>
      </w:pPr>
    </w:p>
    <w:bookmarkStart w:id="228" w:name="page229"/>
    <w:bookmarkEnd w:id="228"/>
    <w:p>
      <w:pPr>
        <w:ind w:left="640" w:right="480" w:firstLine="648"/>
        <w:spacing w:after="0" w:line="232" w:lineRule="auto"/>
        <w:tabs>
          <w:tab w:leader="none" w:pos="1889" w:val="left"/>
        </w:tabs>
        <w:numPr>
          <w:ilvl w:val="0"/>
          <w:numId w:val="257"/>
        </w:numPr>
        <w:rPr>
          <w:rFonts w:ascii="Arial" w:cs="Arial" w:eastAsia="Arial" w:hAnsi="Arial"/>
          <w:sz w:val="22"/>
          <w:szCs w:val="22"/>
          <w:color w:val="auto"/>
        </w:rPr>
      </w:pPr>
      <w:r>
        <w:rPr>
          <w:rFonts w:ascii="Arial" w:cs="Arial" w:eastAsia="Arial" w:hAnsi="Arial"/>
          <w:sz w:val="22"/>
          <w:szCs w:val="22"/>
          <w:color w:val="auto"/>
        </w:rPr>
        <w:t>if to any other Lender, to the address, telecopier number, electronic mail address or telephone number specified in its Administrative Questionnaire.</w:t>
      </w:r>
    </w:p>
    <w:p>
      <w:pPr>
        <w:spacing w:after="0" w:line="199" w:lineRule="exact"/>
        <w:rPr>
          <w:sz w:val="20"/>
          <w:szCs w:val="20"/>
          <w:color w:val="auto"/>
        </w:rPr>
      </w:pPr>
    </w:p>
    <w:p>
      <w:pPr>
        <w:jc w:val="both"/>
        <w:ind w:right="40"/>
        <w:spacing w:after="0" w:line="224" w:lineRule="auto"/>
        <w:rPr>
          <w:sz w:val="20"/>
          <w:szCs w:val="20"/>
          <w:color w:val="auto"/>
        </w:rPr>
      </w:pPr>
      <w:r>
        <w:rPr>
          <w:rFonts w:ascii="Arial" w:cs="Arial" w:eastAsia="Arial" w:hAnsi="Arial"/>
          <w:sz w:val="21"/>
          <w:szCs w:val="21"/>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7" w:lineRule="exact"/>
        <w:rPr>
          <w:sz w:val="20"/>
          <w:szCs w:val="20"/>
          <w:color w:val="auto"/>
        </w:rPr>
      </w:pPr>
    </w:p>
    <w:p>
      <w:pPr>
        <w:jc w:val="both"/>
        <w:ind w:firstLine="1288"/>
        <w:spacing w:after="0" w:line="246" w:lineRule="auto"/>
        <w:tabs>
          <w:tab w:leader="none" w:pos="1899"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Issuing Banks hereunder may be delivered or furnished by electronic communication (including e-mail, FpML messaging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Issuing Bank pursuant to Article II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9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3" w:lineRule="exact"/>
        <w:rPr>
          <w:sz w:val="20"/>
          <w:szCs w:val="20"/>
          <w:color w:val="auto"/>
        </w:rPr>
      </w:pPr>
    </w:p>
    <w:p>
      <w:pPr>
        <w:jc w:val="both"/>
        <w:ind w:firstLine="1288"/>
        <w:spacing w:after="0" w:line="218" w:lineRule="auto"/>
        <w:tabs>
          <w:tab w:leader="none" w:pos="1900" w:val="left"/>
        </w:tabs>
        <w:numPr>
          <w:ilvl w:val="0"/>
          <w:numId w:val="259"/>
        </w:numPr>
        <w:rPr>
          <w:rFonts w:ascii="Arial" w:cs="Arial" w:eastAsia="Arial" w:hAnsi="Arial"/>
          <w:sz w:val="21"/>
          <w:szCs w:val="21"/>
          <w:color w:val="auto"/>
        </w:rPr>
      </w:pPr>
      <w:r>
        <w:rPr>
          <w:rFonts w:ascii="Arial" w:cs="Arial" w:eastAsia="Arial" w:hAnsi="Arial"/>
          <w:sz w:val="21"/>
          <w:szCs w:val="21"/>
          <w:u w:val="single" w:color="auto"/>
          <w:color w:val="auto"/>
        </w:rPr>
        <w:t>The Platform</w:t>
      </w:r>
      <w:r>
        <w:rPr>
          <w:rFonts w:ascii="Arial" w:cs="Arial" w:eastAsia="Arial" w:hAnsi="Arial"/>
          <w:sz w:val="21"/>
          <w:szCs w:val="21"/>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xml:space="preserve">”) have any liability to any Loan Party, any Lender, any Issuing Bank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any Agent Party have any liability to any Loan Party, any Lender, any Issuing Bank or any other Person for indirect, special, incidental, consequential or punitive damages (as opposed to direct or actual damages).</w:t>
      </w:r>
    </w:p>
    <w:p>
      <w:pPr>
        <w:sectPr>
          <w:pgSz w:w="11900" w:h="16838" w:orient="portrait"/>
          <w:cols w:equalWidth="0" w:num="1">
            <w:col w:w="10440"/>
          </w:cols>
          <w:pgMar w:left="1020" w:top="1401" w:right="439" w:bottom="1440" w:gutter="0" w:footer="0" w:header="0"/>
        </w:sectPr>
      </w:pPr>
    </w:p>
    <w:bookmarkStart w:id="229" w:name="page230"/>
    <w:bookmarkEnd w:id="229"/>
    <w:p>
      <w:pPr>
        <w:ind w:left="-420" w:right="60" w:firstLine="1288"/>
        <w:spacing w:after="0" w:line="241" w:lineRule="auto"/>
        <w:tabs>
          <w:tab w:leader="none" w:pos="1479"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Borrower (with respect to the notice address for the Loan Parties), the Administrative Agent, any Issuing Bank and the Swingline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spacing w:after="0" w:line="208" w:lineRule="exact"/>
        <w:rPr>
          <w:rFonts w:ascii="Arial" w:cs="Arial" w:eastAsia="Arial" w:hAnsi="Arial"/>
          <w:sz w:val="19"/>
          <w:szCs w:val="19"/>
          <w:color w:val="auto"/>
        </w:rPr>
      </w:pPr>
    </w:p>
    <w:p>
      <w:pPr>
        <w:jc w:val="both"/>
        <w:ind w:left="-420" w:firstLine="1288"/>
        <w:spacing w:after="0" w:line="243" w:lineRule="auto"/>
        <w:tabs>
          <w:tab w:leader="none" w:pos="1480"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Reliance by Administrative Agent, Issuing Banks and Lenders</w:t>
      </w:r>
      <w:r>
        <w:rPr>
          <w:rFonts w:ascii="Arial" w:cs="Arial" w:eastAsia="Arial" w:hAnsi="Arial"/>
          <w:sz w:val="19"/>
          <w:szCs w:val="19"/>
          <w:color w:val="auto"/>
        </w:rPr>
        <w:t>. The Administrative Agent, the Issuing Banks and the Lenders shall be entitled to rely and act upon any notices (including telephonic or electronic notices, Letter of Credit Applications, Borrowing Requests and Swingline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Issuing Bank, each Lender and the Related Parties of each of them from all losses, costs, expenses and liabilities resulting from the reliance by such Person on each notice purportedly given by or on behalf of such Loan Party unless due to such Person’s gross negligence or willful misconduct as determined by a court of competent jurisdiction by final and non-appealable judgment. All telephonic notices to and other telephonic communications with the Administrative Agent may be recorded by the Administrative Agent, and each of the parties hereto hereby consents to such recording.</w:t>
      </w:r>
    </w:p>
    <w:p>
      <w:pPr>
        <w:spacing w:after="0" w:line="186"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Waivers; Amendments</w:t>
      </w:r>
      <w:r>
        <w:rPr>
          <w:rFonts w:ascii="Arial" w:cs="Arial" w:eastAsia="Arial" w:hAnsi="Arial"/>
          <w:sz w:val="19"/>
          <w:szCs w:val="19"/>
          <w:color w:val="auto"/>
        </w:rPr>
        <w:t>.</w:t>
      </w:r>
    </w:p>
    <w:p>
      <w:pPr>
        <w:spacing w:after="0" w:line="220" w:lineRule="exact"/>
        <w:rPr>
          <w:sz w:val="20"/>
          <w:szCs w:val="20"/>
          <w:color w:val="auto"/>
        </w:rPr>
      </w:pPr>
    </w:p>
    <w:p>
      <w:pPr>
        <w:jc w:val="both"/>
        <w:ind w:left="-420" w:right="40" w:firstLine="1288"/>
        <w:spacing w:after="0" w:line="219" w:lineRule="auto"/>
        <w:tabs>
          <w:tab w:leader="none" w:pos="1480" w:val="left"/>
        </w:tabs>
        <w:numPr>
          <w:ilvl w:val="0"/>
          <w:numId w:val="261"/>
        </w:numPr>
        <w:rPr>
          <w:rFonts w:ascii="Arial" w:cs="Arial" w:eastAsia="Arial" w:hAnsi="Arial"/>
          <w:sz w:val="21"/>
          <w:szCs w:val="21"/>
          <w:color w:val="auto"/>
        </w:rPr>
      </w:pPr>
      <w:r>
        <w:rPr>
          <w:rFonts w:ascii="Arial" w:cs="Arial" w:eastAsia="Arial" w:hAnsi="Arial"/>
          <w:sz w:val="21"/>
          <w:szCs w:val="21"/>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204" w:lineRule="exact"/>
        <w:rPr>
          <w:rFonts w:ascii="Arial" w:cs="Arial" w:eastAsia="Arial" w:hAnsi="Arial"/>
          <w:sz w:val="21"/>
          <w:szCs w:val="21"/>
          <w:color w:val="auto"/>
        </w:rPr>
      </w:pPr>
    </w:p>
    <w:p>
      <w:pPr>
        <w:jc w:val="both"/>
        <w:ind w:left="-420" w:firstLine="1288"/>
        <w:spacing w:after="0" w:line="218" w:lineRule="auto"/>
        <w:tabs>
          <w:tab w:leader="none" w:pos="1479" w:val="left"/>
        </w:tabs>
        <w:numPr>
          <w:ilvl w:val="0"/>
          <w:numId w:val="261"/>
        </w:numPr>
        <w:rPr>
          <w:rFonts w:ascii="Arial" w:cs="Arial" w:eastAsia="Arial" w:hAnsi="Arial"/>
          <w:sz w:val="22"/>
          <w:szCs w:val="22"/>
          <w:color w:val="auto"/>
        </w:rPr>
      </w:pPr>
      <w:r>
        <w:rPr>
          <w:rFonts w:ascii="Arial" w:cs="Arial" w:eastAsia="Arial" w:hAnsi="Arial"/>
          <w:sz w:val="22"/>
          <w:szCs w:val="22"/>
          <w:color w:val="auto"/>
        </w:rPr>
        <w:t>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 and the</w:t>
      </w:r>
    </w:p>
    <w:p>
      <w:pPr>
        <w:sectPr>
          <w:pgSz w:w="11900" w:h="16838" w:orient="portrait"/>
          <w:cols w:equalWidth="0" w:num="1">
            <w:col w:w="10020"/>
          </w:cols>
          <w:pgMar w:left="1440" w:top="1347" w:right="439" w:bottom="1440" w:gutter="0" w:footer="0" w:header="0"/>
        </w:sectPr>
      </w:pPr>
    </w:p>
    <w:bookmarkStart w:id="230" w:name="page231"/>
    <w:bookmarkEnd w:id="230"/>
    <w:p>
      <w:pPr>
        <w:jc w:val="both"/>
        <w:ind w:left="8"/>
        <w:spacing w:after="0"/>
        <w:rPr>
          <w:sz w:val="20"/>
          <w:szCs w:val="20"/>
          <w:color w:val="auto"/>
        </w:rPr>
      </w:pPr>
      <w:r>
        <w:rPr>
          <w:rFonts w:ascii="Arial" w:cs="Arial" w:eastAsia="Arial" w:hAnsi="Arial"/>
          <w:sz w:val="19"/>
          <w:szCs w:val="19"/>
          <w:color w:val="auto"/>
        </w:rPr>
        <w:t xml:space="preserve">Required Lenders or by the Borrower and the Administrative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each Lender directly affected thereby, it being understood that a waiver of any condition precedent set forth in Article IV or the waiver of any Default or mandatory prepayment shall not constitute an increase of any Commitment of any Lender, (ii) reduce the principal amount of any Loan or L/C Advance or reduce the rate of interest or premium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the consent of the Required Lenders shall be necessary to amend Section 2.12(f) or to waive any obligation of the Borrower to pay interest at the rate set forth therein, (iii) postpone the scheduled date of payment of the principal amount of any Loan or L/C Advance, or any interest thereon, or any fees payable hereunder, or reduce the amount of, waive or excuse any such payment, or postpone the scheduled date of expiration of any Commitment, without the written consent of each Lender directly affected thereby, it being understood that the waiver of (or amendment to the terms of) any mandatory prepayment of the Loans shall not constitute a postponement of any date scheduled for the payment of principal or interest, (iv) change Section 2.17(b) or (c) in a manner that would alter the pro rata sharing of payments required thereby, without the written consent of each Lender directly affected thereby,</w:t>
      </w:r>
    </w:p>
    <w:p>
      <w:pPr>
        <w:spacing w:after="0" w:line="197" w:lineRule="exact"/>
        <w:rPr>
          <w:sz w:val="20"/>
          <w:szCs w:val="20"/>
          <w:color w:val="auto"/>
        </w:rPr>
      </w:pPr>
    </w:p>
    <w:p>
      <w:pPr>
        <w:jc w:val="both"/>
        <w:ind w:left="8" w:right="40" w:hanging="8"/>
        <w:spacing w:after="0"/>
        <w:tabs>
          <w:tab w:leader="none" w:pos="616"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change any of the provisions of this Section, the definition of “Required Lenders” or the definition of “Alternative Currencies” or any other provision hereof specifying the number or percentage of Lenders required to waive, amend or modify any rights hereunder or make any determination or grant any consent hereunder without the written consent of each Lender, (vi) release all or substantially all of (A) the Guarantors from their obligations under any Guarantee Agreement (other than pursuant to the proviso set forth in Section 5.09) or (B) the value of the Guarantees of the Obligations, without the consent of each Lender or (vii) subordinate the Obligations hereunder to any other Indebtedness or other obligation, without the written consent of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(1) no such agreement shall amend, modify or otherwise affect the rights or duties of the Administrative Agent, any Issuing Bank or the Swingline Lender hereunder without the prior written consent of the Administrative Agent, the relevant Issuing Bank or the Swingline Lender, as the case may be and (2) the Administrative Agent and the Borrower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any Commitments or Loans held or deemed held by any Defaulting Lender shall be excluded for a vote of the Lenders hereunder requiring any consent of less than all affected Lenders).</w:t>
      </w:r>
    </w:p>
    <w:p>
      <w:pPr>
        <w:spacing w:after="0" w:line="200" w:lineRule="exact"/>
        <w:rPr>
          <w:sz w:val="20"/>
          <w:szCs w:val="20"/>
          <w:color w:val="auto"/>
        </w:rPr>
      </w:pPr>
    </w:p>
    <w:p>
      <w:pPr>
        <w:spacing w:after="0" w:line="217" w:lineRule="exact"/>
        <w:rPr>
          <w:sz w:val="20"/>
          <w:szCs w:val="20"/>
          <w:color w:val="auto"/>
        </w:rPr>
      </w:pPr>
    </w:p>
    <w:p>
      <w:pPr>
        <w:jc w:val="both"/>
        <w:ind w:left="8" w:right="20" w:firstLine="648"/>
        <w:spacing w:after="0" w:line="212" w:lineRule="auto"/>
        <w:rPr>
          <w:sz w:val="20"/>
          <w:szCs w:val="20"/>
          <w:color w:val="auto"/>
        </w:rPr>
      </w:pPr>
      <w:r>
        <w:rPr>
          <w:rFonts w:ascii="Arial" w:cs="Arial" w:eastAsia="Arial" w:hAnsi="Arial"/>
          <w:sz w:val="22"/>
          <w:szCs w:val="22"/>
          <w:color w:val="auto"/>
        </w:rPr>
        <w:t>Notwithstanding the foregoing, this Agreement and the other Loan Documents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Exposures and the accrued interest and fees in respect thereof and (ii) to include appropriately the Lenders holding such credit facilities in any determination of the Required Lenders.</w:t>
      </w:r>
    </w:p>
    <w:p>
      <w:pPr>
        <w:spacing w:after="0" w:line="191" w:lineRule="exact"/>
        <w:rPr>
          <w:sz w:val="20"/>
          <w:szCs w:val="20"/>
          <w:color w:val="auto"/>
        </w:rPr>
      </w:pPr>
    </w:p>
    <w:p>
      <w:pPr>
        <w:ind w:left="648"/>
        <w:spacing w:after="0"/>
        <w:tabs>
          <w:tab w:leader="none" w:pos="2188"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w:t>
      </w:r>
    </w:p>
    <w:p>
      <w:pPr>
        <w:spacing w:after="0" w:line="220" w:lineRule="exact"/>
        <w:rPr>
          <w:sz w:val="20"/>
          <w:szCs w:val="20"/>
          <w:color w:val="auto"/>
        </w:rPr>
      </w:pPr>
    </w:p>
    <w:p>
      <w:pPr>
        <w:jc w:val="both"/>
        <w:ind w:left="8" w:right="20" w:firstLine="1288"/>
        <w:spacing w:after="0" w:line="218" w:lineRule="auto"/>
        <w:tabs>
          <w:tab w:leader="none" w:pos="1908"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The Borrower shall pay (i) all reasonable and documented out-of-pocket expenses incurred by the Administrative Agent, the Arrangers and their Affiliates, including the reasonable and documented fees, charges and disbursements of a single counsel for the Arrangers and the Administrative Agent, collectively (and, if necessary, one local counsel in</w:t>
      </w:r>
    </w:p>
    <w:p>
      <w:pPr>
        <w:sectPr>
          <w:pgSz w:w="11900" w:h="16838" w:orient="portrait"/>
          <w:cols w:equalWidth="0" w:num="1">
            <w:col w:w="10448"/>
          </w:cols>
          <w:pgMar w:left="1012" w:top="1347" w:right="439" w:bottom="1440" w:gutter="0" w:footer="0" w:header="0"/>
        </w:sectPr>
      </w:pPr>
    </w:p>
    <w:bookmarkStart w:id="231" w:name="page232"/>
    <w:bookmarkEnd w:id="231"/>
    <w:p>
      <w:pPr>
        <w:jc w:val="both"/>
        <w:ind w:left="8" w:right="20"/>
        <w:spacing w:after="0" w:line="209" w:lineRule="auto"/>
        <w:rPr>
          <w:sz w:val="20"/>
          <w:szCs w:val="20"/>
          <w:color w:val="auto"/>
        </w:rPr>
      </w:pPr>
      <w:r>
        <w:rPr>
          <w:rFonts w:ascii="Arial" w:cs="Arial" w:eastAsia="Arial" w:hAnsi="Arial"/>
          <w:sz w:val="22"/>
          <w:szCs w:val="22"/>
          <w:color w:val="auto"/>
        </w:rPr>
        <w:t>each applicable jurisdiction and regulatory counsel),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w:t>
      </w:r>
    </w:p>
    <w:p>
      <w:pPr>
        <w:spacing w:after="0" w:line="1" w:lineRule="exact"/>
        <w:rPr>
          <w:sz w:val="20"/>
          <w:szCs w:val="20"/>
          <w:color w:val="auto"/>
        </w:rPr>
      </w:pPr>
    </w:p>
    <w:p>
      <w:pPr>
        <w:jc w:val="both"/>
        <w:ind w:left="8" w:hanging="8"/>
        <w:spacing w:after="0" w:line="242" w:lineRule="auto"/>
        <w:tabs>
          <w:tab w:leader="none" w:pos="334"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all reasonable and documented out-of-pocket expenses incurred by the relevant Issuing Bank in connection with the issuance, amendment, renewal or extension of any Letter of Credit or any demand for payment thereunder and (iii) all reasonable and documented out-of-pocket expenses incurred by the Administrative Agent, any Issuing Bank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99" w:lineRule="exact"/>
        <w:rPr>
          <w:rFonts w:ascii="Arial" w:cs="Arial" w:eastAsia="Arial" w:hAnsi="Arial"/>
          <w:sz w:val="19"/>
          <w:szCs w:val="19"/>
          <w:color w:val="auto"/>
        </w:rPr>
      </w:pPr>
    </w:p>
    <w:p>
      <w:pPr>
        <w:jc w:val="both"/>
        <w:ind w:left="8" w:right="40" w:firstLine="1288"/>
        <w:spacing w:after="0"/>
        <w:tabs>
          <w:tab w:leader="none" w:pos="1907" w:val="left"/>
        </w:tabs>
        <w:numPr>
          <w:ilvl w:val="1"/>
          <w:numId w:val="264"/>
        </w:numPr>
        <w:rPr>
          <w:rFonts w:ascii="Arial" w:cs="Arial" w:eastAsia="Arial" w:hAnsi="Arial"/>
          <w:sz w:val="19"/>
          <w:szCs w:val="19"/>
          <w:color w:val="auto"/>
        </w:rPr>
      </w:pPr>
      <w:r>
        <w:rPr>
          <w:rFonts w:ascii="Arial" w:cs="Arial" w:eastAsia="Arial" w:hAnsi="Arial"/>
          <w:sz w:val="19"/>
          <w:szCs w:val="19"/>
          <w:color w:val="auto"/>
        </w:rPr>
        <w:t>The Borrower shall indemnify the Administrative Agent, the Arrangers, each Issuing Bank and each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 (i) the execution or delivery of this Agreement or any agreement or instrument contemplated hereby (including, without limitation, any Indemnitee’s reliance on any Communication executed using an Electronic Signature, or in the form of an Electronic Record), the performance by the parties hereto of their respective obligations 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to the extent relating to or arising from any of the foregoing,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the Borrower, its equityholders or any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Arial" w:cs="Arial" w:eastAsia="Arial" w:hAnsi="Arial"/>
          <w:sz w:val="19"/>
          <w:szCs w:val="19"/>
          <w:u w:val="single" w:color="auto"/>
          <w:color w:val="auto"/>
        </w:rPr>
        <w:t>Related Indemnitee Parties</w:t>
      </w:r>
      <w:r>
        <w:rPr>
          <w:rFonts w:ascii="Arial" w:cs="Arial" w:eastAsia="Arial" w:hAnsi="Arial"/>
          <w:sz w:val="19"/>
          <w:szCs w:val="19"/>
          <w:color w:val="auto"/>
        </w:rPr>
        <w:t>”), (B) the material breach of this Agreement or any other Loan Document by such Indemnitee or any of its Related Indemnitee Parties or (C) any dispute solely among Indemnitees (other than any dispute involving claims against the Administrative Agent, any Arranger, the Swingline Lender or any Issuing Bank, in each case in its capacity as such) and not arising out of any act or omission of the Borrower or any of its Affiliates. In addition, such indemnity shall not, as to any Indemnitee, be available with respect to any settlements effected without the Borrower’s prior written consent.</w:t>
      </w:r>
    </w:p>
    <w:p>
      <w:pPr>
        <w:spacing w:after="0" w:line="394" w:lineRule="exact"/>
        <w:rPr>
          <w:rFonts w:ascii="Arial" w:cs="Arial" w:eastAsia="Arial" w:hAnsi="Arial"/>
          <w:sz w:val="19"/>
          <w:szCs w:val="19"/>
          <w:color w:val="auto"/>
        </w:rPr>
      </w:pPr>
    </w:p>
    <w:p>
      <w:pPr>
        <w:jc w:val="both"/>
        <w:ind w:left="8" w:firstLine="1288"/>
        <w:spacing w:after="0" w:line="218" w:lineRule="auto"/>
        <w:tabs>
          <w:tab w:leader="none" w:pos="1908" w:val="left"/>
        </w:tabs>
        <w:numPr>
          <w:ilvl w:val="1"/>
          <w:numId w:val="264"/>
        </w:numPr>
        <w:rPr>
          <w:rFonts w:ascii="Arial" w:cs="Arial" w:eastAsia="Arial" w:hAnsi="Arial"/>
          <w:sz w:val="22"/>
          <w:szCs w:val="22"/>
          <w:color w:val="auto"/>
        </w:rPr>
      </w:pPr>
      <w:r>
        <w:rPr>
          <w:rFonts w:ascii="Arial" w:cs="Arial" w:eastAsia="Arial" w:hAnsi="Arial"/>
          <w:sz w:val="22"/>
          <w:szCs w:val="22"/>
          <w:color w:val="auto"/>
        </w:rPr>
        <w:t>To the extent that the Borrower fails to pay any amount required to be paid by it to the Administrative Agent, an Issuing Bank or the Swingline Lender under paragraph (a) or (b) of this Section, each Lender severally agrees to pay to the Administrative Agent, the relevant Issuing Bank or the Swingline Lender, as the case may be, such Lender’s pro rata share</w:t>
      </w:r>
    </w:p>
    <w:p>
      <w:pPr>
        <w:sectPr>
          <w:pgSz w:w="11900" w:h="16838" w:orient="portrait"/>
          <w:cols w:equalWidth="0" w:num="1">
            <w:col w:w="10448"/>
          </w:cols>
          <w:pgMar w:left="1012" w:top="1347" w:right="439" w:bottom="1440" w:gutter="0" w:footer="0" w:header="0"/>
        </w:sectPr>
      </w:pPr>
    </w:p>
    <w:bookmarkStart w:id="232" w:name="page233"/>
    <w:bookmarkEnd w:id="232"/>
    <w:p>
      <w:pPr>
        <w:jc w:val="both"/>
        <w:ind w:left="8"/>
        <w:spacing w:after="0" w:line="218" w:lineRule="auto"/>
        <w:rPr>
          <w:sz w:val="20"/>
          <w:szCs w:val="20"/>
          <w:color w:val="auto"/>
        </w:rPr>
      </w:pPr>
      <w:r>
        <w:rPr>
          <w:rFonts w:ascii="Arial" w:cs="Arial" w:eastAsia="Arial" w:hAnsi="Arial"/>
          <w:sz w:val="22"/>
          <w:szCs w:val="22"/>
          <w:color w:val="auto"/>
        </w:rPr>
        <w:t xml:space="preserve">(determined as of the time that the applicable unreimbursed expense or indemnity payment is sought) of such unpaid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269" w:lineRule="exact"/>
        <w:rPr>
          <w:sz w:val="20"/>
          <w:szCs w:val="20"/>
          <w:color w:val="auto"/>
        </w:rPr>
      </w:pPr>
    </w:p>
    <w:p>
      <w:pPr>
        <w:jc w:val="both"/>
        <w:ind w:left="8" w:right="20" w:firstLine="1288"/>
        <w:spacing w:after="0" w:line="221" w:lineRule="auto"/>
        <w:tabs>
          <w:tab w:leader="none" w:pos="1907" w:val="left"/>
        </w:tabs>
        <w:numPr>
          <w:ilvl w:val="0"/>
          <w:numId w:val="265"/>
        </w:numPr>
        <w:rPr>
          <w:rFonts w:ascii="Arial" w:cs="Arial" w:eastAsia="Arial" w:hAnsi="Arial"/>
          <w:sz w:val="21"/>
          <w:szCs w:val="21"/>
          <w:color w:val="auto"/>
        </w:rPr>
      </w:pPr>
      <w:r>
        <w:rPr>
          <w:rFonts w:ascii="Arial" w:cs="Arial" w:eastAsia="Arial" w:hAnsi="Arial"/>
          <w:sz w:val="21"/>
          <w:szCs w:val="21"/>
          <w:color w:val="auto"/>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21"/>
          <w:szCs w:val="21"/>
          <w:u w:val="single" w:color="auto"/>
          <w:color w:val="auto"/>
        </w:rPr>
        <w:t>provided</w:t>
      </w:r>
      <w:r>
        <w:rPr>
          <w:rFonts w:ascii="Arial" w:cs="Arial" w:eastAsia="Arial" w:hAnsi="Arial"/>
          <w:sz w:val="21"/>
          <w:szCs w:val="21"/>
          <w:color w:val="auto"/>
        </w:rPr>
        <w:t>, that this clause (d) shall in no way limit the Borrower’s indemnification obligations set forth in this Section 9.03. No Indemnitee referred to in paragraph (b) above shall be liable for any damages arising from the use by unintended recipients of any information or other materials</w:t>
      </w:r>
    </w:p>
    <w:p>
      <w:pPr>
        <w:spacing w:after="0" w:line="200" w:lineRule="exact"/>
        <w:rPr>
          <w:sz w:val="20"/>
          <w:szCs w:val="20"/>
          <w:color w:val="auto"/>
        </w:rPr>
      </w:pPr>
    </w:p>
    <w:p>
      <w:pPr>
        <w:spacing w:after="0" w:line="289" w:lineRule="exact"/>
        <w:rPr>
          <w:sz w:val="20"/>
          <w:szCs w:val="20"/>
          <w:color w:val="auto"/>
        </w:rPr>
      </w:pPr>
    </w:p>
    <w:p>
      <w:pPr>
        <w:jc w:val="both"/>
        <w:ind w:left="8"/>
        <w:spacing w:after="0" w:line="229" w:lineRule="auto"/>
        <w:rPr>
          <w:sz w:val="20"/>
          <w:szCs w:val="20"/>
          <w:color w:val="auto"/>
        </w:rPr>
      </w:pPr>
      <w:r>
        <w:rPr>
          <w:rFonts w:ascii="Arial" w:cs="Arial" w:eastAsia="Arial" w:hAnsi="Arial"/>
          <w:sz w:val="21"/>
          <w:szCs w:val="21"/>
          <w:color w:val="auto"/>
        </w:rPr>
        <w:t>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80" w:lineRule="exact"/>
        <w:rPr>
          <w:sz w:val="20"/>
          <w:szCs w:val="20"/>
          <w:color w:val="auto"/>
        </w:rPr>
      </w:pPr>
    </w:p>
    <w:p>
      <w:pPr>
        <w:ind w:left="1948" w:hanging="652"/>
        <w:spacing w:after="0"/>
        <w:tabs>
          <w:tab w:leader="none" w:pos="1948" w:val="left"/>
        </w:tabs>
        <w:numPr>
          <w:ilvl w:val="1"/>
          <w:numId w:val="266"/>
        </w:numPr>
        <w:rPr>
          <w:rFonts w:ascii="Arial" w:cs="Arial" w:eastAsia="Arial" w:hAnsi="Arial"/>
          <w:sz w:val="22"/>
          <w:szCs w:val="22"/>
          <w:color w:val="auto"/>
        </w:rPr>
      </w:pPr>
      <w:r>
        <w:rPr>
          <w:rFonts w:ascii="Arial" w:cs="Arial" w:eastAsia="Arial" w:hAnsi="Arial"/>
          <w:sz w:val="22"/>
          <w:szCs w:val="22"/>
          <w:color w:val="auto"/>
        </w:rPr>
        <w:t>All amounts due under this Section shall be payable not later than fifteen</w:t>
      </w:r>
    </w:p>
    <w:p>
      <w:pPr>
        <w:jc w:val="both"/>
        <w:ind w:left="8" w:right="40" w:hanging="8"/>
        <w:spacing w:after="0" w:line="214" w:lineRule="auto"/>
        <w:tabs>
          <w:tab w:leader="none" w:pos="611" w:val="left"/>
        </w:tabs>
        <w:numPr>
          <w:ilvl w:val="0"/>
          <w:numId w:val="267"/>
        </w:numPr>
        <w:rPr>
          <w:rFonts w:ascii="Arial" w:cs="Arial" w:eastAsia="Arial" w:hAnsi="Arial"/>
          <w:sz w:val="22"/>
          <w:szCs w:val="22"/>
          <w:color w:val="auto"/>
        </w:rPr>
      </w:pPr>
      <w:r>
        <w:rPr>
          <w:rFonts w:ascii="Arial" w:cs="Arial" w:eastAsia="Arial" w:hAnsi="Arial"/>
          <w:sz w:val="22"/>
          <w:szCs w:val="22"/>
          <w:color w:val="auto"/>
        </w:rPr>
        <w:t xml:space="preserve">days after written demand therefor;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187" w:lineRule="exact"/>
        <w:rPr>
          <w:sz w:val="20"/>
          <w:szCs w:val="20"/>
          <w:color w:val="auto"/>
        </w:rPr>
      </w:pPr>
    </w:p>
    <w:p>
      <w:pPr>
        <w:ind w:left="648"/>
        <w:spacing w:after="0"/>
        <w:tabs>
          <w:tab w:leader="none" w:pos="2188"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0" w:lineRule="exact"/>
        <w:rPr>
          <w:sz w:val="20"/>
          <w:szCs w:val="20"/>
          <w:color w:val="auto"/>
        </w:rPr>
      </w:pPr>
    </w:p>
    <w:p>
      <w:pPr>
        <w:jc w:val="both"/>
        <w:ind w:left="8" w:firstLine="1288"/>
        <w:spacing w:after="0" w:line="242" w:lineRule="auto"/>
        <w:tabs>
          <w:tab w:leader="none" w:pos="1908" w:val="left"/>
        </w:tabs>
        <w:numPr>
          <w:ilvl w:val="0"/>
          <w:numId w:val="268"/>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Issuing Banks and the Lenders) any legal or equitable right, remedy or claim under or by reason of this Agreement.</w:t>
      </w:r>
    </w:p>
    <w:p>
      <w:pPr>
        <w:spacing w:after="0" w:line="204" w:lineRule="exact"/>
        <w:rPr>
          <w:rFonts w:ascii="Arial" w:cs="Arial" w:eastAsia="Arial" w:hAnsi="Arial"/>
          <w:sz w:val="19"/>
          <w:szCs w:val="19"/>
          <w:color w:val="auto"/>
        </w:rPr>
      </w:pPr>
    </w:p>
    <w:p>
      <w:pPr>
        <w:jc w:val="both"/>
        <w:ind w:left="8" w:right="20" w:firstLine="1288"/>
        <w:spacing w:after="0" w:line="216" w:lineRule="auto"/>
        <w:tabs>
          <w:tab w:leader="none" w:pos="1907"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 Any Lender (the “</w:t>
      </w:r>
      <w:r>
        <w:rPr>
          <w:rFonts w:ascii="Arial" w:cs="Arial" w:eastAsia="Arial" w:hAnsi="Arial"/>
          <w:sz w:val="22"/>
          <w:szCs w:val="22"/>
          <w:u w:val="single" w:color="auto"/>
          <w:color w:val="auto"/>
        </w:rPr>
        <w:t>Existing Lender</w:t>
      </w:r>
      <w:r>
        <w:rPr>
          <w:rFonts w:ascii="Arial" w:cs="Arial" w:eastAsia="Arial" w:hAnsi="Arial"/>
          <w:sz w:val="22"/>
          <w:szCs w:val="22"/>
          <w:color w:val="auto"/>
        </w:rPr>
        <w:t>”) may at any time assign to one or more assignees all or a portion of its rights and obligations under this Agreement (including all or a portion of its Commitment and the Loans (including for purposes of this subsection (b), participations in L/C Disbursement and in Swingline Loans) at the time owing to it) (each such assignee being a “</w:t>
      </w:r>
      <w:r>
        <w:rPr>
          <w:rFonts w:ascii="Arial" w:cs="Arial" w:eastAsia="Arial" w:hAnsi="Arial"/>
          <w:sz w:val="22"/>
          <w:szCs w:val="22"/>
          <w:u w:val="single" w:color="auto"/>
          <w:color w:val="auto"/>
        </w:rPr>
        <w:t>New Lender</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shall be subject to the following conditions:</w:t>
      </w:r>
    </w:p>
    <w:p>
      <w:pPr>
        <w:spacing w:after="0" w:line="185" w:lineRule="exact"/>
        <w:rPr>
          <w:sz w:val="20"/>
          <w:szCs w:val="20"/>
          <w:color w:val="auto"/>
        </w:rPr>
      </w:pPr>
    </w:p>
    <w:p>
      <w:pPr>
        <w:ind w:left="1908" w:hanging="612"/>
        <w:spacing w:after="0"/>
        <w:tabs>
          <w:tab w:leader="none" w:pos="1908" w:val="left"/>
        </w:tabs>
        <w:numPr>
          <w:ilvl w:val="0"/>
          <w:numId w:val="269"/>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ectPr>
          <w:pgSz w:w="11900" w:h="16838" w:orient="portrait"/>
          <w:cols w:equalWidth="0" w:num="1">
            <w:col w:w="10448"/>
          </w:cols>
          <w:pgMar w:left="1012" w:top="1347" w:right="439" w:bottom="1440" w:gutter="0" w:footer="0" w:header="0"/>
        </w:sectPr>
      </w:pPr>
    </w:p>
    <w:bookmarkStart w:id="233" w:name="page234"/>
    <w:bookmarkEnd w:id="233"/>
    <w:p>
      <w:pPr>
        <w:spacing w:after="0" w:line="164" w:lineRule="exact"/>
        <w:rPr>
          <w:sz w:val="20"/>
          <w:szCs w:val="20"/>
          <w:color w:val="auto"/>
        </w:rPr>
      </w:pPr>
    </w:p>
    <w:p>
      <w:pPr>
        <w:jc w:val="both"/>
        <w:ind w:left="220" w:right="60" w:firstLine="648"/>
        <w:spacing w:after="0" w:line="223" w:lineRule="auto"/>
        <w:tabs>
          <w:tab w:leader="none" w:pos="1478"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Commitments and the Loans at the time owing to it or in the case of an assignment to a Lender, an Affiliate of a Lender or an Approved Fund, no minimum amount need be assigned; and</w:t>
      </w:r>
    </w:p>
    <w:p>
      <w:pPr>
        <w:spacing w:after="0" w:line="185" w:lineRule="exact"/>
        <w:rPr>
          <w:rFonts w:ascii="Arial" w:cs="Arial" w:eastAsia="Arial" w:hAnsi="Arial"/>
          <w:sz w:val="22"/>
          <w:szCs w:val="22"/>
          <w:color w:val="auto"/>
        </w:rPr>
      </w:pPr>
    </w:p>
    <w:p>
      <w:pPr>
        <w:jc w:val="both"/>
        <w:ind w:left="220" w:firstLine="648"/>
        <w:spacing w:after="0" w:line="223" w:lineRule="auto"/>
        <w:tabs>
          <w:tab w:leader="none" w:pos="148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in any case not described in subsection (b)(i)(A) of this Section, the aggregate amount of the Commitment (which for this purpose includes Loans outstanding thereunder) or, if the Commitment is not then in effect, the principal outstanding balance</w:t>
      </w:r>
    </w:p>
    <w:p>
      <w:pPr>
        <w:spacing w:after="0" w:line="200" w:lineRule="exact"/>
        <w:rPr>
          <w:sz w:val="20"/>
          <w:szCs w:val="20"/>
          <w:color w:val="auto"/>
        </w:rPr>
      </w:pPr>
    </w:p>
    <w:p>
      <w:pPr>
        <w:spacing w:after="0" w:line="283" w:lineRule="exact"/>
        <w:rPr>
          <w:sz w:val="20"/>
          <w:szCs w:val="20"/>
          <w:color w:val="auto"/>
        </w:rPr>
      </w:pPr>
    </w:p>
    <w:p>
      <w:pPr>
        <w:jc w:val="both"/>
        <w:ind w:left="220" w:right="40"/>
        <w:spacing w:after="0" w:line="220" w:lineRule="auto"/>
        <w:rPr>
          <w:sz w:val="20"/>
          <w:szCs w:val="20"/>
          <w:color w:val="auto"/>
        </w:rPr>
      </w:pPr>
      <w:r>
        <w:rPr>
          <w:rFonts w:ascii="Arial" w:cs="Arial" w:eastAsia="Arial" w:hAnsi="Arial"/>
          <w:sz w:val="21"/>
          <w:szCs w:val="21"/>
          <w:color w:val="auto"/>
        </w:rPr>
        <w:t xml:space="preserve">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Lender is not considered to be part of the public on the basis of such interpretation.</w:t>
      </w:r>
    </w:p>
    <w:p>
      <w:pPr>
        <w:spacing w:after="0" w:line="203" w:lineRule="exact"/>
        <w:rPr>
          <w:sz w:val="20"/>
          <w:szCs w:val="20"/>
          <w:color w:val="auto"/>
        </w:rPr>
      </w:pPr>
    </w:p>
    <w:p>
      <w:pPr>
        <w:jc w:val="both"/>
        <w:ind w:left="220" w:right="40" w:firstLine="648"/>
        <w:spacing w:after="0" w:line="249" w:lineRule="auto"/>
        <w:tabs>
          <w:tab w:leader="none" w:pos="1469" w:val="left"/>
        </w:tabs>
        <w:numPr>
          <w:ilvl w:val="0"/>
          <w:numId w:val="271"/>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the assigning Lender’s rights and obligations under this Agreement with respect to the Loans or the Commitment of the Class being assigned, except that this clause (ii) shall not (A) apply to the Swingline Lender’s rights and obligations in respect of Swingline Loans or (B) prohibit any Lender from assigning all or a portion of its rights and obligations in respect of any Class of Loans or commitments provided hereunder and any other Class of Loans or Commitment provided hereunder on a non-pro rata basis.</w:t>
      </w:r>
    </w:p>
    <w:p>
      <w:pPr>
        <w:spacing w:after="0" w:line="192" w:lineRule="exact"/>
        <w:rPr>
          <w:rFonts w:ascii="Arial" w:cs="Arial" w:eastAsia="Arial" w:hAnsi="Arial"/>
          <w:sz w:val="19"/>
          <w:szCs w:val="19"/>
          <w:color w:val="auto"/>
        </w:rPr>
      </w:pPr>
    </w:p>
    <w:p>
      <w:pPr>
        <w:ind w:left="220" w:right="40" w:firstLine="648"/>
        <w:spacing w:after="0" w:line="232" w:lineRule="auto"/>
        <w:tabs>
          <w:tab w:leader="none" w:pos="1475"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to the extent required by subsection (b)(i)(B) of this Section and, in addition:</w:t>
      </w:r>
    </w:p>
    <w:p>
      <w:pPr>
        <w:spacing w:after="0" w:line="186" w:lineRule="exact"/>
        <w:rPr>
          <w:sz w:val="20"/>
          <w:szCs w:val="20"/>
          <w:color w:val="auto"/>
        </w:rPr>
      </w:pPr>
    </w:p>
    <w:p>
      <w:pPr>
        <w:jc w:val="both"/>
        <w:ind w:left="220" w:firstLine="648"/>
        <w:spacing w:after="0" w:line="214" w:lineRule="auto"/>
        <w:tabs>
          <w:tab w:leader="none" w:pos="1478"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the consent of the Borrower (such consent not to be unreasonably withheld or delayed) shall be required unless an Event of Default pursuant to clause (a), (b), (h), (i) or (j) of Article VII has occurred and is continuing at the time of such assignment or the assignment is made to a Lender, to a Lender’s Affiliate or to an Approved Fund;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199" w:lineRule="exact"/>
        <w:rPr>
          <w:rFonts w:ascii="Arial" w:cs="Arial" w:eastAsia="Arial" w:hAnsi="Arial"/>
          <w:sz w:val="22"/>
          <w:szCs w:val="22"/>
          <w:color w:val="auto"/>
        </w:rPr>
      </w:pPr>
    </w:p>
    <w:p>
      <w:pPr>
        <w:jc w:val="both"/>
        <w:ind w:left="220" w:right="40" w:firstLine="648"/>
        <w:spacing w:after="0" w:line="223" w:lineRule="auto"/>
        <w:tabs>
          <w:tab w:leader="none" w:pos="148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consent of the Administrative Agent (such consent not to be unreasonably withheld or delayed) shall be required for assignments in respect of any Revolving Commitment unless the assignment is to a Lender or its Affiliate;</w:t>
      </w:r>
    </w:p>
    <w:p>
      <w:pPr>
        <w:spacing w:after="0" w:line="185" w:lineRule="exact"/>
        <w:rPr>
          <w:rFonts w:ascii="Arial" w:cs="Arial" w:eastAsia="Arial" w:hAnsi="Arial"/>
          <w:sz w:val="22"/>
          <w:szCs w:val="22"/>
          <w:color w:val="auto"/>
        </w:rPr>
      </w:pPr>
    </w:p>
    <w:p>
      <w:pPr>
        <w:jc w:val="both"/>
        <w:ind w:left="220" w:right="40" w:firstLine="648"/>
        <w:spacing w:after="0" w:line="223" w:lineRule="auto"/>
        <w:tabs>
          <w:tab w:leader="none" w:pos="148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consent of each Issuing Bank (such consent not to be unreasonably withheld or delayed) shall be required for any assignment that increases the obligation of the assignee to participate in exposure under one or more Letters of Credit (whether or not then outstanding); and</w:t>
      </w:r>
    </w:p>
    <w:p>
      <w:pPr>
        <w:sectPr>
          <w:pgSz w:w="11900" w:h="16838" w:orient="portrait"/>
          <w:cols w:equalWidth="0" w:num="1">
            <w:col w:w="10020"/>
          </w:cols>
          <w:pgMar w:left="1440" w:top="1440" w:right="439" w:bottom="1440" w:gutter="0" w:footer="0" w:header="0"/>
        </w:sectPr>
      </w:pPr>
    </w:p>
    <w:bookmarkStart w:id="234" w:name="page235"/>
    <w:bookmarkEnd w:id="234"/>
    <w:p>
      <w:pPr>
        <w:ind w:left="220" w:right="40" w:firstLine="648"/>
        <w:spacing w:after="0" w:line="232" w:lineRule="auto"/>
        <w:tabs>
          <w:tab w:leader="none" w:pos="1478" w:val="left"/>
        </w:tabs>
        <w:numPr>
          <w:ilvl w:val="0"/>
          <w:numId w:val="273"/>
        </w:numPr>
        <w:rPr>
          <w:rFonts w:ascii="Arial" w:cs="Arial" w:eastAsia="Arial" w:hAnsi="Arial"/>
          <w:sz w:val="22"/>
          <w:szCs w:val="22"/>
          <w:color w:val="auto"/>
        </w:rPr>
      </w:pPr>
      <w:r>
        <w:rPr>
          <w:rFonts w:ascii="Arial" w:cs="Arial" w:eastAsia="Arial" w:hAnsi="Arial"/>
          <w:sz w:val="22"/>
          <w:szCs w:val="22"/>
          <w:color w:val="auto"/>
        </w:rPr>
        <w:t>the consent of the Swingline Lender (such consent not to be unreasonably withheld or delayed) shall be required for any assignment in respect of the Revolving Loans.</w:t>
      </w:r>
    </w:p>
    <w:p>
      <w:pPr>
        <w:spacing w:after="0" w:line="200" w:lineRule="exact"/>
        <w:rPr>
          <w:sz w:val="20"/>
          <w:szCs w:val="20"/>
          <w:color w:val="auto"/>
        </w:rPr>
      </w:pPr>
    </w:p>
    <w:p>
      <w:pPr>
        <w:spacing w:after="0" w:line="283" w:lineRule="exact"/>
        <w:rPr>
          <w:sz w:val="20"/>
          <w:szCs w:val="20"/>
          <w:color w:val="auto"/>
        </w:rPr>
      </w:pPr>
    </w:p>
    <w:p>
      <w:pPr>
        <w:jc w:val="both"/>
        <w:ind w:left="220" w:right="40" w:firstLine="648"/>
        <w:spacing w:after="0" w:line="214" w:lineRule="auto"/>
        <w:tabs>
          <w:tab w:leader="none" w:pos="1477" w:val="left"/>
        </w:tabs>
        <w:numPr>
          <w:ilvl w:val="1"/>
          <w:numId w:val="274"/>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Administrative Agent may, in its sole discretion, elect to waive such processing and recordation fee in the case of any assignment. The assignee, if it is not a Lender, shall deliver to the Administrative Agent an Administrative Questionnaire and any tax forms required by Section 2.16(e).</w:t>
      </w:r>
    </w:p>
    <w:p>
      <w:pPr>
        <w:spacing w:after="0" w:line="199" w:lineRule="exact"/>
        <w:rPr>
          <w:rFonts w:ascii="Arial" w:cs="Arial" w:eastAsia="Arial" w:hAnsi="Arial"/>
          <w:sz w:val="22"/>
          <w:szCs w:val="22"/>
          <w:color w:val="auto"/>
        </w:rPr>
      </w:pPr>
    </w:p>
    <w:p>
      <w:pPr>
        <w:ind w:left="220" w:right="20" w:firstLine="648"/>
        <w:spacing w:after="0" w:line="232" w:lineRule="auto"/>
        <w:tabs>
          <w:tab w:leader="none" w:pos="1471" w:val="left"/>
        </w:tabs>
        <w:numPr>
          <w:ilvl w:val="1"/>
          <w:numId w:val="274"/>
        </w:numPr>
        <w:rPr>
          <w:rFonts w:ascii="Arial" w:cs="Arial" w:eastAsia="Arial" w:hAnsi="Arial"/>
          <w:sz w:val="22"/>
          <w:szCs w:val="22"/>
          <w:color w:val="auto"/>
        </w:rPr>
      </w:pPr>
      <w:r>
        <w:rPr>
          <w:rFonts w:ascii="Arial" w:cs="Arial" w:eastAsia="Arial" w:hAnsi="Arial"/>
          <w:sz w:val="22"/>
          <w:szCs w:val="22"/>
          <w:u w:val="single" w:color="auto"/>
          <w:color w:val="auto"/>
        </w:rPr>
        <w:t>No Assignment to Loan Parties</w:t>
      </w:r>
      <w:r>
        <w:rPr>
          <w:rFonts w:ascii="Arial" w:cs="Arial" w:eastAsia="Arial" w:hAnsi="Arial"/>
          <w:sz w:val="22"/>
          <w:szCs w:val="22"/>
          <w:color w:val="auto"/>
        </w:rPr>
        <w:t>. No such assignment shall be made to any Loan Party or any Loan Party’s Affiliates or Subsidiaries.</w:t>
      </w:r>
    </w:p>
    <w:p>
      <w:pPr>
        <w:spacing w:after="0" w:line="185" w:lineRule="exact"/>
        <w:rPr>
          <w:rFonts w:ascii="Arial" w:cs="Arial" w:eastAsia="Arial" w:hAnsi="Arial"/>
          <w:sz w:val="22"/>
          <w:szCs w:val="22"/>
          <w:color w:val="auto"/>
        </w:rPr>
      </w:pPr>
    </w:p>
    <w:p>
      <w:pPr>
        <w:ind w:left="1480" w:hanging="612"/>
        <w:spacing w:after="0"/>
        <w:tabs>
          <w:tab w:leader="none" w:pos="1480" w:val="left"/>
        </w:tabs>
        <w:numPr>
          <w:ilvl w:val="1"/>
          <w:numId w:val="274"/>
        </w:numPr>
        <w:rPr>
          <w:rFonts w:ascii="Arial" w:cs="Arial" w:eastAsia="Arial" w:hAnsi="Arial"/>
          <w:sz w:val="21"/>
          <w:szCs w:val="21"/>
          <w:color w:val="auto"/>
        </w:rPr>
      </w:pPr>
      <w:r>
        <w:rPr>
          <w:rFonts w:ascii="Arial" w:cs="Arial" w:eastAsia="Arial" w:hAnsi="Arial"/>
          <w:sz w:val="21"/>
          <w:szCs w:val="21"/>
          <w:u w:val="single" w:color="auto"/>
          <w:color w:val="auto"/>
        </w:rPr>
        <w:t>No Assignment to Natural Persons</w:t>
      </w:r>
      <w:r>
        <w:rPr>
          <w:rFonts w:ascii="Arial" w:cs="Arial" w:eastAsia="Arial" w:hAnsi="Arial"/>
          <w:sz w:val="21"/>
          <w:szCs w:val="21"/>
          <w:color w:val="auto"/>
        </w:rPr>
        <w:t>. No such assignment shall be made to a natural person.</w:t>
      </w:r>
    </w:p>
    <w:p>
      <w:pPr>
        <w:spacing w:after="0" w:line="231" w:lineRule="exact"/>
        <w:rPr>
          <w:rFonts w:ascii="Arial" w:cs="Arial" w:eastAsia="Arial" w:hAnsi="Arial"/>
          <w:sz w:val="21"/>
          <w:szCs w:val="21"/>
          <w:color w:val="auto"/>
        </w:rPr>
      </w:pPr>
    </w:p>
    <w:p>
      <w:pPr>
        <w:jc w:val="both"/>
        <w:ind w:left="220" w:firstLine="648"/>
        <w:spacing w:after="0" w:line="241" w:lineRule="auto"/>
        <w:tabs>
          <w:tab w:leader="none" w:pos="1469" w:val="left"/>
        </w:tabs>
        <w:numPr>
          <w:ilvl w:val="1"/>
          <w:numId w:val="274"/>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Administrative Agent and the Borrower,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Issuing Bank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ind w:left="1480" w:hanging="612"/>
        <w:spacing w:after="0"/>
        <w:tabs>
          <w:tab w:leader="none" w:pos="1480" w:val="left"/>
        </w:tabs>
        <w:numPr>
          <w:ilvl w:val="1"/>
          <w:numId w:val="274"/>
        </w:numPr>
        <w:rPr>
          <w:rFonts w:ascii="Arial" w:cs="Arial" w:eastAsia="Arial" w:hAnsi="Arial"/>
          <w:sz w:val="19"/>
          <w:szCs w:val="19"/>
          <w:color w:val="auto"/>
        </w:rPr>
      </w:pPr>
      <w:r>
        <w:rPr>
          <w:rFonts w:ascii="Arial" w:cs="Arial" w:eastAsia="Arial" w:hAnsi="Arial"/>
          <w:sz w:val="19"/>
          <w:szCs w:val="19"/>
          <w:color w:val="auto"/>
        </w:rPr>
        <w:t>Subject to acceptance and recording thereof by the Administrative Agent pursuant to subsection</w:t>
      </w:r>
    </w:p>
    <w:p>
      <w:pPr>
        <w:spacing w:after="0" w:line="15" w:lineRule="exact"/>
        <w:rPr>
          <w:rFonts w:ascii="Arial" w:cs="Arial" w:eastAsia="Arial" w:hAnsi="Arial"/>
          <w:sz w:val="19"/>
          <w:szCs w:val="19"/>
          <w:color w:val="auto"/>
        </w:rPr>
      </w:pPr>
    </w:p>
    <w:p>
      <w:pPr>
        <w:jc w:val="both"/>
        <w:ind w:left="220" w:right="20"/>
        <w:spacing w:after="0" w:line="218" w:lineRule="auto"/>
        <w:tabs>
          <w:tab w:leader="none" w:pos="523" w:val="left"/>
        </w:tabs>
        <w:numPr>
          <w:ilvl w:val="0"/>
          <w:numId w:val="275"/>
        </w:numPr>
        <w:rPr>
          <w:rFonts w:ascii="Arial" w:cs="Arial" w:eastAsia="Arial" w:hAnsi="Arial"/>
          <w:sz w:val="21"/>
          <w:szCs w:val="21"/>
          <w:color w:val="auto"/>
        </w:rPr>
      </w:pPr>
      <w:r>
        <w:rPr>
          <w:rFonts w:ascii="Arial" w:cs="Arial" w:eastAsia="Arial" w:hAnsi="Arial"/>
          <w:sz w:val="21"/>
          <w:szCs w:val="21"/>
          <w:color w:val="auto"/>
        </w:rPr>
        <w:t xml:space="preserve">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that except to the extent otherwise expressly agreed by the affected parties, no assignment by a Defaulting Lender will constitute a waiver or release of any claim of any party hereunder arising from that Lender’s having been a Defaulting Lender.</w:t>
      </w:r>
    </w:p>
    <w:p>
      <w:pPr>
        <w:sectPr>
          <w:pgSz w:w="11900" w:h="16838" w:orient="portrait"/>
          <w:cols w:equalWidth="0" w:num="1">
            <w:col w:w="10020"/>
          </w:cols>
          <w:pgMar w:left="1440" w:top="1347" w:right="439" w:bottom="1440" w:gutter="0" w:footer="0" w:header="0"/>
        </w:sectPr>
      </w:pPr>
    </w:p>
    <w:bookmarkStart w:id="235" w:name="page236"/>
    <w:bookmarkEnd w:id="235"/>
    <w:p>
      <w:pPr>
        <w:jc w:val="both"/>
        <w:ind w:left="620" w:right="40"/>
        <w:spacing w:after="0" w:line="229" w:lineRule="auto"/>
        <w:rPr>
          <w:sz w:val="20"/>
          <w:szCs w:val="20"/>
          <w:color w:val="auto"/>
        </w:rPr>
      </w:pPr>
      <w:r>
        <w:rPr>
          <w:rFonts w:ascii="Arial" w:cs="Arial" w:eastAsia="Arial" w:hAnsi="Arial"/>
          <w:sz w:val="21"/>
          <w:szCs w:val="21"/>
          <w:color w:val="auto"/>
        </w:rPr>
        <w:t>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9" w:lineRule="exact"/>
        <w:rPr>
          <w:sz w:val="20"/>
          <w:szCs w:val="20"/>
          <w:color w:val="auto"/>
        </w:rPr>
      </w:pPr>
    </w:p>
    <w:p>
      <w:pPr>
        <w:ind w:left="-20" w:firstLine="1288"/>
        <w:spacing w:after="0" w:line="220" w:lineRule="auto"/>
        <w:tabs>
          <w:tab w:leader="none" w:pos="1880" w:val="left"/>
        </w:tabs>
        <w:numPr>
          <w:ilvl w:val="0"/>
          <w:numId w:val="276"/>
        </w:numPr>
        <w:rPr>
          <w:rFonts w:ascii="Arial" w:cs="Arial" w:eastAsia="Arial" w:hAnsi="Arial"/>
          <w:sz w:val="21"/>
          <w:szCs w:val="21"/>
          <w:color w:val="auto"/>
        </w:rPr>
      </w:pPr>
      <w:r>
        <w:rPr>
          <w:rFonts w:ascii="Arial" w:cs="Arial" w:eastAsia="Arial" w:hAnsi="Arial"/>
          <w:sz w:val="21"/>
          <w:szCs w:val="21"/>
          <w:u w:val="single" w:color="auto"/>
          <w:color w:val="auto"/>
        </w:rPr>
        <w:t>Register</w:t>
      </w:r>
      <w:r>
        <w:rPr>
          <w:rFonts w:ascii="Arial" w:cs="Arial" w:eastAsia="Arial" w:hAnsi="Arial"/>
          <w:sz w:val="21"/>
          <w:szCs w:val="21"/>
          <w:color w:val="auto"/>
        </w:rPr>
        <w:t>. The Administrative Agent, acting solely for this purpose as a non-fiduciary agent of the Borrower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Loans and L/C Disbursements owing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9" w:lineRule="exact"/>
        <w:rPr>
          <w:rFonts w:ascii="Arial" w:cs="Arial" w:eastAsia="Arial" w:hAnsi="Arial"/>
          <w:sz w:val="21"/>
          <w:szCs w:val="21"/>
          <w:color w:val="auto"/>
        </w:rPr>
      </w:pPr>
    </w:p>
    <w:p>
      <w:pPr>
        <w:jc w:val="both"/>
        <w:ind w:left="-20" w:firstLine="1288"/>
        <w:spacing w:after="0" w:line="243" w:lineRule="auto"/>
        <w:tabs>
          <w:tab w:leader="none" w:pos="1879"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(the “</w:t>
      </w:r>
      <w:r>
        <w:rPr>
          <w:rFonts w:ascii="Arial" w:cs="Arial" w:eastAsia="Arial" w:hAnsi="Arial"/>
          <w:sz w:val="19"/>
          <w:szCs w:val="19"/>
          <w:u w:val="single" w:color="auto"/>
          <w:color w:val="auto"/>
        </w:rPr>
        <w:t>Existing Lender</w:t>
      </w:r>
      <w:r>
        <w:rPr>
          <w:rFonts w:ascii="Arial" w:cs="Arial" w:eastAsia="Arial" w:hAnsi="Arial"/>
          <w:sz w:val="19"/>
          <w:szCs w:val="19"/>
          <w:color w:val="auto"/>
        </w:rPr>
        <w:t>”) may at any time, without the consent of, or notice to, the Borrower, the Administrative Agent, Swingline Lender or Issuing Bank, sell participations to any Person (other than a natural person, a Defaulting Lender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or a “</w:t>
      </w:r>
      <w:r>
        <w:rPr>
          <w:rFonts w:ascii="Arial" w:cs="Arial" w:eastAsia="Arial" w:hAnsi="Arial"/>
          <w:sz w:val="19"/>
          <w:szCs w:val="19"/>
          <w:u w:val="single" w:color="auto"/>
          <w:color w:val="auto"/>
        </w:rPr>
        <w:t>New Lender</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Disbursements and/or Swingline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Issuing Banks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200" w:lineRule="exact"/>
        <w:rPr>
          <w:sz w:val="20"/>
          <w:szCs w:val="20"/>
          <w:color w:val="auto"/>
        </w:rPr>
      </w:pPr>
    </w:p>
    <w:p>
      <w:pPr>
        <w:spacing w:after="0" w:line="220" w:lineRule="exact"/>
        <w:rPr>
          <w:sz w:val="20"/>
          <w:szCs w:val="20"/>
          <w:color w:val="auto"/>
        </w:rPr>
      </w:pPr>
    </w:p>
    <w:p>
      <w:pPr>
        <w:jc w:val="both"/>
        <w:ind w:right="40" w:firstLine="1976"/>
        <w:spacing w:after="0" w:line="217" w:lineRule="auto"/>
        <w:rPr>
          <w:sz w:val="20"/>
          <w:szCs w:val="20"/>
          <w:color w:val="auto"/>
        </w:rPr>
      </w:pPr>
      <w:r>
        <w:rPr>
          <w:rFonts w:ascii="Arial" w:cs="Arial" w:eastAsia="Arial" w:hAnsi="Arial"/>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agreement or instrument may provide that such Lender will not, without the consent of the Participant, agree to any amendment, waiver or other modification described in Section 9.02(b)(i) that affects such Participant. Subject to subsection (e) of this Section, the Borrower agrees that each Participant shall be entitled to the benefits of Sections 2.14, 2.15 and</w:t>
      </w:r>
    </w:p>
    <w:p>
      <w:pPr>
        <w:spacing w:after="0" w:line="4" w:lineRule="exact"/>
        <w:rPr>
          <w:sz w:val="20"/>
          <w:szCs w:val="20"/>
          <w:color w:val="auto"/>
        </w:rPr>
      </w:pPr>
    </w:p>
    <w:p>
      <w:pPr>
        <w:jc w:val="both"/>
        <w:ind w:right="40"/>
        <w:spacing w:after="0" w:line="221" w:lineRule="auto"/>
        <w:rPr>
          <w:sz w:val="20"/>
          <w:szCs w:val="20"/>
          <w:color w:val="auto"/>
        </w:rPr>
      </w:pPr>
      <w:r>
        <w:rPr>
          <w:rFonts w:ascii="Arial" w:cs="Arial" w:eastAsia="Arial" w:hAnsi="Arial"/>
          <w:sz w:val="21"/>
          <w:szCs w:val="21"/>
          <w:color w:val="auto"/>
        </w:rPr>
        <w:t>2.16 (subject to the requirements and limitations therein, including the requirements under Section 2.16(e)) to the same extent as if it were a Lender and had acquired its interest by assignment pursuant to subsection (b) of this Section. To the extent permitted by law, each Participant also shall be entitled to the benefits of Section 9.08 as though it were a Lender, provided such Participant agrees to be subject to Sections 2.17 and 2.18 as though it were a Lender. Each Lender that sells a participation shall, acting solely for this purpose as a non-fiduciary agent of the Borrower, maintain a register on which it enters the name and address</w:t>
      </w:r>
    </w:p>
    <w:p>
      <w:pPr>
        <w:sectPr>
          <w:pgSz w:w="11900" w:h="16838" w:orient="portrait"/>
          <w:cols w:equalWidth="0" w:num="1">
            <w:col w:w="10400"/>
          </w:cols>
          <w:pgMar w:left="1040" w:top="1401" w:right="459" w:bottom="1440" w:gutter="0" w:footer="0" w:header="0"/>
        </w:sectPr>
      </w:pPr>
    </w:p>
    <w:bookmarkStart w:id="236" w:name="page237"/>
    <w:bookmarkEnd w:id="236"/>
    <w:p>
      <w:pPr>
        <w:jc w:val="both"/>
        <w:ind w:right="40"/>
        <w:spacing w:after="0" w:line="244" w:lineRule="auto"/>
        <w:rPr>
          <w:sz w:val="20"/>
          <w:szCs w:val="20"/>
          <w:color w:val="auto"/>
        </w:rPr>
      </w:pPr>
      <w:r>
        <w:rPr>
          <w:rFonts w:ascii="Arial" w:cs="Arial" w:eastAsia="Arial" w:hAnsi="Arial"/>
          <w:sz w:val="19"/>
          <w:szCs w:val="19"/>
          <w:color w:val="auto"/>
        </w:rPr>
        <w:t>of each Participant and the principal amounts and interest thereon of each participant’s interest in the Loans or other obligations under this Agreement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5" w:lineRule="exact"/>
        <w:rPr>
          <w:sz w:val="20"/>
          <w:szCs w:val="20"/>
          <w:color w:val="auto"/>
        </w:rPr>
      </w:pPr>
    </w:p>
    <w:p>
      <w:pPr>
        <w:ind w:left="1920" w:hanging="652"/>
        <w:spacing w:after="0"/>
        <w:tabs>
          <w:tab w:leader="none" w:pos="1920"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Limitations upon New Lender Rights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20" w:hanging="604"/>
        <w:spacing w:after="0"/>
        <w:tabs>
          <w:tab w:leader="none" w:pos="2520" w:val="left"/>
        </w:tabs>
        <w:numPr>
          <w:ilvl w:val="1"/>
          <w:numId w:val="277"/>
        </w:numPr>
        <w:rPr>
          <w:rFonts w:ascii="Arial" w:cs="Arial" w:eastAsia="Arial" w:hAnsi="Arial"/>
          <w:sz w:val="22"/>
          <w:szCs w:val="22"/>
          <w:color w:val="auto"/>
        </w:rPr>
      </w:pPr>
      <w:r>
        <w:rPr>
          <w:rFonts w:ascii="Arial" w:cs="Arial" w:eastAsia="Arial" w:hAnsi="Arial"/>
          <w:sz w:val="22"/>
          <w:szCs w:val="22"/>
          <w:color w:val="auto"/>
        </w:rPr>
        <w:t>Subject to Section 9.04(e)(ii) below, if:</w:t>
      </w:r>
    </w:p>
    <w:p>
      <w:pPr>
        <w:spacing w:after="0" w:line="219" w:lineRule="exact"/>
        <w:rPr>
          <w:rFonts w:ascii="Arial" w:cs="Arial" w:eastAsia="Arial" w:hAnsi="Arial"/>
          <w:sz w:val="22"/>
          <w:szCs w:val="22"/>
          <w:color w:val="auto"/>
        </w:rPr>
      </w:pPr>
    </w:p>
    <w:p>
      <w:pPr>
        <w:ind w:left="1260" w:right="40" w:firstLine="1304"/>
        <w:spacing w:after="0" w:line="232" w:lineRule="auto"/>
        <w:tabs>
          <w:tab w:leader="none" w:pos="3166" w:val="left"/>
        </w:tabs>
        <w:numPr>
          <w:ilvl w:val="2"/>
          <w:numId w:val="277"/>
        </w:numPr>
        <w:rPr>
          <w:rFonts w:ascii="Arial" w:cs="Arial" w:eastAsia="Arial" w:hAnsi="Arial"/>
          <w:sz w:val="22"/>
          <w:szCs w:val="22"/>
          <w:color w:val="auto"/>
        </w:rPr>
      </w:pPr>
      <w:r>
        <w:rPr>
          <w:rFonts w:ascii="Arial" w:cs="Arial" w:eastAsia="Arial" w:hAnsi="Arial"/>
          <w:sz w:val="22"/>
          <w:szCs w:val="22"/>
          <w:color w:val="auto"/>
        </w:rPr>
        <w:t>a Lender assigns, transfers, sells, pledges or assigns a security interest in any of its rights or obligations under this Agreement or changes its Lending Office; and</w:t>
      </w:r>
    </w:p>
    <w:p>
      <w:pPr>
        <w:spacing w:after="0" w:line="199" w:lineRule="exact"/>
        <w:rPr>
          <w:rFonts w:ascii="Arial" w:cs="Arial" w:eastAsia="Arial" w:hAnsi="Arial"/>
          <w:sz w:val="22"/>
          <w:szCs w:val="22"/>
          <w:color w:val="auto"/>
        </w:rPr>
      </w:pPr>
    </w:p>
    <w:p>
      <w:pPr>
        <w:jc w:val="both"/>
        <w:ind w:left="1260" w:firstLine="1304"/>
        <w:spacing w:after="0" w:line="218" w:lineRule="auto"/>
        <w:tabs>
          <w:tab w:leader="none" w:pos="3168" w:val="left"/>
        </w:tabs>
        <w:numPr>
          <w:ilvl w:val="2"/>
          <w:numId w:val="277"/>
        </w:numPr>
        <w:rPr>
          <w:rFonts w:ascii="Arial" w:cs="Arial" w:eastAsia="Arial" w:hAnsi="Arial"/>
          <w:sz w:val="22"/>
          <w:szCs w:val="22"/>
          <w:color w:val="auto"/>
        </w:rPr>
      </w:pPr>
      <w:r>
        <w:rPr>
          <w:rFonts w:ascii="Arial" w:cs="Arial" w:eastAsia="Arial" w:hAnsi="Arial"/>
          <w:sz w:val="22"/>
          <w:szCs w:val="22"/>
          <w:color w:val="auto"/>
        </w:rPr>
        <w:t>as a result of circumstances existing at the date the assignment, transfer, sale, pledge, assignment of the security interest or change occurs, a Loan Party would be obliged to make a payment to the New Lender or Lender acting through its new Lending Office under Section 2.14 or Section 2.16,</w:t>
      </w:r>
    </w:p>
    <w:p>
      <w:pPr>
        <w:spacing w:after="0" w:line="188" w:lineRule="exact"/>
        <w:rPr>
          <w:sz w:val="20"/>
          <w:szCs w:val="20"/>
          <w:color w:val="auto"/>
        </w:rPr>
      </w:pPr>
    </w:p>
    <w:p>
      <w:pPr>
        <w:jc w:val="both"/>
        <w:ind w:left="1260"/>
        <w:spacing w:after="0" w:line="218" w:lineRule="auto"/>
        <w:rPr>
          <w:sz w:val="20"/>
          <w:szCs w:val="20"/>
          <w:color w:val="auto"/>
        </w:rPr>
      </w:pPr>
      <w:r>
        <w:rPr>
          <w:rFonts w:ascii="Arial" w:cs="Arial" w:eastAsia="Arial" w:hAnsi="Arial"/>
          <w:sz w:val="22"/>
          <w:szCs w:val="22"/>
          <w:color w:val="auto"/>
        </w:rPr>
        <w:t>then the New Lender or Lender acting through its new Lending Office is only entitled to receive payment under those Sections to the same extent as the Existing Lender or Lender acting through its previous Lending Office would have been if the assignment, transfer, sale, pledge, assignment of the security interest or change had not occurred.</w:t>
      </w:r>
    </w:p>
    <w:p>
      <w:pPr>
        <w:spacing w:after="0" w:line="201" w:lineRule="exact"/>
        <w:rPr>
          <w:sz w:val="20"/>
          <w:szCs w:val="20"/>
          <w:color w:val="auto"/>
        </w:rPr>
      </w:pPr>
    </w:p>
    <w:p>
      <w:pPr>
        <w:jc w:val="both"/>
        <w:ind w:left="-20" w:right="20" w:firstLine="1936"/>
        <w:spacing w:after="0" w:line="212" w:lineRule="auto"/>
        <w:tabs>
          <w:tab w:leader="none" w:pos="2525" w:val="left"/>
        </w:tabs>
        <w:numPr>
          <w:ilvl w:val="1"/>
          <w:numId w:val="278"/>
        </w:numPr>
        <w:rPr>
          <w:rFonts w:ascii="Arial" w:cs="Arial" w:eastAsia="Arial" w:hAnsi="Arial"/>
          <w:sz w:val="22"/>
          <w:szCs w:val="22"/>
          <w:color w:val="auto"/>
        </w:rPr>
      </w:pPr>
      <w:r>
        <w:rPr>
          <w:rFonts w:ascii="Arial" w:cs="Arial" w:eastAsia="Arial" w:hAnsi="Arial"/>
          <w:sz w:val="22"/>
          <w:szCs w:val="22"/>
          <w:color w:val="auto"/>
        </w:rPr>
        <w:t>A New Lender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190" w:lineRule="exact"/>
        <w:rPr>
          <w:rFonts w:ascii="Arial" w:cs="Arial" w:eastAsia="Arial" w:hAnsi="Arial"/>
          <w:sz w:val="22"/>
          <w:szCs w:val="22"/>
          <w:color w:val="auto"/>
        </w:rPr>
      </w:pPr>
    </w:p>
    <w:p>
      <w:pPr>
        <w:jc w:val="both"/>
        <w:ind w:left="-20" w:right="20" w:firstLine="1288"/>
        <w:spacing w:after="0" w:line="257" w:lineRule="auto"/>
        <w:tabs>
          <w:tab w:leader="none" w:pos="1883"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Any Lender (the “</w:t>
      </w:r>
      <w:r>
        <w:rPr>
          <w:rFonts w:ascii="Arial" w:cs="Arial" w:eastAsia="Arial" w:hAnsi="Arial"/>
          <w:sz w:val="19"/>
          <w:szCs w:val="19"/>
          <w:u w:val="single" w:color="auto"/>
          <w:color w:val="auto"/>
        </w:rPr>
        <w:t>Existing Lender</w:t>
      </w:r>
      <w:r>
        <w:rPr>
          <w:rFonts w:ascii="Arial" w:cs="Arial" w:eastAsia="Arial" w:hAnsi="Arial"/>
          <w:sz w:val="19"/>
          <w:szCs w:val="19"/>
          <w:color w:val="auto"/>
        </w:rPr>
        <w:t>”)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(each such pledgee or assignee being a “</w:t>
      </w:r>
      <w:r>
        <w:rPr>
          <w:rFonts w:ascii="Arial" w:cs="Arial" w:eastAsia="Arial" w:hAnsi="Arial"/>
          <w:sz w:val="19"/>
          <w:szCs w:val="19"/>
          <w:u w:val="single" w:color="auto"/>
          <w:color w:val="auto"/>
        </w:rPr>
        <w:t>New Lender</w:t>
      </w:r>
      <w:r>
        <w:rPr>
          <w:rFonts w:ascii="Arial" w:cs="Arial" w:eastAsia="Arial" w:hAnsi="Arial"/>
          <w:sz w:val="19"/>
          <w:szCs w:val="19"/>
          <w:color w:val="auto"/>
        </w:rPr>
        <w:t>”); provided that no such pledge or assignment shall</w:t>
      </w:r>
    </w:p>
    <w:p>
      <w:pPr>
        <w:sectPr>
          <w:pgSz w:w="11900" w:h="16838" w:orient="portrait"/>
          <w:cols w:equalWidth="0" w:num="1">
            <w:col w:w="10420"/>
          </w:cols>
          <w:pgMar w:left="1040" w:top="1401" w:right="439" w:bottom="1440" w:gutter="0" w:footer="0" w:header="0"/>
        </w:sectPr>
      </w:pPr>
    </w:p>
    <w:bookmarkStart w:id="237" w:name="page238"/>
    <w:bookmarkEnd w:id="237"/>
    <w:p>
      <w:pPr>
        <w:ind w:left="8" w:right="20"/>
        <w:spacing w:after="0" w:line="232" w:lineRule="auto"/>
        <w:rPr>
          <w:sz w:val="20"/>
          <w:szCs w:val="20"/>
          <w:color w:val="auto"/>
        </w:rPr>
      </w:pPr>
      <w:r>
        <w:rPr>
          <w:rFonts w:ascii="Arial" w:cs="Arial" w:eastAsia="Arial" w:hAnsi="Arial"/>
          <w:sz w:val="22"/>
          <w:szCs w:val="22"/>
          <w:color w:val="auto"/>
        </w:rPr>
        <w:t>release such Lender from any of its obligations hereunder or substitute any such pledgee or assignee for such Lender as a party hereto.</w:t>
      </w:r>
    </w:p>
    <w:p>
      <w:pPr>
        <w:spacing w:after="0" w:line="199" w:lineRule="exact"/>
        <w:rPr>
          <w:sz w:val="20"/>
          <w:szCs w:val="20"/>
          <w:color w:val="auto"/>
        </w:rPr>
      </w:pPr>
    </w:p>
    <w:p>
      <w:pPr>
        <w:ind w:left="8" w:firstLine="1288"/>
        <w:spacing w:after="0" w:line="238" w:lineRule="auto"/>
        <w:tabs>
          <w:tab w:leader="none" w:pos="1907" w:val="left"/>
        </w:tabs>
        <w:numPr>
          <w:ilvl w:val="1"/>
          <w:numId w:val="280"/>
        </w:numPr>
        <w:rPr>
          <w:rFonts w:ascii="Arial" w:cs="Arial" w:eastAsia="Arial" w:hAnsi="Arial"/>
          <w:sz w:val="19"/>
          <w:szCs w:val="19"/>
          <w:color w:val="auto"/>
        </w:rPr>
      </w:pPr>
      <w:r>
        <w:rPr>
          <w:rFonts w:ascii="Arial" w:cs="Arial" w:eastAsia="Arial" w:hAnsi="Arial"/>
          <w:sz w:val="19"/>
          <w:szCs w:val="19"/>
          <w:u w:val="single" w:color="auto"/>
          <w:color w:val="auto"/>
        </w:rPr>
        <w:t>Resignation as Issuing Bank or Swingline Lender after Assignment</w:t>
      </w:r>
      <w:r>
        <w:rPr>
          <w:rFonts w:ascii="Arial" w:cs="Arial" w:eastAsia="Arial" w:hAnsi="Arial"/>
          <w:sz w:val="19"/>
          <w:szCs w:val="19"/>
          <w:color w:val="auto"/>
        </w:rPr>
        <w:t xml:space="preserve">. Notwithstanding anything to the contrary contained herein, if at any time an Issuing Bank assigns all of its Revolving Commitment and Revolving Loans pursuant to subsection (b) above, such Issuing Bank may, (i) upon 30 days’ notice to the Borrower and the Lenders, resign as Issuing Bank and/or (ii) in the case of Bank of America, upon 30 days’ notice to the Borrower, resign as Swingline Lender. In the event of any such resignation as Issuing Bank or Swingline Lender, the Borrower shall be entitled to appoint from among the Lenders a successor Issuing Bank or Swingline Lender hereunder (which successor shall expressly agree to assume such role);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failure by the Borrower to appoint any such successor shall affect the resignation of such Issuing Bank as an Issuing Bank or (in the case of Bank of America) Swingline Lender, as the case may be. If an Issuing Bank resigns as Issuing Bank, it shall retain all the rights, powers, privileges and duties of an Issuing Bank hereunder with respect to all Letters of Credit issued by it and outstanding as of the effective date of its resignation as Issuing Bank and all L/C Disbursements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 Upon the appointment of a successor Issuing Bank and/or Swingline Lender,</w:t>
      </w:r>
    </w:p>
    <w:p>
      <w:pPr>
        <w:spacing w:after="0" w:line="7" w:lineRule="exact"/>
        <w:rPr>
          <w:rFonts w:ascii="Arial" w:cs="Arial" w:eastAsia="Arial" w:hAnsi="Arial"/>
          <w:sz w:val="19"/>
          <w:szCs w:val="19"/>
          <w:color w:val="auto"/>
        </w:rPr>
      </w:pPr>
    </w:p>
    <w:p>
      <w:pPr>
        <w:ind w:left="8" w:hanging="8"/>
        <w:spacing w:after="0" w:line="212" w:lineRule="auto"/>
        <w:tabs>
          <w:tab w:leader="none" w:pos="302" w:val="left"/>
        </w:tabs>
        <w:numPr>
          <w:ilvl w:val="0"/>
          <w:numId w:val="281"/>
        </w:numPr>
        <w:rPr>
          <w:rFonts w:ascii="Arial" w:cs="Arial" w:eastAsia="Arial" w:hAnsi="Arial"/>
          <w:sz w:val="22"/>
          <w:szCs w:val="22"/>
          <w:color w:val="auto"/>
        </w:rPr>
      </w:pPr>
      <w:r>
        <w:rPr>
          <w:rFonts w:ascii="Arial" w:cs="Arial" w:eastAsia="Arial" w:hAnsi="Arial"/>
          <w:sz w:val="22"/>
          <w:szCs w:val="22"/>
          <w:color w:val="auto"/>
        </w:rPr>
        <w:t>such successor shall succeed to and become vested with all of the rights, powers, privileges and duties of the retiring Issuing Bank or Swingline Lender, as the case may be, and (b) the successor Issuing Bank shall issue letters of credit in substitution for the Letters of Credit, if any, outstanding at the time of such succession or make other arrangements satisfactory to the resigning Issuing Bank to effectively assume the obligations of such Issuing Bank with respect to such Letters of Credit.</w:t>
      </w:r>
    </w:p>
    <w:p>
      <w:pPr>
        <w:spacing w:after="0" w:line="187" w:lineRule="exact"/>
        <w:rPr>
          <w:rFonts w:ascii="Arial" w:cs="Arial" w:eastAsia="Arial" w:hAnsi="Arial"/>
          <w:sz w:val="22"/>
          <w:szCs w:val="22"/>
          <w:color w:val="auto"/>
        </w:rPr>
      </w:pPr>
    </w:p>
    <w:p>
      <w:pPr>
        <w:jc w:val="both"/>
        <w:ind w:left="8" w:firstLine="1288"/>
        <w:spacing w:after="0" w:line="217" w:lineRule="auto"/>
        <w:tabs>
          <w:tab w:leader="none" w:pos="1907" w:val="left"/>
        </w:tabs>
        <w:numPr>
          <w:ilvl w:val="1"/>
          <w:numId w:val="281"/>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any Lender (a “</w:t>
      </w:r>
      <w:r>
        <w:rPr>
          <w:rFonts w:ascii="Arial" w:cs="Arial" w:eastAsia="Arial" w:hAnsi="Arial"/>
          <w:sz w:val="21"/>
          <w:szCs w:val="21"/>
          <w:u w:val="single" w:color="auto"/>
          <w:color w:val="auto"/>
        </w:rPr>
        <w:t>Granting Lender</w:t>
      </w:r>
      <w:r>
        <w:rPr>
          <w:rFonts w:ascii="Arial" w:cs="Arial" w:eastAsia="Arial" w:hAnsi="Arial"/>
          <w:sz w:val="21"/>
          <w:szCs w:val="21"/>
          <w:color w:val="auto"/>
        </w:rPr>
        <w:t>”) may grant to a special purpose funding vehicle identified as such in writing from time to time by the Granting Lender to the Administrative Agent and the Borrower (an “</w:t>
      </w:r>
      <w:r>
        <w:rPr>
          <w:rFonts w:ascii="Arial" w:cs="Arial" w:eastAsia="Arial" w:hAnsi="Arial"/>
          <w:sz w:val="21"/>
          <w:szCs w:val="21"/>
          <w:u w:val="single" w:color="auto"/>
          <w:color w:val="auto"/>
        </w:rPr>
        <w:t>SPC</w:t>
      </w:r>
      <w:r>
        <w:rPr>
          <w:rFonts w:ascii="Arial" w:cs="Arial" w:eastAsia="Arial" w:hAnsi="Arial"/>
          <w:sz w:val="21"/>
          <w:szCs w:val="21"/>
          <w:color w:val="auto"/>
        </w:rPr>
        <w:t xml:space="preserve">”) the option to provide all or any part of any Loan that such Granting Lender would otherwise be obligated to make pursuant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w:t>
      </w:r>
    </w:p>
    <w:p>
      <w:pPr>
        <w:spacing w:after="0" w:line="1" w:lineRule="exact"/>
        <w:rPr>
          <w:rFonts w:ascii="Arial" w:cs="Arial" w:eastAsia="Arial" w:hAnsi="Arial"/>
          <w:sz w:val="21"/>
          <w:szCs w:val="21"/>
          <w:color w:val="auto"/>
        </w:rPr>
      </w:pPr>
    </w:p>
    <w:p>
      <w:pPr>
        <w:jc w:val="both"/>
        <w:ind w:left="8" w:right="20"/>
        <w:spacing w:after="0" w:line="219" w:lineRule="auto"/>
        <w:rPr>
          <w:rFonts w:ascii="Arial" w:cs="Arial" w:eastAsia="Arial" w:hAnsi="Arial"/>
          <w:sz w:val="21"/>
          <w:szCs w:val="21"/>
          <w:color w:val="auto"/>
        </w:rPr>
      </w:pPr>
      <w:r>
        <w:rPr>
          <w:rFonts w:ascii="Arial" w:cs="Arial" w:eastAsia="Arial" w:hAnsi="Arial"/>
          <w:sz w:val="21"/>
          <w:szCs w:val="21"/>
          <w:color w:val="auto"/>
        </w:rPr>
        <w:t>(A) neither the grant to any SPC nor the exercise by any SPC of such option shall increase the costs or expenses or otherwise increase or change the obligations of the Borrower under this Agreement (including its obligations under Section 2.14); (B) no SPC shall be liable for any indemnity or similar payment obligation under this Agreement for which a Lender would be liable (which indemnity or similar payment obligation shall be retained by the Granting Lender);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w:t>
      </w:r>
    </w:p>
    <w:p>
      <w:pPr>
        <w:sectPr>
          <w:pgSz w:w="11900" w:h="16838" w:orient="portrait"/>
          <w:cols w:equalWidth="0" w:num="1">
            <w:col w:w="10448"/>
          </w:cols>
          <w:pgMar w:left="1012" w:top="1401" w:right="439" w:bottom="1440" w:gutter="0" w:footer="0" w:header="0"/>
        </w:sectPr>
      </w:pPr>
    </w:p>
    <w:bookmarkStart w:id="238" w:name="page239"/>
    <w:bookmarkEnd w:id="238"/>
    <w:p>
      <w:pPr>
        <w:jc w:val="both"/>
        <w:ind w:left="8" w:right="40"/>
        <w:spacing w:after="0" w:line="207" w:lineRule="auto"/>
        <w:rPr>
          <w:sz w:val="20"/>
          <w:szCs w:val="20"/>
          <w:color w:val="auto"/>
        </w:rPr>
      </w:pPr>
      <w:r>
        <w:rPr>
          <w:rFonts w:ascii="Arial" w:cs="Arial" w:eastAsia="Arial" w:hAnsi="Arial"/>
          <w:sz w:val="22"/>
          <w:szCs w:val="22"/>
          <w:color w:val="auto"/>
        </w:rPr>
        <w:t>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Borrower and the Administrative Agent and with the payment of a processing fee of $3,500, assign all or any portion of its right to receive payment with respect to any Loan to the Granting Lender and</w:t>
      </w:r>
    </w:p>
    <w:p>
      <w:pPr>
        <w:spacing w:after="0" w:line="1" w:lineRule="exact"/>
        <w:rPr>
          <w:sz w:val="20"/>
          <w:szCs w:val="20"/>
          <w:color w:val="auto"/>
        </w:rPr>
      </w:pPr>
    </w:p>
    <w:p>
      <w:pPr>
        <w:ind w:left="8" w:right="40" w:hanging="8"/>
        <w:spacing w:after="0" w:line="278" w:lineRule="auto"/>
        <w:tabs>
          <w:tab w:leader="none" w:pos="611" w:val="left"/>
        </w:tabs>
        <w:numPr>
          <w:ilvl w:val="0"/>
          <w:numId w:val="282"/>
        </w:numPr>
        <w:rPr>
          <w:rFonts w:ascii="Arial" w:cs="Arial" w:eastAsia="Arial" w:hAnsi="Arial"/>
          <w:sz w:val="19"/>
          <w:szCs w:val="19"/>
          <w:color w:val="auto"/>
        </w:rPr>
      </w:pPr>
      <w:r>
        <w:rPr>
          <w:rFonts w:ascii="Arial" w:cs="Arial" w:eastAsia="Arial" w:hAnsi="Arial"/>
          <w:sz w:val="19"/>
          <w:szCs w:val="19"/>
          <w:color w:val="auto"/>
        </w:rPr>
        <w:t>disclose on a confidential basis any non-public information relating to its funding of Loans to any rating agency, commercial paper dealer or provider of any surety or Guarantee or credit or liquidity enhancement to such SPC.</w:t>
      </w:r>
    </w:p>
    <w:p>
      <w:pPr>
        <w:spacing w:after="0" w:line="164" w:lineRule="exact"/>
        <w:rPr>
          <w:sz w:val="20"/>
          <w:szCs w:val="20"/>
          <w:color w:val="auto"/>
        </w:rPr>
      </w:pPr>
    </w:p>
    <w:p>
      <w:pPr>
        <w:ind w:left="8" w:right="40" w:firstLine="648"/>
        <w:spacing w:after="0" w:line="243"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Event, and shall continue in full force and effect as long as any Loan or any other Obligation hereunder shall remain unpaid or unsatisfied or any Letter of Credit shall remain outstanding. 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0" w:lineRule="exact"/>
        <w:rPr>
          <w:sz w:val="20"/>
          <w:szCs w:val="20"/>
          <w:color w:val="auto"/>
        </w:rPr>
      </w:pPr>
    </w:p>
    <w:p>
      <w:pPr>
        <w:spacing w:after="0" w:line="207" w:lineRule="exact"/>
        <w:rPr>
          <w:sz w:val="20"/>
          <w:szCs w:val="20"/>
          <w:color w:val="auto"/>
        </w:rPr>
      </w:pPr>
    </w:p>
    <w:p>
      <w:pPr>
        <w:ind w:left="8" w:right="60" w:firstLine="648"/>
        <w:spacing w:after="0" w:line="243"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pdf or other electronic transmission shall be effective as delivery of a manually executed counterpart of this Agreement.</w:t>
      </w:r>
    </w:p>
    <w:p>
      <w:pPr>
        <w:spacing w:after="0" w:line="199" w:lineRule="exact"/>
        <w:rPr>
          <w:sz w:val="20"/>
          <w:szCs w:val="20"/>
          <w:color w:val="auto"/>
        </w:rPr>
      </w:pPr>
    </w:p>
    <w:p>
      <w:pPr>
        <w:jc w:val="both"/>
        <w:ind w:left="8" w:right="40" w:firstLine="648"/>
        <w:spacing w:after="0" w:line="223"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w:t>
      </w:r>
    </w:p>
    <w:p>
      <w:pPr>
        <w:spacing w:after="0" w:line="200" w:lineRule="exact"/>
        <w:rPr>
          <w:sz w:val="20"/>
          <w:szCs w:val="20"/>
          <w:color w:val="auto"/>
        </w:rPr>
      </w:pPr>
    </w:p>
    <w:p>
      <w:pPr>
        <w:spacing w:after="0" w:line="283" w:lineRule="exact"/>
        <w:rPr>
          <w:sz w:val="20"/>
          <w:szCs w:val="20"/>
          <w:color w:val="auto"/>
        </w:rPr>
      </w:pPr>
    </w:p>
    <w:p>
      <w:pPr>
        <w:ind w:left="8" w:right="160"/>
        <w:spacing w:after="0" w:line="232" w:lineRule="auto"/>
        <w:rPr>
          <w:sz w:val="20"/>
          <w:szCs w:val="20"/>
          <w:color w:val="auto"/>
        </w:rPr>
      </w:pPr>
      <w:r>
        <w:rPr>
          <w:rFonts w:ascii="Arial" w:cs="Arial" w:eastAsia="Arial" w:hAnsi="Arial"/>
          <w:sz w:val="22"/>
          <w:szCs w:val="22"/>
          <w:color w:val="auto"/>
        </w:rPr>
        <w:t>enforceability of the remaining provisions hereof; and the invalidity of a particular provision in a particular jurisdiction shall not invalidate such provision in any other jurisdiction.</w:t>
      </w:r>
    </w:p>
    <w:p>
      <w:pPr>
        <w:spacing w:after="0" w:line="199" w:lineRule="exact"/>
        <w:rPr>
          <w:sz w:val="20"/>
          <w:szCs w:val="20"/>
          <w:color w:val="auto"/>
        </w:rPr>
      </w:pPr>
    </w:p>
    <w:p>
      <w:pPr>
        <w:ind w:left="648"/>
        <w:spacing w:after="0"/>
        <w:tabs>
          <w:tab w:leader="none" w:pos="2188" w:val="left"/>
        </w:tabs>
        <w:rPr>
          <w:sz w:val="20"/>
          <w:szCs w:val="20"/>
          <w:color w:val="auto"/>
        </w:rPr>
      </w:pPr>
      <w:r>
        <w:rPr>
          <w:rFonts w:ascii="Arial" w:cs="Arial" w:eastAsia="Arial" w:hAnsi="Arial"/>
          <w:sz w:val="22"/>
          <w:szCs w:val="22"/>
          <w:color w:val="auto"/>
        </w:rPr>
        <w:t>SECTION 9.08</w:t>
      </w:r>
      <w:r>
        <w:rPr>
          <w:sz w:val="20"/>
          <w:szCs w:val="20"/>
          <w:color w:val="auto"/>
        </w:rPr>
        <w:tab/>
      </w:r>
      <w:r>
        <w:rPr>
          <w:rFonts w:ascii="Arial" w:cs="Arial" w:eastAsia="Arial" w:hAnsi="Arial"/>
          <w:sz w:val="19"/>
          <w:szCs w:val="19"/>
          <w:u w:val="single" w:color="auto"/>
          <w:color w:val="auto"/>
        </w:rPr>
        <w:t>Right of Setoff</w:t>
      </w:r>
      <w:r>
        <w:rPr>
          <w:rFonts w:ascii="Arial" w:cs="Arial" w:eastAsia="Arial" w:hAnsi="Arial"/>
          <w:sz w:val="19"/>
          <w:szCs w:val="19"/>
          <w:color w:val="auto"/>
        </w:rPr>
        <w:t>.</w:t>
      </w:r>
    </w:p>
    <w:p>
      <w:pPr>
        <w:spacing w:after="0" w:line="206" w:lineRule="exact"/>
        <w:rPr>
          <w:sz w:val="20"/>
          <w:szCs w:val="20"/>
          <w:color w:val="auto"/>
        </w:rPr>
      </w:pPr>
    </w:p>
    <w:p>
      <w:pPr>
        <w:jc w:val="both"/>
        <w:ind w:left="8" w:firstLine="1288"/>
        <w:spacing w:after="0" w:line="223" w:lineRule="auto"/>
        <w:tabs>
          <w:tab w:leader="none" w:pos="1908" w:val="left"/>
        </w:tabs>
        <w:numPr>
          <w:ilvl w:val="0"/>
          <w:numId w:val="283"/>
        </w:numPr>
        <w:rPr>
          <w:rFonts w:ascii="Arial" w:cs="Arial" w:eastAsia="Arial" w:hAnsi="Arial"/>
          <w:sz w:val="22"/>
          <w:szCs w:val="22"/>
          <w:color w:val="auto"/>
        </w:rPr>
      </w:pPr>
      <w:r>
        <w:rPr>
          <w:rFonts w:ascii="Arial" w:cs="Arial" w:eastAsia="Arial" w:hAnsi="Arial"/>
          <w:sz w:val="22"/>
          <w:szCs w:val="22"/>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w:t>
      </w:r>
    </w:p>
    <w:p>
      <w:pPr>
        <w:sectPr>
          <w:pgSz w:w="11900" w:h="16838" w:orient="portrait"/>
          <w:cols w:equalWidth="0" w:num="1">
            <w:col w:w="10448"/>
          </w:cols>
          <w:pgMar w:left="1012" w:top="1401" w:right="439" w:bottom="1440" w:gutter="0" w:footer="0" w:header="0"/>
        </w:sectPr>
      </w:pPr>
    </w:p>
    <w:bookmarkStart w:id="239" w:name="page240"/>
    <w:bookmarkEnd w:id="239"/>
    <w:p>
      <w:pPr>
        <w:jc w:val="both"/>
        <w:spacing w:after="0" w:line="249" w:lineRule="auto"/>
        <w:rPr>
          <w:sz w:val="20"/>
          <w:szCs w:val="20"/>
          <w:color w:val="auto"/>
        </w:rPr>
      </w:pPr>
      <w:r>
        <w:rPr>
          <w:rFonts w:ascii="Arial" w:cs="Arial" w:eastAsia="Arial" w:hAnsi="Arial"/>
          <w:sz w:val="19"/>
          <w:szCs w:val="19"/>
          <w:color w:val="auto"/>
        </w:rPr>
        <w:t>demand, provisional or final and in whatever currency denominated) at any time held and other obligations at any time owing by such Lender or Affiliate to or for the credit or the account of the Borrower or any other Loan Party against any of and all the Obligations of the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260" w:lineRule="exact"/>
        <w:rPr>
          <w:sz w:val="20"/>
          <w:szCs w:val="20"/>
          <w:color w:val="auto"/>
        </w:rPr>
      </w:pPr>
    </w:p>
    <w:p>
      <w:pPr>
        <w:jc w:val="both"/>
        <w:ind w:right="20" w:firstLine="1288"/>
        <w:spacing w:after="0" w:line="242" w:lineRule="auto"/>
        <w:tabs>
          <w:tab w:leader="none" w:pos="1899"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To the extent that any payment by or on behalf of the Borrower or any other Loan Party is made to the Administrative Agent, any Issuing Bank or any Lender, or the Administrative Agent, any Issuing Bank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Banks under clause (b) of the preceding sentence shall survive the payment in full of the Obligations and the termination of this Agreement.</w:t>
      </w:r>
    </w:p>
    <w:p>
      <w:pPr>
        <w:spacing w:after="0" w:line="200" w:lineRule="exact"/>
        <w:rPr>
          <w:sz w:val="20"/>
          <w:szCs w:val="20"/>
          <w:color w:val="auto"/>
        </w:rPr>
      </w:pPr>
    </w:p>
    <w:p>
      <w:pPr>
        <w:spacing w:after="0" w:line="217"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9.09</w:t>
      </w:r>
      <w:r>
        <w:rPr>
          <w:sz w:val="20"/>
          <w:szCs w:val="20"/>
          <w:color w:val="auto"/>
        </w:rPr>
        <w:tab/>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206" w:lineRule="exact"/>
        <w:rPr>
          <w:sz w:val="20"/>
          <w:szCs w:val="20"/>
          <w:color w:val="auto"/>
        </w:rPr>
      </w:pPr>
    </w:p>
    <w:p>
      <w:pPr>
        <w:jc w:val="both"/>
        <w:ind w:right="40" w:firstLine="1288"/>
        <w:spacing w:after="0" w:line="223" w:lineRule="auto"/>
        <w:tabs>
          <w:tab w:leader="none" w:pos="190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This Agreement shall be construed in accordance with and governed by the law of the State of New York (without regard to the conflict of law principles thereof to the extent that the application of the laws of another jurisdiction would be required thereby).</w:t>
      </w:r>
    </w:p>
    <w:p>
      <w:pPr>
        <w:spacing w:after="0" w:line="199" w:lineRule="exact"/>
        <w:rPr>
          <w:rFonts w:ascii="Arial" w:cs="Arial" w:eastAsia="Arial" w:hAnsi="Arial"/>
          <w:sz w:val="22"/>
          <w:szCs w:val="22"/>
          <w:color w:val="auto"/>
        </w:rPr>
      </w:pPr>
    </w:p>
    <w:p>
      <w:pPr>
        <w:jc w:val="both"/>
        <w:ind w:right="20" w:firstLine="1288"/>
        <w:spacing w:after="0" w:line="241" w:lineRule="auto"/>
        <w:tabs>
          <w:tab w:leader="none" w:pos="1899"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any Issuing Bank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ectPr>
          <w:pgSz w:w="11900" w:h="16838" w:orient="portrait"/>
          <w:cols w:equalWidth="0" w:num="1">
            <w:col w:w="10440"/>
          </w:cols>
          <w:pgMar w:left="1020" w:top="1347" w:right="439" w:bottom="1440" w:gutter="0" w:footer="0" w:header="0"/>
        </w:sectPr>
      </w:pPr>
    </w:p>
    <w:bookmarkStart w:id="240" w:name="page241"/>
    <w:bookmarkEnd w:id="240"/>
    <w:p>
      <w:pPr>
        <w:jc w:val="both"/>
        <w:ind w:right="40" w:firstLine="1288"/>
        <w:spacing w:after="0" w:line="252" w:lineRule="auto"/>
        <w:tabs>
          <w:tab w:leader="none" w:pos="190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9" w:lineRule="exact"/>
        <w:rPr>
          <w:rFonts w:ascii="Arial" w:cs="Arial" w:eastAsia="Arial" w:hAnsi="Arial"/>
          <w:sz w:val="19"/>
          <w:szCs w:val="19"/>
          <w:color w:val="auto"/>
        </w:rPr>
      </w:pPr>
    </w:p>
    <w:p>
      <w:pPr>
        <w:ind w:right="100" w:firstLine="1288"/>
        <w:spacing w:after="0" w:line="257" w:lineRule="auto"/>
        <w:tabs>
          <w:tab w:leader="none" w:pos="1899" w:val="left"/>
        </w:tabs>
        <w:numPr>
          <w:ilvl w:val="0"/>
          <w:numId w:val="286"/>
        </w:numPr>
        <w:rPr>
          <w:rFonts w:ascii="Arial" w:cs="Arial" w:eastAsia="Arial" w:hAnsi="Arial"/>
          <w:sz w:val="19"/>
          <w:szCs w:val="19"/>
          <w:color w:val="auto"/>
        </w:rPr>
      </w:pPr>
      <w:r>
        <w:rPr>
          <w:rFonts w:ascii="Arial" w:cs="Arial" w:eastAsia="Arial" w:hAnsi="Arial"/>
          <w:sz w:val="19"/>
          <w:szCs w:val="19"/>
          <w:color w:val="auto"/>
        </w:rPr>
        <w:t>Each Guarantor hereby appoints the Borrower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71" w:lineRule="exact"/>
        <w:rPr>
          <w:sz w:val="20"/>
          <w:szCs w:val="20"/>
          <w:color w:val="auto"/>
        </w:rPr>
      </w:pPr>
    </w:p>
    <w:p>
      <w:pPr>
        <w:jc w:val="both"/>
        <w:ind w:right="20" w:firstLine="648"/>
        <w:spacing w:after="0" w:line="209"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50"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9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the Lenders and the Issuing Banks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9"/>
          <w:szCs w:val="19"/>
          <w:u w:val="single" w:color="auto"/>
          <w:color w:val="auto"/>
        </w:rPr>
        <w:t>provided</w:t>
      </w:r>
      <w:r>
        <w:rPr>
          <w:rFonts w:ascii="Arial" w:cs="Arial" w:eastAsia="Arial" w:hAnsi="Arial"/>
          <w:sz w:val="19"/>
          <w:szCs w:val="19"/>
          <w:color w:val="auto"/>
        </w:rPr>
        <w:t>, that (other than in the case of any disclosure to a regulator or examiner during a routine examination) to the extent practicable and permitted by law, the Borrower has been notified prior to such disclosure so that the Borrower may seek, at the Borrower’s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Section 2.19 or (ii) any actual or prospective counterparty (or its advisors) to any swap or derivative transaction or other transaction under which payments are to be made by reference to a Loan Party and its obligations, this Agreement or payments hereunder or (iii) any insurers and/or risk protection</w:t>
      </w:r>
    </w:p>
    <w:p>
      <w:pPr>
        <w:sectPr>
          <w:pgSz w:w="11900" w:h="16838" w:orient="portrait"/>
          <w:cols w:equalWidth="0" w:num="1">
            <w:col w:w="10440"/>
          </w:cols>
          <w:pgMar w:left="1020" w:top="1347" w:right="439" w:bottom="1440" w:gutter="0" w:footer="0" w:header="0"/>
        </w:sectPr>
      </w:pPr>
    </w:p>
    <w:bookmarkStart w:id="241" w:name="page242"/>
    <w:bookmarkEnd w:id="241"/>
    <w:p>
      <w:pPr>
        <w:jc w:val="both"/>
        <w:ind w:left="9"/>
        <w:spacing w:after="0"/>
        <w:rPr>
          <w:sz w:val="20"/>
          <w:szCs w:val="20"/>
          <w:color w:val="auto"/>
        </w:rPr>
      </w:pPr>
      <w:r>
        <w:rPr>
          <w:rFonts w:ascii="Arial" w:cs="Arial" w:eastAsia="Arial" w:hAnsi="Arial"/>
          <w:sz w:val="19"/>
          <w:szCs w:val="19"/>
          <w:color w:val="auto"/>
        </w:rPr>
        <w:t>providers relating to the transactions contemplated under this Agreement, (g) with the consent of any Loan Party, (h)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a Loan Party, (i) to any nationally recognized rating agency that requires access to information about a Lender’s investment portfolio in connection with ratings issued with respect to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prior to any such disclosure, such rating agency shall undertake in writing to preserve the confidentiality of any confidential Information relating to the Loan Parties), (j) in customary disclosure about the terms of the financing contemplated hereby in the ordinary course of business to market data collectors and similar service providers to the loan industry for league table purposes or (k) on a confidential basis to (i) the provider of any Platform or other electronic delivery service used by the Administrative Agent, any Issuing Bank or the Swingline Lender to deliver Borrower Materials or notices to the Lenders, (ii) the CUSIP Service Bureau or any similar agency in connection with the application, issuance, publishing and monitoring of CUSIP numbers or other market identifiers with respect to the credit facilities provided hereunder or (iii) other service providers to the Administrative Agent, the Lenders and the Issuing Banks in connection with the administration of this Agreement, the other Loan Documents and the Borrowings hereunder. 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the Borrower or any Subsidiary relating to the Borrower or any Subsidiary or any of their respective businesses, other than any such information that is available to the Administrative Agent, any Lender or any Issuing Bank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4" w:lineRule="exact"/>
        <w:rPr>
          <w:sz w:val="20"/>
          <w:szCs w:val="20"/>
          <w:color w:val="auto"/>
        </w:rPr>
      </w:pPr>
    </w:p>
    <w:p>
      <w:pPr>
        <w:ind w:left="649"/>
        <w:spacing w:after="0"/>
        <w:rPr>
          <w:sz w:val="20"/>
          <w:szCs w:val="20"/>
          <w:color w:val="auto"/>
        </w:rPr>
      </w:pPr>
      <w:r>
        <w:rPr>
          <w:rFonts w:ascii="Arial" w:cs="Arial" w:eastAsia="Arial" w:hAnsi="Arial"/>
          <w:sz w:val="22"/>
          <w:szCs w:val="22"/>
          <w:color w:val="auto"/>
        </w:rPr>
        <w:t>Each of the Administrative Agent, the Lenders and the Issuing Banks acknowledges that</w:t>
      </w:r>
    </w:p>
    <w:p>
      <w:pPr>
        <w:jc w:val="both"/>
        <w:ind w:left="9" w:right="40" w:hanging="9"/>
        <w:spacing w:after="0" w:line="214" w:lineRule="auto"/>
        <w:tabs>
          <w:tab w:leader="none" w:pos="317"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7" w:lineRule="exact"/>
        <w:rPr>
          <w:sz w:val="20"/>
          <w:szCs w:val="20"/>
          <w:color w:val="auto"/>
        </w:rPr>
      </w:pPr>
    </w:p>
    <w:p>
      <w:pPr>
        <w:jc w:val="both"/>
        <w:ind w:left="9" w:firstLine="648"/>
        <w:spacing w:after="0" w:line="244"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9"/>
          <w:szCs w:val="19"/>
          <w:u w:val="single" w:color="auto"/>
          <w:color w:val="auto"/>
        </w:rPr>
        <w:t>Act</w:t>
      </w:r>
      <w:r>
        <w:rPr>
          <w:rFonts w:ascii="Arial" w:cs="Arial" w:eastAsia="Arial" w:hAnsi="Arial"/>
          <w:sz w:val="19"/>
          <w:szCs w:val="19"/>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95" w:lineRule="exact"/>
        <w:rPr>
          <w:sz w:val="20"/>
          <w:szCs w:val="20"/>
          <w:color w:val="auto"/>
        </w:rPr>
      </w:pPr>
    </w:p>
    <w:p>
      <w:pPr>
        <w:jc w:val="both"/>
        <w:ind w:left="9" w:right="40" w:firstLine="648"/>
        <w:spacing w:after="0" w:line="222"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Interest Rate Limitation</w:t>
      </w:r>
      <w:r>
        <w:rPr>
          <w:rFonts w:ascii="Arial" w:cs="Arial" w:eastAsia="Arial" w:hAnsi="Arial"/>
          <w:sz w:val="21"/>
          <w:szCs w:val="21"/>
          <w:color w:val="auto"/>
        </w:rPr>
        <w:t>. Notwithstanding anything to the contrary contained in any Loan Document, if at any time the interest rate applicable to any Loan, together with all fees, charges and other amounts which are treated as interest on such Loan under applicable Law (collectively, the “</w:t>
      </w:r>
      <w:r>
        <w:rPr>
          <w:rFonts w:ascii="Arial" w:cs="Arial" w:eastAsia="Arial" w:hAnsi="Arial"/>
          <w:sz w:val="21"/>
          <w:szCs w:val="21"/>
          <w:u w:val="single" w:color="auto"/>
          <w:color w:val="auto"/>
        </w:rPr>
        <w:t>Charges</w:t>
      </w:r>
      <w:r>
        <w:rPr>
          <w:rFonts w:ascii="Arial" w:cs="Arial" w:eastAsia="Arial" w:hAnsi="Arial"/>
          <w:sz w:val="21"/>
          <w:szCs w:val="21"/>
          <w:color w:val="auto"/>
        </w:rPr>
        <w:t>”), shall exceed the maximum lawful rate (the “</w:t>
      </w:r>
      <w:r>
        <w:rPr>
          <w:rFonts w:ascii="Arial" w:cs="Arial" w:eastAsia="Arial" w:hAnsi="Arial"/>
          <w:sz w:val="21"/>
          <w:szCs w:val="21"/>
          <w:u w:val="single" w:color="auto"/>
          <w:color w:val="auto"/>
        </w:rPr>
        <w:t>Maximum Rate</w:t>
      </w:r>
      <w:r>
        <w:rPr>
          <w:rFonts w:ascii="Arial" w:cs="Arial" w:eastAsia="Arial" w:hAnsi="Arial"/>
          <w:sz w:val="21"/>
          <w:szCs w:val="21"/>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w:t>
      </w:r>
    </w:p>
    <w:p>
      <w:pPr>
        <w:sectPr>
          <w:pgSz w:w="11900" w:h="16838" w:orient="portrait"/>
          <w:cols w:equalWidth="0" w:num="1">
            <w:col w:w="10449"/>
          </w:cols>
          <w:pgMar w:left="1011" w:top="1347" w:right="439" w:bottom="1440" w:gutter="0" w:footer="0" w:header="0"/>
        </w:sectPr>
      </w:pPr>
    </w:p>
    <w:bookmarkStart w:id="242" w:name="page243"/>
    <w:bookmarkEnd w:id="242"/>
    <w:p>
      <w:pPr>
        <w:jc w:val="both"/>
        <w:ind w:left="8" w:right="40"/>
        <w:spacing w:after="0" w:line="257" w:lineRule="auto"/>
        <w:rPr>
          <w:sz w:val="20"/>
          <w:szCs w:val="20"/>
          <w:color w:val="auto"/>
        </w:rPr>
      </w:pPr>
      <w:r>
        <w:rPr>
          <w:rFonts w:ascii="Arial" w:cs="Arial" w:eastAsia="Arial" w:hAnsi="Arial"/>
          <w:sz w:val="19"/>
          <w:szCs w:val="19"/>
          <w:color w:val="auto"/>
        </w:rPr>
        <w:t>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jc w:val="both"/>
        <w:ind w:left="8" w:firstLine="648"/>
        <w:spacing w:after="0" w:line="243"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No Fiduciary Duty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w:t>
      </w:r>
    </w:p>
    <w:p>
      <w:pPr>
        <w:spacing w:after="0" w:line="2" w:lineRule="exact"/>
        <w:rPr>
          <w:sz w:val="20"/>
          <w:szCs w:val="20"/>
          <w:color w:val="auto"/>
        </w:rPr>
      </w:pPr>
    </w:p>
    <w:p>
      <w:pPr>
        <w:jc w:val="both"/>
        <w:ind w:left="8" w:hanging="8"/>
        <w:spacing w:after="0" w:line="228" w:lineRule="auto"/>
        <w:tabs>
          <w:tab w:leader="none" w:pos="366" w:val="left"/>
        </w:tabs>
        <w:numPr>
          <w:ilvl w:val="0"/>
          <w:numId w:val="288"/>
        </w:numPr>
        <w:rPr>
          <w:rFonts w:ascii="Arial" w:cs="Arial" w:eastAsia="Arial" w:hAnsi="Arial"/>
          <w:sz w:val="21"/>
          <w:szCs w:val="21"/>
          <w:color w:val="auto"/>
        </w:rPr>
      </w:pPr>
      <w:r>
        <w:rPr>
          <w:rFonts w:ascii="Arial" w:cs="Arial" w:eastAsia="Arial" w:hAnsi="Arial"/>
          <w:sz w:val="21"/>
          <w:szCs w:val="21"/>
          <w:color w:val="auto"/>
        </w:rPr>
        <w:t>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w:t>
      </w:r>
    </w:p>
    <w:p>
      <w:pPr>
        <w:sectPr>
          <w:pgSz w:w="11900" w:h="16838" w:orient="portrait"/>
          <w:cols w:equalWidth="0" w:num="1">
            <w:col w:w="10448"/>
          </w:cols>
          <w:pgMar w:left="1012" w:top="1347" w:right="439" w:bottom="1440" w:gutter="0" w:footer="0" w:header="0"/>
        </w:sectPr>
      </w:pPr>
    </w:p>
    <w:bookmarkStart w:id="243" w:name="page244"/>
    <w:bookmarkEnd w:id="243"/>
    <w:p>
      <w:pPr>
        <w:ind w:left="8" w:right="40"/>
        <w:spacing w:after="0" w:line="213" w:lineRule="auto"/>
        <w:rPr>
          <w:sz w:val="20"/>
          <w:szCs w:val="20"/>
          <w:color w:val="auto"/>
        </w:rPr>
      </w:pPr>
      <w:r>
        <w:rPr>
          <w:rFonts w:ascii="Arial" w:cs="Arial" w:eastAsia="Arial" w:hAnsi="Arial"/>
          <w:sz w:val="22"/>
          <w:szCs w:val="22"/>
          <w:color w:val="auto"/>
        </w:rPr>
        <w:t>the Lenders, on the other hand, (B) the Borrower and each other Loan Parties has consulted its own legal, accounting, regulatory and tax advisors to the extent it has deemed appropriate, and</w:t>
      </w:r>
    </w:p>
    <w:p>
      <w:pPr>
        <w:spacing w:after="0" w:line="1" w:lineRule="exact"/>
        <w:rPr>
          <w:sz w:val="20"/>
          <w:szCs w:val="20"/>
          <w:color w:val="auto"/>
        </w:rPr>
      </w:pPr>
    </w:p>
    <w:p>
      <w:pPr>
        <w:jc w:val="both"/>
        <w:ind w:left="8" w:right="20" w:hanging="8"/>
        <w:spacing w:after="0"/>
        <w:tabs>
          <w:tab w:leader="none" w:pos="62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the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other Loan Parties and their respective Affiliates, and neither the Administrative Agent nor any Arranger nor any Lender has any obligation to disclose any of such interests to the Borrower, any other Loan Party or any of their respective Affiliates. To the fullest extent permitted by law, the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20" w:lineRule="exact"/>
        <w:rPr>
          <w:sz w:val="20"/>
          <w:szCs w:val="20"/>
          <w:color w:val="auto"/>
        </w:rPr>
      </w:pPr>
    </w:p>
    <w:p>
      <w:pPr>
        <w:ind w:left="1428"/>
        <w:spacing w:after="0"/>
        <w:tabs>
          <w:tab w:leader="none" w:pos="2968" w:val="left"/>
        </w:tabs>
        <w:rPr>
          <w:sz w:val="20"/>
          <w:szCs w:val="20"/>
          <w:color w:val="auto"/>
        </w:rPr>
      </w:pPr>
      <w:r>
        <w:rPr>
          <w:rFonts w:ascii="Arial" w:cs="Arial" w:eastAsia="Arial" w:hAnsi="Arial"/>
          <w:sz w:val="22"/>
          <w:szCs w:val="22"/>
          <w:color w:val="auto"/>
        </w:rPr>
        <w:t>SECTION 9.16</w:t>
      </w:r>
      <w:r>
        <w:rPr>
          <w:sz w:val="20"/>
          <w:szCs w:val="20"/>
          <w:color w:val="auto"/>
        </w:rPr>
        <w:tab/>
      </w:r>
      <w:r>
        <w:rPr>
          <w:rFonts w:ascii="Arial" w:cs="Arial" w:eastAsia="Arial" w:hAnsi="Arial"/>
          <w:sz w:val="19"/>
          <w:szCs w:val="19"/>
          <w:u w:val="single" w:color="auto"/>
          <w:color w:val="auto"/>
        </w:rPr>
        <w:t>Electronic Execution of this Agreement and Other Documents</w:t>
      </w:r>
      <w:r>
        <w:rPr>
          <w:rFonts w:ascii="Arial" w:cs="Arial" w:eastAsia="Arial" w:hAnsi="Arial"/>
          <w:sz w:val="19"/>
          <w:szCs w:val="19"/>
          <w:color w:val="auto"/>
        </w:rPr>
        <w:t>.</w:t>
      </w:r>
    </w:p>
    <w:p>
      <w:pPr>
        <w:spacing w:after="0" w:line="206" w:lineRule="exact"/>
        <w:rPr>
          <w:sz w:val="20"/>
          <w:szCs w:val="20"/>
          <w:color w:val="auto"/>
        </w:rPr>
      </w:pPr>
    </w:p>
    <w:p>
      <w:pPr>
        <w:jc w:val="both"/>
        <w:ind w:left="8" w:right="20" w:firstLine="1288"/>
        <w:spacing w:after="0" w:line="244" w:lineRule="auto"/>
        <w:tabs>
          <w:tab w:leader="none" w:pos="1908" w:val="left"/>
        </w:tabs>
        <w:numPr>
          <w:ilvl w:val="0"/>
          <w:numId w:val="290"/>
        </w:numPr>
        <w:rPr>
          <w:rFonts w:ascii="Arial" w:cs="Arial" w:eastAsia="Arial" w:hAnsi="Arial"/>
          <w:sz w:val="19"/>
          <w:szCs w:val="19"/>
          <w:color w:val="auto"/>
        </w:rPr>
      </w:pPr>
      <w:r>
        <w:rPr>
          <w:rFonts w:ascii="Arial" w:cs="Arial" w:eastAsia="Arial" w:hAnsi="Arial"/>
          <w:sz w:val="19"/>
          <w:szCs w:val="19"/>
          <w:color w:val="auto"/>
        </w:rPr>
        <w:t>The words “execute,” “execution,” “signed,” “signature,” and words of like import in or related to any document to be signed in connection with this Agreement and the transactions contemplated hereby (including this Agreement, any other Loan Document, Assignment and Assumptions, amendments or other modifications, Borrowing Requests, Swingline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5" w:lineRule="exact"/>
        <w:rPr>
          <w:rFonts w:ascii="Arial" w:cs="Arial" w:eastAsia="Arial" w:hAnsi="Arial"/>
          <w:sz w:val="19"/>
          <w:szCs w:val="19"/>
          <w:color w:val="auto"/>
        </w:rPr>
      </w:pPr>
    </w:p>
    <w:p>
      <w:pPr>
        <w:jc w:val="both"/>
        <w:ind w:left="8" w:firstLine="1288"/>
        <w:spacing w:after="0" w:line="244" w:lineRule="auto"/>
        <w:tabs>
          <w:tab w:leader="none" w:pos="1907" w:val="left"/>
        </w:tabs>
        <w:numPr>
          <w:ilvl w:val="0"/>
          <w:numId w:val="290"/>
        </w:numPr>
        <w:rPr>
          <w:rFonts w:ascii="Arial" w:cs="Arial" w:eastAsia="Arial" w:hAnsi="Arial"/>
          <w:sz w:val="19"/>
          <w:szCs w:val="19"/>
          <w:color w:val="auto"/>
        </w:rPr>
      </w:pPr>
      <w:r>
        <w:rPr>
          <w:rFonts w:ascii="Arial" w:cs="Arial" w:eastAsia="Arial" w:hAnsi="Arial"/>
          <w:sz w:val="19"/>
          <w:szCs w:val="19"/>
          <w:color w:val="auto"/>
        </w:rPr>
        <w:t>This Agreement, any Loan Document and any other Communication, including Communications required to be in writing, may be in the form of an Electronic Record and may be executed using Electronic Signatures. Each of the parties hereto agrees that any Electronic Signature on or associated with any Communication shall be valid and binding on the applicable party to the same extent as a manual, original signature, and that any Communication entered into by Electronic Signature, will constitute the legal, valid and binding obligation of such party enforceable against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w:t>
      </w:r>
    </w:p>
    <w:p>
      <w:pPr>
        <w:sectPr>
          <w:pgSz w:w="11900" w:h="16838" w:orient="portrait"/>
          <w:cols w:equalWidth="0" w:num="1">
            <w:col w:w="10448"/>
          </w:cols>
          <w:pgMar w:left="1012" w:top="1401" w:right="439" w:bottom="1440" w:gutter="0" w:footer="0" w:header="0"/>
        </w:sectPr>
      </w:pPr>
    </w:p>
    <w:bookmarkStart w:id="244" w:name="page245"/>
    <w:bookmarkEnd w:id="244"/>
    <w:p>
      <w:pPr>
        <w:jc w:val="both"/>
        <w:ind w:left="9" w:right="40"/>
        <w:spacing w:after="0"/>
        <w:rPr>
          <w:sz w:val="20"/>
          <w:szCs w:val="20"/>
          <w:color w:val="auto"/>
        </w:rPr>
      </w:pPr>
      <w:r>
        <w:rPr>
          <w:rFonts w:ascii="Arial" w:cs="Arial" w:eastAsia="Arial" w:hAnsi="Arial"/>
          <w:sz w:val="19"/>
          <w:szCs w:val="19"/>
          <w:color w:val="auto"/>
        </w:rPr>
        <w:t>acceptance of a manually signed paper Communication which has been converted into electronic form (such as scanned into PDF format), or an electronically signed Communication converted into another format, for transmission, delivery and/or retention. The Loan Parties, the Administrative Agent and each of the Lenders and the Issuing Banks may, at its option, create one or more copies of any Communication in the form of an imaged Electronic Record (“</w:t>
      </w:r>
      <w:r>
        <w:rPr>
          <w:rFonts w:ascii="Arial" w:cs="Arial" w:eastAsia="Arial" w:hAnsi="Arial"/>
          <w:sz w:val="19"/>
          <w:szCs w:val="19"/>
          <w:u w:val="single" w:color="auto"/>
          <w:color w:val="auto"/>
        </w:rPr>
        <w:t>Electronic</w:t>
      </w:r>
      <w:r>
        <w:rPr>
          <w:rFonts w:ascii="Arial" w:cs="Arial" w:eastAsia="Arial" w:hAnsi="Arial"/>
          <w:sz w:val="19"/>
          <w:szCs w:val="19"/>
          <w:color w:val="auto"/>
        </w:rPr>
        <w:t xml:space="preserve"> </w:t>
      </w:r>
      <w:r>
        <w:rPr>
          <w:rFonts w:ascii="Arial" w:cs="Arial" w:eastAsia="Arial" w:hAnsi="Arial"/>
          <w:sz w:val="19"/>
          <w:szCs w:val="19"/>
          <w:u w:val="single" w:color="auto"/>
          <w:color w:val="auto"/>
        </w:rPr>
        <w:t>Copy</w:t>
      </w:r>
      <w:r>
        <w:rPr>
          <w:rFonts w:ascii="Arial" w:cs="Arial" w:eastAsia="Arial" w:hAnsi="Arial"/>
          <w:sz w:val="19"/>
          <w:szCs w:val="19"/>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w:t>
      </w:r>
    </w:p>
    <w:p>
      <w:pPr>
        <w:spacing w:after="0" w:line="1" w:lineRule="exact"/>
        <w:rPr>
          <w:sz w:val="20"/>
          <w:szCs w:val="20"/>
          <w:color w:val="auto"/>
        </w:rPr>
      </w:pPr>
    </w:p>
    <w:p>
      <w:pPr>
        <w:jc w:val="both"/>
        <w:ind w:left="9" w:right="20"/>
        <w:spacing w:after="0" w:line="237" w:lineRule="auto"/>
        <w:rPr>
          <w:sz w:val="20"/>
          <w:szCs w:val="20"/>
          <w:color w:val="auto"/>
        </w:rPr>
      </w:pPr>
      <w:r>
        <w:rPr>
          <w:rFonts w:ascii="Arial" w:cs="Arial" w:eastAsia="Arial" w:hAnsi="Arial"/>
          <w:sz w:val="19"/>
          <w:szCs w:val="19"/>
          <w:color w:val="auto"/>
        </w:rPr>
        <w:t xml:space="preserve">Notwithstanding anything contained herein to the contrary, neither the Administrative Agent, any Issuing Bank nor the Swingline Lender is under any obligation to accept an Electronic Signature in any form or in any format unless expressly agreed to by such Person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that, without limiting the foregoing,</w:t>
      </w:r>
    </w:p>
    <w:p>
      <w:pPr>
        <w:spacing w:after="0" w:line="1" w:lineRule="exact"/>
        <w:rPr>
          <w:sz w:val="20"/>
          <w:szCs w:val="20"/>
          <w:color w:val="auto"/>
        </w:rPr>
      </w:pPr>
    </w:p>
    <w:p>
      <w:pPr>
        <w:jc w:val="both"/>
        <w:ind w:left="9" w:hanging="9"/>
        <w:spacing w:after="0" w:line="221" w:lineRule="auto"/>
        <w:tabs>
          <w:tab w:leader="none" w:pos="295" w:val="left"/>
        </w:tabs>
        <w:numPr>
          <w:ilvl w:val="0"/>
          <w:numId w:val="291"/>
        </w:numPr>
        <w:rPr>
          <w:rFonts w:ascii="Arial" w:cs="Arial" w:eastAsia="Arial" w:hAnsi="Arial"/>
          <w:sz w:val="21"/>
          <w:szCs w:val="21"/>
          <w:color w:val="auto"/>
        </w:rPr>
      </w:pPr>
      <w:r>
        <w:rPr>
          <w:rFonts w:ascii="Arial" w:cs="Arial" w:eastAsia="Arial" w:hAnsi="Arial"/>
          <w:sz w:val="21"/>
          <w:szCs w:val="21"/>
          <w:color w:val="auto"/>
        </w:rPr>
        <w:t>to the extent the Administrative Agent, any Issuing Bank and/or the Swingline Lender has agreed to accept such Electronic Signature, the Loan Parties, the Administrative Agent and each of the Lenders and the Issuing Banks shall be entitled to rely on any such Electronic Signature purportedly given by or on behalf of any party hereto without further verification and regardless of the appearance or form of such Electronic Signature, and (ii) upon the request of the Administrative Agent, any Lender or any Issuing Bank, any Communication executed using an Electronic Signature shall be promptly followed by a manually executed counterpart.</w:t>
      </w:r>
    </w:p>
    <w:p>
      <w:pPr>
        <w:spacing w:after="0" w:line="200" w:lineRule="exact"/>
        <w:rPr>
          <w:rFonts w:ascii="Arial" w:cs="Arial" w:eastAsia="Arial" w:hAnsi="Arial"/>
          <w:sz w:val="21"/>
          <w:szCs w:val="21"/>
          <w:color w:val="auto"/>
        </w:rPr>
      </w:pPr>
    </w:p>
    <w:p>
      <w:pPr>
        <w:jc w:val="both"/>
        <w:ind w:left="9" w:right="60" w:firstLine="1288"/>
        <w:spacing w:after="0" w:line="244" w:lineRule="auto"/>
        <w:tabs>
          <w:tab w:leader="none" w:pos="1909" w:val="left"/>
        </w:tabs>
        <w:numPr>
          <w:ilvl w:val="1"/>
          <w:numId w:val="291"/>
        </w:numPr>
        <w:rPr>
          <w:rFonts w:ascii="Arial" w:cs="Arial" w:eastAsia="Arial" w:hAnsi="Arial"/>
          <w:sz w:val="19"/>
          <w:szCs w:val="19"/>
          <w:color w:val="auto"/>
        </w:rPr>
      </w:pPr>
      <w:r>
        <w:rPr>
          <w:rFonts w:ascii="Arial" w:cs="Arial" w:eastAsia="Arial" w:hAnsi="Arial"/>
          <w:sz w:val="19"/>
          <w:szCs w:val="19"/>
          <w:color w:val="auto"/>
        </w:rPr>
        <w:t>Neither the Administrative Agent, any Issuing Bank nor the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Issuing Bank’s or the Swingline Lender’s reliance on any Electronic Signature transmitted by telecopy, emailed .pdf or any other electronic means). The Administrative Agent, any Issuing Bank and the Swingline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7" w:lineRule="exact"/>
        <w:rPr>
          <w:rFonts w:ascii="Arial" w:cs="Arial" w:eastAsia="Arial" w:hAnsi="Arial"/>
          <w:sz w:val="19"/>
          <w:szCs w:val="19"/>
          <w:color w:val="auto"/>
        </w:rPr>
      </w:pPr>
    </w:p>
    <w:p>
      <w:pPr>
        <w:ind w:left="9" w:right="40" w:firstLine="1288"/>
        <w:spacing w:after="0" w:line="211" w:lineRule="auto"/>
        <w:tabs>
          <w:tab w:leader="none" w:pos="1908" w:val="left"/>
        </w:tabs>
        <w:numPr>
          <w:ilvl w:val="1"/>
          <w:numId w:val="291"/>
        </w:numPr>
        <w:rPr>
          <w:rFonts w:ascii="Arial" w:cs="Arial" w:eastAsia="Arial" w:hAnsi="Arial"/>
          <w:sz w:val="22"/>
          <w:szCs w:val="22"/>
          <w:color w:val="auto"/>
        </w:rPr>
      </w:pPr>
      <w:r>
        <w:rPr>
          <w:rFonts w:ascii="Arial" w:cs="Arial" w:eastAsia="Arial" w:hAnsi="Arial"/>
          <w:sz w:val="22"/>
          <w:szCs w:val="22"/>
          <w:color w:val="auto"/>
        </w:rPr>
        <w:t>Each of the Loan Parties, the Administrative Agent, each Issuing Bank and each Lender hereby waive (i) any argument, defense or right to contest the legal effect, validity or enforceability of this Agreement or any other Loan Document based solely on the lack of paper original copies of this Agreement and/or such other Loan Document, and (ii) any claim against the Administrative Agent, each Issuing Bank, each Lender and each of its respective Related Party for any liabilities arising solely from the Administrative Agent’s, any Issuing Bank’s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205" w:lineRule="exact"/>
        <w:rPr>
          <w:rFonts w:ascii="Arial" w:cs="Arial" w:eastAsia="Arial" w:hAnsi="Arial"/>
          <w:sz w:val="22"/>
          <w:szCs w:val="22"/>
          <w:color w:val="auto"/>
        </w:rPr>
      </w:pPr>
    </w:p>
    <w:p>
      <w:pPr>
        <w:ind w:left="9" w:right="80" w:firstLine="1288"/>
        <w:spacing w:after="0" w:line="223" w:lineRule="auto"/>
        <w:tabs>
          <w:tab w:leader="none" w:pos="1909" w:val="left"/>
        </w:tabs>
        <w:numPr>
          <w:ilvl w:val="1"/>
          <w:numId w:val="291"/>
        </w:numPr>
        <w:rPr>
          <w:rFonts w:ascii="Arial" w:cs="Arial" w:eastAsia="Arial" w:hAnsi="Arial"/>
          <w:sz w:val="22"/>
          <w:szCs w:val="22"/>
          <w:color w:val="auto"/>
        </w:rPr>
      </w:pPr>
      <w:r>
        <w:rPr>
          <w:rFonts w:ascii="Arial" w:cs="Arial" w:eastAsia="Arial" w:hAnsi="Arial"/>
          <w:sz w:val="22"/>
          <w:szCs w:val="22"/>
          <w:color w:val="auto"/>
        </w:rPr>
        <w:t>Each of the parties hereto represents and warrants to the other parties hereto that it has the corporate capacity and authority to execute this Agreement and any other Communication through electronic means and there are no restrictions on doing so in that party’s constitutive documents.</w:t>
      </w:r>
    </w:p>
    <w:p>
      <w:pPr>
        <w:spacing w:after="0" w:line="199" w:lineRule="exact"/>
        <w:rPr>
          <w:sz w:val="20"/>
          <w:szCs w:val="20"/>
          <w:color w:val="auto"/>
        </w:rPr>
      </w:pPr>
    </w:p>
    <w:p>
      <w:pPr>
        <w:jc w:val="both"/>
        <w:ind w:left="9" w:right="40" w:firstLine="648"/>
        <w:spacing w:after="0" w:line="209" w:lineRule="auto"/>
        <w:rPr>
          <w:sz w:val="20"/>
          <w:szCs w:val="20"/>
          <w:color w:val="auto"/>
        </w:rPr>
      </w:pPr>
      <w:r>
        <w:rPr>
          <w:rFonts w:ascii="Arial" w:cs="Arial" w:eastAsia="Arial" w:hAnsi="Arial"/>
          <w:sz w:val="22"/>
          <w:szCs w:val="22"/>
          <w:color w:val="auto"/>
        </w:rPr>
        <w:t xml:space="preserve">SECTION 9.17 </w:t>
      </w:r>
      <w:r>
        <w:rPr>
          <w:rFonts w:ascii="Arial" w:cs="Arial" w:eastAsia="Arial" w:hAnsi="Arial"/>
          <w:sz w:val="22"/>
          <w:szCs w:val="22"/>
          <w:u w:val="single" w:color="auto"/>
          <w:color w:val="auto"/>
        </w:rPr>
        <w:t>Joint and Several</w:t>
      </w:r>
      <w:r>
        <w:rPr>
          <w:rFonts w:ascii="Arial" w:cs="Arial" w:eastAsia="Arial" w:hAnsi="Arial"/>
          <w:sz w:val="22"/>
          <w:szCs w:val="22"/>
          <w:color w:val="auto"/>
        </w:rPr>
        <w:t>. The Obligations under the Loan Documents may be enforced by the Administrative Agent and the Lenders against the Borrower or any Loan Party or all Loan Parties in any manner or order selected by the Administrative Agent or the Required Lenders in their sole discretion. The Borrower and each Loan Party hereby irrevocably waives</w:t>
      </w:r>
    </w:p>
    <w:p>
      <w:pPr>
        <w:spacing w:after="0" w:line="1" w:lineRule="exact"/>
        <w:rPr>
          <w:sz w:val="20"/>
          <w:szCs w:val="20"/>
          <w:color w:val="auto"/>
        </w:rPr>
      </w:pPr>
    </w:p>
    <w:p>
      <w:pPr>
        <w:ind w:left="9" w:right="60" w:hanging="9"/>
        <w:spacing w:after="0" w:line="224" w:lineRule="auto"/>
        <w:tabs>
          <w:tab w:leader="none" w:pos="283" w:val="left"/>
        </w:tabs>
        <w:numPr>
          <w:ilvl w:val="0"/>
          <w:numId w:val="292"/>
        </w:numPr>
        <w:rPr>
          <w:rFonts w:ascii="Arial" w:cs="Arial" w:eastAsia="Arial" w:hAnsi="Arial"/>
          <w:sz w:val="22"/>
          <w:szCs w:val="22"/>
          <w:color w:val="auto"/>
        </w:rPr>
      </w:pPr>
      <w:r>
        <w:rPr>
          <w:rFonts w:ascii="Arial" w:cs="Arial" w:eastAsia="Arial" w:hAnsi="Arial"/>
          <w:sz w:val="22"/>
          <w:szCs w:val="22"/>
          <w:color w:val="auto"/>
        </w:rPr>
        <w:t>any rights of subrogation and (ii) any rights of contribution, indemnity or reimbursement, in each case, that it may acquire or that may arise against the Borrower or any other Loan Party</w:t>
      </w:r>
    </w:p>
    <w:p>
      <w:pPr>
        <w:sectPr>
          <w:pgSz w:w="11900" w:h="16838" w:orient="portrait"/>
          <w:cols w:equalWidth="0" w:num="1">
            <w:col w:w="10469"/>
          </w:cols>
          <w:pgMar w:left="1011" w:top="1401" w:right="419" w:bottom="1440" w:gutter="0" w:footer="0" w:header="0"/>
        </w:sectPr>
      </w:pPr>
    </w:p>
    <w:bookmarkStart w:id="245" w:name="page246"/>
    <w:bookmarkEnd w:id="245"/>
    <w:p>
      <w:pPr>
        <w:ind w:left="8" w:right="40"/>
        <w:spacing w:after="0" w:line="232" w:lineRule="auto"/>
        <w:rPr>
          <w:sz w:val="20"/>
          <w:szCs w:val="20"/>
          <w:color w:val="auto"/>
        </w:rPr>
      </w:pPr>
      <w:r>
        <w:rPr>
          <w:rFonts w:ascii="Arial" w:cs="Arial" w:eastAsia="Arial" w:hAnsi="Arial"/>
          <w:sz w:val="22"/>
          <w:szCs w:val="22"/>
          <w:color w:val="auto"/>
        </w:rPr>
        <w:t>due to any payment or performance made under this Agreement, in each case until all Obligations shall have been fully satisfied.</w:t>
      </w:r>
    </w:p>
    <w:p>
      <w:pPr>
        <w:spacing w:after="0" w:line="199" w:lineRule="exact"/>
        <w:rPr>
          <w:sz w:val="20"/>
          <w:szCs w:val="20"/>
          <w:color w:val="auto"/>
        </w:rPr>
      </w:pPr>
    </w:p>
    <w:p>
      <w:pPr>
        <w:jc w:val="both"/>
        <w:ind w:left="8" w:right="20" w:firstLine="648"/>
        <w:spacing w:after="0" w:line="239"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u w:val="single" w:color="auto"/>
          <w:color w:val="auto"/>
        </w:rPr>
        <w:t>Enforcement</w:t>
      </w:r>
      <w:r>
        <w:rPr>
          <w:rFonts w:ascii="Arial" w:cs="Arial" w:eastAsia="Arial" w:hAnsi="Arial"/>
          <w:sz w:val="19"/>
          <w:szCs w:val="19"/>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and the Issuing Banks;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foregoing shall not prohibit (a) the Administrative Agent from exercising on its own behalf the rights and remedies that inure to its benefit (solely in its capacity as Administrative Agent) hereunder and under the other Loan Documents, (b) each Issuing Bank or the Swingline Lender from exercising the rights and remedies that inure to its benefit (solely in its capacity as Issuing Bank or Swingline Lender, as the case may be) hereunder and under the other Loan Documents,</w:t>
      </w:r>
    </w:p>
    <w:p>
      <w:pPr>
        <w:spacing w:after="0" w:line="4" w:lineRule="exact"/>
        <w:rPr>
          <w:sz w:val="20"/>
          <w:szCs w:val="20"/>
          <w:color w:val="auto"/>
        </w:rPr>
      </w:pPr>
    </w:p>
    <w:p>
      <w:pPr>
        <w:jc w:val="both"/>
        <w:ind w:left="8" w:hanging="8"/>
        <w:spacing w:after="0" w:line="219" w:lineRule="auto"/>
        <w:tabs>
          <w:tab w:leader="none" w:pos="612" w:val="left"/>
        </w:tabs>
        <w:numPr>
          <w:ilvl w:val="0"/>
          <w:numId w:val="293"/>
        </w:numPr>
        <w:rPr>
          <w:rFonts w:ascii="Arial" w:cs="Arial" w:eastAsia="Arial" w:hAnsi="Arial"/>
          <w:sz w:val="21"/>
          <w:szCs w:val="21"/>
          <w:color w:val="auto"/>
        </w:rPr>
      </w:pPr>
      <w:r>
        <w:rPr>
          <w:rFonts w:ascii="Arial" w:cs="Arial" w:eastAsia="Arial" w:hAnsi="Arial"/>
          <w:sz w:val="21"/>
          <w:szCs w:val="21"/>
          <w:color w:val="auto"/>
        </w:rPr>
        <w:t xml:space="preserve">any Lender from exercising setoff rights in accordance with Section 9.08 (subject to the terms of Section 2.17(c)), or (d) any Lender from filing proofs of claim or appearing and filing pleadings on its own behalf during the pendency of a proceeding relative to any Loan Party under any Debtor Relief Law;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(c) and (d) of the preceding proviso and subject to Section 2.17(c), any Lender may, with the consent of the Required Lenders, enforce any rights and remedies available to it and as authorized by the Required Lenders.</w:t>
      </w:r>
    </w:p>
    <w:p>
      <w:pPr>
        <w:spacing w:after="0" w:line="190" w:lineRule="exact"/>
        <w:rPr>
          <w:sz w:val="20"/>
          <w:szCs w:val="20"/>
          <w:color w:val="auto"/>
        </w:rPr>
      </w:pPr>
    </w:p>
    <w:p>
      <w:pPr>
        <w:jc w:val="both"/>
        <w:ind w:left="8" w:right="40" w:firstLine="648"/>
        <w:spacing w:after="0" w:line="249"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u w:val="single" w:color="auto"/>
          <w:color w:val="auto"/>
        </w:rPr>
        <w:t>Netherlands Loan Party Representation</w:t>
      </w:r>
      <w:r>
        <w:rPr>
          <w:rFonts w:ascii="Arial" w:cs="Arial" w:eastAsia="Arial" w:hAnsi="Arial"/>
          <w:sz w:val="19"/>
          <w:szCs w:val="19"/>
          <w:color w:val="auto"/>
        </w:rPr>
        <w:t>. If any Loan Party incorporated under the laws of the Netherlands, including the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92" w:lineRule="exact"/>
        <w:rPr>
          <w:sz w:val="20"/>
          <w:szCs w:val="20"/>
          <w:color w:val="auto"/>
        </w:rPr>
      </w:pPr>
    </w:p>
    <w:p>
      <w:pPr>
        <w:jc w:val="both"/>
        <w:ind w:left="8" w:right="40" w:firstLine="648"/>
        <w:spacing w:after="0" w:line="257"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Acknowledgement and Consent to Bail-In of Affected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w:t>
      </w:r>
    </w:p>
    <w:p>
      <w:pPr>
        <w:sectPr>
          <w:pgSz w:w="11900" w:h="16838" w:orient="portrait"/>
          <w:cols w:equalWidth="0" w:num="1">
            <w:col w:w="10448"/>
          </w:cols>
          <w:pgMar w:left="1012" w:top="1347" w:right="439" w:bottom="1440" w:gutter="0" w:footer="0" w:header="0"/>
        </w:sectPr>
      </w:pPr>
    </w:p>
    <w:bookmarkStart w:id="246" w:name="page247"/>
    <w:bookmarkEnd w:id="246"/>
    <w:p>
      <w:pPr>
        <w:ind w:right="200"/>
        <w:spacing w:after="0" w:line="232" w:lineRule="auto"/>
        <w:rPr>
          <w:sz w:val="20"/>
          <w:szCs w:val="20"/>
          <w:color w:val="auto"/>
        </w:rPr>
      </w:pPr>
      <w:r>
        <w:rPr>
          <w:rFonts w:ascii="Arial" w:cs="Arial" w:eastAsia="Arial" w:hAnsi="Arial"/>
          <w:sz w:val="22"/>
          <w:szCs w:val="22"/>
          <w:color w:val="auto"/>
        </w:rPr>
        <w:t>conversion powers of the applicable Resolution Authority and agrees and consents to, and acknowledges and agrees to be bound by:</w:t>
      </w:r>
    </w:p>
    <w:p>
      <w:pPr>
        <w:spacing w:after="0" w:line="199" w:lineRule="exact"/>
        <w:rPr>
          <w:sz w:val="20"/>
          <w:szCs w:val="20"/>
          <w:color w:val="auto"/>
        </w:rPr>
      </w:pPr>
    </w:p>
    <w:p>
      <w:pPr>
        <w:jc w:val="both"/>
        <w:ind w:firstLine="1288"/>
        <w:spacing w:after="0" w:line="223" w:lineRule="auto"/>
        <w:tabs>
          <w:tab w:leader="none" w:pos="190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85" w:lineRule="exact"/>
        <w:rPr>
          <w:rFonts w:ascii="Arial" w:cs="Arial" w:eastAsia="Arial" w:hAnsi="Arial"/>
          <w:sz w:val="22"/>
          <w:szCs w:val="22"/>
          <w:color w:val="auto"/>
        </w:rPr>
      </w:pPr>
    </w:p>
    <w:p>
      <w:pPr>
        <w:ind w:left="1940" w:hanging="652"/>
        <w:spacing w:after="0"/>
        <w:tabs>
          <w:tab w:leader="none" w:pos="194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ectPr>
          <w:pgSz w:w="11900" w:h="16838" w:orient="portrait"/>
          <w:cols w:equalWidth="0" w:num="1">
            <w:col w:w="10440"/>
          </w:cols>
          <w:pgMar w:left="1020" w:top="1401" w:right="439" w:bottom="1440" w:gutter="0" w:footer="0" w:header="0"/>
        </w:sectPr>
      </w:pPr>
    </w:p>
    <w:bookmarkStart w:id="247" w:name="page248"/>
    <w:bookmarkEnd w:id="247"/>
    <w:p>
      <w:pPr>
        <w:ind w:left="1520" w:hanging="268"/>
        <w:spacing w:after="0"/>
        <w:tabs>
          <w:tab w:leader="none" w:pos="152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ind w:left="600" w:right="100" w:firstLine="652"/>
        <w:spacing w:after="0" w:line="257" w:lineRule="auto"/>
        <w:tabs>
          <w:tab w:leader="none" w:pos="156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1" w:lineRule="exact"/>
        <w:rPr>
          <w:rFonts w:ascii="Arial" w:cs="Arial" w:eastAsia="Arial" w:hAnsi="Arial"/>
          <w:sz w:val="19"/>
          <w:szCs w:val="19"/>
          <w:color w:val="auto"/>
        </w:rPr>
      </w:pPr>
    </w:p>
    <w:p>
      <w:pPr>
        <w:ind w:left="600" w:firstLine="652"/>
        <w:spacing w:after="0" w:line="232" w:lineRule="auto"/>
        <w:tabs>
          <w:tab w:leader="none" w:pos="1656" w:val="left"/>
        </w:tabs>
        <w:numPr>
          <w:ilvl w:val="0"/>
          <w:numId w:val="295"/>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9.21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any Swap Agreement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8" w:lineRule="exact"/>
        <w:rPr>
          <w:sz w:val="20"/>
          <w:szCs w:val="20"/>
          <w:color w:val="auto"/>
        </w:rPr>
      </w:pPr>
    </w:p>
    <w:p>
      <w:pPr>
        <w:jc w:val="both"/>
        <w:ind w:firstLine="1288"/>
        <w:spacing w:after="0" w:line="219" w:lineRule="auto"/>
        <w:tabs>
          <w:tab w:leader="none" w:pos="1900" w:val="left"/>
        </w:tabs>
        <w:numPr>
          <w:ilvl w:val="0"/>
          <w:numId w:val="296"/>
        </w:numPr>
        <w:rPr>
          <w:rFonts w:ascii="Arial" w:cs="Arial" w:eastAsia="Arial" w:hAnsi="Arial"/>
          <w:sz w:val="21"/>
          <w:szCs w:val="21"/>
          <w:color w:val="auto"/>
        </w:rPr>
      </w:pPr>
      <w:r>
        <w:rPr>
          <w:rFonts w:ascii="Arial" w:cs="Arial" w:eastAsia="Arial" w:hAnsi="Arial"/>
          <w:sz w:val="21"/>
          <w:szCs w:val="21"/>
          <w:color w:val="auto"/>
        </w:rPr>
        <w:t>In the event a Covered Entity that is party to a Supported QFC (each, a “</w:t>
      </w:r>
      <w:r>
        <w:rPr>
          <w:rFonts w:ascii="Arial" w:cs="Arial" w:eastAsia="Arial" w:hAnsi="Arial"/>
          <w:sz w:val="21"/>
          <w:szCs w:val="21"/>
          <w:u w:val="single" w:color="auto"/>
          <w:color w:val="auto"/>
        </w:rPr>
        <w:t>Covered Party</w:t>
      </w:r>
      <w:r>
        <w:rPr>
          <w:rFonts w:ascii="Arial" w:cs="Arial" w:eastAsia="Arial" w:hAnsi="Arial"/>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w:t>
      </w:r>
    </w:p>
    <w:p>
      <w:pPr>
        <w:sectPr>
          <w:pgSz w:w="11900" w:h="16838" w:orient="portrait"/>
          <w:cols w:equalWidth="0" w:num="1">
            <w:col w:w="10440"/>
          </w:cols>
          <w:pgMar w:left="1020" w:top="996" w:right="439" w:bottom="1440" w:gutter="0" w:footer="0" w:header="0"/>
        </w:sectPr>
      </w:pPr>
    </w:p>
    <w:bookmarkStart w:id="248" w:name="page249"/>
    <w:bookmarkEnd w:id="248"/>
    <w:p>
      <w:pPr>
        <w:jc w:val="both"/>
        <w:ind w:right="20"/>
        <w:spacing w:after="0" w:line="223" w:lineRule="auto"/>
        <w:rPr>
          <w:sz w:val="20"/>
          <w:szCs w:val="20"/>
          <w:color w:val="auto"/>
        </w:rPr>
      </w:pPr>
      <w:r>
        <w:rPr>
          <w:rFonts w:ascii="Arial" w:cs="Arial" w:eastAsia="Arial" w:hAnsi="Arial"/>
          <w:sz w:val="22"/>
          <w:szCs w:val="22"/>
          <w:color w:val="auto"/>
        </w:rPr>
        <w:t>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4" w:lineRule="exact"/>
        <w:rPr>
          <w:sz w:val="20"/>
          <w:szCs w:val="20"/>
          <w:color w:val="auto"/>
        </w:rPr>
      </w:pPr>
    </w:p>
    <w:p>
      <w:pPr>
        <w:ind w:left="1940" w:hanging="652"/>
        <w:spacing w:after="0"/>
        <w:tabs>
          <w:tab w:leader="none" w:pos="194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As used in this Section 9.21, the following terms have the following</w:t>
      </w:r>
    </w:p>
    <w:p>
      <w:pPr>
        <w:spacing w:after="0"/>
        <w:rPr>
          <w:sz w:val="20"/>
          <w:szCs w:val="20"/>
          <w:color w:val="auto"/>
        </w:rPr>
      </w:pPr>
      <w:r>
        <w:rPr>
          <w:rFonts w:ascii="Arial" w:cs="Arial" w:eastAsia="Arial" w:hAnsi="Arial"/>
          <w:sz w:val="22"/>
          <w:szCs w:val="22"/>
          <w:color w:val="auto"/>
        </w:rPr>
        <w:t>meanings:</w:t>
      </w:r>
    </w:p>
    <w:p>
      <w:pPr>
        <w:spacing w:after="0" w:line="215"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99"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 252.81, 47.2 or 382.1, as applicable.</w:t>
      </w:r>
    </w:p>
    <w:p>
      <w:pPr>
        <w:spacing w:after="0" w:line="202" w:lineRule="exact"/>
        <w:rPr>
          <w:sz w:val="20"/>
          <w:szCs w:val="20"/>
          <w:color w:val="auto"/>
        </w:rPr>
      </w:pPr>
    </w:p>
    <w:p>
      <w:pPr>
        <w:jc w:val="both"/>
        <w:ind w:right="40" w:firstLine="713"/>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8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SECTION 9.22 </w:t>
      </w:r>
      <w:r>
        <w:rPr>
          <w:rFonts w:ascii="Arial" w:cs="Arial" w:eastAsia="Arial" w:hAnsi="Arial"/>
          <w:sz w:val="21"/>
          <w:szCs w:val="21"/>
          <w:u w:val="single" w:color="auto"/>
          <w:color w:val="auto"/>
        </w:rPr>
        <w:t>Amendment and Restatement</w:t>
      </w:r>
      <w:r>
        <w:rPr>
          <w:rFonts w:ascii="Arial" w:cs="Arial" w:eastAsia="Arial" w:hAnsi="Arial"/>
          <w:sz w:val="21"/>
          <w:szCs w:val="21"/>
          <w:color w:val="auto"/>
        </w:rPr>
        <w:t xml:space="preserve">. The parties hereto agree that, on the Closing Date, the following transactions shall be deemed to occur automatically, without further action by any party hereto: (a) the </w:t>
      </w:r>
      <w:r>
        <w:rPr>
          <w:rFonts w:ascii="Arial" w:cs="Arial" w:eastAsia="Arial" w:hAnsi="Arial"/>
          <w:sz w:val="21"/>
          <w:szCs w:val="21"/>
          <w:color w:val="FF0000"/>
          <w:strike w:val="1"/>
        </w:rPr>
        <w:t>Existing</w:t>
      </w:r>
      <w:r>
        <w:rPr>
          <w:rFonts w:ascii="Arial" w:cs="Arial" w:eastAsia="Arial" w:hAnsi="Arial"/>
          <w:sz w:val="21"/>
          <w:szCs w:val="21"/>
          <w:u w:val="single" w:color="auto"/>
          <w:color w:val="0000FF"/>
        </w:rPr>
        <w:t>Original</w:t>
      </w:r>
      <w:r>
        <w:rPr>
          <w:rFonts w:ascii="Arial" w:cs="Arial" w:eastAsia="Arial" w:hAnsi="Arial"/>
          <w:sz w:val="21"/>
          <w:szCs w:val="21"/>
          <w:color w:val="auto"/>
        </w:rPr>
        <w:t xml:space="preserve"> Credit Agreement shall be deemed to be amended and restated in its entirety pursuant to this Agreement, (b) all Obligations (as defined in the </w:t>
      </w:r>
      <w:r>
        <w:rPr>
          <w:rFonts w:ascii="Arial" w:cs="Arial" w:eastAsia="Arial" w:hAnsi="Arial"/>
          <w:sz w:val="21"/>
          <w:szCs w:val="21"/>
          <w:color w:val="FF0000"/>
          <w:strike w:val="1"/>
        </w:rPr>
        <w:t>Existing</w:t>
      </w:r>
      <w:r>
        <w:rPr>
          <w:rFonts w:ascii="Arial" w:cs="Arial" w:eastAsia="Arial" w:hAnsi="Arial"/>
          <w:sz w:val="21"/>
          <w:szCs w:val="21"/>
          <w:u w:val="single" w:color="auto"/>
          <w:color w:val="0000FF"/>
        </w:rPr>
        <w:t>Original</w:t>
      </w:r>
      <w:r>
        <w:rPr>
          <w:rFonts w:ascii="Arial" w:cs="Arial" w:eastAsia="Arial" w:hAnsi="Arial"/>
          <w:sz w:val="21"/>
          <w:szCs w:val="21"/>
          <w:color w:val="auto"/>
        </w:rPr>
        <w:t xml:space="preserve"> Credit Agreement) under the </w:t>
      </w:r>
      <w:r>
        <w:rPr>
          <w:rFonts w:ascii="Arial" w:cs="Arial" w:eastAsia="Arial" w:hAnsi="Arial"/>
          <w:sz w:val="21"/>
          <w:szCs w:val="21"/>
          <w:color w:val="FF0000"/>
          <w:strike w:val="1"/>
        </w:rPr>
        <w:t>Existing</w:t>
      </w:r>
      <w:r>
        <w:rPr>
          <w:rFonts w:ascii="Arial" w:cs="Arial" w:eastAsia="Arial" w:hAnsi="Arial"/>
          <w:sz w:val="21"/>
          <w:szCs w:val="21"/>
          <w:u w:val="single" w:color="auto"/>
          <w:color w:val="0000FF"/>
        </w:rPr>
        <w:t>Original</w:t>
      </w:r>
      <w:r>
        <w:rPr>
          <w:rFonts w:ascii="Arial" w:cs="Arial" w:eastAsia="Arial" w:hAnsi="Arial"/>
          <w:sz w:val="21"/>
          <w:szCs w:val="21"/>
          <w:color w:val="auto"/>
        </w:rPr>
        <w:t xml:space="preserve"> Credit Agreement shall be deemed to be Obligations outstanding hereunder and (c) all references in the other Loan Documents to the </w:t>
      </w:r>
      <w:r>
        <w:rPr>
          <w:rFonts w:ascii="Arial" w:cs="Arial" w:eastAsia="Arial" w:hAnsi="Arial"/>
          <w:sz w:val="21"/>
          <w:szCs w:val="21"/>
          <w:color w:val="FF0000"/>
          <w:strike w:val="1"/>
        </w:rPr>
        <w:t>Existing</w:t>
      </w:r>
      <w:r>
        <w:rPr>
          <w:rFonts w:ascii="Arial" w:cs="Arial" w:eastAsia="Arial" w:hAnsi="Arial"/>
          <w:sz w:val="21"/>
          <w:szCs w:val="21"/>
          <w:u w:val="single" w:color="auto"/>
          <w:color w:val="0000FF"/>
        </w:rPr>
        <w:t>Original</w:t>
      </w:r>
      <w:r>
        <w:rPr>
          <w:rFonts w:ascii="Arial" w:cs="Arial" w:eastAsia="Arial" w:hAnsi="Arial"/>
          <w:sz w:val="21"/>
          <w:szCs w:val="21"/>
          <w:color w:val="FF0000"/>
        </w:rPr>
        <w:t xml:space="preserve"> </w:t>
      </w:r>
      <w:r>
        <w:rPr>
          <w:rFonts w:ascii="Arial" w:cs="Arial" w:eastAsia="Arial" w:hAnsi="Arial"/>
          <w:sz w:val="21"/>
          <w:szCs w:val="21"/>
          <w:color w:val="000000"/>
        </w:rPr>
        <w:t>Credit Agreement shall be deemed to refer without further amendment to this Agreement. Further to</w:t>
      </w:r>
      <w:r>
        <w:rPr>
          <w:rFonts w:ascii="Arial" w:cs="Arial" w:eastAsia="Arial" w:hAnsi="Arial"/>
          <w:sz w:val="21"/>
          <w:szCs w:val="21"/>
          <w:color w:val="FF0000"/>
        </w:rPr>
        <w:t xml:space="preserve"> </w:t>
      </w:r>
      <w:r>
        <w:rPr>
          <w:rFonts w:ascii="Arial" w:cs="Arial" w:eastAsia="Arial" w:hAnsi="Arial"/>
          <w:sz w:val="21"/>
          <w:szCs w:val="21"/>
          <w:color w:val="000000"/>
        </w:rPr>
        <w:t xml:space="preserve">the foregoing, the amendment of the </w:t>
      </w:r>
      <w:r>
        <w:rPr>
          <w:rFonts w:ascii="Arial" w:cs="Arial" w:eastAsia="Arial" w:hAnsi="Arial"/>
          <w:sz w:val="21"/>
          <w:szCs w:val="21"/>
          <w:color w:val="FF0000"/>
          <w:strike w:val="1"/>
        </w:rPr>
        <w:t>Existing</w:t>
      </w:r>
      <w:r>
        <w:rPr>
          <w:rFonts w:ascii="Arial" w:cs="Arial" w:eastAsia="Arial" w:hAnsi="Arial"/>
          <w:sz w:val="21"/>
          <w:szCs w:val="21"/>
          <w:u w:val="single" w:color="auto"/>
          <w:color w:val="0000FF"/>
        </w:rPr>
        <w:t>Original</w:t>
      </w:r>
      <w:r>
        <w:rPr>
          <w:rFonts w:ascii="Arial" w:cs="Arial" w:eastAsia="Arial" w:hAnsi="Arial"/>
          <w:sz w:val="21"/>
          <w:szCs w:val="21"/>
          <w:color w:val="000000"/>
        </w:rPr>
        <w:t xml:space="preserve"> Credit Agreement in the form of this Agreement shall not constitute a novation of any amount owing under the </w:t>
      </w:r>
      <w:r>
        <w:rPr>
          <w:rFonts w:ascii="Arial" w:cs="Arial" w:eastAsia="Arial" w:hAnsi="Arial"/>
          <w:sz w:val="21"/>
          <w:szCs w:val="21"/>
          <w:color w:val="FF0000"/>
          <w:strike w:val="1"/>
        </w:rPr>
        <w:t>Existing</w:t>
      </w:r>
      <w:r>
        <w:rPr>
          <w:rFonts w:ascii="Arial" w:cs="Arial" w:eastAsia="Arial" w:hAnsi="Arial"/>
          <w:sz w:val="21"/>
          <w:szCs w:val="21"/>
          <w:u w:val="single" w:color="auto"/>
          <w:color w:val="0000FF"/>
        </w:rPr>
        <w:t>Original</w:t>
      </w:r>
      <w:r>
        <w:rPr>
          <w:rFonts w:ascii="Arial" w:cs="Arial" w:eastAsia="Arial" w:hAnsi="Arial"/>
          <w:sz w:val="21"/>
          <w:szCs w:val="21"/>
          <w:color w:val="000000"/>
        </w:rPr>
        <w:t xml:space="preserve"> Credit Agreement or any other Loan Document and all amounts owing in respect of principal, interest, fees and other amounts pursuant to the </w:t>
      </w:r>
      <w:r>
        <w:rPr>
          <w:rFonts w:ascii="Arial" w:cs="Arial" w:eastAsia="Arial" w:hAnsi="Arial"/>
          <w:sz w:val="21"/>
          <w:szCs w:val="21"/>
          <w:color w:val="FF0000"/>
          <w:strike w:val="1"/>
        </w:rPr>
        <w:t>Existing</w:t>
      </w:r>
      <w:r>
        <w:rPr>
          <w:rFonts w:ascii="Arial" w:cs="Arial" w:eastAsia="Arial" w:hAnsi="Arial"/>
          <w:sz w:val="21"/>
          <w:szCs w:val="21"/>
          <w:u w:val="single" w:color="auto"/>
          <w:color w:val="0000FF"/>
        </w:rPr>
        <w:t>Original</w:t>
      </w:r>
      <w:r>
        <w:rPr>
          <w:rFonts w:ascii="Arial" w:cs="Arial" w:eastAsia="Arial" w:hAnsi="Arial"/>
          <w:sz w:val="21"/>
          <w:szCs w:val="21"/>
          <w:color w:val="000000"/>
        </w:rPr>
        <w:t xml:space="preserve"> Credit Agreement and the other Loan Documents shall, to the extent not paid or otherwise extinguished on the Closing Date, continue to be owing under this Agreement or such other Loan Documents until paid in accordance herewith and therewith.</w:t>
      </w:r>
    </w:p>
    <w:p>
      <w:pPr>
        <w:spacing w:after="0" w:line="20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ARTICLE X</w:t>
      </w:r>
    </w:p>
    <w:p>
      <w:pPr>
        <w:spacing w:after="0" w:line="200"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Guarantee</w:t>
      </w:r>
    </w:p>
    <w:p>
      <w:pPr>
        <w:spacing w:after="0" w:line="226"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21"/>
          <w:szCs w:val="21"/>
          <w:color w:val="auto"/>
        </w:rPr>
        <w:t xml:space="preserve">SECTION 10.01 </w:t>
      </w:r>
      <w:r>
        <w:rPr>
          <w:rFonts w:ascii="Arial" w:cs="Arial" w:eastAsia="Arial" w:hAnsi="Arial"/>
          <w:sz w:val="21"/>
          <w:szCs w:val="21"/>
          <w:u w:val="single" w:color="auto"/>
          <w:color w:val="auto"/>
        </w:rPr>
        <w:t>Guarantee</w:t>
      </w:r>
      <w:r>
        <w:rPr>
          <w:rFonts w:ascii="Arial" w:cs="Arial" w:eastAsia="Arial" w:hAnsi="Arial"/>
          <w:sz w:val="21"/>
          <w:szCs w:val="21"/>
          <w:color w:val="auto"/>
        </w:rPr>
        <w:t>.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w:t>
      </w:r>
    </w:p>
    <w:p>
      <w:pPr>
        <w:sectPr>
          <w:pgSz w:w="11900" w:h="16838" w:orient="portrait"/>
          <w:cols w:equalWidth="0" w:num="1">
            <w:col w:w="10440"/>
          </w:cols>
          <w:pgMar w:left="1020" w:top="1401" w:right="439" w:bottom="1440" w:gutter="0" w:footer="0" w:header="0"/>
        </w:sectPr>
      </w:pPr>
    </w:p>
    <w:bookmarkStart w:id="249" w:name="page250"/>
    <w:bookmarkEnd w:id="249"/>
    <w:p>
      <w:pPr>
        <w:jc w:val="both"/>
        <w:ind w:right="20"/>
        <w:spacing w:after="0"/>
        <w:rPr>
          <w:sz w:val="20"/>
          <w:szCs w:val="20"/>
          <w:color w:val="auto"/>
        </w:rPr>
      </w:pPr>
      <w:r>
        <w:rPr>
          <w:rFonts w:ascii="Arial" w:cs="Arial" w:eastAsia="Arial" w:hAnsi="Arial"/>
          <w:sz w:val="19"/>
          <w:szCs w:val="19"/>
          <w:color w:val="auto"/>
        </w:rPr>
        <w:t>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 Letter of Credit shall be outstanding or each outstanding Letter of Credit has been Cash Collateralized, so that it is fully secured to the satisfaction of the Administrative Agent and the Commitments shall be irrevocably terminated, notwithstanding that from time to time any Loan Party may be free from any of the Obligations.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either no Letter of Credit shall be outstanding or each outstanding Letter of Credit has been Cash Collateralized so that it is fully secured to the satisfaction of the Administrative Agent and the Commitments are irrevocably terminated. Notwithstanding any other provision of this Article X (Guarantee) the guarantee and other obligations of any Guarantor organized under the laws of the Netherlands expressed to be assumed in this Article X (Guarantee)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(the “</w:t>
      </w:r>
      <w:r>
        <w:rPr>
          <w:rFonts w:ascii="Arial" w:cs="Arial" w:eastAsia="Arial" w:hAnsi="Arial"/>
          <w:sz w:val="19"/>
          <w:szCs w:val="19"/>
          <w:u w:val="single" w:color="auto"/>
          <w:color w:val="auto"/>
        </w:rPr>
        <w:t>Prohibition</w:t>
      </w:r>
      <w:r>
        <w:rPr>
          <w:rFonts w:ascii="Arial" w:cs="Arial" w:eastAsia="Arial" w:hAnsi="Arial"/>
          <w:sz w:val="19"/>
          <w:szCs w:val="19"/>
          <w:color w:val="auto"/>
        </w:rPr>
        <w:t>”)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200" w:lineRule="exact"/>
        <w:rPr>
          <w:sz w:val="20"/>
          <w:szCs w:val="20"/>
          <w:color w:val="auto"/>
        </w:rPr>
      </w:pPr>
    </w:p>
    <w:p>
      <w:pPr>
        <w:spacing w:after="0" w:line="210"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Right of Contribution</w:t>
      </w:r>
      <w:r>
        <w:rPr>
          <w:rFonts w:ascii="Arial" w:cs="Arial" w:eastAsia="Arial" w:hAnsi="Arial"/>
          <w:sz w:val="19"/>
          <w:szCs w:val="19"/>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 Parties, and each Guarantor shall remain liable to the Administrative Agent and the Lender Parties for the full amount guaranteed by such Guarantor hereunder.</w:t>
      </w:r>
    </w:p>
    <w:p>
      <w:pPr>
        <w:spacing w:after="0" w:line="181"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No Subrogation</w:t>
      </w:r>
      <w:r>
        <w:rPr>
          <w:rFonts w:ascii="Arial" w:cs="Arial" w:eastAsia="Arial" w:hAnsi="Arial"/>
          <w:sz w:val="19"/>
          <w:szCs w:val="19"/>
          <w:color w:val="auto"/>
        </w:rPr>
        <w:t>.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either no Letter of Credit shall be outstanding or each outstanding Letter of Credit has been Cash Collateralized so that it is fully secured to the satisfaction of the Administrative Agent and the</w:t>
      </w:r>
    </w:p>
    <w:p>
      <w:pPr>
        <w:sectPr>
          <w:pgSz w:w="11900" w:h="16838" w:orient="portrait"/>
          <w:cols w:equalWidth="0" w:num="1">
            <w:col w:w="10460"/>
          </w:cols>
          <w:pgMar w:left="1020" w:top="1401" w:right="419" w:bottom="1440" w:gutter="0" w:footer="0" w:header="0"/>
        </w:sectPr>
      </w:pPr>
    </w:p>
    <w:bookmarkStart w:id="250" w:name="page251"/>
    <w:bookmarkEnd w:id="250"/>
    <w:p>
      <w:pPr>
        <w:jc w:val="both"/>
        <w:ind w:right="40"/>
        <w:spacing w:after="0" w:line="221" w:lineRule="auto"/>
        <w:rPr>
          <w:sz w:val="20"/>
          <w:szCs w:val="20"/>
          <w:color w:val="auto"/>
        </w:rPr>
      </w:pPr>
      <w:r>
        <w:rPr>
          <w:rFonts w:ascii="Arial" w:cs="Arial" w:eastAsia="Arial" w:hAnsi="Arial"/>
          <w:sz w:val="21"/>
          <w:szCs w:val="21"/>
          <w:color w:val="auto"/>
        </w:rPr>
        <w:t>Commitments are irrevocably terminated.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206"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Amendments, etc., with Respect to the Obligations</w:t>
      </w:r>
      <w:r>
        <w:rPr>
          <w:rFonts w:ascii="Arial" w:cs="Arial" w:eastAsia="Arial" w:hAnsi="Arial"/>
          <w:sz w:val="19"/>
          <w:szCs w:val="19"/>
          <w:color w:val="auto"/>
        </w:rPr>
        <w:t>.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8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Guarantee Absolute and Unconditional</w:t>
      </w:r>
      <w:r>
        <w:rPr>
          <w:rFonts w:ascii="Arial" w:cs="Arial" w:eastAsia="Arial" w:hAnsi="Arial"/>
          <w:sz w:val="19"/>
          <w:szCs w:val="19"/>
          <w:color w:val="auto"/>
        </w:rPr>
        <w:t>. To the fullest extent permitted by applicable law, each Guarantor waives any and all notice of the creation, renewal, extension or accrual of any of the Obligations and notice of or proof of reliance by the 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w:t>
      </w:r>
    </w:p>
    <w:p>
      <w:pPr>
        <w:sectPr>
          <w:pgSz w:w="11900" w:h="16838" w:orient="portrait"/>
          <w:cols w:equalWidth="0" w:num="1">
            <w:col w:w="10440"/>
          </w:cols>
          <w:pgMar w:left="1020" w:top="1347" w:right="439" w:bottom="1440" w:gutter="0" w:footer="0" w:header="0"/>
        </w:sectPr>
      </w:pPr>
    </w:p>
    <w:bookmarkStart w:id="251" w:name="page252"/>
    <w:bookmarkEnd w:id="251"/>
    <w:p>
      <w:pPr>
        <w:jc w:val="both"/>
        <w:ind w:left="8"/>
        <w:spacing w:after="0" w:line="239" w:lineRule="auto"/>
        <w:rPr>
          <w:sz w:val="20"/>
          <w:szCs w:val="20"/>
          <w:color w:val="auto"/>
        </w:rPr>
      </w:pPr>
      <w:r>
        <w:rPr>
          <w:rFonts w:ascii="Arial" w:cs="Arial" w:eastAsia="Arial" w:hAnsi="Arial"/>
          <w:sz w:val="19"/>
          <w:szCs w:val="19"/>
          <w:color w:val="auto"/>
        </w:rPr>
        <w:t>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(and not of collection)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the Borrower, any other Loan Party or any other Person against the Administrative Agent or any other Lender Party or</w:t>
      </w:r>
    </w:p>
    <w:p>
      <w:pPr>
        <w:spacing w:after="0" w:line="5" w:lineRule="exact"/>
        <w:rPr>
          <w:sz w:val="20"/>
          <w:szCs w:val="20"/>
          <w:color w:val="auto"/>
        </w:rPr>
      </w:pPr>
    </w:p>
    <w:p>
      <w:pPr>
        <w:jc w:val="both"/>
        <w:ind w:left="8" w:hanging="8"/>
        <w:spacing w:after="0"/>
        <w:tabs>
          <w:tab w:leader="none" w:pos="307" w:val="left"/>
        </w:tabs>
        <w:numPr>
          <w:ilvl w:val="0"/>
          <w:numId w:val="298"/>
        </w:numPr>
        <w:rPr>
          <w:rFonts w:ascii="Arial" w:cs="Arial" w:eastAsia="Arial" w:hAnsi="Arial"/>
          <w:sz w:val="19"/>
          <w:szCs w:val="19"/>
          <w:color w:val="auto"/>
        </w:rPr>
      </w:pPr>
      <w:r>
        <w:rPr>
          <w:rFonts w:ascii="Arial" w:cs="Arial" w:eastAsia="Arial" w:hAnsi="Arial"/>
          <w:sz w:val="19"/>
          <w:szCs w:val="19"/>
          <w:color w:val="auto"/>
        </w:rPr>
        <w:t>any other circumstance whatsoever (with or without notice to or knowledge of such Guarantor) which constitutes, or might be construed to constitute, an equitable or legal discharge of such Guarantor under the guarantee contained in this Article X,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206" w:lineRule="exact"/>
        <w:rPr>
          <w:sz w:val="20"/>
          <w:szCs w:val="20"/>
          <w:color w:val="auto"/>
        </w:rPr>
      </w:pPr>
    </w:p>
    <w:p>
      <w:pPr>
        <w:jc w:val="both"/>
        <w:ind w:left="8" w:right="40" w:firstLine="648"/>
        <w:spacing w:after="0" w:line="242"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u w:val="single" w:color="auto"/>
          <w:color w:val="auto"/>
        </w:rPr>
        <w:t>Reinstatement</w:t>
      </w:r>
      <w:r>
        <w:rPr>
          <w:rFonts w:ascii="Arial" w:cs="Arial" w:eastAsia="Arial" w:hAnsi="Arial"/>
          <w:sz w:val="19"/>
          <w:szCs w:val="19"/>
          <w:color w:val="auto"/>
        </w:rPr>
        <w: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and the Revolving Commitments with respect to the Obligations are terminated. Notwithstanding the foregoing, this Guarantee Agreement shall continue in full force and effect or be revived, as the case may be, if any payment by or on behalf of the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87" w:lineRule="exact"/>
        <w:rPr>
          <w:sz w:val="20"/>
          <w:szCs w:val="20"/>
          <w:color w:val="auto"/>
        </w:rPr>
      </w:pPr>
    </w:p>
    <w:p>
      <w:pPr>
        <w:jc w:val="both"/>
        <w:ind w:left="8" w:right="40" w:firstLine="648"/>
        <w:spacing w:after="0" w:line="232" w:lineRule="auto"/>
        <w:rPr>
          <w:sz w:val="20"/>
          <w:szCs w:val="20"/>
          <w:color w:val="auto"/>
        </w:rPr>
      </w:pPr>
      <w:r>
        <w:rPr>
          <w:rFonts w:ascii="Arial" w:cs="Arial" w:eastAsia="Arial" w:hAnsi="Arial"/>
          <w:sz w:val="22"/>
          <w:szCs w:val="22"/>
          <w:color w:val="auto"/>
        </w:rPr>
        <w:t xml:space="preserve">SECTION 10.07 </w:t>
      </w:r>
      <w:r>
        <w:rPr>
          <w:rFonts w:ascii="Arial" w:cs="Arial" w:eastAsia="Arial" w:hAnsi="Arial"/>
          <w:sz w:val="22"/>
          <w:szCs w:val="22"/>
          <w:u w:val="single" w:color="auto"/>
          <w:color w:val="auto"/>
        </w:rPr>
        <w:t>Obligations Independent</w:t>
      </w:r>
      <w:r>
        <w:rPr>
          <w:rFonts w:ascii="Arial" w:cs="Arial" w:eastAsia="Arial" w:hAnsi="Arial"/>
          <w:sz w:val="22"/>
          <w:szCs w:val="22"/>
          <w:color w:val="auto"/>
        </w:rPr>
        <w:t>. The obligations of each Guarantor hereunder are those of primary obligor, and not merely as surety, and are independent of the</w:t>
      </w:r>
    </w:p>
    <w:p>
      <w:pPr>
        <w:sectPr>
          <w:pgSz w:w="11900" w:h="16838" w:orient="portrait"/>
          <w:cols w:equalWidth="0" w:num="1">
            <w:col w:w="10468"/>
          </w:cols>
          <w:pgMar w:left="1012" w:top="1401" w:right="419" w:bottom="1440" w:gutter="0" w:footer="0" w:header="0"/>
        </w:sectPr>
      </w:pPr>
    </w:p>
    <w:bookmarkStart w:id="252" w:name="page253"/>
    <w:bookmarkEnd w:id="252"/>
    <w:p>
      <w:pPr>
        <w:ind w:right="40"/>
        <w:spacing w:after="0" w:line="298" w:lineRule="auto"/>
        <w:rPr>
          <w:sz w:val="20"/>
          <w:szCs w:val="20"/>
          <w:color w:val="auto"/>
        </w:rPr>
      </w:pPr>
      <w:r>
        <w:rPr>
          <w:rFonts w:ascii="Arial" w:cs="Arial" w:eastAsia="Arial" w:hAnsi="Arial"/>
          <w:sz w:val="19"/>
          <w:szCs w:val="19"/>
          <w:color w:val="auto"/>
        </w:rPr>
        <w:t>Obligations and the obligations of any other guarantor, and a separate action may be brought against each Guarantor to enforce this Guarantee whether or not the Borrower or any other Person or entity is joined as a party.</w:t>
      </w:r>
    </w:p>
    <w:p>
      <w:pPr>
        <w:spacing w:after="0" w:line="146"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Payments</w:t>
      </w:r>
      <w:r>
        <w:rPr>
          <w:rFonts w:ascii="Arial" w:cs="Arial" w:eastAsia="Arial" w:hAnsi="Arial"/>
          <w:sz w:val="19"/>
          <w:szCs w:val="19"/>
          <w:color w:val="auto"/>
        </w:rPr>
        <w:t>. All payments by each Guarantor under this Guarantee Agreement shall be made in the manner, at the place and in the currency for payment required by this Agreement and the other Loan Documents; provided, however, that (if the currency for payment required by this Agreement is other than Dollars) such Guarantor may, at its option (or, if for any reason whatsoever such Guarantor is unable to effect payments in the foregoing manner, such Guarantor shall be obligated to) pay to the Administrative Agent at the Administrative Agent’s Office the Dollar Equivalent of the amount of such Obligations together with any other amounts due pursuant to Section 2.15. In any case in which a Guarantor makes or is obligated to make payment in Dollars, such Guarantor shall hold the Administrative Agent harmless from any loss incurred by the Administrative Agent arising from any change in the value of Dollars in relation to the currency for payment required by this Agreement between the date the Obligation becomes due and the date the Administrative Agent is actually able, following the conversion of the Dollars paid by such Guarantor into the currency for payment required by this Agreement and remittance of such currency to the place where such Obligation is payable, to apply such payment to such Obligation. The obligations of each Guarantor hereunder shall not be affected by any acts of any legislative body or Governmental Authority affecting such Guarantor or the Borrower, including but not limited to, any restrictions on the conversion of currency or repatriation or control of funds or any total or partial expropriation of such Guarantor’s or the Borrower’s property, or by economic, political, regulatory or other events in the countries where such Guarantor or the Borrower is located.</w:t>
      </w:r>
    </w:p>
    <w:p>
      <w:pPr>
        <w:spacing w:after="0" w:line="18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1"/>
          <w:szCs w:val="21"/>
          <w:color w:val="auto"/>
        </w:rPr>
        <w:t xml:space="preserve">SECTION 10.09 </w:t>
      </w:r>
      <w:r>
        <w:rPr>
          <w:rFonts w:ascii="Arial" w:cs="Arial" w:eastAsia="Arial" w:hAnsi="Arial"/>
          <w:sz w:val="21"/>
          <w:szCs w:val="21"/>
          <w:u w:val="single" w:color="auto"/>
          <w:color w:val="auto"/>
        </w:rPr>
        <w:t>Subordination</w:t>
      </w:r>
      <w:r>
        <w:rPr>
          <w:rFonts w:ascii="Arial" w:cs="Arial" w:eastAsia="Arial" w:hAnsi="Arial"/>
          <w:sz w:val="21"/>
          <w:szCs w:val="21"/>
          <w:color w:val="auto"/>
        </w:rPr>
        <w:t xml:space="preserve">. Each Guarantor hereby subordinates the payment of all obligations and indebtedness of the Borrower owing to each Guarantor, whether now existing or hereafter arising, including but not limited to any obligation of the Borrower to such Guarantor as subrogee of the Lender Parties or resulting from such Guarantor’s performance under this Guarantee Agreement, to the indefeasible payment in full in cash of all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foregoing subordination shall not be given effect until such time as the Lender Parties shall have made a request to the Borrower pursuant to the second sentence of this </w:t>
      </w:r>
      <w:r>
        <w:rPr>
          <w:rFonts w:ascii="Arial" w:cs="Arial" w:eastAsia="Arial" w:hAnsi="Arial"/>
          <w:sz w:val="21"/>
          <w:szCs w:val="21"/>
          <w:u w:val="single" w:color="auto"/>
          <w:color w:val="auto"/>
        </w:rPr>
        <w:t>Section</w:t>
      </w:r>
    </w:p>
    <w:p>
      <w:pPr>
        <w:spacing w:after="0" w:line="4" w:lineRule="exact"/>
        <w:rPr>
          <w:sz w:val="20"/>
          <w:szCs w:val="20"/>
          <w:color w:val="auto"/>
        </w:rPr>
      </w:pPr>
    </w:p>
    <w:p>
      <w:pPr>
        <w:jc w:val="both"/>
        <w:ind w:right="40"/>
        <w:spacing w:after="0" w:line="212" w:lineRule="auto"/>
        <w:rPr>
          <w:sz w:val="20"/>
          <w:szCs w:val="20"/>
          <w:color w:val="auto"/>
        </w:rPr>
      </w:pPr>
      <w:r>
        <w:rPr>
          <w:rFonts w:ascii="Arial" w:cs="Arial" w:eastAsia="Arial" w:hAnsi="Arial"/>
          <w:sz w:val="22"/>
          <w:szCs w:val="22"/>
          <w:u w:val="single" w:color="auto"/>
          <w:color w:val="auto"/>
        </w:rPr>
        <w:t>10.9.</w:t>
      </w:r>
      <w:r>
        <w:rPr>
          <w:rFonts w:ascii="Arial" w:cs="Arial" w:eastAsia="Arial" w:hAnsi="Arial"/>
          <w:sz w:val="22"/>
          <w:szCs w:val="22"/>
          <w:color w:val="auto"/>
        </w:rPr>
        <w:t xml:space="preserve">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spacing w:after="0" w:line="201" w:lineRule="exact"/>
        <w:rPr>
          <w:sz w:val="20"/>
          <w:szCs w:val="20"/>
          <w:color w:val="auto"/>
        </w:rPr>
      </w:pPr>
    </w:p>
    <w:p>
      <w:pPr>
        <w:jc w:val="both"/>
        <w:ind w:right="40" w:firstLine="648"/>
        <w:spacing w:after="0" w:line="218"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Stay of Acceleration</w:t>
      </w:r>
      <w:r>
        <w:rPr>
          <w:rFonts w:ascii="Arial" w:cs="Arial" w:eastAsia="Arial" w:hAnsi="Arial"/>
          <w:sz w:val="22"/>
          <w:szCs w:val="22"/>
          <w:color w:val="auto"/>
        </w:rPr>
        <w:t>.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20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Condition of Borrower</w:t>
      </w:r>
      <w:r>
        <w:rPr>
          <w:rFonts w:ascii="Arial" w:cs="Arial" w:eastAsia="Arial" w:hAnsi="Arial"/>
          <w:sz w:val="19"/>
          <w:szCs w:val="19"/>
          <w:color w:val="auto"/>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each such Guarantor requires, and that none of the Lender Parties has any duty, and each Guarantor is not relying on the Lender Parties at any time, to disclose to each such Guarantor any information relating to the business, operations or financial condition of the Borrower or any other guarantor (each Guarantor waiving any duty on the part of the Lender Parties to disclose such information and any defense relating to the failure to provide the same).</w:t>
      </w:r>
    </w:p>
    <w:p>
      <w:pPr>
        <w:sectPr>
          <w:pgSz w:w="11900" w:h="16838" w:orient="portrait"/>
          <w:cols w:equalWidth="0" w:num="1">
            <w:col w:w="10440"/>
          </w:cols>
          <w:pgMar w:left="1020" w:top="1401" w:right="439" w:bottom="1440" w:gutter="0" w:footer="0" w:header="0"/>
        </w:sectPr>
      </w:pPr>
    </w:p>
    <w:bookmarkStart w:id="253" w:name="page254"/>
    <w:bookmarkEnd w:id="253"/>
    <w:p>
      <w:pPr>
        <w:jc w:val="both"/>
        <w:ind w:right="40" w:firstLine="648"/>
        <w:spacing w:after="0" w:line="244"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Releases</w:t>
      </w:r>
      <w:r>
        <w:rPr>
          <w:rFonts w:ascii="Arial" w:cs="Arial" w:eastAsia="Arial" w:hAnsi="Arial"/>
          <w:sz w:val="19"/>
          <w:szCs w:val="19"/>
          <w:color w:val="auto"/>
        </w:rPr>
        <w:t>. At such time as the Loans, the amounts owed to any Issuing Bank in respect of Letter of Credit and the other Obligations (other than contingent indemnification and contingent expense reimbursement obligations) shall have been paid in full, the Commitments have been terminated and either no Letter of Credit shall be outstanding or each outstanding Letter of Credit has been Cash Collateralized so that it is fully secured to the reasonable satisfaction of the Administrative Agent, this Agreement and all obligations (other than those expressly stated to survive such termination) of the Administrative Agent and each Guarantor hereunder shall terminate, all without delivery of any instrument or performance of any act by any party. The Guarantee of any Guarantor that is a Subsidiary of the Borrower hereunder shall be released to the extent (and in the manner) expressly set forth in Section 5.09 or in the event such Guarantor ceases to be a Subsidiary in a transaction not prohibited by the terms of this Agreement.</w:t>
      </w:r>
    </w:p>
    <w:p>
      <w:pPr>
        <w:spacing w:after="0" w:line="26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ARTICLE XI</w:t>
      </w:r>
    </w:p>
    <w:p>
      <w:pPr>
        <w:spacing w:after="0" w:line="200"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Certain ERISA Matters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w:t>
      </w:r>
    </w:p>
    <w:p>
      <w:pPr>
        <w:spacing w:after="0" w:line="206" w:lineRule="exact"/>
        <w:rPr>
          <w:sz w:val="20"/>
          <w:szCs w:val="20"/>
          <w:color w:val="auto"/>
        </w:rPr>
      </w:pPr>
    </w:p>
    <w:p>
      <w:pPr>
        <w:jc w:val="both"/>
        <w:ind w:right="20" w:firstLine="1288"/>
        <w:spacing w:after="0" w:line="257" w:lineRule="auto"/>
        <w:tabs>
          <w:tab w:leader="none" w:pos="190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at least one of the following is and will be true:</w:t>
      </w:r>
    </w:p>
    <w:p>
      <w:pPr>
        <w:spacing w:after="0" w:line="184" w:lineRule="exact"/>
        <w:rPr>
          <w:rFonts w:ascii="Arial" w:cs="Arial" w:eastAsia="Arial" w:hAnsi="Arial"/>
          <w:sz w:val="19"/>
          <w:szCs w:val="19"/>
          <w:color w:val="auto"/>
        </w:rPr>
      </w:pPr>
    </w:p>
    <w:p>
      <w:pPr>
        <w:jc w:val="both"/>
        <w:ind w:firstLine="1936"/>
        <w:spacing w:after="0" w:line="234" w:lineRule="auto"/>
        <w:tabs>
          <w:tab w:leader="none" w:pos="2553" w:val="left"/>
        </w:tabs>
        <w:numPr>
          <w:ilvl w:val="1"/>
          <w:numId w:val="299"/>
        </w:numPr>
        <w:rPr>
          <w:rFonts w:ascii="Arial" w:cs="Arial" w:eastAsia="Arial" w:hAnsi="Arial"/>
          <w:sz w:val="21"/>
          <w:szCs w:val="21"/>
          <w:color w:val="auto"/>
        </w:rPr>
      </w:pPr>
      <w:r>
        <w:rPr>
          <w:rFonts w:ascii="Arial" w:cs="Arial" w:eastAsia="Arial" w:hAnsi="Arial"/>
          <w:sz w:val="21"/>
          <w:szCs w:val="21"/>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98" w:lineRule="exact"/>
        <w:rPr>
          <w:rFonts w:ascii="Arial" w:cs="Arial" w:eastAsia="Arial" w:hAnsi="Arial"/>
          <w:sz w:val="21"/>
          <w:szCs w:val="21"/>
          <w:color w:val="auto"/>
        </w:rPr>
      </w:pPr>
    </w:p>
    <w:p>
      <w:pPr>
        <w:jc w:val="both"/>
        <w:ind w:right="40" w:firstLine="1936"/>
        <w:spacing w:after="0" w:line="211" w:lineRule="auto"/>
        <w:tabs>
          <w:tab w:leader="none" w:pos="2545" w:val="left"/>
        </w:tabs>
        <w:numPr>
          <w:ilvl w:val="1"/>
          <w:numId w:val="299"/>
        </w:numPr>
        <w:rPr>
          <w:rFonts w:ascii="Arial" w:cs="Arial" w:eastAsia="Arial" w:hAnsi="Arial"/>
          <w:sz w:val="22"/>
          <w:szCs w:val="22"/>
          <w:color w:val="auto"/>
        </w:rPr>
      </w:pPr>
      <w:r>
        <w:rPr>
          <w:rFonts w:ascii="Arial" w:cs="Arial" w:eastAsia="Arial" w:hAnsi="Arial"/>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ectPr>
          <w:pgSz w:w="11900" w:h="16838" w:orient="portrait"/>
          <w:cols w:equalWidth="0" w:num="1">
            <w:col w:w="10440"/>
          </w:cols>
          <w:pgMar w:left="1020" w:top="1347" w:right="439" w:bottom="1440" w:gutter="0" w:footer="0" w:header="0"/>
        </w:sectPr>
      </w:pPr>
    </w:p>
    <w:bookmarkStart w:id="254" w:name="page255"/>
    <w:bookmarkEnd w:id="254"/>
    <w:p>
      <w:pPr>
        <w:jc w:val="both"/>
        <w:ind w:left="-420" w:firstLine="1936"/>
        <w:spacing w:after="0" w:line="246" w:lineRule="auto"/>
        <w:tabs>
          <w:tab w:leader="none" w:pos="2131" w:val="left"/>
        </w:tabs>
        <w:numPr>
          <w:ilvl w:val="1"/>
          <w:numId w:val="300"/>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2" w:lineRule="exact"/>
        <w:rPr>
          <w:rFonts w:ascii="Arial" w:cs="Arial" w:eastAsia="Arial" w:hAnsi="Arial"/>
          <w:sz w:val="19"/>
          <w:szCs w:val="19"/>
          <w:color w:val="auto"/>
        </w:rPr>
      </w:pPr>
    </w:p>
    <w:p>
      <w:pPr>
        <w:ind w:left="-420" w:right="40" w:firstLine="1936"/>
        <w:spacing w:after="0" w:line="232" w:lineRule="auto"/>
        <w:tabs>
          <w:tab w:leader="none" w:pos="2133" w:val="left"/>
        </w:tabs>
        <w:numPr>
          <w:ilvl w:val="1"/>
          <w:numId w:val="300"/>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85" w:lineRule="exact"/>
        <w:rPr>
          <w:rFonts w:ascii="Arial" w:cs="Arial" w:eastAsia="Arial" w:hAnsi="Arial"/>
          <w:sz w:val="22"/>
          <w:szCs w:val="22"/>
          <w:color w:val="auto"/>
        </w:rPr>
      </w:pPr>
    </w:p>
    <w:p>
      <w:pPr>
        <w:jc w:val="both"/>
        <w:ind w:left="-420" w:right="40" w:firstLine="1288"/>
        <w:spacing w:after="0" w:line="244" w:lineRule="auto"/>
        <w:tabs>
          <w:tab w:leader="none" w:pos="1479" w:val="left"/>
        </w:tabs>
        <w:numPr>
          <w:ilvl w:val="0"/>
          <w:numId w:val="301"/>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none of the Administrative Agent or any Arranger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Signature</w:t>
      </w:r>
      <w:r>
        <w:rPr>
          <w:rFonts w:ascii="Arial" w:cs="Arial" w:eastAsia="Arial" w:hAnsi="Arial"/>
          <w:sz w:val="20"/>
          <w:szCs w:val="20"/>
          <w:u w:val="single" w:color="auto"/>
          <w:color w:val="0000FF"/>
        </w:rPr>
        <w:t>Remainder of</w:t>
      </w:r>
      <w:r>
        <w:rPr>
          <w:rFonts w:ascii="Arial" w:cs="Arial" w:eastAsia="Arial" w:hAnsi="Arial"/>
          <w:sz w:val="20"/>
          <w:szCs w:val="20"/>
          <w:color w:val="auto"/>
        </w:rPr>
        <w:t xml:space="preserve"> Page</w:t>
      </w:r>
      <w:r>
        <w:rPr>
          <w:rFonts w:ascii="Arial" w:cs="Arial" w:eastAsia="Arial" w:hAnsi="Arial"/>
          <w:sz w:val="20"/>
          <w:szCs w:val="20"/>
          <w:color w:val="FF0000"/>
          <w:strike w:val="1"/>
        </w:rPr>
        <w:t>s Follow</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Intentionally Left Blank</w:t>
      </w:r>
      <w:r>
        <w:rPr>
          <w:rFonts w:ascii="Arial" w:cs="Arial" w:eastAsia="Arial" w:hAnsi="Arial"/>
          <w:sz w:val="20"/>
          <w:szCs w:val="20"/>
          <w:color w:val="auto"/>
        </w:rPr>
        <w:t>]</w:t>
      </w:r>
    </w:p>
    <w:p>
      <w:pPr>
        <w:sectPr>
          <w:pgSz w:w="11900" w:h="16838" w:orient="portrait"/>
          <w:cols w:equalWidth="0" w:num="1">
            <w:col w:w="10020"/>
          </w:cols>
          <w:pgMar w:left="1440" w:top="1374" w:right="439" w:bottom="1440" w:gutter="0" w:footer="0" w:header="0"/>
        </w:sectPr>
      </w:pPr>
    </w:p>
    <w:bookmarkStart w:id="255" w:name="page256"/>
    <w:bookmarkEnd w:id="255"/>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Guarantors and Issuers of Guaranteed Securities</w:t>
      </w:r>
    </w:p>
    <w:p>
      <w:pPr>
        <w:spacing w:after="0" w:line="21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As of March 31, 2023, Viatris Inc., a Delaware corporation (“Viatris”), Mylan Inc., a Pennsylvania corporation (“Mylan Inc.”), and Mylan II B.V., a company incorporated under the laws of the Netherlands (“Mylan II”), were the guarantors of the 3.950% Senior Notes due 2026 and 5.250% Senior Notes due 2046 issued by Utah Acquisition Sub Inc., a Delaware corporation (“Utah”).</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As of March 31, 2023, Viatris, Utah and Mylan II were the guarantors of the 4.200% Senior Notes due 2023, 4.550% Senior Notes due 2028, 5.400% Senior Notes due 2043 and 5.200% Senior Notes due 2048 issued by Mylan Inc.</w:t>
      </w:r>
    </w:p>
    <w:p>
      <w:pPr>
        <w:spacing w:after="0" w:line="13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As of March 31, 2023, Utah, Mylan Inc. and Mylan II were the guarantors of the 1.650% Senior Notes due 2025, 2.300% Senior Notes due 2027, 2.700% Senior Notes due 2030, 3.850% Senior Notes due 2040 and 4.000% Senior Notes due 2050 issued by Viatris.</w:t>
      </w:r>
    </w:p>
    <w:p>
      <w:pPr>
        <w:sectPr>
          <w:pgSz w:w="11900" w:h="16838" w:orient="portrait"/>
          <w:cols w:equalWidth="0" w:num="1">
            <w:col w:w="11240"/>
          </w:cols>
          <w:pgMar w:left="320" w:top="1440"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Scott A. Smith, certify that:</w:t>
      </w:r>
    </w:p>
    <w:p>
      <w:pPr>
        <w:spacing w:after="0" w:line="131" w:lineRule="exact"/>
        <w:rPr>
          <w:sz w:val="20"/>
          <w:szCs w:val="20"/>
          <w:color w:val="auto"/>
        </w:rPr>
      </w:pPr>
    </w:p>
    <w:p>
      <w:pPr>
        <w:ind w:left="640" w:hanging="187"/>
        <w:spacing w:after="0"/>
        <w:tabs>
          <w:tab w:leader="none" w:pos="6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30" w:lineRule="exact"/>
        <w:rPr>
          <w:rFonts w:ascii="Arial" w:cs="Arial" w:eastAsia="Arial" w:hAnsi="Arial"/>
          <w:sz w:val="18"/>
          <w:szCs w:val="18"/>
          <w:color w:val="auto"/>
        </w:rPr>
      </w:pPr>
    </w:p>
    <w:p>
      <w:pPr>
        <w:ind w:right="140" w:firstLine="453"/>
        <w:spacing w:after="0" w:line="387" w:lineRule="auto"/>
        <w:tabs>
          <w:tab w:leader="none" w:pos="62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53"/>
        <w:spacing w:after="0" w:line="308" w:lineRule="auto"/>
        <w:tabs>
          <w:tab w:leader="none" w:pos="62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40" w:hanging="187"/>
        <w:spacing w:after="0"/>
        <w:tabs>
          <w:tab w:leader="none" w:pos="64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2" w:lineRule="exact"/>
        <w:rPr>
          <w:rFonts w:ascii="Arial" w:cs="Arial" w:eastAsia="Arial" w:hAnsi="Arial"/>
          <w:sz w:val="16"/>
          <w:szCs w:val="16"/>
          <w:color w:val="auto"/>
        </w:rPr>
      </w:pPr>
    </w:p>
    <w:p>
      <w:pPr>
        <w:ind w:right="80"/>
        <w:spacing w:after="0" w:line="308"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6"/>
          <w:szCs w:val="16"/>
          <w:color w:val="auto"/>
        </w:rPr>
      </w:pPr>
    </w:p>
    <w:p>
      <w:pPr>
        <w:ind w:left="500" w:right="440" w:firstLine="480"/>
        <w:spacing w:after="0" w:line="303" w:lineRule="auto"/>
        <w:tabs>
          <w:tab w:leader="none" w:pos="123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left="500" w:right="200" w:firstLine="480"/>
        <w:spacing w:after="0" w:line="303" w:lineRule="auto"/>
        <w:tabs>
          <w:tab w:leader="none" w:pos="124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left="500" w:right="320" w:firstLine="480"/>
        <w:spacing w:after="0" w:line="387" w:lineRule="auto"/>
        <w:tabs>
          <w:tab w:leader="none" w:pos="1231" w:val="left"/>
        </w:tabs>
        <w:numPr>
          <w:ilvl w:val="1"/>
          <w:numId w:val="3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80" w:firstLine="480"/>
        <w:spacing w:after="0" w:line="303" w:lineRule="auto"/>
        <w:tabs>
          <w:tab w:leader="none" w:pos="124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rFonts w:ascii="Arial" w:cs="Arial" w:eastAsia="Arial" w:hAnsi="Arial"/>
          <w:sz w:val="18"/>
          <w:szCs w:val="18"/>
          <w:color w:val="auto"/>
        </w:rPr>
      </w:pPr>
    </w:p>
    <w:p>
      <w:pPr>
        <w:ind w:right="100" w:firstLine="453"/>
        <w:spacing w:after="0" w:line="357" w:lineRule="auto"/>
        <w:tabs>
          <w:tab w:leader="none" w:pos="622"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3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31750</wp:posOffset>
            </wp:positionV>
            <wp:extent cx="25031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Scott A. Smith</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8, 2023</w:t>
      </w:r>
    </w:p>
    <w:p>
      <w:pPr>
        <w:sectPr>
          <w:pgSz w:w="11900" w:h="16838" w:orient="portrait"/>
          <w:cols w:equalWidth="0" w:num="1">
            <w:col w:w="11240"/>
          </w:cols>
          <w:pgMar w:left="320" w:top="904"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31" w:lineRule="exact"/>
        <w:rPr>
          <w:sz w:val="20"/>
          <w:szCs w:val="20"/>
          <w:color w:val="auto"/>
        </w:rPr>
      </w:pPr>
    </w:p>
    <w:p>
      <w:pPr>
        <w:ind w:left="640" w:hanging="187"/>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30" w:lineRule="exact"/>
        <w:rPr>
          <w:rFonts w:ascii="Arial" w:cs="Arial" w:eastAsia="Arial" w:hAnsi="Arial"/>
          <w:sz w:val="18"/>
          <w:szCs w:val="18"/>
          <w:color w:val="auto"/>
        </w:rPr>
      </w:pPr>
    </w:p>
    <w:p>
      <w:pPr>
        <w:ind w:right="140" w:firstLine="453"/>
        <w:spacing w:after="0" w:line="387" w:lineRule="auto"/>
        <w:tabs>
          <w:tab w:leader="none" w:pos="62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53"/>
        <w:spacing w:after="0" w:line="308" w:lineRule="auto"/>
        <w:tabs>
          <w:tab w:leader="none" w:pos="62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40" w:hanging="187"/>
        <w:spacing w:after="0"/>
        <w:tabs>
          <w:tab w:leader="none" w:pos="64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2" w:lineRule="exact"/>
        <w:rPr>
          <w:rFonts w:ascii="Arial" w:cs="Arial" w:eastAsia="Arial" w:hAnsi="Arial"/>
          <w:sz w:val="16"/>
          <w:szCs w:val="16"/>
          <w:color w:val="auto"/>
        </w:rPr>
      </w:pPr>
    </w:p>
    <w:p>
      <w:pPr>
        <w:ind w:right="80"/>
        <w:spacing w:after="0" w:line="308"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6"/>
          <w:szCs w:val="16"/>
          <w:color w:val="auto"/>
        </w:rPr>
      </w:pPr>
    </w:p>
    <w:p>
      <w:pPr>
        <w:ind w:left="500" w:right="440" w:firstLine="480"/>
        <w:spacing w:after="0" w:line="303" w:lineRule="auto"/>
        <w:tabs>
          <w:tab w:leader="none" w:pos="123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left="500" w:right="200" w:firstLine="480"/>
        <w:spacing w:after="0" w:line="303" w:lineRule="auto"/>
        <w:tabs>
          <w:tab w:leader="none" w:pos="124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left="500" w:right="320" w:firstLine="480"/>
        <w:spacing w:after="0" w:line="387" w:lineRule="auto"/>
        <w:tabs>
          <w:tab w:leader="none" w:pos="1231" w:val="left"/>
        </w:tabs>
        <w:numPr>
          <w:ilvl w:val="1"/>
          <w:numId w:val="3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80" w:firstLine="480"/>
        <w:spacing w:after="0" w:line="303" w:lineRule="auto"/>
        <w:tabs>
          <w:tab w:leader="none" w:pos="124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rFonts w:ascii="Arial" w:cs="Arial" w:eastAsia="Arial" w:hAnsi="Arial"/>
          <w:sz w:val="18"/>
          <w:szCs w:val="18"/>
          <w:color w:val="auto"/>
        </w:rPr>
      </w:pPr>
    </w:p>
    <w:p>
      <w:pPr>
        <w:ind w:right="100" w:firstLine="453"/>
        <w:spacing w:after="0" w:line="357" w:lineRule="auto"/>
        <w:tabs>
          <w:tab w:leader="none" w:pos="622"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3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8, 2023</w:t>
      </w:r>
    </w:p>
    <w:p>
      <w:pPr>
        <w:sectPr>
          <w:pgSz w:w="11900" w:h="16838" w:orient="portrait"/>
          <w:cols w:equalWidth="0" w:num="1">
            <w:col w:w="11240"/>
          </w:cols>
          <w:pgMar w:left="320" w:top="904"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140" w:firstLine="445"/>
        <w:spacing w:after="0" w:line="328" w:lineRule="auto"/>
        <w:rPr>
          <w:sz w:val="20"/>
          <w:szCs w:val="20"/>
          <w:color w:val="auto"/>
        </w:rPr>
      </w:pPr>
      <w:r>
        <w:rPr>
          <w:rFonts w:ascii="Arial" w:cs="Arial" w:eastAsia="Arial" w:hAnsi="Arial"/>
          <w:sz w:val="17"/>
          <w:szCs w:val="17"/>
          <w:color w:val="auto"/>
        </w:rPr>
        <w:t>In connection with the Quarterly Report on Form 10-Q of Viatris Inc. (the “Company”) for the period ended March 31, 2023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36" w:lineRule="exact"/>
        <w:rPr>
          <w:sz w:val="20"/>
          <w:szCs w:val="20"/>
          <w:color w:val="auto"/>
        </w:rPr>
      </w:pPr>
    </w:p>
    <w:p>
      <w:pPr>
        <w:ind w:left="1080" w:hanging="181"/>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80" w:hanging="181"/>
        <w:spacing w:after="0"/>
        <w:tabs>
          <w:tab w:leader="none" w:pos="10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Scott A. Smith</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8, 2023</w:t>
      </w:r>
    </w:p>
    <w:p>
      <w:pPr>
        <w:spacing w:after="0" w:line="198" w:lineRule="exact"/>
        <w:rPr>
          <w:sz w:val="20"/>
          <w:szCs w:val="20"/>
          <w:color w:val="auto"/>
        </w:rPr>
      </w:pPr>
    </w:p>
    <w:p>
      <w:pPr>
        <w:ind w:right="420" w:firstLine="445"/>
        <w:spacing w:after="0" w:line="32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3" w:lineRule="exact"/>
        <w:rPr>
          <w:sz w:val="20"/>
          <w:szCs w:val="20"/>
          <w:color w:val="auto"/>
        </w:rPr>
      </w:pPr>
    </w:p>
    <w:p>
      <w:pPr>
        <w:ind w:right="520" w:firstLine="445"/>
        <w:spacing w:after="0" w:line="324"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32E20"/>
    <w:multiLevelType w:val="hybridMultilevel"/>
    <w:lvl w:ilvl="0">
      <w:lvlJc w:val="left"/>
      <w:lvlText w:val="☑"/>
      <w:numFmt w:val="bullet"/>
      <w:start w:val="1"/>
    </w:lvl>
  </w:abstractNum>
  <w:abstractNum w:abstractNumId="1">
    <w:nsid w:val="49C0E823"/>
    <w:multiLevelType w:val="hybridMultilevel"/>
    <w:lvl w:ilvl="0">
      <w:lvlJc w:val="left"/>
      <w:lvlText w:val="☐"/>
      <w:numFmt w:val="bullet"/>
      <w:start w:val="1"/>
    </w:lvl>
  </w:abstractNum>
  <w:abstractNum w:abstractNumId="2">
    <w:nsid w:val="14D53685"/>
    <w:multiLevelType w:val="hybridMultilevel"/>
    <w:lvl w:ilvl="0">
      <w:lvlJc w:val="left"/>
      <w:lvlText w:val="%1."/>
      <w:numFmt w:val="decimal"/>
      <w:start w:val="1"/>
    </w:lvl>
  </w:abstractNum>
  <w:abstractNum w:abstractNumId="3">
    <w:nsid w:val="230F856C"/>
    <w:multiLevelType w:val="hybridMultilevel"/>
    <w:lvl w:ilvl="0">
      <w:lvlJc w:val="left"/>
      <w:lvlText w:val="%1."/>
      <w:numFmt w:val="decimal"/>
      <w:start w:val="2"/>
    </w:lvl>
  </w:abstractNum>
  <w:abstractNum w:abstractNumId="4">
    <w:nsid w:val="6EAA85FB"/>
    <w:multiLevelType w:val="hybridMultilevel"/>
    <w:lvl w:ilvl="0">
      <w:lvlJc w:val="left"/>
      <w:lvlText w:val="(%1)"/>
      <w:numFmt w:val="lowerLetter"/>
      <w:start w:val="1"/>
    </w:lvl>
  </w:abstractNum>
  <w:abstractNum w:abstractNumId="5">
    <w:nsid w:val="3F06ECB2"/>
    <w:multiLevelType w:val="hybridMultilevel"/>
    <w:lvl w:ilvl="0">
      <w:lvlJc w:val="left"/>
      <w:lvlText w:val="(%1)"/>
      <w:numFmt w:val="lowerLetter"/>
      <w:start w:val="1"/>
    </w:lvl>
  </w:abstractNum>
  <w:abstractNum w:abstractNumId="6">
    <w:nsid w:val="3B594807"/>
    <w:multiLevelType w:val="hybridMultilevel"/>
    <w:lvl w:ilvl="0">
      <w:lvlJc w:val="left"/>
      <w:lvlText w:val="%1."/>
      <w:numFmt w:val="decimal"/>
      <w:start w:val="3"/>
    </w:lvl>
  </w:abstractNum>
  <w:abstractNum w:abstractNumId="7">
    <w:nsid w:val="6CAA2304"/>
    <w:multiLevelType w:val="hybridMultilevel"/>
    <w:lvl w:ilvl="0">
      <w:lvlJc w:val="left"/>
      <w:lvlText w:val="%1."/>
      <w:numFmt w:val="decimal"/>
      <w:start w:val="4"/>
    </w:lvl>
  </w:abstractNum>
  <w:abstractNum w:abstractNumId="8">
    <w:nsid w:val="3F7C2FF4"/>
    <w:multiLevelType w:val="hybridMultilevel"/>
    <w:lvl w:ilvl="0">
      <w:lvlJc w:val="left"/>
      <w:lvlText w:val="%1."/>
      <w:numFmt w:val="decimal"/>
      <w:start w:val="5"/>
    </w:lvl>
  </w:abstractNum>
  <w:abstractNum w:abstractNumId="9">
    <w:nsid w:val="25413BEC"/>
    <w:multiLevelType w:val="hybridMultilevel"/>
    <w:lvl w:ilvl="0">
      <w:lvlJc w:val="left"/>
      <w:lvlText w:val="•"/>
      <w:numFmt w:val="bullet"/>
      <w:start w:val="1"/>
    </w:lvl>
  </w:abstractNum>
  <w:abstractNum w:abstractNumId="10">
    <w:nsid w:val="17180B0B"/>
    <w:multiLevelType w:val="hybridMultilevel"/>
    <w:lvl w:ilvl="0">
      <w:lvlJc w:val="left"/>
      <w:lvlText w:val="%1."/>
      <w:numFmt w:val="decimal"/>
      <w:start w:val="6"/>
    </w:lvl>
  </w:abstractNum>
  <w:abstractNum w:abstractNumId="11">
    <w:nsid w:val="579328B9"/>
    <w:multiLevelType w:val="hybridMultilevel"/>
    <w:lvl w:ilvl="0">
      <w:lvlJc w:val="left"/>
      <w:lvlText w:val="%1."/>
      <w:numFmt w:val="decimal"/>
      <w:start w:val="7"/>
    </w:lvl>
  </w:abstractNum>
  <w:abstractNum w:abstractNumId="12">
    <w:nsid w:val="5D205E20"/>
    <w:multiLevelType w:val="hybridMultilevel"/>
    <w:lvl w:ilvl="0">
      <w:lvlJc w:val="left"/>
      <w:lvlText w:val="%1"/>
      <w:numFmt w:val="decimal"/>
      <w:start w:val="1"/>
    </w:lvl>
    <w:lvl w:ilvl="1">
      <w:lvlJc w:val="left"/>
      <w:lvlText w:val="(%2)"/>
      <w:numFmt w:val="decimal"/>
      <w:start w:val="1"/>
    </w:lvl>
  </w:abstractNum>
  <w:abstractNum w:abstractNumId="13">
    <w:nsid w:val="11CCA8BA"/>
    <w:multiLevelType w:val="hybridMultilevel"/>
    <w:lvl w:ilvl="0">
      <w:lvlJc w:val="left"/>
      <w:lvlText w:val="%1."/>
      <w:numFmt w:val="decimal"/>
      <w:start w:val="9"/>
    </w:lvl>
    <w:lvl w:ilvl="1">
      <w:lvlJc w:val="left"/>
      <w:lvlText w:val="%2"/>
      <w:numFmt w:val="decimal"/>
      <w:start w:val="1"/>
    </w:lvl>
  </w:abstractNum>
  <w:abstractNum w:abstractNumId="14">
    <w:nsid w:val="4D32AB86"/>
    <w:multiLevelType w:val="hybridMultilevel"/>
    <w:lvl w:ilvl="0">
      <w:lvlJc w:val="left"/>
      <w:lvlText w:val="%1."/>
      <w:numFmt w:val="decimal"/>
      <w:start w:val="10"/>
    </w:lvl>
  </w:abstractNum>
  <w:abstractNum w:abstractNumId="15">
    <w:nsid w:val="3F07ACC3"/>
    <w:multiLevelType w:val="hybridMultilevel"/>
    <w:lvl w:ilvl="0">
      <w:lvlJc w:val="left"/>
      <w:lvlText w:val="(%1)"/>
      <w:numFmt w:val="decimal"/>
      <w:start w:val="1"/>
    </w:lvl>
  </w:abstractNum>
  <w:abstractNum w:abstractNumId="16">
    <w:nsid w:val="6B47F63E"/>
    <w:multiLevelType w:val="hybridMultilevel"/>
    <w:lvl w:ilvl="0">
      <w:lvlJc w:val="left"/>
      <w:lvlText w:val="(%1)"/>
      <w:numFmt w:val="decimal"/>
      <w:start w:val="1"/>
    </w:lvl>
  </w:abstractNum>
  <w:abstractNum w:abstractNumId="17">
    <w:nsid w:val="5CB44A05"/>
    <w:multiLevelType w:val="hybridMultilevel"/>
    <w:lvl w:ilvl="0">
      <w:lvlJc w:val="left"/>
      <w:lvlText w:val="(%1)"/>
      <w:numFmt w:val="decimal"/>
      <w:start w:val="1"/>
    </w:lvl>
  </w:abstractNum>
  <w:abstractNum w:abstractNumId="18">
    <w:nsid w:val="16CF80F1"/>
    <w:multiLevelType w:val="hybridMultilevel"/>
    <w:lvl w:ilvl="0">
      <w:lvlJc w:val="left"/>
      <w:lvlText w:val="•"/>
      <w:numFmt w:val="bullet"/>
      <w:start w:val="1"/>
    </w:lvl>
  </w:abstractNum>
  <w:abstractNum w:abstractNumId="19">
    <w:nsid w:val="1C695DEC"/>
    <w:multiLevelType w:val="hybridMultilevel"/>
    <w:lvl w:ilvl="0">
      <w:lvlJc w:val="left"/>
      <w:lvlText w:val="•"/>
      <w:numFmt w:val="bullet"/>
      <w:start w:val="1"/>
    </w:lvl>
  </w:abstractNum>
  <w:abstractNum w:abstractNumId="20">
    <w:nsid w:val="3FCFAED9"/>
    <w:multiLevelType w:val="hybridMultilevel"/>
    <w:lvl w:ilvl="0">
      <w:lvlJc w:val="left"/>
      <w:lvlText w:val="•"/>
      <w:numFmt w:val="bullet"/>
      <w:start w:val="1"/>
    </w:lvl>
  </w:abstractNum>
  <w:abstractNum w:abstractNumId="21">
    <w:nsid w:val="F856867"/>
    <w:multiLevelType w:val="hybridMultilevel"/>
    <w:lvl w:ilvl="0">
      <w:lvlJc w:val="left"/>
      <w:lvlText w:val="•"/>
      <w:numFmt w:val="bullet"/>
      <w:start w:val="1"/>
    </w:lvl>
  </w:abstractNum>
  <w:abstractNum w:abstractNumId="22">
    <w:nsid w:val="11B1CC33"/>
    <w:multiLevelType w:val="hybridMultilevel"/>
    <w:lvl w:ilvl="0">
      <w:lvlJc w:val="left"/>
      <w:lvlText w:val="(%1)"/>
      <w:numFmt w:val="decimal"/>
      <w:start w:val="1"/>
    </w:lvl>
  </w:abstractNum>
  <w:abstractNum w:abstractNumId="23">
    <w:nsid w:val="2E22FBB7"/>
    <w:multiLevelType w:val="hybridMultilevel"/>
    <w:lvl w:ilvl="0">
      <w:lvlJc w:val="left"/>
      <w:lvlText w:val="(%1)"/>
      <w:numFmt w:val="lowerLetter"/>
      <w:start w:val="1"/>
    </w:lvl>
  </w:abstractNum>
  <w:abstractNum w:abstractNumId="24">
    <w:nsid w:val="29934699"/>
    <w:multiLevelType w:val="hybridMultilevel"/>
    <w:lvl w:ilvl="0">
      <w:lvlJc w:val="left"/>
      <w:lvlText w:val="*"/>
      <w:numFmt w:val="bullet"/>
      <w:start w:val="1"/>
    </w:lvl>
  </w:abstractNum>
  <w:abstractNum w:abstractNumId="25">
    <w:nsid w:val="77485850"/>
    <w:multiLevelType w:val="hybridMultilevel"/>
    <w:lvl w:ilvl="0">
      <w:lvlJc w:val="left"/>
      <w:lvlText w:val="**"/>
      <w:numFmt w:val="bullet"/>
      <w:start w:val="1"/>
    </w:lvl>
  </w:abstractNum>
  <w:abstractNum w:abstractNumId="26">
    <w:nsid w:val="744939A3"/>
    <w:multiLevelType w:val="hybridMultilevel"/>
    <w:lvl w:ilvl="0">
      <w:lvlJc w:val="left"/>
      <w:lvlText w:val="***"/>
      <w:numFmt w:val="bullet"/>
      <w:start w:val="1"/>
    </w:lvl>
  </w:abstractNum>
  <w:abstractNum w:abstractNumId="27">
    <w:nsid w:val="4FA0D2E3"/>
    <w:multiLevelType w:val="hybridMultilevel"/>
    <w:lvl w:ilvl="0">
      <w:lvlJc w:val="left"/>
      <w:lvlText w:val="****"/>
      <w:numFmt w:val="bullet"/>
      <w:start w:val="1"/>
    </w:lvl>
  </w:abstractNum>
  <w:abstractNum w:abstractNumId="28">
    <w:nsid w:val="6B1D2C14"/>
    <w:multiLevelType w:val="hybridMultilevel"/>
    <w:lvl w:ilvl="0">
      <w:lvlJc w:val="left"/>
      <w:lvlText w:val="◦"/>
      <w:numFmt w:val="bullet"/>
      <w:start w:val="1"/>
    </w:lvl>
  </w:abstractNum>
  <w:abstractNum w:abstractNumId="29">
    <w:nsid w:val="68B867D3"/>
    <w:multiLevelType w:val="hybridMultilevel"/>
    <w:lvl w:ilvl="0">
      <w:lvlJc w:val="left"/>
      <w:lvlText w:val="◦"/>
      <w:numFmt w:val="bullet"/>
      <w:start w:val="1"/>
    </w:lvl>
  </w:abstractNum>
  <w:abstractNum w:abstractNumId="30">
    <w:nsid w:val="3F7F5DD9"/>
    <w:multiLevelType w:val="hybridMultilevel"/>
    <w:lvl w:ilvl="0">
      <w:lvlJc w:val="left"/>
      <w:lvlText w:val="%1."/>
      <w:numFmt w:val="decimal"/>
      <w:start w:val="15"/>
    </w:lvl>
  </w:abstractNum>
  <w:abstractNum w:abstractNumId="31">
    <w:nsid w:val="2AE05A34"/>
    <w:multiLevelType w:val="hybridMultilevel"/>
    <w:lvl w:ilvl="0">
      <w:lvlJc w:val="left"/>
      <w:lvlText w:val="(%1)"/>
      <w:numFmt w:val="decimal"/>
      <w:start w:val="1"/>
    </w:lvl>
  </w:abstractNum>
  <w:abstractNum w:abstractNumId="32">
    <w:nsid w:val="32794FF7"/>
    <w:multiLevelType w:val="hybridMultilevel"/>
    <w:lvl w:ilvl="0">
      <w:lvlJc w:val="left"/>
      <w:lvlText w:val="•"/>
      <w:numFmt w:val="bullet"/>
      <w:start w:val="1"/>
    </w:lvl>
  </w:abstractNum>
  <w:abstractNum w:abstractNumId="33">
    <w:nsid w:val="5454945E"/>
    <w:multiLevelType w:val="hybridMultilevel"/>
    <w:lvl w:ilvl="0">
      <w:lvlJc w:val="left"/>
      <w:lvlText w:val="•"/>
      <w:numFmt w:val="bullet"/>
      <w:start w:val="1"/>
    </w:lvl>
  </w:abstractNum>
  <w:abstractNum w:abstractNumId="34">
    <w:nsid w:val="4DEFDFA0"/>
    <w:multiLevelType w:val="hybridMultilevel"/>
    <w:lvl w:ilvl="0">
      <w:lvlJc w:val="left"/>
      <w:lvlText w:val="(%1)"/>
      <w:numFmt w:val="decimal"/>
      <w:start w:val="1"/>
    </w:lvl>
  </w:abstractNum>
  <w:abstractNum w:abstractNumId="35">
    <w:nsid w:val="2123D5F2"/>
    <w:multiLevelType w:val="hybridMultilevel"/>
    <w:lvl w:ilvl="0">
      <w:lvlJc w:val="left"/>
      <w:lvlText w:val="(%1)"/>
      <w:numFmt w:val="lowerLetter"/>
      <w:start w:val="1"/>
    </w:lvl>
  </w:abstractNum>
  <w:abstractNum w:abstractNumId="36">
    <w:nsid w:val="135B8110"/>
    <w:multiLevelType w:val="hybridMultilevel"/>
    <w:lvl w:ilvl="0">
      <w:lvlJc w:val="left"/>
      <w:lvlText w:val="•"/>
      <w:numFmt w:val="bullet"/>
      <w:start w:val="1"/>
    </w:lvl>
  </w:abstractNum>
  <w:abstractNum w:abstractNumId="37">
    <w:nsid w:val="94927A8"/>
    <w:multiLevelType w:val="hybridMultilevel"/>
    <w:lvl w:ilvl="0">
      <w:lvlJc w:val="left"/>
      <w:lvlText w:val="(%1)"/>
      <w:numFmt w:val="lowerLetter"/>
      <w:start w:val="1"/>
    </w:lvl>
  </w:abstractNum>
  <w:abstractNum w:abstractNumId="38">
    <w:nsid w:val="DCDF8F6"/>
    <w:multiLevelType w:val="hybridMultilevel"/>
    <w:lvl w:ilvl="0">
      <w:lvlJc w:val="left"/>
      <w:lvlText w:val="(%1)"/>
      <w:numFmt w:val="lowerLetter"/>
      <w:start w:val="1"/>
    </w:lvl>
  </w:abstractNum>
  <w:abstractNum w:abstractNumId="39">
    <w:nsid w:val="52D7B105"/>
    <w:multiLevelType w:val="hybridMultilevel"/>
    <w:lvl w:ilvl="0">
      <w:lvlJc w:val="left"/>
      <w:lvlText w:val="•"/>
      <w:numFmt w:val="bullet"/>
      <w:start w:val="1"/>
    </w:lvl>
  </w:abstractNum>
  <w:abstractNum w:abstractNumId="40">
    <w:nsid w:val="2E8A6394"/>
    <w:multiLevelType w:val="hybridMultilevel"/>
    <w:lvl w:ilvl="0">
      <w:lvlJc w:val="left"/>
      <w:lvlText w:val="•"/>
      <w:numFmt w:val="bullet"/>
      <w:start w:val="1"/>
    </w:lvl>
  </w:abstractNum>
  <w:abstractNum w:abstractNumId="41">
    <w:nsid w:val="24E60401"/>
    <w:multiLevelType w:val="hybridMultilevel"/>
    <w:lvl w:ilvl="0">
      <w:lvlJc w:val="left"/>
      <w:lvlText w:val="•"/>
      <w:numFmt w:val="bullet"/>
      <w:start w:val="1"/>
    </w:lvl>
  </w:abstractNum>
  <w:abstractNum w:abstractNumId="42">
    <w:nsid w:val="2A6AD9BE"/>
    <w:multiLevelType w:val="hybridMultilevel"/>
    <w:lvl w:ilvl="0">
      <w:lvlJc w:val="left"/>
      <w:lvlText w:val="•"/>
      <w:numFmt w:val="bullet"/>
      <w:start w:val="1"/>
    </w:lvl>
  </w:abstractNum>
  <w:abstractNum w:abstractNumId="43">
    <w:nsid w:val="BAAC1B4"/>
    <w:multiLevelType w:val="hybridMultilevel"/>
    <w:lvl w:ilvl="0">
      <w:lvlJc w:val="left"/>
      <w:lvlText w:val="•"/>
      <w:numFmt w:val="bullet"/>
      <w:start w:val="1"/>
    </w:lvl>
  </w:abstractNum>
  <w:abstractNum w:abstractNumId="44">
    <w:nsid w:val="36B2ACBC"/>
    <w:multiLevelType w:val="hybridMultilevel"/>
    <w:lvl w:ilvl="0">
      <w:lvlJc w:val="left"/>
      <w:lvlText w:val="•"/>
      <w:numFmt w:val="bullet"/>
      <w:start w:val="1"/>
    </w:lvl>
  </w:abstractNum>
  <w:abstractNum w:abstractNumId="45">
    <w:nsid w:val="779D8544"/>
    <w:multiLevelType w:val="hybridMultilevel"/>
    <w:lvl w:ilvl="0">
      <w:lvlJc w:val="left"/>
      <w:lvlText w:val="(%1)"/>
      <w:numFmt w:val="lowerLetter"/>
      <w:start w:val="1"/>
    </w:lvl>
  </w:abstractNum>
  <w:abstractNum w:abstractNumId="46">
    <w:nsid w:val="4AB26E78"/>
    <w:multiLevelType w:val="hybridMultilevel"/>
    <w:lvl w:ilvl="0">
      <w:lvlJc w:val="left"/>
      <w:lvlText w:val="%1"/>
      <w:numFmt w:val="decimal"/>
      <w:start w:val="22"/>
    </w:lvl>
  </w:abstractNum>
  <w:abstractNum w:abstractNumId="47">
    <w:nsid w:val="21FAA2FA"/>
    <w:multiLevelType w:val="hybridMultilevel"/>
    <w:lvl w:ilvl="0">
      <w:lvlJc w:val="left"/>
      <w:lvlText w:val="%1"/>
      <w:numFmt w:val="decimal"/>
      <w:start w:val="32"/>
    </w:lvl>
  </w:abstractNum>
  <w:abstractNum w:abstractNumId="48">
    <w:nsid w:val="5451CF49"/>
    <w:multiLevelType w:val="hybridMultilevel"/>
    <w:lvl w:ilvl="0">
      <w:lvlJc w:val="left"/>
      <w:lvlText w:val="%1"/>
      <w:numFmt w:val="decimal"/>
      <w:start w:val="104"/>
    </w:lvl>
  </w:abstractNum>
  <w:abstractNum w:abstractNumId="49">
    <w:nsid w:val="6181EF69"/>
    <w:multiLevelType w:val="hybridMultilevel"/>
    <w:lvl w:ilvl="0">
      <w:lvlJc w:val="left"/>
      <w:lvlText w:val="*"/>
      <w:numFmt w:val="bullet"/>
      <w:start w:val="1"/>
    </w:lvl>
  </w:abstractNum>
  <w:abstractNum w:abstractNumId="50">
    <w:nsid w:val="3E6400E6"/>
    <w:multiLevelType w:val="hybridMultilevel"/>
    <w:lvl w:ilvl="0">
      <w:lvlJc w:val="left"/>
      <w:lvlText w:val="^"/>
      <w:numFmt w:val="bullet"/>
      <w:start w:val="1"/>
    </w:lvl>
  </w:abstractNum>
  <w:abstractNum w:abstractNumId="51">
    <w:nsid w:val="14217E23"/>
    <w:multiLevelType w:val="hybridMultilevel"/>
    <w:lvl w:ilvl="0">
      <w:lvlJc w:val="left"/>
      <w:lvlText w:val="%1."/>
      <w:numFmt w:val="decimal"/>
      <w:start w:val="1"/>
    </w:lvl>
    <w:lvl w:ilvl="1">
      <w:lvlJc w:val="left"/>
      <w:lvlText w:val="(%2)"/>
      <w:numFmt w:val="lowerLetter"/>
      <w:start w:val="1"/>
    </w:lvl>
  </w:abstractNum>
  <w:abstractNum w:abstractNumId="52">
    <w:nsid w:val="710757D0"/>
    <w:multiLevelType w:val="hybridMultilevel"/>
    <w:lvl w:ilvl="0">
      <w:lvlJc w:val="left"/>
      <w:lvlText w:val="%1"/>
      <w:numFmt w:val="decimal"/>
      <w:start w:val="1"/>
    </w:lvl>
    <w:lvl w:ilvl="1">
      <w:lvlJc w:val="left"/>
      <w:lvlText w:val="(%2)"/>
      <w:numFmt w:val="lowerLetter"/>
      <w:start w:val="4"/>
    </w:lvl>
  </w:abstractNum>
  <w:abstractNum w:abstractNumId="53">
    <w:nsid w:val="5015CD1A"/>
    <w:multiLevelType w:val="hybridMultilevel"/>
    <w:lvl w:ilvl="0">
      <w:lvlJc w:val="left"/>
      <w:lvlText w:val="%1."/>
      <w:numFmt w:val="decimal"/>
      <w:start w:val="3"/>
    </w:lvl>
    <w:lvl w:ilvl="1">
      <w:lvlJc w:val="left"/>
      <w:lvlText w:val="(%2)"/>
      <w:numFmt w:val="lowerLetter"/>
      <w:start w:val="1"/>
    </w:lvl>
  </w:abstractNum>
  <w:abstractNum w:abstractNumId="54">
    <w:nsid w:val="424479D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5">
    <w:nsid w:val="1A9A9E69"/>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2"/>
    </w:lvl>
  </w:abstractNum>
  <w:abstractNum w:abstractNumId="56">
    <w:nsid w:val="475E256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7">
    <w:nsid w:val="368DB37E"/>
    <w:multiLevelType w:val="hybridMultilevel"/>
    <w:lvl w:ilvl="0">
      <w:lvlJc w:val="left"/>
      <w:lvlText w:val="%1."/>
      <w:numFmt w:val="decimal"/>
      <w:start w:val="9"/>
    </w:lvl>
    <w:lvl w:ilvl="1">
      <w:lvlJc w:val="left"/>
      <w:lvlText w:val="(%2)"/>
      <w:numFmt w:val="lowerLetter"/>
      <w:start w:val="1"/>
    </w:lvl>
  </w:abstractNum>
  <w:abstractNum w:abstractNumId="58">
    <w:nsid w:val="6A3B714C"/>
    <w:multiLevelType w:val="hybridMultilevel"/>
    <w:lvl w:ilvl="0">
      <w:lvlJc w:val="left"/>
      <w:lvlText w:val="(%1)"/>
      <w:numFmt w:val="lowerLetter"/>
      <w:start w:val="6"/>
    </w:lvl>
    <w:lvl w:ilvl="1">
      <w:lvlJc w:val="left"/>
      <w:lvlText w:val="(%2)"/>
      <w:numFmt w:val="lowerRoman"/>
      <w:start w:val="1"/>
    </w:lvl>
  </w:abstractNum>
  <w:abstractNum w:abstractNumId="59">
    <w:nsid w:val="327B517E"/>
    <w:multiLevelType w:val="hybridMultilevel"/>
    <w:lvl w:ilvl="0">
      <w:lvlJc w:val="left"/>
      <w:lvlText w:val="(%1)"/>
      <w:numFmt w:val="lowerLetter"/>
      <w:start w:val="8"/>
    </w:lvl>
  </w:abstractNum>
  <w:abstractNum w:abstractNumId="60">
    <w:nsid w:val="1F461B51"/>
    <w:multiLevelType w:val="hybridMultilevel"/>
    <w:lvl w:ilvl="0">
      <w:lvlJc w:val="left"/>
      <w:lvlText w:val="(%1)"/>
      <w:numFmt w:val="lowerLetter"/>
      <w:start w:val="11"/>
    </w:lvl>
  </w:abstractNum>
  <w:abstractNum w:abstractNumId="61">
    <w:nsid w:val="29BACF25"/>
    <w:multiLevelType w:val="hybridMultilevel"/>
    <w:lvl w:ilvl="0">
      <w:lvlJc w:val="left"/>
      <w:lvlText w:val="(%1)"/>
      <w:numFmt w:val="decimal"/>
      <w:start w:val="1"/>
    </w:lvl>
  </w:abstractNum>
  <w:abstractNum w:abstractNumId="62">
    <w:nsid w:val="5D5BABB3"/>
    <w:multiLevelType w:val="hybridMultilevel"/>
    <w:lvl w:ilvl="0">
      <w:lvlJc w:val="left"/>
      <w:lvlText w:val="(%1)"/>
      <w:numFmt w:val="lowerLetter"/>
      <w:start w:val="1"/>
    </w:lvl>
  </w:abstractNum>
  <w:abstractNum w:abstractNumId="63">
    <w:nsid w:val="51BF6B48"/>
    <w:multiLevelType w:val="hybridMultilevel"/>
    <w:lvl w:ilvl="0">
      <w:lvlJc w:val="left"/>
      <w:lvlText w:val="(%1)"/>
      <w:numFmt w:val="lowerLetter"/>
      <w:start w:val="1"/>
    </w:lvl>
  </w:abstractNum>
  <w:abstractNum w:abstractNumId="64">
    <w:nsid w:val="7E0F6384"/>
    <w:multiLevelType w:val="hybridMultilevel"/>
    <w:lvl w:ilvl="0">
      <w:lvlJc w:val="left"/>
      <w:lvlText w:val="(%1)"/>
      <w:numFmt w:val="lowerLetter"/>
      <w:start w:val="1"/>
    </w:lvl>
  </w:abstractNum>
  <w:abstractNum w:abstractNumId="65">
    <w:nsid w:val="2B4B8B53"/>
    <w:multiLevelType w:val="hybridMultilevel"/>
    <w:lvl w:ilvl="0">
      <w:lvlJc w:val="left"/>
      <w:lvlText w:val="(%1)"/>
      <w:numFmt w:val="lowerLetter"/>
      <w:start w:val="2"/>
    </w:lvl>
  </w:abstractNum>
  <w:abstractNum w:abstractNumId="66">
    <w:nsid w:val="72E3413A"/>
    <w:multiLevelType w:val="hybridMultilevel"/>
    <w:lvl w:ilvl="0">
      <w:lvlJc w:val="left"/>
      <w:lvlText w:val="(%1)"/>
      <w:numFmt w:val="decimal"/>
      <w:start w:val="1"/>
    </w:lvl>
    <w:lvl w:ilvl="1">
      <w:lvlJc w:val="left"/>
      <w:lvlText w:val="(%2)"/>
      <w:numFmt w:val="lowerLetter"/>
      <w:start w:val="1"/>
    </w:lvl>
  </w:abstractNum>
  <w:abstractNum w:abstractNumId="67">
    <w:nsid w:val="116AE494"/>
    <w:multiLevelType w:val="hybridMultilevel"/>
    <w:lvl w:ilvl="0">
      <w:lvlJc w:val="left"/>
      <w:lvlText w:val="(%1)"/>
      <w:numFmt w:val="decimal"/>
      <w:start w:val="2"/>
    </w:lvl>
  </w:abstractNum>
  <w:abstractNum w:abstractNumId="68">
    <w:nsid w:val="3494B2FB"/>
    <w:multiLevelType w:val="hybridMultilevel"/>
    <w:lvl w:ilvl="0">
      <w:lvlJc w:val="left"/>
      <w:lvlText w:val="(%1)"/>
      <w:numFmt w:val="lowerLetter"/>
      <w:start w:val="1"/>
    </w:lvl>
  </w:abstractNum>
  <w:abstractNum w:abstractNumId="69">
    <w:nsid w:val="B13A31"/>
    <w:multiLevelType w:val="hybridMultilevel"/>
    <w:lvl w:ilvl="0">
      <w:lvlJc w:val="left"/>
      <w:lvlText w:val="%1"/>
      <w:numFmt w:val="lowerLetter"/>
      <w:start w:val="1"/>
    </w:lvl>
    <w:lvl w:ilvl="1">
      <w:lvlJc w:val="left"/>
      <w:lvlText w:val="(%2)"/>
      <w:numFmt w:val="lowerLetter"/>
      <w:start w:val="1"/>
    </w:lvl>
  </w:abstractNum>
  <w:abstractNum w:abstractNumId="70">
    <w:nsid w:val="64429599"/>
    <w:multiLevelType w:val="hybridMultilevel"/>
    <w:lvl w:ilvl="0">
      <w:lvlJc w:val="left"/>
      <w:lvlText w:val="(%1)"/>
      <w:numFmt w:val="lowerLetter"/>
      <w:start w:val="9"/>
    </w:lvl>
    <w:lvl w:ilvl="1">
      <w:lvlJc w:val="left"/>
      <w:lvlText w:val="%2"/>
      <w:numFmt w:val="lowerLetter"/>
      <w:start w:val="1"/>
    </w:lvl>
  </w:abstractNum>
  <w:abstractNum w:abstractNumId="71">
    <w:nsid w:val="631F1690"/>
    <w:multiLevelType w:val="hybridMultilevel"/>
    <w:lvl w:ilvl="0">
      <w:lvlJc w:val="left"/>
      <w:lvlText w:val="(%1)"/>
      <w:numFmt w:val="lowerLetter"/>
      <w:start w:val="4"/>
    </w:lvl>
  </w:abstractNum>
  <w:abstractNum w:abstractNumId="72">
    <w:nsid w:val="25973E32"/>
    <w:multiLevelType w:val="hybridMultilevel"/>
    <w:lvl w:ilvl="0">
      <w:lvlJc w:val="left"/>
      <w:lvlText w:val="%1"/>
      <w:numFmt w:val="lowerRoman"/>
      <w:start w:val="1"/>
    </w:lvl>
    <w:lvl w:ilvl="1">
      <w:lvlJc w:val="left"/>
      <w:lvlText w:val="(%2)"/>
      <w:numFmt w:val="decimal"/>
      <w:start w:val="1"/>
    </w:lvl>
  </w:abstractNum>
  <w:abstractNum w:abstractNumId="73">
    <w:nsid w:val="EAD6F57"/>
    <w:multiLevelType w:val="hybridMultilevel"/>
    <w:lvl w:ilvl="0">
      <w:lvlJc w:val="left"/>
      <w:lvlText w:val="(%1)"/>
      <w:numFmt w:val="lowerRoman"/>
      <w:start w:val="2"/>
    </w:lvl>
    <w:lvl w:ilvl="1">
      <w:lvlJc w:val="left"/>
      <w:lvlText w:val="(%2)"/>
      <w:numFmt w:val="decimal"/>
      <w:start w:val="6"/>
    </w:lvl>
  </w:abstractNum>
  <w:abstractNum w:abstractNumId="74">
    <w:nsid w:val="6EC9D844"/>
    <w:multiLevelType w:val="hybridMultilevel"/>
    <w:lvl w:ilvl="0">
      <w:lvlJc w:val="left"/>
      <w:lvlText w:val="(%1)"/>
      <w:numFmt w:val="lowerLetter"/>
      <w:start w:val="2"/>
    </w:lvl>
  </w:abstractNum>
  <w:abstractNum w:abstractNumId="75">
    <w:nsid w:val="5C49EAEE"/>
    <w:multiLevelType w:val="hybridMultilevel"/>
    <w:lvl w:ilvl="0">
      <w:lvlJc w:val="left"/>
      <w:lvlText w:val="(%1)"/>
      <w:numFmt w:val="lowerLetter"/>
      <w:start w:val="3"/>
    </w:lvl>
  </w:abstractNum>
  <w:abstractNum w:abstractNumId="76">
    <w:nsid w:val="64AF49B"/>
    <w:multiLevelType w:val="hybridMultilevel"/>
    <w:lvl w:ilvl="0">
      <w:lvlJc w:val="left"/>
      <w:lvlText w:val="(%1)"/>
      <w:numFmt w:val="decimal"/>
      <w:start w:val="2"/>
    </w:lvl>
  </w:abstractNum>
  <w:abstractNum w:abstractNumId="77">
    <w:nsid w:val="397C46BC"/>
    <w:multiLevelType w:val="hybridMultilevel"/>
    <w:lvl w:ilvl="0">
      <w:lvlJc w:val="left"/>
      <w:lvlText w:val="(%1)"/>
      <w:numFmt w:val="upperLetter"/>
      <w:start w:val="2"/>
    </w:lvl>
  </w:abstractNum>
  <w:abstractNum w:abstractNumId="78">
    <w:nsid w:val="7E448DE9"/>
    <w:multiLevelType w:val="hybridMultilevel"/>
    <w:lvl w:ilvl="0">
      <w:lvlJc w:val="left"/>
      <w:lvlText w:val="(%1)"/>
      <w:numFmt w:val="lowerLetter"/>
      <w:start w:val="6"/>
    </w:lvl>
  </w:abstractNum>
  <w:abstractNum w:abstractNumId="79">
    <w:nsid w:val="5A9CC3E5"/>
    <w:multiLevelType w:val="hybridMultilevel"/>
    <w:lvl w:ilvl="0">
      <w:lvlJc w:val="left"/>
      <w:lvlText w:val="(%1)"/>
      <w:numFmt w:val="lowerLetter"/>
      <w:start w:val="9"/>
    </w:lvl>
  </w:abstractNum>
  <w:abstractNum w:abstractNumId="80">
    <w:nsid w:val="1AFE3625"/>
    <w:multiLevelType w:val="hybridMultilevel"/>
    <w:lvl w:ilvl="0">
      <w:lvlJc w:val="left"/>
      <w:lvlText w:val="(%1)"/>
      <w:numFmt w:val="lowerLetter"/>
      <w:start w:val="24"/>
    </w:lvl>
    <w:lvl w:ilvl="1">
      <w:lvlJc w:val="left"/>
      <w:lvlText w:val="%2"/>
      <w:numFmt w:val="lowerLetter"/>
      <w:start w:val="1"/>
    </w:lvl>
  </w:abstractNum>
  <w:abstractNum w:abstractNumId="81">
    <w:nsid w:val="3CA88ECF"/>
    <w:multiLevelType w:val="hybridMultilevel"/>
    <w:lvl w:ilvl="0">
      <w:lvlJc w:val="left"/>
      <w:lvlText w:val="(%1)"/>
      <w:numFmt w:val="lowerLetter"/>
      <w:start w:val="2"/>
    </w:lvl>
    <w:lvl w:ilvl="1">
      <w:lvlJc w:val="left"/>
      <w:lvlText w:val="%2"/>
      <w:numFmt w:val="lowerLetter"/>
      <w:start w:val="1"/>
    </w:lvl>
  </w:abstractNum>
  <w:abstractNum w:abstractNumId="82">
    <w:nsid w:val="6EBE4208"/>
    <w:multiLevelType w:val="hybridMultilevel"/>
    <w:lvl w:ilvl="0">
      <w:lvlJc w:val="left"/>
      <w:lvlText w:val="(%1)"/>
      <w:numFmt w:val="lowerLetter"/>
      <w:start w:val="1"/>
    </w:lvl>
  </w:abstractNum>
  <w:abstractNum w:abstractNumId="83">
    <w:nsid w:val="C058DF5"/>
    <w:multiLevelType w:val="hybridMultilevel"/>
    <w:lvl w:ilvl="0">
      <w:lvlJc w:val="left"/>
      <w:lvlText w:val="(%1)"/>
      <w:numFmt w:val="lowerLetter"/>
      <w:start w:val="1"/>
    </w:lvl>
  </w:abstractNum>
  <w:abstractNum w:abstractNumId="84">
    <w:nsid w:val="CBE5BE9"/>
    <w:multiLevelType w:val="hybridMultilevel"/>
    <w:lvl w:ilvl="0">
      <w:lvlJc w:val="left"/>
      <w:lvlText w:val="(%1)"/>
      <w:numFmt w:val="lowerLetter"/>
      <w:start w:val="1"/>
    </w:lvl>
  </w:abstractNum>
  <w:abstractNum w:abstractNumId="85">
    <w:nsid w:val="3102BBE2"/>
    <w:multiLevelType w:val="hybridMultilevel"/>
    <w:lvl w:ilvl="0">
      <w:lvlJc w:val="left"/>
      <w:lvlText w:val="(%1)"/>
      <w:numFmt w:val="lowerLetter"/>
      <w:start w:val="4"/>
    </w:lvl>
  </w:abstractNum>
  <w:abstractNum w:abstractNumId="86">
    <w:nsid w:val="26A02C5E"/>
    <w:multiLevelType w:val="hybridMultilevel"/>
    <w:lvl w:ilvl="0">
      <w:lvlJc w:val="left"/>
      <w:lvlText w:val="(%1)"/>
      <w:numFmt w:val="decimal"/>
      <w:start w:val="1"/>
    </w:lvl>
  </w:abstractNum>
  <w:abstractNum w:abstractNumId="87">
    <w:nsid w:val="541C8153"/>
    <w:multiLevelType w:val="hybridMultilevel"/>
    <w:lvl w:ilvl="0">
      <w:lvlJc w:val="left"/>
      <w:lvlText w:val="(%1)"/>
      <w:numFmt w:val="lowerLetter"/>
      <w:start w:val="1"/>
    </w:lvl>
  </w:abstractNum>
  <w:abstractNum w:abstractNumId="88">
    <w:nsid w:val="67906F60"/>
    <w:multiLevelType w:val="hybridMultilevel"/>
    <w:lvl w:ilvl="0">
      <w:lvlJc w:val="left"/>
      <w:lvlText w:val="(%1)"/>
      <w:numFmt w:val="lowerLetter"/>
      <w:start w:val="3"/>
    </w:lvl>
  </w:abstractNum>
  <w:abstractNum w:abstractNumId="89">
    <w:nsid w:val="10DB9DAA"/>
    <w:multiLevelType w:val="hybridMultilevel"/>
    <w:lvl w:ilvl="0">
      <w:lvlJc w:val="left"/>
      <w:lvlText w:val="(%1)"/>
      <w:numFmt w:val="lowerLetter"/>
      <w:start w:val="2"/>
    </w:lvl>
  </w:abstractNum>
  <w:abstractNum w:abstractNumId="90">
    <w:nsid w:val="697D2D2"/>
    <w:multiLevelType w:val="hybridMultilevel"/>
    <w:lvl w:ilvl="0">
      <w:lvlJc w:val="left"/>
      <w:lvlText w:val="(%1)"/>
      <w:numFmt w:val="lowerLetter"/>
      <w:start w:val="1"/>
    </w:lvl>
  </w:abstractNum>
  <w:abstractNum w:abstractNumId="91">
    <w:nsid w:val="6D68AB2"/>
    <w:multiLevelType w:val="hybridMultilevel"/>
    <w:lvl w:ilvl="0">
      <w:lvlJc w:val="left"/>
      <w:lvlText w:val="(%1)"/>
      <w:numFmt w:val="lowerLetter"/>
      <w:start w:val="11"/>
    </w:lvl>
  </w:abstractNum>
  <w:abstractNum w:abstractNumId="92">
    <w:nsid w:val="3A966CD0"/>
    <w:multiLevelType w:val="hybridMultilevel"/>
    <w:lvl w:ilvl="0">
      <w:lvlJc w:val="left"/>
      <w:lvlText w:val="(%1)"/>
      <w:numFmt w:val="lowerLetter"/>
      <w:start w:val="17"/>
    </w:lvl>
  </w:abstractNum>
  <w:abstractNum w:abstractNumId="93">
    <w:nsid w:val="63F37E85"/>
    <w:multiLevelType w:val="hybridMultilevel"/>
    <w:lvl w:ilvl="0">
      <w:lvlJc w:val="left"/>
      <w:lvlText w:val="(%1)"/>
      <w:numFmt w:val="lowerLetter"/>
      <w:start w:val="2"/>
    </w:lvl>
  </w:abstractNum>
  <w:abstractNum w:abstractNumId="94">
    <w:nsid w:val="5895F5FA"/>
    <w:multiLevelType w:val="hybridMultilevel"/>
    <w:lvl w:ilvl="0">
      <w:lvlJc w:val="left"/>
      <w:lvlText w:val="(%1)"/>
      <w:numFmt w:val="lowerLetter"/>
      <w:start w:val="1"/>
    </w:lvl>
  </w:abstractNum>
  <w:abstractNum w:abstractNumId="95">
    <w:nsid w:val="38A5D054"/>
    <w:multiLevelType w:val="hybridMultilevel"/>
    <w:lvl w:ilvl="0">
      <w:lvlJc w:val="left"/>
      <w:lvlText w:val="(%1)"/>
      <w:numFmt w:val="lowerLetter"/>
      <w:start w:val="3"/>
    </w:lvl>
  </w:abstractNum>
  <w:abstractNum w:abstractNumId="96">
    <w:nsid w:val="F3F09D8"/>
    <w:multiLevelType w:val="hybridMultilevel"/>
    <w:lvl w:ilvl="0">
      <w:lvlJc w:val="left"/>
      <w:lvlText w:val="(%1)"/>
      <w:numFmt w:val="lowerLetter"/>
      <w:start w:val="3"/>
    </w:lvl>
  </w:abstractNum>
  <w:abstractNum w:abstractNumId="97">
    <w:nsid w:val="4B793735"/>
    <w:multiLevelType w:val="hybridMultilevel"/>
    <w:lvl w:ilvl="0">
      <w:lvlJc w:val="left"/>
      <w:lvlText w:val="(%1)"/>
      <w:numFmt w:val="lowerLetter"/>
      <w:start w:val="1"/>
    </w:lvl>
  </w:abstractNum>
  <w:abstractNum w:abstractNumId="98">
    <w:nsid w:val="4A10B4E8"/>
    <w:multiLevelType w:val="hybridMultilevel"/>
    <w:lvl w:ilvl="0">
      <w:lvlJc w:val="left"/>
      <w:lvlText w:val="(%1)"/>
      <w:numFmt w:val="lowerRoman"/>
      <w:start w:val="1"/>
    </w:lvl>
  </w:abstractNum>
  <w:abstractNum w:abstractNumId="99">
    <w:nsid w:val="43D3BCD4"/>
    <w:multiLevelType w:val="hybridMultilevel"/>
    <w:lvl w:ilvl="0">
      <w:lvlJc w:val="left"/>
      <w:lvlText w:val="(%1)"/>
      <w:numFmt w:val="lowerLetter"/>
      <w:start w:val="1"/>
    </w:lvl>
  </w:abstractNum>
  <w:abstractNum w:abstractNumId="100">
    <w:nsid w:val="4C2A7166"/>
    <w:multiLevelType w:val="hybridMultilevel"/>
    <w:lvl w:ilvl="0">
      <w:lvlJc w:val="left"/>
      <w:lvlText w:val="(%1)"/>
      <w:numFmt w:val="lowerLetter"/>
      <w:start w:val="2"/>
    </w:lvl>
  </w:abstractNum>
  <w:abstractNum w:abstractNumId="101">
    <w:nsid w:val="2E534A82"/>
    <w:multiLevelType w:val="hybridMultilevel"/>
    <w:lvl w:ilvl="0">
      <w:lvlJc w:val="left"/>
      <w:lvlText w:val="(%1)"/>
      <w:numFmt w:val="lowerLetter"/>
      <w:start w:val="1"/>
    </w:lvl>
  </w:abstractNum>
  <w:abstractNum w:abstractNumId="102">
    <w:nsid w:val="26F2D364"/>
    <w:multiLevelType w:val="hybridMultilevel"/>
    <w:lvl w:ilvl="0">
      <w:lvlJc w:val="left"/>
      <w:lvlText w:val="(%1)"/>
      <w:numFmt w:val="lowerLetter"/>
      <w:start w:val="2"/>
    </w:lvl>
  </w:abstractNum>
  <w:abstractNum w:abstractNumId="103">
    <w:nsid w:val="71C1AF98"/>
    <w:multiLevelType w:val="hybridMultilevel"/>
    <w:lvl w:ilvl="0">
      <w:lvlJc w:val="left"/>
      <w:lvlText w:val="(%1)"/>
      <w:numFmt w:val="lowerLetter"/>
      <w:start w:val="1"/>
    </w:lvl>
  </w:abstractNum>
  <w:abstractNum w:abstractNumId="104">
    <w:nsid w:val="3D00B9D9"/>
    <w:multiLevelType w:val="hybridMultilevel"/>
    <w:lvl w:ilvl="0">
      <w:lvlJc w:val="left"/>
      <w:lvlText w:val="(%1)"/>
      <w:numFmt w:val="lowerLetter"/>
      <w:start w:val="2"/>
    </w:lvl>
  </w:abstractNum>
  <w:abstractNum w:abstractNumId="105">
    <w:nsid w:val="15BCABA8"/>
    <w:multiLevelType w:val="hybridMultilevel"/>
    <w:lvl w:ilvl="0">
      <w:lvlJc w:val="left"/>
      <w:lvlText w:val="(%1)"/>
      <w:numFmt w:val="lowerLetter"/>
      <w:start w:val="1"/>
    </w:lvl>
  </w:abstractNum>
  <w:abstractNum w:abstractNumId="106">
    <w:nsid w:val="4E0B9A87"/>
    <w:multiLevelType w:val="hybridMultilevel"/>
    <w:lvl w:ilvl="0">
      <w:lvlJc w:val="left"/>
      <w:lvlText w:val="(%1)"/>
      <w:numFmt w:val="lowerLetter"/>
      <w:start w:val="1"/>
    </w:lvl>
  </w:abstractNum>
  <w:abstractNum w:abstractNumId="107">
    <w:nsid w:val="434BAE75"/>
    <w:multiLevelType w:val="hybridMultilevel"/>
    <w:lvl w:ilvl="0">
      <w:lvlJc w:val="left"/>
      <w:lvlText w:val="(%1)"/>
      <w:numFmt w:val="lowerLetter"/>
      <w:start w:val="1"/>
    </w:lvl>
  </w:abstractNum>
  <w:abstractNum w:abstractNumId="108">
    <w:nsid w:val="4F38F265"/>
    <w:multiLevelType w:val="hybridMultilevel"/>
    <w:lvl w:ilvl="0">
      <w:lvlJc w:val="left"/>
      <w:lvlText w:val="(%1)"/>
      <w:numFmt w:val="lowerLetter"/>
      <w:start w:val="4"/>
    </w:lvl>
  </w:abstractNum>
  <w:abstractNum w:abstractNumId="109">
    <w:nsid w:val="4C502870"/>
    <w:multiLevelType w:val="hybridMultilevel"/>
    <w:lvl w:ilvl="0">
      <w:lvlJc w:val="left"/>
      <w:lvlText w:val="(%1)"/>
      <w:numFmt w:val="lowerRoman"/>
      <w:start w:val="1"/>
    </w:lvl>
  </w:abstractNum>
  <w:abstractNum w:abstractNumId="110">
    <w:nsid w:val="1DE8725A"/>
    <w:multiLevelType w:val="hybridMultilevel"/>
    <w:lvl w:ilvl="0">
      <w:lvlJc w:val="left"/>
      <w:lvlText w:val="(%1)"/>
      <w:numFmt w:val="lowerLetter"/>
      <w:start w:val="1"/>
    </w:lvl>
  </w:abstractNum>
  <w:abstractNum w:abstractNumId="111">
    <w:nsid w:val="6A37288A"/>
    <w:multiLevelType w:val="hybridMultilevel"/>
    <w:lvl w:ilvl="0">
      <w:lvlJc w:val="left"/>
      <w:lvlText w:val="(%1)"/>
      <w:numFmt w:val="lowerLetter"/>
      <w:start w:val="3"/>
    </w:lvl>
  </w:abstractNum>
  <w:abstractNum w:abstractNumId="112">
    <w:nsid w:val="8F8B73F"/>
    <w:multiLevelType w:val="hybridMultilevel"/>
    <w:lvl w:ilvl="0">
      <w:lvlJc w:val="left"/>
      <w:lvlText w:val="(%1)"/>
      <w:numFmt w:val="lowerRoman"/>
      <w:start w:val="2"/>
    </w:lvl>
  </w:abstractNum>
  <w:abstractNum w:abstractNumId="113">
    <w:nsid w:val="CA6B462"/>
    <w:multiLevelType w:val="hybridMultilevel"/>
    <w:lvl w:ilvl="0">
      <w:lvlJc w:val="left"/>
      <w:lvlText w:val="(%1)"/>
      <w:numFmt w:val="lowerRoman"/>
      <w:start w:val="3"/>
    </w:lvl>
  </w:abstractNum>
  <w:abstractNum w:abstractNumId="114">
    <w:nsid w:val="763CB680"/>
    <w:multiLevelType w:val="hybridMultilevel"/>
    <w:lvl w:ilvl="0">
      <w:lvlJc w:val="left"/>
      <w:lvlText w:val="(%1)"/>
      <w:numFmt w:val="lowerLetter"/>
      <w:start w:val="4"/>
    </w:lvl>
  </w:abstractNum>
  <w:abstractNum w:abstractNumId="115">
    <w:nsid w:val="15B71329"/>
    <w:multiLevelType w:val="hybridMultilevel"/>
    <w:lvl w:ilvl="0">
      <w:lvlJc w:val="left"/>
      <w:lvlText w:val="(%1)"/>
      <w:numFmt w:val="lowerRoman"/>
      <w:start w:val="2"/>
    </w:lvl>
  </w:abstractNum>
  <w:abstractNum w:abstractNumId="116">
    <w:nsid w:val="3DA97044"/>
    <w:multiLevelType w:val="hybridMultilevel"/>
    <w:lvl w:ilvl="0">
      <w:lvlJc w:val="left"/>
      <w:lvlText w:val="(%1)"/>
      <w:numFmt w:val="lowerLetter"/>
      <w:start w:val="5"/>
    </w:lvl>
  </w:abstractNum>
  <w:abstractNum w:abstractNumId="117">
    <w:nsid w:val="1CDCE2DE"/>
    <w:multiLevelType w:val="hybridMultilevel"/>
    <w:lvl w:ilvl="0">
      <w:lvlJc w:val="left"/>
      <w:lvlText w:val="(%1)"/>
      <w:numFmt w:val="lowerLetter"/>
      <w:start w:val="1"/>
    </w:lvl>
  </w:abstractNum>
  <w:abstractNum w:abstractNumId="118">
    <w:nsid w:val="69D3947C"/>
    <w:multiLevelType w:val="hybridMultilevel"/>
    <w:lvl w:ilvl="0">
      <w:lvlJc w:val="left"/>
      <w:lvlText w:val="(%1)"/>
      <w:numFmt w:val="lowerRoman"/>
      <w:start w:val="1"/>
    </w:lvl>
  </w:abstractNum>
  <w:abstractNum w:abstractNumId="119">
    <w:nsid w:val="2539DFA5"/>
    <w:multiLevelType w:val="hybridMultilevel"/>
    <w:lvl w:ilvl="0">
      <w:lvlJc w:val="left"/>
      <w:lvlText w:val="(%1)"/>
      <w:numFmt w:val="lowerRoman"/>
      <w:start w:val="2"/>
    </w:lvl>
  </w:abstractNum>
  <w:abstractNum w:abstractNumId="120">
    <w:nsid w:val="2DB88089"/>
    <w:multiLevelType w:val="hybridMultilevel"/>
    <w:lvl w:ilvl="0">
      <w:lvlJc w:val="left"/>
      <w:lvlText w:val="(%1)"/>
      <w:numFmt w:val="upperLetter"/>
      <w:start w:val="1"/>
    </w:lvl>
  </w:abstractNum>
  <w:abstractNum w:abstractNumId="121">
    <w:nsid w:val="706B674E"/>
    <w:multiLevelType w:val="hybridMultilevel"/>
    <w:lvl w:ilvl="0">
      <w:lvlJc w:val="left"/>
      <w:lvlText w:val="(%1)"/>
      <w:numFmt w:val="upperLetter"/>
      <w:start w:val="2"/>
    </w:lvl>
  </w:abstractNum>
  <w:abstractNum w:abstractNumId="122">
    <w:nsid w:val="2C106A57"/>
    <w:multiLevelType w:val="hybridMultilevel"/>
    <w:lvl w:ilvl="0">
      <w:lvlJc w:val="left"/>
      <w:lvlText w:val="(%1)"/>
      <w:numFmt w:val="lowerRoman"/>
      <w:start w:val="4"/>
    </w:lvl>
  </w:abstractNum>
  <w:abstractNum w:abstractNumId="123">
    <w:nsid w:val="684EED59"/>
    <w:multiLevelType w:val="hybridMultilevel"/>
    <w:lvl w:ilvl="0">
      <w:lvlJc w:val="left"/>
      <w:lvlText w:val="(%1)"/>
      <w:numFmt w:val="lowerLetter"/>
      <w:start w:val="2"/>
    </w:lvl>
  </w:abstractNum>
  <w:abstractNum w:abstractNumId="124">
    <w:nsid w:val="545EE5D3"/>
    <w:multiLevelType w:val="hybridMultilevel"/>
    <w:lvl w:ilvl="0">
      <w:lvlJc w:val="left"/>
      <w:lvlText w:val="%1"/>
      <w:numFmt w:val="upperLetter"/>
      <w:start w:val="1"/>
    </w:lvl>
    <w:lvl w:ilvl="1">
      <w:lvlJc w:val="left"/>
      <w:lvlText w:val="(%2)"/>
      <w:numFmt w:val="lowerRoman"/>
      <w:start w:val="1"/>
    </w:lvl>
  </w:abstractNum>
  <w:abstractNum w:abstractNumId="125">
    <w:nsid w:val="4A66051"/>
    <w:multiLevelType w:val="hybridMultilevel"/>
    <w:lvl w:ilvl="0">
      <w:lvlJc w:val="left"/>
      <w:lvlText w:val="(%1)"/>
      <w:numFmt w:val="upperLetter"/>
      <w:start w:val="3"/>
    </w:lvl>
    <w:lvl w:ilvl="1">
      <w:lvlJc w:val="left"/>
      <w:lvlText w:val="(%2)"/>
      <w:numFmt w:val="lowerRoman"/>
      <w:start w:val="2"/>
    </w:lvl>
  </w:abstractNum>
  <w:abstractNum w:abstractNumId="126">
    <w:nsid w:val="20F4BDAD"/>
    <w:multiLevelType w:val="hybridMultilevel"/>
    <w:lvl w:ilvl="0">
      <w:lvlJc w:val="left"/>
      <w:lvlText w:val="(%1)"/>
      <w:numFmt w:val="lowerRoman"/>
      <w:start w:val="3"/>
    </w:lvl>
  </w:abstractNum>
  <w:abstractNum w:abstractNumId="127">
    <w:nsid w:val="639DEFAC"/>
    <w:multiLevelType w:val="hybridMultilevel"/>
    <w:lvl w:ilvl="0">
      <w:lvlJc w:val="left"/>
      <w:lvlText w:val="(%1)"/>
      <w:numFmt w:val="lowerLetter"/>
      <w:start w:val="3"/>
    </w:lvl>
  </w:abstractNum>
  <w:abstractNum w:abstractNumId="128">
    <w:nsid w:val="501F9786"/>
    <w:multiLevelType w:val="hybridMultilevel"/>
    <w:lvl w:ilvl="0">
      <w:lvlJc w:val="left"/>
      <w:lvlText w:val="(%1)"/>
      <w:numFmt w:val="lowerRoman"/>
      <w:start w:val="1"/>
    </w:lvl>
  </w:abstractNum>
  <w:abstractNum w:abstractNumId="129">
    <w:nsid w:val="6B057295"/>
    <w:multiLevelType w:val="hybridMultilevel"/>
    <w:lvl w:ilvl="0">
      <w:lvlJc w:val="left"/>
      <w:lvlText w:val="(%1)"/>
      <w:numFmt w:val="lowerRoman"/>
      <w:start w:val="2"/>
    </w:lvl>
  </w:abstractNum>
  <w:abstractNum w:abstractNumId="130">
    <w:nsid w:val="2771AC80"/>
    <w:multiLevelType w:val="hybridMultilevel"/>
    <w:lvl w:ilvl="0">
      <w:lvlJc w:val="left"/>
      <w:lvlText w:val="(%1)"/>
      <w:numFmt w:val="lowerRoman"/>
      <w:start w:val="5"/>
    </w:lvl>
  </w:abstractNum>
  <w:abstractNum w:abstractNumId="131">
    <w:nsid w:val="1C4A08EC"/>
    <w:multiLevelType w:val="hybridMultilevel"/>
    <w:lvl w:ilvl="0">
      <w:lvlJc w:val="left"/>
      <w:lvlText w:val="(%1)"/>
      <w:numFmt w:val="lowerLetter"/>
      <w:start w:val="4"/>
    </w:lvl>
  </w:abstractNum>
  <w:abstractNum w:abstractNumId="132">
    <w:nsid w:val="1958BD17"/>
    <w:multiLevelType w:val="hybridMultilevel"/>
    <w:lvl w:ilvl="0">
      <w:lvlJc w:val="left"/>
      <w:lvlText w:val="(%1)"/>
      <w:numFmt w:val="lowerRoman"/>
      <w:start w:val="1"/>
    </w:lvl>
  </w:abstractNum>
  <w:abstractNum w:abstractNumId="133">
    <w:nsid w:val="4E647FE4"/>
    <w:multiLevelType w:val="hybridMultilevel"/>
    <w:lvl w:ilvl="0">
      <w:lvlJc w:val="left"/>
      <w:lvlText w:val="(%1)"/>
      <w:numFmt w:val="lowerRoman"/>
      <w:start w:val="2"/>
    </w:lvl>
  </w:abstractNum>
  <w:abstractNum w:abstractNumId="134">
    <w:nsid w:val="E0BB885"/>
    <w:multiLevelType w:val="hybridMultilevel"/>
    <w:lvl w:ilvl="0">
      <w:lvlJc w:val="left"/>
      <w:lvlText w:val="%1"/>
      <w:numFmt w:val="lowerLetter"/>
      <w:start w:val="1"/>
    </w:lvl>
    <w:lvl w:ilvl="1">
      <w:lvlJc w:val="left"/>
      <w:lvlText w:val="(%2)"/>
      <w:numFmt w:val="lowerLetter"/>
      <w:start w:val="5"/>
    </w:lvl>
  </w:abstractNum>
  <w:abstractNum w:abstractNumId="135">
    <w:nsid w:val="565976F1"/>
    <w:multiLevelType w:val="hybridMultilevel"/>
    <w:lvl w:ilvl="0">
      <w:lvlJc w:val="left"/>
      <w:lvlText w:val="(%1)"/>
      <w:numFmt w:val="lowerLetter"/>
      <w:start w:val="9"/>
    </w:lvl>
    <w:lvl w:ilvl="1">
      <w:lvlJc w:val="left"/>
      <w:lvlText w:val="%2"/>
      <w:numFmt w:val="lowerLetter"/>
      <w:start w:val="1"/>
    </w:lvl>
  </w:abstractNum>
  <w:abstractNum w:abstractNumId="136">
    <w:nsid w:val="64212B8C"/>
    <w:multiLevelType w:val="hybridMultilevel"/>
    <w:lvl w:ilvl="0">
      <w:lvlJc w:val="left"/>
      <w:lvlText w:val="%1"/>
      <w:numFmt w:val="lowerLetter"/>
      <w:start w:val="1"/>
    </w:lvl>
    <w:lvl w:ilvl="1">
      <w:lvlJc w:val="left"/>
      <w:lvlText w:val="(%2)"/>
      <w:numFmt w:val="lowerLetter"/>
      <w:start w:val="6"/>
    </w:lvl>
  </w:abstractNum>
  <w:abstractNum w:abstractNumId="137">
    <w:nsid w:val="5C17530C"/>
    <w:multiLevelType w:val="hybridMultilevel"/>
    <w:lvl w:ilvl="0">
      <w:lvlJc w:val="left"/>
      <w:lvlText w:val="(%1)"/>
      <w:numFmt w:val="lowerLetter"/>
      <w:start w:val="9"/>
    </w:lvl>
    <w:lvl w:ilvl="1">
      <w:lvlJc w:val="left"/>
      <w:lvlText w:val="%2"/>
      <w:numFmt w:val="lowerLetter"/>
      <w:start w:val="1"/>
    </w:lvl>
  </w:abstractNum>
  <w:abstractNum w:abstractNumId="138">
    <w:nsid w:val="19A52566"/>
    <w:multiLevelType w:val="hybridMultilevel"/>
    <w:lvl w:ilvl="0">
      <w:lvlJc w:val="left"/>
      <w:lvlText w:val="(%1)"/>
      <w:numFmt w:val="lowerLetter"/>
      <w:start w:val="7"/>
    </w:lvl>
  </w:abstractNum>
  <w:abstractNum w:abstractNumId="139">
    <w:nsid w:val="335A1DF1"/>
    <w:multiLevelType w:val="hybridMultilevel"/>
    <w:lvl w:ilvl="0">
      <w:lvlJc w:val="left"/>
      <w:lvlText w:val="(%1)"/>
      <w:numFmt w:val="lowerRoman"/>
      <w:start w:val="1"/>
    </w:lvl>
  </w:abstractNum>
  <w:abstractNum w:abstractNumId="140">
    <w:nsid w:val="28677B7C"/>
    <w:multiLevelType w:val="hybridMultilevel"/>
    <w:lvl w:ilvl="0">
      <w:lvlJc w:val="left"/>
      <w:lvlText w:val="(%1)"/>
      <w:numFmt w:val="lowerLetter"/>
      <w:start w:val="8"/>
    </w:lvl>
  </w:abstractNum>
  <w:abstractNum w:abstractNumId="141">
    <w:nsid w:val="378D97C0"/>
    <w:multiLevelType w:val="hybridMultilevel"/>
    <w:lvl w:ilvl="0">
      <w:lvlJc w:val="left"/>
      <w:lvlText w:val="(%1)"/>
      <w:numFmt w:val="lowerLetter"/>
      <w:start w:val="11"/>
    </w:lvl>
  </w:abstractNum>
  <w:abstractNum w:abstractNumId="142">
    <w:nsid w:val="1D91467C"/>
    <w:multiLevelType w:val="hybridMultilevel"/>
    <w:lvl w:ilvl="0">
      <w:lvlJc w:val="left"/>
      <w:lvlText w:val="(%1)"/>
      <w:numFmt w:val="lowerLetter"/>
      <w:start w:val="1"/>
    </w:lvl>
  </w:abstractNum>
  <w:abstractNum w:abstractNumId="143">
    <w:nsid w:val="316032BB"/>
    <w:multiLevelType w:val="hybridMultilevel"/>
    <w:lvl w:ilvl="0">
      <w:lvlJc w:val="left"/>
      <w:lvlText w:val="(%1)"/>
      <w:numFmt w:val="lowerLetter"/>
      <w:start w:val="9"/>
    </w:lvl>
    <w:lvl w:ilvl="1">
      <w:lvlJc w:val="left"/>
      <w:lvlText w:val="(%2)"/>
      <w:numFmt w:val="lowerLetter"/>
      <w:start w:val="1"/>
    </w:lvl>
  </w:abstractNum>
  <w:abstractNum w:abstractNumId="144">
    <w:nsid w:val="44344C22"/>
    <w:multiLevelType w:val="hybridMultilevel"/>
    <w:lvl w:ilvl="0">
      <w:lvlJc w:val="left"/>
      <w:lvlText w:val="(%1)"/>
      <w:numFmt w:val="lowerRoman"/>
      <w:start w:val="10"/>
    </w:lvl>
  </w:abstractNum>
  <w:abstractNum w:abstractNumId="145">
    <w:nsid w:val="13CDFCFC"/>
    <w:multiLevelType w:val="hybridMultilevel"/>
    <w:lvl w:ilvl="0">
      <w:lvlJc w:val="left"/>
      <w:lvlText w:val="(%1)"/>
      <w:numFmt w:val="lowerLetter"/>
      <w:start w:val="2"/>
    </w:lvl>
    <w:lvl w:ilvl="1">
      <w:lvlJc w:val="left"/>
      <w:lvlText w:val="(%2)"/>
      <w:numFmt w:val="lowerRoman"/>
      <w:start w:val="1"/>
    </w:lvl>
  </w:abstractNum>
  <w:abstractNum w:abstractNumId="146">
    <w:nsid w:val="471745E4"/>
    <w:multiLevelType w:val="hybridMultilevel"/>
    <w:lvl w:ilvl="0">
      <w:lvlJc w:val="left"/>
      <w:lvlText w:val="(%1)"/>
      <w:numFmt w:val="lowerLetter"/>
      <w:start w:val="4"/>
    </w:lvl>
    <w:lvl w:ilvl="1">
      <w:lvlJc w:val="left"/>
      <w:lvlText w:val="(%2)"/>
      <w:numFmt w:val="lowerRoman"/>
      <w:start w:val="1"/>
    </w:lvl>
  </w:abstractNum>
  <w:abstractNum w:abstractNumId="147">
    <w:nsid w:val="1DDBC66"/>
    <w:multiLevelType w:val="hybridMultilevel"/>
    <w:lvl w:ilvl="0">
      <w:lvlJc w:val="left"/>
      <w:lvlText w:val="(%1)"/>
      <w:numFmt w:val="lowerRoman"/>
      <w:start w:val="1"/>
    </w:lvl>
  </w:abstractNum>
  <w:abstractNum w:abstractNumId="148">
    <w:nsid w:val="30AADFDA"/>
    <w:multiLevelType w:val="hybridMultilevel"/>
    <w:lvl w:ilvl="0">
      <w:lvlJc w:val="left"/>
      <w:lvlText w:val="(%1)"/>
      <w:numFmt w:val="lowerRoman"/>
      <w:start w:val="2"/>
    </w:lvl>
  </w:abstractNum>
  <w:abstractNum w:abstractNumId="149">
    <w:nsid w:val="30EADA61"/>
    <w:multiLevelType w:val="hybridMultilevel"/>
    <w:lvl w:ilvl="0">
      <w:lvlJc w:val="left"/>
      <w:lvlText w:val="(%1)"/>
      <w:numFmt w:val="lowerRoman"/>
      <w:start w:val="4"/>
    </w:lvl>
  </w:abstractNum>
  <w:abstractNum w:abstractNumId="150">
    <w:nsid w:val="27179C0B"/>
    <w:multiLevelType w:val="hybridMultilevel"/>
    <w:lvl w:ilvl="0">
      <w:lvlJc w:val="left"/>
      <w:lvlText w:val="%1"/>
      <w:numFmt w:val="lowerLetter"/>
      <w:start w:val="1"/>
    </w:lvl>
    <w:lvl w:ilvl="1">
      <w:lvlJc w:val="left"/>
      <w:lvlText w:val="(%2)"/>
      <w:numFmt w:val="lowerLetter"/>
      <w:start w:val="1"/>
    </w:lvl>
  </w:abstractNum>
  <w:abstractNum w:abstractNumId="151">
    <w:nsid w:val="5E636063"/>
    <w:multiLevelType w:val="hybridMultilevel"/>
    <w:lvl w:ilvl="0">
      <w:lvlJc w:val="left"/>
      <w:lvlText w:val="(%1)"/>
      <w:numFmt w:val="lowerLetter"/>
      <w:start w:val="35"/>
    </w:lvl>
    <w:lvl w:ilvl="1">
      <w:lvlJc w:val="left"/>
      <w:lvlText w:val="%2"/>
      <w:numFmt w:val="lowerLetter"/>
      <w:start w:val="1"/>
    </w:lvl>
  </w:abstractNum>
  <w:abstractNum w:abstractNumId="152">
    <w:nsid w:val="215641AF"/>
    <w:multiLevelType w:val="hybridMultilevel"/>
    <w:lvl w:ilvl="0">
      <w:lvlJc w:val="left"/>
      <w:lvlText w:val="(%1)"/>
      <w:numFmt w:val="lowerLetter"/>
      <w:start w:val="3"/>
    </w:lvl>
  </w:abstractNum>
  <w:abstractNum w:abstractNumId="153">
    <w:nsid w:val="53280662"/>
    <w:multiLevelType w:val="hybridMultilevel"/>
    <w:lvl w:ilvl="0">
      <w:lvlJc w:val="left"/>
      <w:lvlText w:val="%1"/>
      <w:numFmt w:val="lowerLetter"/>
      <w:start w:val="1"/>
    </w:lvl>
    <w:lvl w:ilvl="1">
      <w:lvlJc w:val="left"/>
      <w:lvlText w:val="(%2)"/>
      <w:numFmt w:val="lowerLetter"/>
      <w:start w:val="1"/>
    </w:lvl>
  </w:abstractNum>
  <w:abstractNum w:abstractNumId="154">
    <w:nsid w:val="46B24DBC"/>
    <w:multiLevelType w:val="hybridMultilevel"/>
    <w:lvl w:ilvl="0">
      <w:lvlJc w:val="left"/>
      <w:lvlText w:val="(%1)"/>
      <w:numFmt w:val="lowerLetter"/>
      <w:start w:val="9"/>
    </w:lvl>
    <w:lvl w:ilvl="1">
      <w:lvlJc w:val="left"/>
      <w:lvlText w:val="(%2)"/>
      <w:numFmt w:val="lowerLetter"/>
      <w:start w:val="4"/>
    </w:lvl>
  </w:abstractNum>
  <w:abstractNum w:abstractNumId="155">
    <w:nsid w:val="75B52783"/>
    <w:multiLevelType w:val="hybridMultilevel"/>
    <w:lvl w:ilvl="0">
      <w:lvlJc w:val="left"/>
      <w:lvlText w:val="(%1)"/>
      <w:numFmt w:val="lowerLetter"/>
      <w:start w:val="3"/>
    </w:lvl>
  </w:abstractNum>
  <w:abstractNum w:abstractNumId="156">
    <w:nsid w:val="57CE66B4"/>
    <w:multiLevelType w:val="hybridMultilevel"/>
    <w:lvl w:ilvl="0">
      <w:lvlJc w:val="left"/>
      <w:lvlText w:val="(%1)"/>
      <w:numFmt w:val="lowerLetter"/>
      <w:start w:val="5"/>
    </w:lvl>
  </w:abstractNum>
  <w:abstractNum w:abstractNumId="157">
    <w:nsid w:val="67A70B69"/>
    <w:multiLevelType w:val="hybridMultilevel"/>
    <w:lvl w:ilvl="0">
      <w:lvlJc w:val="left"/>
      <w:lvlText w:val="(%1)"/>
      <w:numFmt w:val="lowerLetter"/>
      <w:start w:val="1"/>
    </w:lvl>
  </w:abstractNum>
  <w:abstractNum w:abstractNumId="158">
    <w:nsid w:val="5953172F"/>
    <w:multiLevelType w:val="hybridMultilevel"/>
    <w:lvl w:ilvl="0">
      <w:lvlJc w:val="left"/>
      <w:lvlText w:val="%1"/>
      <w:numFmt w:val="decimal"/>
      <w:start w:val="1"/>
    </w:lvl>
    <w:lvl w:ilvl="1">
      <w:lvlJc w:val="left"/>
      <w:lvlText w:val="(%2)"/>
      <w:numFmt w:val="lowerLetter"/>
      <w:start w:val="35"/>
    </w:lvl>
  </w:abstractNum>
  <w:abstractNum w:abstractNumId="159">
    <w:nsid w:val="27EDFE3A"/>
    <w:multiLevelType w:val="hybridMultilevel"/>
    <w:lvl w:ilvl="0">
      <w:lvlJc w:val="left"/>
      <w:lvlText w:val="(%1)"/>
      <w:numFmt w:val="decimal"/>
      <w:start w:val="1"/>
    </w:lvl>
    <w:lvl w:ilvl="1">
      <w:lvlJc w:val="left"/>
      <w:lvlText w:val="(%2)"/>
      <w:numFmt w:val="lowerLetter"/>
      <w:start w:val="2"/>
    </w:lvl>
  </w:abstractNum>
  <w:abstractNum w:abstractNumId="160">
    <w:nsid w:val="52AC7DFF"/>
    <w:multiLevelType w:val="hybridMultilevel"/>
    <w:lvl w:ilvl="0">
      <w:lvlJc w:val="left"/>
      <w:lvlText w:val="(%1)"/>
      <w:numFmt w:val="lowerLetter"/>
      <w:start w:val="1"/>
    </w:lvl>
  </w:abstractNum>
  <w:abstractNum w:abstractNumId="161">
    <w:nsid w:val="C4C3AF"/>
    <w:multiLevelType w:val="hybridMultilevel"/>
    <w:lvl w:ilvl="0">
      <w:lvlJc w:val="left"/>
      <w:lvlText w:val="(%1)"/>
      <w:numFmt w:val="lowerLetter"/>
      <w:start w:val="3"/>
    </w:lvl>
  </w:abstractNum>
  <w:abstractNum w:abstractNumId="162">
    <w:nsid w:val="44380727"/>
    <w:multiLevelType w:val="hybridMultilevel"/>
    <w:lvl w:ilvl="0">
      <w:lvlJc w:val="left"/>
      <w:lvlText w:val="(%1)"/>
      <w:numFmt w:val="lowerLetter"/>
      <w:start w:val="1"/>
    </w:lvl>
  </w:abstractNum>
  <w:abstractNum w:abstractNumId="163">
    <w:nsid w:val="6C053B16"/>
    <w:multiLevelType w:val="hybridMultilevel"/>
    <w:lvl w:ilvl="0">
      <w:lvlJc w:val="left"/>
      <w:lvlText w:val="(%1)"/>
      <w:numFmt w:val="lowerLetter"/>
      <w:start w:val="7"/>
    </w:lvl>
  </w:abstractNum>
  <w:abstractNum w:abstractNumId="164">
    <w:nsid w:val="4F294393"/>
    <w:multiLevelType w:val="hybridMultilevel"/>
    <w:lvl w:ilvl="0">
      <w:lvlJc w:val="left"/>
      <w:lvlText w:val="(%1)"/>
      <w:numFmt w:val="lowerLetter"/>
      <w:start w:val="1"/>
    </w:lvl>
  </w:abstractNum>
  <w:abstractNum w:abstractNumId="165">
    <w:nsid w:val="5243BFAC"/>
    <w:multiLevelType w:val="hybridMultilevel"/>
    <w:lvl w:ilvl="0">
      <w:lvlJc w:val="left"/>
      <w:lvlText w:val="(%1)"/>
      <w:numFmt w:val="lowerRoman"/>
      <w:start w:val="1"/>
    </w:lvl>
  </w:abstractNum>
  <w:abstractNum w:abstractNumId="166">
    <w:nsid w:val="425EB207"/>
    <w:multiLevelType w:val="hybridMultilevel"/>
    <w:lvl w:ilvl="0">
      <w:lvlJc w:val="left"/>
      <w:lvlText w:val="%1"/>
      <w:numFmt w:val="upperLetter"/>
      <w:start w:val="1"/>
    </w:lvl>
    <w:lvl w:ilvl="1">
      <w:lvlJc w:val="left"/>
      <w:lvlText w:val="(%2)"/>
      <w:numFmt w:val="lowerRoman"/>
      <w:start w:val="2"/>
    </w:lvl>
  </w:abstractNum>
  <w:abstractNum w:abstractNumId="167">
    <w:nsid w:val="334A6F1F"/>
    <w:multiLevelType w:val="hybridMultilevel"/>
    <w:lvl w:ilvl="0">
      <w:lvlJc w:val="left"/>
      <w:lvlText w:val="(%1)"/>
      <w:numFmt w:val="upperLetter"/>
      <w:start w:val="2"/>
    </w:lvl>
    <w:lvl w:ilvl="1">
      <w:lvlJc w:val="left"/>
      <w:lvlText w:val="(%2)"/>
      <w:numFmt w:val="lowerRoman"/>
      <w:start w:val="3"/>
    </w:lvl>
  </w:abstractNum>
  <w:abstractNum w:abstractNumId="168">
    <w:nsid w:val="2E5B12B8"/>
    <w:multiLevelType w:val="hybridMultilevel"/>
    <w:lvl w:ilvl="0">
      <w:lvlJc w:val="left"/>
      <w:lvlText w:val="(%1)"/>
      <w:numFmt w:val="lowerLetter"/>
      <w:start w:val="2"/>
    </w:lvl>
  </w:abstractNum>
  <w:abstractNum w:abstractNumId="169">
    <w:nsid w:val="5C03D76D"/>
    <w:multiLevelType w:val="hybridMultilevel"/>
    <w:lvl w:ilvl="0">
      <w:lvlJc w:val="left"/>
      <w:lvlText w:val="(%1)"/>
      <w:numFmt w:val="lowerLetter"/>
      <w:start w:val="4"/>
    </w:lvl>
  </w:abstractNum>
  <w:abstractNum w:abstractNumId="170">
    <w:nsid w:val="66A48D11"/>
    <w:multiLevelType w:val="hybridMultilevel"/>
    <w:lvl w:ilvl="0">
      <w:lvlJc w:val="left"/>
      <w:lvlText w:val="(%1)"/>
      <w:numFmt w:val="lowerLetter"/>
      <w:start w:val="1"/>
    </w:lvl>
  </w:abstractNum>
  <w:abstractNum w:abstractNumId="171">
    <w:nsid w:val="56C28E34"/>
    <w:multiLevelType w:val="hybridMultilevel"/>
    <w:lvl w:ilvl="0">
      <w:lvlJc w:val="left"/>
      <w:lvlText w:val="(%1)"/>
      <w:numFmt w:val="lowerLetter"/>
      <w:start w:val="1"/>
    </w:lvl>
  </w:abstractNum>
  <w:abstractNum w:abstractNumId="172">
    <w:nsid w:val="13916F2D"/>
    <w:multiLevelType w:val="hybridMultilevel"/>
    <w:lvl w:ilvl="0">
      <w:lvlJc w:val="left"/>
      <w:lvlText w:val="(%1)"/>
      <w:numFmt w:val="lowerRoman"/>
      <w:start w:val="1"/>
    </w:lvl>
  </w:abstractNum>
  <w:abstractNum w:abstractNumId="173">
    <w:nsid w:val="435D38D"/>
    <w:multiLevelType w:val="hybridMultilevel"/>
    <w:lvl w:ilvl="0">
      <w:lvlJc w:val="left"/>
      <w:lvlText w:val="(%1)"/>
      <w:numFmt w:val="lowerLetter"/>
      <w:start w:val="4"/>
    </w:lvl>
  </w:abstractNum>
  <w:abstractNum w:abstractNumId="174">
    <w:nsid w:val="822C0EF"/>
    <w:multiLevelType w:val="hybridMultilevel"/>
    <w:lvl w:ilvl="0">
      <w:lvlJc w:val="left"/>
      <w:lvlText w:val="(%1)"/>
      <w:numFmt w:val="lowerRoman"/>
      <w:start w:val="1"/>
    </w:lvl>
    <w:lvl w:ilvl="1">
      <w:lvlJc w:val="left"/>
      <w:lvlText w:val="(%2)"/>
      <w:numFmt w:val="upperLetter"/>
      <w:start w:val="1"/>
    </w:lvl>
  </w:abstractNum>
  <w:abstractNum w:abstractNumId="175">
    <w:nsid w:val="57C5BB4F"/>
    <w:multiLevelType w:val="hybridMultilevel"/>
    <w:lvl w:ilvl="0">
      <w:lvlJc w:val="left"/>
      <w:lvlText w:val="(%1)"/>
      <w:numFmt w:val="upperLetter"/>
      <w:start w:val="2"/>
    </w:lvl>
    <w:lvl w:ilvl="1">
      <w:lvlJc w:val="left"/>
      <w:lvlText w:val="(%2)"/>
      <w:numFmt w:val="lowerRoman"/>
      <w:start w:val="1"/>
    </w:lvl>
  </w:abstractNum>
  <w:abstractNum w:abstractNumId="176">
    <w:nsid w:val="1803D089"/>
    <w:multiLevelType w:val="hybridMultilevel"/>
    <w:lvl w:ilvl="0">
      <w:lvlJc w:val="left"/>
      <w:lvlText w:val="%1"/>
      <w:numFmt w:val="lowerRoman"/>
      <w:start w:val="1"/>
    </w:lvl>
    <w:lvl w:ilvl="1">
      <w:lvlJc w:val="left"/>
      <w:lvlText w:val="(%2)"/>
      <w:numFmt w:val="upperLetter"/>
      <w:start w:val="3"/>
    </w:lvl>
  </w:abstractNum>
  <w:abstractNum w:abstractNumId="177">
    <w:nsid w:val="4F3A06D4"/>
    <w:multiLevelType w:val="hybridMultilevel"/>
    <w:lvl w:ilvl="0">
      <w:lvlJc w:val="left"/>
      <w:lvlText w:val="(%1)"/>
      <w:numFmt w:val="lowerRoman"/>
      <w:start w:val="3"/>
    </w:lvl>
    <w:lvl w:ilvl="1">
      <w:lvlJc w:val="left"/>
      <w:lvlText w:val="%2"/>
      <w:numFmt w:val="upperLetter"/>
      <w:start w:val="1"/>
    </w:lvl>
  </w:abstractNum>
  <w:abstractNum w:abstractNumId="178">
    <w:nsid w:val="59A377B6"/>
    <w:multiLevelType w:val="hybridMultilevel"/>
    <w:lvl w:ilvl="0">
      <w:lvlJc w:val="left"/>
      <w:lvlText w:val="(%1)"/>
      <w:numFmt w:val="lowerLetter"/>
      <w:start w:val="6"/>
    </w:lvl>
  </w:abstractNum>
  <w:abstractNum w:abstractNumId="179">
    <w:nsid w:val="48AEB063"/>
    <w:multiLevelType w:val="hybridMultilevel"/>
    <w:lvl w:ilvl="0">
      <w:lvlJc w:val="left"/>
      <w:lvlText w:val="(%1)"/>
      <w:numFmt w:val="lowerLetter"/>
      <w:start w:val="7"/>
    </w:lvl>
  </w:abstractNum>
  <w:abstractNum w:abstractNumId="180">
    <w:nsid w:val="24E135"/>
    <w:multiLevelType w:val="hybridMultilevel"/>
    <w:lvl w:ilvl="0">
      <w:lvlJc w:val="left"/>
      <w:lvlText w:val="(%1)"/>
      <w:numFmt w:val="lowerLetter"/>
      <w:start w:val="1"/>
    </w:lvl>
  </w:abstractNum>
  <w:abstractNum w:abstractNumId="181">
    <w:nsid w:val="BB13C1"/>
    <w:multiLevelType w:val="hybridMultilevel"/>
    <w:lvl w:ilvl="0">
      <w:lvlJc w:val="left"/>
      <w:lvlText w:val="(%1)"/>
      <w:numFmt w:val="lowerLetter"/>
      <w:start w:val="2"/>
    </w:lvl>
  </w:abstractNum>
  <w:abstractNum w:abstractNumId="182">
    <w:nsid w:val="271210C7"/>
    <w:multiLevelType w:val="hybridMultilevel"/>
    <w:lvl w:ilvl="0">
      <w:lvlJc w:val="left"/>
      <w:lvlText w:val="(%1)"/>
      <w:numFmt w:val="lowerLetter"/>
      <w:start w:val="4"/>
    </w:lvl>
  </w:abstractNum>
  <w:abstractNum w:abstractNumId="183">
    <w:nsid w:val="217B22E4"/>
    <w:multiLevelType w:val="hybridMultilevel"/>
    <w:lvl w:ilvl="0">
      <w:lvlJc w:val="left"/>
      <w:lvlText w:val="(%1)"/>
      <w:numFmt w:val="lowerLetter"/>
      <w:start w:val="1"/>
    </w:lvl>
  </w:abstractNum>
  <w:abstractNum w:abstractNumId="184">
    <w:nsid w:val="53E31A24"/>
    <w:multiLevelType w:val="hybridMultilevel"/>
    <w:lvl w:ilvl="0">
      <w:lvlJc w:val="left"/>
      <w:lvlText w:val="%1"/>
      <w:numFmt w:val="decimal"/>
      <w:start w:val="1"/>
    </w:lvl>
    <w:lvl w:ilvl="1">
      <w:lvlJc w:val="left"/>
      <w:lvlText w:val="(%2)"/>
      <w:numFmt w:val="lowerLetter"/>
      <w:start w:val="2"/>
    </w:lvl>
  </w:abstractNum>
  <w:abstractNum w:abstractNumId="185">
    <w:nsid w:val="6DC45E83"/>
    <w:multiLevelType w:val="hybridMultilevel"/>
    <w:lvl w:ilvl="0">
      <w:lvlJc w:val="left"/>
      <w:lvlText w:val="(%1)"/>
      <w:numFmt w:val="decimal"/>
      <w:start w:val="1"/>
    </w:lvl>
    <w:lvl w:ilvl="1">
      <w:lvlJc w:val="left"/>
      <w:lvlText w:val="(%2)"/>
      <w:numFmt w:val="lowerLetter"/>
      <w:start w:val="9"/>
    </w:lvl>
  </w:abstractNum>
  <w:abstractNum w:abstractNumId="186">
    <w:nsid w:val="17304A67"/>
    <w:multiLevelType w:val="hybridMultilevel"/>
    <w:lvl w:ilvl="0">
      <w:lvlJc w:val="left"/>
      <w:lvlText w:val="%1"/>
      <w:numFmt w:val="decimal"/>
      <w:start w:val="1"/>
    </w:lvl>
    <w:lvl w:ilvl="1">
      <w:lvlJc w:val="left"/>
      <w:lvlText w:val="(%2)"/>
      <w:numFmt w:val="lowerRoman"/>
      <w:start w:val="2"/>
    </w:lvl>
  </w:abstractNum>
  <w:abstractNum w:abstractNumId="187">
    <w:nsid w:val="2BB180D8"/>
    <w:multiLevelType w:val="hybridMultilevel"/>
    <w:lvl w:ilvl="0">
      <w:lvlJc w:val="left"/>
      <w:lvlText w:val="(%1)"/>
      <w:numFmt w:val="decimal"/>
      <w:start w:val="4"/>
    </w:lvl>
    <w:lvl w:ilvl="1">
      <w:lvlJc w:val="left"/>
      <w:lvlText w:val="(%2)"/>
      <w:numFmt w:val="lowerRoman"/>
      <w:start w:val="5"/>
    </w:lvl>
  </w:abstractNum>
  <w:abstractNum w:abstractNumId="188">
    <w:nsid w:val="556B69ED"/>
    <w:multiLevelType w:val="hybridMultilevel"/>
    <w:lvl w:ilvl="0">
      <w:lvlJc w:val="left"/>
      <w:lvlText w:val="(%1)"/>
      <w:numFmt w:val="lowerRoman"/>
      <w:start w:val="7"/>
    </w:lvl>
  </w:abstractNum>
  <w:abstractNum w:abstractNumId="189">
    <w:nsid w:val="70836196"/>
    <w:multiLevelType w:val="hybridMultilevel"/>
    <w:lvl w:ilvl="0">
      <w:lvlJc w:val="left"/>
      <w:lvlText w:val="(%1)"/>
      <w:numFmt w:val="lowerLetter"/>
      <w:start w:val="1"/>
    </w:lvl>
  </w:abstractNum>
  <w:abstractNum w:abstractNumId="190">
    <w:nsid w:val="539F7F12"/>
    <w:multiLevelType w:val="hybridMultilevel"/>
    <w:lvl w:ilvl="0">
      <w:lvlJc w:val="left"/>
      <w:lvlText w:val="(%1)"/>
      <w:numFmt w:val="lowerRoman"/>
      <w:start w:val="2"/>
    </w:lvl>
  </w:abstractNum>
  <w:abstractNum w:abstractNumId="191">
    <w:nsid w:val="2817E7EC"/>
    <w:multiLevelType w:val="hybridMultilevel"/>
    <w:lvl w:ilvl="0">
      <w:lvlJc w:val="left"/>
      <w:lvlText w:val="(%1)"/>
      <w:numFmt w:val="lowerRoman"/>
      <w:start w:val="1"/>
    </w:lvl>
  </w:abstractNum>
  <w:abstractNum w:abstractNumId="192">
    <w:nsid w:val="71482545"/>
    <w:multiLevelType w:val="hybridMultilevel"/>
    <w:lvl w:ilvl="0">
      <w:lvlJc w:val="left"/>
      <w:lvlText w:val="(%1)"/>
      <w:numFmt w:val="lowerLetter"/>
      <w:start w:val="2"/>
    </w:lvl>
  </w:abstractNum>
  <w:abstractNum w:abstractNumId="193">
    <w:nsid w:val="17D78639"/>
    <w:multiLevelType w:val="hybridMultilevel"/>
    <w:lvl w:ilvl="0">
      <w:lvlJc w:val="left"/>
      <w:lvlText w:val="%1"/>
      <w:numFmt w:val="lowerLetter"/>
      <w:start w:val="1"/>
    </w:lvl>
    <w:lvl w:ilvl="1">
      <w:lvlJc w:val="left"/>
      <w:lvlText w:val="(%2)"/>
      <w:numFmt w:val="lowerLetter"/>
      <w:start w:val="1"/>
    </w:lvl>
  </w:abstractNum>
  <w:abstractNum w:abstractNumId="194">
    <w:nsid w:val="141D2302"/>
    <w:multiLevelType w:val="hybridMultilevel"/>
    <w:lvl w:ilvl="0">
      <w:lvlJc w:val="left"/>
      <w:lvlText w:val="(%1)"/>
      <w:numFmt w:val="lowerLetter"/>
      <w:start w:val="35"/>
    </w:lvl>
    <w:lvl w:ilvl="1">
      <w:lvlJc w:val="left"/>
      <w:lvlText w:val="%2"/>
      <w:numFmt w:val="lowerLetter"/>
      <w:start w:val="1"/>
    </w:lvl>
  </w:abstractNum>
  <w:abstractNum w:abstractNumId="195">
    <w:nsid w:val="407168D8"/>
    <w:multiLevelType w:val="hybridMultilevel"/>
    <w:lvl w:ilvl="0">
      <w:lvlJc w:val="left"/>
      <w:lvlText w:val="(%1)"/>
      <w:numFmt w:val="lowerLetter"/>
      <w:start w:val="2"/>
    </w:lvl>
  </w:abstractNum>
  <w:abstractNum w:abstractNumId="196">
    <w:nsid w:val="6A1B45E5"/>
    <w:multiLevelType w:val="hybridMultilevel"/>
    <w:lvl w:ilvl="0">
      <w:lvlJc w:val="left"/>
      <w:lvlText w:val="(%1)"/>
      <w:numFmt w:val="lowerLetter"/>
      <w:start w:val="5"/>
    </w:lvl>
  </w:abstractNum>
  <w:abstractNum w:abstractNumId="197">
    <w:nsid w:val="567BD50A"/>
    <w:multiLevelType w:val="hybridMultilevel"/>
    <w:lvl w:ilvl="0">
      <w:lvlJc w:val="left"/>
      <w:lvlText w:val="(%1)"/>
      <w:numFmt w:val="lowerLetter"/>
      <w:start w:val="1"/>
    </w:lvl>
    <w:lvl w:ilvl="1">
      <w:lvlJc w:val="left"/>
      <w:lvlText w:val="(%2)"/>
      <w:numFmt w:val="lowerLetter"/>
      <w:start w:val="9"/>
    </w:lvl>
  </w:abstractNum>
  <w:abstractNum w:abstractNumId="198">
    <w:nsid w:val="73BBD7F8"/>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2"/>
    </w:lvl>
  </w:abstractNum>
  <w:abstractNum w:abstractNumId="199">
    <w:nsid w:val="1876589D"/>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200">
    <w:nsid w:val="327FAC77"/>
    <w:multiLevelType w:val="hybridMultilevel"/>
    <w:lvl w:ilvl="0">
      <w:lvlJc w:val="left"/>
      <w:lvlText w:val="(%1)"/>
      <w:numFmt w:val="lowerLetter"/>
      <w:start w:val="3"/>
    </w:lvl>
  </w:abstractNum>
  <w:abstractNum w:abstractNumId="201">
    <w:nsid w:val="5A606509"/>
    <w:multiLevelType w:val="hybridMultilevel"/>
    <w:lvl w:ilvl="0">
      <w:lvlJc w:val="left"/>
      <w:lvlText w:val="(%1)"/>
      <w:numFmt w:val="lowerLetter"/>
      <w:start w:val="1"/>
    </w:lvl>
    <w:lvl w:ilvl="1">
      <w:lvlJc w:val="left"/>
      <w:lvlText w:val="(%2)"/>
      <w:numFmt w:val="lowerLetter"/>
      <w:start w:val="9"/>
    </w:lvl>
  </w:abstractNum>
  <w:abstractNum w:abstractNumId="202">
    <w:nsid w:val="6F38E6D1"/>
    <w:multiLevelType w:val="hybridMultilevel"/>
    <w:lvl w:ilvl="0">
      <w:lvlJc w:val="left"/>
      <w:lvlText w:val="%1"/>
      <w:numFmt w:val="lowerLetter"/>
      <w:start w:val="1"/>
    </w:lvl>
    <w:lvl w:ilvl="1">
      <w:lvlJc w:val="left"/>
      <w:lvlText w:val="(%2)"/>
      <w:numFmt w:val="lowerLetter"/>
      <w:start w:val="35"/>
    </w:lvl>
  </w:abstractNum>
  <w:abstractNum w:abstractNumId="203">
    <w:nsid w:val="46111BA5"/>
    <w:multiLevelType w:val="hybridMultilevel"/>
    <w:lvl w:ilvl="0">
      <w:lvlJc w:val="left"/>
      <w:lvlText w:val="(%1)"/>
      <w:numFmt w:val="lowerLetter"/>
      <w:start w:val="2"/>
    </w:lvl>
    <w:lvl w:ilvl="1">
      <w:lvlJc w:val="left"/>
      <w:lvlText w:val="%2"/>
      <w:numFmt w:val="lowerLetter"/>
      <w:start w:val="1"/>
    </w:lvl>
  </w:abstractNum>
  <w:abstractNum w:abstractNumId="204">
    <w:nsid w:val="5E963896"/>
    <w:multiLevelType w:val="hybridMultilevel"/>
    <w:lvl w:ilvl="0">
      <w:lvlJc w:val="left"/>
      <w:lvlText w:val="(%1)"/>
      <w:numFmt w:val="lowerRoman"/>
      <w:start w:val="1"/>
    </w:lvl>
  </w:abstractNum>
  <w:abstractNum w:abstractNumId="205">
    <w:nsid w:val="775BA7C1"/>
    <w:multiLevelType w:val="hybridMultilevel"/>
    <w:lvl w:ilvl="0">
      <w:lvlJc w:val="left"/>
      <w:lvlText w:val="(%1)"/>
      <w:numFmt w:val="lowerLetter"/>
      <w:start w:val="1"/>
    </w:lvl>
  </w:abstractNum>
  <w:abstractNum w:abstractNumId="206">
    <w:nsid w:val="1DD6D6F4"/>
    <w:multiLevelType w:val="hybridMultilevel"/>
    <w:lvl w:ilvl="0">
      <w:lvlJc w:val="left"/>
      <w:lvlText w:val="(%1)"/>
      <w:numFmt w:val="lowerLetter"/>
      <w:start w:val="2"/>
    </w:lvl>
  </w:abstractNum>
  <w:abstractNum w:abstractNumId="207">
    <w:nsid w:val="769A091F"/>
    <w:multiLevelType w:val="hybridMultilevel"/>
    <w:lvl w:ilvl="0">
      <w:lvlJc w:val="left"/>
      <w:lvlText w:val="(%1)"/>
      <w:numFmt w:val="lowerLetter"/>
      <w:start w:val="1"/>
    </w:lvl>
  </w:abstractNum>
  <w:abstractNum w:abstractNumId="208">
    <w:nsid w:val="4695AE95"/>
    <w:multiLevelType w:val="hybridMultilevel"/>
    <w:lvl w:ilvl="0">
      <w:lvlJc w:val="left"/>
      <w:lvlText w:val="(%1)"/>
      <w:numFmt w:val="lowerLetter"/>
      <w:start w:val="1"/>
    </w:lvl>
  </w:abstractNum>
  <w:abstractNum w:abstractNumId="209">
    <w:nsid w:val="777A4EAA"/>
    <w:multiLevelType w:val="hybridMultilevel"/>
    <w:lvl w:ilvl="0">
      <w:lvlJc w:val="left"/>
      <w:lvlText w:val="%1"/>
      <w:numFmt w:val="lowerLetter"/>
      <w:start w:val="1"/>
    </w:lvl>
    <w:lvl w:ilvl="1">
      <w:lvlJc w:val="left"/>
      <w:lvlText w:val="(%2)"/>
      <w:numFmt w:val="lowerLetter"/>
      <w:start w:val="1"/>
    </w:lvl>
  </w:abstractNum>
  <w:abstractNum w:abstractNumId="210">
    <w:nsid w:val="3F48B982"/>
    <w:multiLevelType w:val="hybridMultilevel"/>
    <w:lvl w:ilvl="0">
      <w:lvlJc w:val="left"/>
      <w:lvlText w:val="(%1)"/>
      <w:numFmt w:val="lowerLetter"/>
      <w:start w:val="24"/>
    </w:lvl>
    <w:lvl w:ilvl="1">
      <w:lvlJc w:val="left"/>
      <w:lvlText w:val="(%2)"/>
      <w:numFmt w:val="lowerLetter"/>
      <w:start w:val="2"/>
    </w:lvl>
  </w:abstractNum>
  <w:abstractNum w:abstractNumId="211">
    <w:nsid w:val="46BA8FCA"/>
    <w:multiLevelType w:val="hybridMultilevel"/>
    <w:lvl w:ilvl="0">
      <w:lvlJc w:val="left"/>
      <w:lvlText w:val="(%1)"/>
      <w:numFmt w:val="lowerLetter"/>
      <w:start w:val="1"/>
    </w:lvl>
  </w:abstractNum>
  <w:abstractNum w:abstractNumId="212">
    <w:nsid w:val="7835626C"/>
    <w:multiLevelType w:val="hybridMultilevel"/>
    <w:lvl w:ilvl="0">
      <w:lvlJc w:val="left"/>
      <w:lvlText w:val="%1"/>
      <w:numFmt w:val="lowerLetter"/>
      <w:start w:val="1"/>
    </w:lvl>
    <w:lvl w:ilvl="1">
      <w:lvlJc w:val="left"/>
      <w:lvlText w:val="(%2)"/>
      <w:numFmt w:val="lowerLetter"/>
      <w:start w:val="2"/>
    </w:lvl>
  </w:abstractNum>
  <w:abstractNum w:abstractNumId="213">
    <w:nsid w:val="665ACA49"/>
    <w:multiLevelType w:val="hybridMultilevel"/>
    <w:lvl w:ilvl="0">
      <w:lvlJc w:val="left"/>
      <w:lvlText w:val="(%1)"/>
      <w:numFmt w:val="lowerLetter"/>
      <w:start w:val="35"/>
    </w:lvl>
    <w:lvl w:ilvl="1">
      <w:lvlJc w:val="left"/>
      <w:lvlText w:val="%2"/>
      <w:numFmt w:val="lowerLetter"/>
      <w:start w:val="1"/>
    </w:lvl>
  </w:abstractNum>
  <w:abstractNum w:abstractNumId="214">
    <w:nsid w:val="6835B2AE"/>
    <w:multiLevelType w:val="hybridMultilevel"/>
    <w:lvl w:ilvl="0">
      <w:lvlJc w:val="left"/>
      <w:lvlText w:val="%1"/>
      <w:numFmt w:val="lowerLetter"/>
      <w:start w:val="1"/>
    </w:lvl>
    <w:lvl w:ilvl="1">
      <w:lvlJc w:val="left"/>
      <w:lvlText w:val="(%2)"/>
      <w:numFmt w:val="lowerLetter"/>
      <w:start w:val="1"/>
    </w:lvl>
  </w:abstractNum>
  <w:abstractNum w:abstractNumId="215">
    <w:nsid w:val="4C187C90"/>
    <w:multiLevelType w:val="hybridMultilevel"/>
    <w:lvl w:ilvl="0">
      <w:lvlJc w:val="left"/>
      <w:lvlText w:val="(%1)"/>
      <w:numFmt w:val="lowerLetter"/>
      <w:start w:val="9"/>
    </w:lvl>
    <w:lvl w:ilvl="1">
      <w:lvlJc w:val="left"/>
      <w:lvlText w:val="(%2)"/>
      <w:numFmt w:val="lowerLetter"/>
      <w:start w:val="2"/>
    </w:lvl>
  </w:abstractNum>
  <w:abstractNum w:abstractNumId="216">
    <w:nsid w:val="541F28CD"/>
    <w:multiLevelType w:val="hybridMultilevel"/>
    <w:lvl w:ilvl="0">
      <w:lvlJc w:val="left"/>
      <w:lvlText w:val="(%1)"/>
      <w:numFmt w:val="lowerLetter"/>
      <w:start w:val="3"/>
    </w:lvl>
  </w:abstractNum>
  <w:abstractNum w:abstractNumId="217">
    <w:nsid w:val="7F65FD16"/>
    <w:multiLevelType w:val="hybridMultilevel"/>
    <w:lvl w:ilvl="0">
      <w:lvlJc w:val="left"/>
      <w:lvlText w:val="(%1)"/>
      <w:numFmt w:val="lowerLetter"/>
      <w:start w:val="3"/>
    </w:lvl>
  </w:abstractNum>
  <w:abstractNum w:abstractNumId="218">
    <w:nsid w:val="77C9FD68"/>
    <w:multiLevelType w:val="hybridMultilevel"/>
    <w:lvl w:ilvl="0">
      <w:lvlJc w:val="left"/>
      <w:lvlText w:val="(%1)"/>
      <w:numFmt w:val="lowerLetter"/>
      <w:start w:val="1"/>
    </w:lvl>
  </w:abstractNum>
  <w:abstractNum w:abstractNumId="219">
    <w:nsid w:val="298A92BA"/>
    <w:multiLevelType w:val="hybridMultilevel"/>
    <w:lvl w:ilvl="0">
      <w:lvlJc w:val="left"/>
      <w:lvlText w:val="%1"/>
      <w:numFmt w:val="lowerLetter"/>
      <w:start w:val="1"/>
    </w:lvl>
    <w:lvl w:ilvl="1">
      <w:lvlJc w:val="left"/>
      <w:lvlText w:val="(%2)"/>
      <w:numFmt w:val="lowerLetter"/>
      <w:start w:val="1"/>
    </w:lvl>
  </w:abstractNum>
  <w:abstractNum w:abstractNumId="220">
    <w:nsid w:val="6FE95EAC"/>
    <w:multiLevelType w:val="hybridMultilevel"/>
    <w:lvl w:ilvl="0">
      <w:lvlJc w:val="left"/>
      <w:lvlText w:val="(%1)"/>
      <w:numFmt w:val="lowerLetter"/>
      <w:start w:val="2"/>
    </w:lvl>
    <w:lvl w:ilvl="1">
      <w:lvlJc w:val="left"/>
      <w:lvlText w:val="(%2)"/>
      <w:numFmt w:val="lowerLetter"/>
      <w:start w:val="4"/>
    </w:lvl>
  </w:abstractNum>
  <w:abstractNum w:abstractNumId="221">
    <w:nsid w:val="4B697C7A"/>
    <w:multiLevelType w:val="hybridMultilevel"/>
    <w:lvl w:ilvl="0">
      <w:lvlJc w:val="left"/>
      <w:lvlText w:val="%1"/>
      <w:numFmt w:val="lowerLetter"/>
      <w:start w:val="1"/>
    </w:lvl>
    <w:lvl w:ilvl="1">
      <w:lvlJc w:val="left"/>
      <w:lvlText w:val="(%2)"/>
      <w:numFmt w:val="lowerLetter"/>
      <w:start w:val="1"/>
    </w:lvl>
  </w:abstractNum>
  <w:abstractNum w:abstractNumId="222">
    <w:nsid w:val="51A27AA6"/>
    <w:multiLevelType w:val="hybridMultilevel"/>
    <w:lvl w:ilvl="0">
      <w:lvlJc w:val="left"/>
      <w:lvlText w:val="(%1)"/>
      <w:numFmt w:val="lowerLetter"/>
      <w:start w:val="4"/>
    </w:lvl>
    <w:lvl w:ilvl="1">
      <w:lvlJc w:val="left"/>
      <w:lvlText w:val="%2"/>
      <w:numFmt w:val="lowerLetter"/>
      <w:start w:val="1"/>
    </w:lvl>
  </w:abstractNum>
  <w:abstractNum w:abstractNumId="223">
    <w:nsid w:val="613183F2"/>
    <w:multiLevelType w:val="hybridMultilevel"/>
    <w:lvl w:ilvl="0">
      <w:lvlJc w:val="left"/>
      <w:lvlText w:val="(%1)"/>
      <w:numFmt w:val="lowerLetter"/>
      <w:start w:val="1"/>
    </w:lvl>
  </w:abstractNum>
  <w:abstractNum w:abstractNumId="224">
    <w:nsid w:val="634102B4"/>
    <w:multiLevelType w:val="hybridMultilevel"/>
    <w:lvl w:ilvl="0">
      <w:lvlJc w:val="left"/>
      <w:lvlText w:val="%1"/>
      <w:numFmt w:val="lowerLetter"/>
      <w:start w:val="1"/>
    </w:lvl>
    <w:lvl w:ilvl="1">
      <w:lvlJc w:val="left"/>
      <w:lvlText w:val="(%2)"/>
      <w:numFmt w:val="lowerLetter"/>
      <w:start w:val="3"/>
    </w:lvl>
  </w:abstractNum>
  <w:abstractNum w:abstractNumId="225">
    <w:nsid w:val="65BF9DA8"/>
    <w:multiLevelType w:val="hybridMultilevel"/>
    <w:lvl w:ilvl="0">
      <w:lvlJc w:val="left"/>
      <w:lvlText w:val="(%1)"/>
      <w:numFmt w:val="lowerLetter"/>
      <w:start w:val="24"/>
    </w:lvl>
    <w:lvl w:ilvl="1">
      <w:lvlJc w:val="left"/>
      <w:lvlText w:val="(%2)"/>
      <w:numFmt w:val="lowerLetter"/>
      <w:start w:val="5"/>
    </w:lvl>
  </w:abstractNum>
  <w:abstractNum w:abstractNumId="226">
    <w:nsid w:val="21A2ECCA"/>
    <w:multiLevelType w:val="hybridMultilevel"/>
    <w:lvl w:ilvl="0">
      <w:lvlJc w:val="left"/>
      <w:lvlText w:val="(%1)"/>
      <w:numFmt w:val="lowerLetter"/>
      <w:start w:val="11"/>
    </w:lvl>
  </w:abstractNum>
  <w:abstractNum w:abstractNumId="227">
    <w:nsid w:val="4D5C4899"/>
    <w:multiLevelType w:val="hybridMultilevel"/>
    <w:lvl w:ilvl="0">
      <w:lvlJc w:val="left"/>
      <w:lvlText w:val="(%1)"/>
      <w:numFmt w:val="lowerLetter"/>
      <w:start w:val="1"/>
    </w:lvl>
  </w:abstractNum>
  <w:abstractNum w:abstractNumId="228">
    <w:nsid w:val="3C3B72B2"/>
    <w:multiLevelType w:val="hybridMultilevel"/>
    <w:lvl w:ilvl="0">
      <w:lvlJc w:val="left"/>
      <w:lvlText w:val="(%1)"/>
      <w:numFmt w:val="lowerLetter"/>
      <w:start w:val="3"/>
    </w:lvl>
  </w:abstractNum>
  <w:abstractNum w:abstractNumId="229">
    <w:nsid w:val="155EC4C2"/>
    <w:multiLevelType w:val="hybridMultilevel"/>
    <w:lvl w:ilvl="0">
      <w:lvlJc w:val="left"/>
      <w:lvlText w:val="(%1)"/>
      <w:numFmt w:val="lowerLetter"/>
      <w:start w:val="9"/>
    </w:lvl>
  </w:abstractNum>
  <w:abstractNum w:abstractNumId="230">
    <w:nsid w:val="65D2A137"/>
    <w:multiLevelType w:val="hybridMultilevel"/>
    <w:lvl w:ilvl="0">
      <w:lvlJc w:val="left"/>
      <w:lvlText w:val="(%1)"/>
      <w:numFmt w:val="lowerLetter"/>
      <w:start w:val="17"/>
    </w:lvl>
  </w:abstractNum>
  <w:abstractNum w:abstractNumId="231">
    <w:nsid w:val="6EBB1F2A"/>
    <w:multiLevelType w:val="hybridMultilevel"/>
    <w:lvl w:ilvl="0">
      <w:lvlJc w:val="left"/>
      <w:lvlText w:val="(%1)"/>
      <w:numFmt w:val="lowerLetter"/>
      <w:start w:val="18"/>
    </w:lvl>
  </w:abstractNum>
  <w:abstractNum w:abstractNumId="232">
    <w:nsid w:val="6FBF29CB"/>
    <w:multiLevelType w:val="hybridMultilevel"/>
    <w:lvl w:ilvl="0">
      <w:lvlJc w:val="left"/>
      <w:lvlText w:val="(%1)"/>
      <w:numFmt w:val="lowerLetter"/>
      <w:start w:val="1"/>
    </w:lvl>
  </w:abstractNum>
  <w:abstractNum w:abstractNumId="233">
    <w:nsid w:val="550B8808"/>
    <w:multiLevelType w:val="hybridMultilevel"/>
    <w:lvl w:ilvl="0">
      <w:lvlJc w:val="left"/>
      <w:lvlText w:val="(%1)"/>
      <w:numFmt w:val="lowerLetter"/>
      <w:start w:val="2"/>
    </w:lvl>
  </w:abstractNum>
  <w:abstractNum w:abstractNumId="234">
    <w:nsid w:val="34CC3ACF"/>
    <w:multiLevelType w:val="hybridMultilevel"/>
    <w:lvl w:ilvl="0">
      <w:lvlJc w:val="left"/>
      <w:lvlText w:val="(%1)"/>
      <w:numFmt w:val="lowerLetter"/>
      <w:start w:val="3"/>
    </w:lvl>
  </w:abstractNum>
  <w:abstractNum w:abstractNumId="235">
    <w:nsid w:val="4E556261"/>
    <w:multiLevelType w:val="hybridMultilevel"/>
    <w:lvl w:ilvl="0">
      <w:lvlJc w:val="left"/>
      <w:lvlText w:val="(%1)"/>
      <w:numFmt w:val="lowerLetter"/>
      <w:start w:val="4"/>
    </w:lvl>
  </w:abstractNum>
  <w:abstractNum w:abstractNumId="236">
    <w:nsid w:val="4C672FC9"/>
    <w:multiLevelType w:val="hybridMultilevel"/>
    <w:lvl w:ilvl="0">
      <w:lvlJc w:val="left"/>
      <w:lvlText w:val="(%1)"/>
      <w:numFmt w:val="lowerLetter"/>
      <w:start w:val="5"/>
    </w:lvl>
  </w:abstractNum>
  <w:abstractNum w:abstractNumId="237">
    <w:nsid w:val="52A311C3"/>
    <w:multiLevelType w:val="hybridMultilevel"/>
    <w:lvl w:ilvl="0">
      <w:lvlJc w:val="left"/>
      <w:lvlText w:val="%1"/>
      <w:numFmt w:val="lowerLetter"/>
      <w:start w:val="1"/>
    </w:lvl>
    <w:lvl w:ilvl="1">
      <w:lvlJc w:val="left"/>
      <w:lvlText w:val="(%2)"/>
      <w:numFmt w:val="lowerLetter"/>
      <w:start w:val="17"/>
    </w:lvl>
  </w:abstractNum>
  <w:abstractNum w:abstractNumId="238">
    <w:nsid w:val="44EF6B80"/>
    <w:multiLevelType w:val="hybridMultilevel"/>
    <w:lvl w:ilvl="0">
      <w:lvlJc w:val="left"/>
      <w:lvlText w:val="(%1)"/>
      <w:numFmt w:val="lowerLetter"/>
      <w:start w:val="18"/>
    </w:lvl>
    <w:lvl w:ilvl="1">
      <w:lvlJc w:val="left"/>
      <w:lvlText w:val="%2"/>
      <w:numFmt w:val="lowerLetter"/>
      <w:start w:val="1"/>
    </w:lvl>
  </w:abstractNum>
  <w:abstractNum w:abstractNumId="239">
    <w:nsid w:val="12FCDE5E"/>
    <w:multiLevelType w:val="hybridMultilevel"/>
    <w:lvl w:ilvl="0">
      <w:lvlJc w:val="left"/>
      <w:lvlText w:val="(%1)"/>
      <w:numFmt w:val="lowerLetter"/>
      <w:start w:val="9"/>
    </w:lvl>
  </w:abstractNum>
  <w:abstractNum w:abstractNumId="240">
    <w:nsid w:val="4A1D606E"/>
    <w:multiLevelType w:val="hybridMultilevel"/>
    <w:lvl w:ilvl="0">
      <w:lvlJc w:val="left"/>
      <w:lvlText w:val="(%1)"/>
      <w:numFmt w:val="lowerLetter"/>
      <w:start w:val="1"/>
    </w:lvl>
  </w:abstractNum>
  <w:abstractNum w:abstractNumId="241">
    <w:nsid w:val="4382503"/>
    <w:multiLevelType w:val="hybridMultilevel"/>
    <w:lvl w:ilvl="0">
      <w:lvlJc w:val="left"/>
      <w:lvlText w:val="%1"/>
      <w:numFmt w:val="lowerLetter"/>
      <w:start w:val="1"/>
    </w:lvl>
    <w:lvl w:ilvl="1">
      <w:lvlJc w:val="left"/>
      <w:lvlText w:val="(%2)"/>
      <w:numFmt w:val="lowerLetter"/>
      <w:start w:val="2"/>
    </w:lvl>
  </w:abstractNum>
  <w:abstractNum w:abstractNumId="242">
    <w:nsid w:val="59B76E28"/>
    <w:multiLevelType w:val="hybridMultilevel"/>
    <w:lvl w:ilvl="0">
      <w:lvlJc w:val="left"/>
      <w:lvlText w:val="(%1)"/>
      <w:numFmt w:val="lowerLetter"/>
      <w:start w:val="35"/>
    </w:lvl>
    <w:lvl w:ilvl="1">
      <w:lvlJc w:val="left"/>
      <w:lvlText w:val="(%2)"/>
      <w:numFmt w:val="lowerLetter"/>
      <w:start w:val="7"/>
    </w:lvl>
  </w:abstractNum>
  <w:abstractNum w:abstractNumId="243">
    <w:nsid w:val="4252C2DA"/>
    <w:multiLevelType w:val="hybridMultilevel"/>
    <w:lvl w:ilvl="0">
      <w:lvlJc w:val="left"/>
      <w:lvlText w:val="(%1)"/>
      <w:numFmt w:val="lowerLetter"/>
      <w:start w:val="9"/>
    </w:lvl>
  </w:abstractNum>
  <w:abstractNum w:abstractNumId="244">
    <w:nsid w:val="6A92EF4C"/>
    <w:multiLevelType w:val="hybridMultilevel"/>
    <w:lvl w:ilvl="0">
      <w:lvlJc w:val="left"/>
      <w:lvlText w:val="(%1)"/>
      <w:numFmt w:val="lowerRoman"/>
      <w:start w:val="2"/>
    </w:lvl>
  </w:abstractNum>
  <w:abstractNum w:abstractNumId="245">
    <w:nsid w:val="41ED20D7"/>
    <w:multiLevelType w:val="hybridMultilevel"/>
    <w:lvl w:ilvl="0">
      <w:lvlJc w:val="left"/>
      <w:lvlText w:val="(%1)"/>
      <w:numFmt w:val="lowerRoman"/>
      <w:start w:val="1"/>
    </w:lvl>
  </w:abstractNum>
  <w:abstractNum w:abstractNumId="246">
    <w:nsid w:val="E6B3F6A"/>
    <w:multiLevelType w:val="hybridMultilevel"/>
    <w:lvl w:ilvl="0">
      <w:lvlJc w:val="left"/>
      <w:lvlText w:val="(%1)"/>
      <w:numFmt w:val="lowerLetter"/>
      <w:start w:val="1"/>
    </w:lvl>
  </w:abstractNum>
  <w:abstractNum w:abstractNumId="247">
    <w:nsid w:val="3EB21819"/>
    <w:multiLevelType w:val="hybridMultilevel"/>
    <w:lvl w:ilvl="0">
      <w:lvlJc w:val="left"/>
      <w:lvlText w:val="(%1)"/>
      <w:numFmt w:val="lowerLetter"/>
      <w:start w:val="3"/>
    </w:lvl>
  </w:abstractNum>
  <w:abstractNum w:abstractNumId="248">
    <w:nsid w:val="41531DED"/>
    <w:multiLevelType w:val="hybridMultilevel"/>
    <w:lvl w:ilvl="0">
      <w:lvlJc w:val="left"/>
      <w:lvlText w:val="(%1)"/>
      <w:numFmt w:val="lowerLetter"/>
      <w:start w:val="4"/>
    </w:lvl>
  </w:abstractNum>
  <w:abstractNum w:abstractNumId="249">
    <w:nsid w:val="6353CD2"/>
    <w:multiLevelType w:val="hybridMultilevel"/>
    <w:lvl w:ilvl="0">
      <w:lvlJc w:val="left"/>
      <w:lvlText w:val="(%1)"/>
      <w:numFmt w:val="lowerRoman"/>
      <w:start w:val="2"/>
    </w:lvl>
  </w:abstractNum>
  <w:abstractNum w:abstractNumId="250">
    <w:nsid w:val="683CAAD3"/>
    <w:multiLevelType w:val="hybridMultilevel"/>
    <w:lvl w:ilvl="0">
      <w:lvlJc w:val="left"/>
      <w:lvlText w:val="(%1)"/>
      <w:numFmt w:val="lowerRoman"/>
      <w:start w:val="4"/>
    </w:lvl>
  </w:abstractNum>
  <w:abstractNum w:abstractNumId="251">
    <w:nsid w:val="313C7C99"/>
    <w:multiLevelType w:val="hybridMultilevel"/>
    <w:lvl w:ilvl="0">
      <w:lvlJc w:val="left"/>
      <w:lvlText w:val="(%1)"/>
      <w:numFmt w:val="lowerLetter"/>
      <w:start w:val="7"/>
    </w:lvl>
  </w:abstractNum>
  <w:abstractNum w:abstractNumId="252">
    <w:nsid w:val="519EB94C"/>
    <w:multiLevelType w:val="hybridMultilevel"/>
    <w:lvl w:ilvl="0">
      <w:lvlJc w:val="left"/>
      <w:lvlText w:val="(%1)"/>
      <w:numFmt w:val="lowerLetter"/>
      <w:start w:val="9"/>
    </w:lvl>
    <w:lvl w:ilvl="1">
      <w:lvlJc w:val="left"/>
      <w:lvlText w:val="(%2)"/>
      <w:numFmt w:val="lowerLetter"/>
      <w:start w:val="8"/>
    </w:lvl>
  </w:abstractNum>
  <w:abstractNum w:abstractNumId="253">
    <w:nsid w:val="39DF2579"/>
    <w:multiLevelType w:val="hybridMultilevel"/>
    <w:lvl w:ilvl="0">
      <w:lvlJc w:val="left"/>
      <w:lvlText w:val="(%1)"/>
      <w:numFmt w:val="lowerLetter"/>
      <w:start w:val="25"/>
    </w:lvl>
    <w:lvl w:ilvl="1">
      <w:lvlJc w:val="left"/>
      <w:lvlText w:val="(%2)"/>
      <w:numFmt w:val="lowerLetter"/>
      <w:start w:val="12"/>
    </w:lvl>
  </w:abstractNum>
  <w:abstractNum w:abstractNumId="254">
    <w:nsid w:val="126E008B"/>
    <w:multiLevelType w:val="hybridMultilevel"/>
    <w:lvl w:ilvl="0">
      <w:lvlJc w:val="left"/>
      <w:lvlText w:val="(%1)"/>
      <w:numFmt w:val="lowerLetter"/>
      <w:start w:val="1"/>
    </w:lvl>
  </w:abstractNum>
  <w:abstractNum w:abstractNumId="255">
    <w:nsid w:val="34DFBC00"/>
    <w:multiLevelType w:val="hybridMultilevel"/>
    <w:lvl w:ilvl="0">
      <w:lvlJc w:val="left"/>
      <w:lvlText w:val="(%1)"/>
      <w:numFmt w:val="lowerRoman"/>
      <w:start w:val="1"/>
    </w:lvl>
  </w:abstractNum>
  <w:abstractNum w:abstractNumId="256">
    <w:nsid w:val="1F9EC322"/>
    <w:multiLevelType w:val="hybridMultilevel"/>
    <w:lvl w:ilvl="0">
      <w:lvlJc w:val="left"/>
      <w:lvlText w:val="(%1)"/>
      <w:numFmt w:val="lowerRoman"/>
      <w:start w:val="2"/>
    </w:lvl>
  </w:abstractNum>
  <w:abstractNum w:abstractNumId="257">
    <w:nsid w:val="3410ED56"/>
    <w:multiLevelType w:val="hybridMultilevel"/>
    <w:lvl w:ilvl="0">
      <w:lvlJc w:val="left"/>
      <w:lvlText w:val="(%1)"/>
      <w:numFmt w:val="lowerLetter"/>
      <w:start w:val="2"/>
    </w:lvl>
  </w:abstractNum>
  <w:abstractNum w:abstractNumId="258">
    <w:nsid w:val="23C049A"/>
    <w:multiLevelType w:val="hybridMultilevel"/>
    <w:lvl w:ilvl="0">
      <w:lvlJc w:val="left"/>
      <w:lvlText w:val="(%1)"/>
      <w:numFmt w:val="lowerLetter"/>
      <w:start w:val="3"/>
    </w:lvl>
  </w:abstractNum>
  <w:abstractNum w:abstractNumId="259">
    <w:nsid w:val="5BDA35D4"/>
    <w:multiLevelType w:val="hybridMultilevel"/>
    <w:lvl w:ilvl="0">
      <w:lvlJc w:val="left"/>
      <w:lvlText w:val="(%1)"/>
      <w:numFmt w:val="lowerLetter"/>
      <w:start w:val="4"/>
    </w:lvl>
  </w:abstractNum>
  <w:abstractNum w:abstractNumId="260">
    <w:nsid w:val="496FB218"/>
    <w:multiLevelType w:val="hybridMultilevel"/>
    <w:lvl w:ilvl="0">
      <w:lvlJc w:val="left"/>
      <w:lvlText w:val="(%1)"/>
      <w:numFmt w:val="lowerLetter"/>
      <w:start w:val="1"/>
    </w:lvl>
  </w:abstractNum>
  <w:abstractNum w:abstractNumId="261">
    <w:nsid w:val="680EA5D1"/>
    <w:multiLevelType w:val="hybridMultilevel"/>
    <w:lvl w:ilvl="0">
      <w:lvlJc w:val="left"/>
      <w:lvlText w:val="(%1)"/>
      <w:numFmt w:val="lowerRoman"/>
      <w:start w:val="3"/>
    </w:lvl>
  </w:abstractNum>
  <w:abstractNum w:abstractNumId="262">
    <w:nsid w:val="4A9554FE"/>
    <w:multiLevelType w:val="hybridMultilevel"/>
    <w:lvl w:ilvl="0">
      <w:lvlJc w:val="left"/>
      <w:lvlText w:val="(%1)"/>
      <w:numFmt w:val="lowerLetter"/>
      <w:start w:val="1"/>
    </w:lvl>
  </w:abstractNum>
  <w:abstractNum w:abstractNumId="263">
    <w:nsid w:val="392EDBE4"/>
    <w:multiLevelType w:val="hybridMultilevel"/>
    <w:lvl w:ilvl="0">
      <w:lvlJc w:val="left"/>
      <w:lvlText w:val="(%1)"/>
      <w:numFmt w:val="lowerLetter"/>
      <w:start w:val="35"/>
    </w:lvl>
    <w:lvl w:ilvl="1">
      <w:lvlJc w:val="left"/>
      <w:lvlText w:val="(%2)"/>
      <w:numFmt w:val="lowerLetter"/>
      <w:start w:val="2"/>
    </w:lvl>
  </w:abstractNum>
  <w:abstractNum w:abstractNumId="264">
    <w:nsid w:val="3D1A2DD9"/>
    <w:multiLevelType w:val="hybridMultilevel"/>
    <w:lvl w:ilvl="0">
      <w:lvlJc w:val="left"/>
      <w:lvlText w:val="(%1)"/>
      <w:numFmt w:val="lowerLetter"/>
      <w:start w:val="4"/>
    </w:lvl>
  </w:abstractNum>
  <w:abstractNum w:abstractNumId="265">
    <w:nsid w:val="7F618FCD"/>
    <w:multiLevelType w:val="hybridMultilevel"/>
    <w:lvl w:ilvl="0">
      <w:lvlJc w:val="left"/>
      <w:lvlText w:val="%1"/>
      <w:numFmt w:val="decimal"/>
      <w:start w:val="1"/>
    </w:lvl>
    <w:lvl w:ilvl="1">
      <w:lvlJc w:val="left"/>
      <w:lvlText w:val="(%2)"/>
      <w:numFmt w:val="lowerLetter"/>
      <w:start w:val="5"/>
    </w:lvl>
  </w:abstractNum>
  <w:abstractNum w:abstractNumId="266">
    <w:nsid w:val="7843E45"/>
    <w:multiLevelType w:val="hybridMultilevel"/>
    <w:lvl w:ilvl="0">
      <w:lvlJc w:val="left"/>
      <w:lvlText w:val="(%1)"/>
      <w:numFmt w:val="decimal"/>
      <w:start w:val="15"/>
    </w:lvl>
    <w:lvl w:ilvl="1">
      <w:lvlJc w:val="left"/>
      <w:lvlText w:val="%2"/>
      <w:numFmt w:val="lowerLetter"/>
      <w:start w:val="1"/>
    </w:lvl>
  </w:abstractNum>
  <w:abstractNum w:abstractNumId="267">
    <w:nsid w:val="9815DA3"/>
    <w:multiLevelType w:val="hybridMultilevel"/>
    <w:lvl w:ilvl="0">
      <w:lvlJc w:val="left"/>
      <w:lvlText w:val="(%1)"/>
      <w:numFmt w:val="lowerLetter"/>
      <w:start w:val="1"/>
    </w:lvl>
  </w:abstractNum>
  <w:abstractNum w:abstractNumId="268">
    <w:nsid w:val="5204A191"/>
    <w:multiLevelType w:val="hybridMultilevel"/>
    <w:lvl w:ilvl="0">
      <w:lvlJc w:val="left"/>
      <w:lvlText w:val="(%1)"/>
      <w:numFmt w:val="lowerRoman"/>
      <w:start w:val="1"/>
    </w:lvl>
  </w:abstractNum>
  <w:abstractNum w:abstractNumId="269">
    <w:nsid w:val="4C73A9C6"/>
    <w:multiLevelType w:val="hybridMultilevel"/>
    <w:lvl w:ilvl="0">
      <w:lvlJc w:val="left"/>
      <w:lvlText w:val="(%1)"/>
      <w:numFmt w:val="upperLetter"/>
      <w:start w:val="1"/>
    </w:lvl>
  </w:abstractNum>
  <w:abstractNum w:abstractNumId="270">
    <w:nsid w:val="1C7E3C01"/>
    <w:multiLevelType w:val="hybridMultilevel"/>
    <w:lvl w:ilvl="0">
      <w:lvlJc w:val="left"/>
      <w:lvlText w:val="(%1)"/>
      <w:numFmt w:val="lowerRoman"/>
      <w:start w:val="2"/>
    </w:lvl>
  </w:abstractNum>
  <w:abstractNum w:abstractNumId="271">
    <w:nsid w:val="1C2201FF"/>
    <w:multiLevelType w:val="hybridMultilevel"/>
    <w:lvl w:ilvl="0">
      <w:lvlJc w:val="left"/>
      <w:lvlText w:val="(%1)"/>
      <w:numFmt w:val="upperLetter"/>
      <w:start w:val="1"/>
    </w:lvl>
  </w:abstractNum>
  <w:abstractNum w:abstractNumId="272">
    <w:nsid w:val="50ABCEC9"/>
    <w:multiLevelType w:val="hybridMultilevel"/>
    <w:lvl w:ilvl="0">
      <w:lvlJc w:val="left"/>
      <w:lvlText w:val="(%1)"/>
      <w:numFmt w:val="upperLetter"/>
      <w:start w:val="4"/>
    </w:lvl>
  </w:abstractNum>
  <w:abstractNum w:abstractNumId="273">
    <w:nsid w:val="7635AA2A"/>
    <w:multiLevelType w:val="hybridMultilevel"/>
    <w:lvl w:ilvl="0">
      <w:lvlJc w:val="left"/>
      <w:lvlText w:val="%1"/>
      <w:numFmt w:val="lowerLetter"/>
      <w:start w:val="1"/>
    </w:lvl>
    <w:lvl w:ilvl="1">
      <w:lvlJc w:val="left"/>
      <w:lvlText w:val="(%2)"/>
      <w:numFmt w:val="lowerRoman"/>
      <w:start w:val="4"/>
    </w:lvl>
  </w:abstractNum>
  <w:abstractNum w:abstractNumId="274">
    <w:nsid w:val="5E74C4D9"/>
    <w:multiLevelType w:val="hybridMultilevel"/>
    <w:lvl w:ilvl="0">
      <w:lvlJc w:val="left"/>
      <w:lvlText w:val="(%1)"/>
      <w:numFmt w:val="lowerLetter"/>
      <w:start w:val="3"/>
    </w:lvl>
    <w:lvl w:ilvl="1">
      <w:lvlJc w:val="left"/>
      <w:lvlText w:val="%2"/>
      <w:numFmt w:val="lowerRoman"/>
      <w:start w:val="1"/>
    </w:lvl>
  </w:abstractNum>
  <w:abstractNum w:abstractNumId="275">
    <w:nsid w:val="3B3EBE15"/>
    <w:multiLevelType w:val="hybridMultilevel"/>
    <w:lvl w:ilvl="0">
      <w:lvlJc w:val="left"/>
      <w:lvlText w:val="(%1)"/>
      <w:numFmt w:val="lowerLetter"/>
      <w:start w:val="3"/>
    </w:lvl>
  </w:abstractNum>
  <w:abstractNum w:abstractNumId="276">
    <w:nsid w:val="3822CB0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77">
    <w:nsid w:val="6CE00443"/>
    <w:multiLevelType w:val="hybridMultilevel"/>
    <w:lvl w:ilvl="0">
      <w:lvlJc w:val="left"/>
      <w:lvlText w:val="%1"/>
      <w:numFmt w:val="lowerLetter"/>
      <w:start w:val="1"/>
    </w:lvl>
    <w:lvl w:ilvl="1">
      <w:lvlJc w:val="left"/>
      <w:lvlText w:val="(%2)"/>
      <w:numFmt w:val="lowerLetter"/>
      <w:start w:val="35"/>
    </w:lvl>
  </w:abstractNum>
  <w:abstractNum w:abstractNumId="278">
    <w:nsid w:val="79F0D62F"/>
    <w:multiLevelType w:val="hybridMultilevel"/>
    <w:lvl w:ilvl="0">
      <w:lvlJc w:val="left"/>
      <w:lvlText w:val="(%1)"/>
      <w:numFmt w:val="lowerLetter"/>
      <w:start w:val="6"/>
    </w:lvl>
    <w:lvl w:ilvl="1">
      <w:lvlJc w:val="left"/>
      <w:lvlText w:val="%2"/>
      <w:numFmt w:val="lowerLetter"/>
      <w:start w:val="1"/>
    </w:lvl>
  </w:abstractNum>
  <w:abstractNum w:abstractNumId="279">
    <w:nsid w:val="7975E8EE"/>
    <w:multiLevelType w:val="hybridMultilevel"/>
    <w:lvl w:ilvl="0">
      <w:lvlJc w:val="left"/>
      <w:lvlText w:val="%1"/>
      <w:numFmt w:val="lowerLetter"/>
      <w:start w:val="1"/>
    </w:lvl>
    <w:lvl w:ilvl="1">
      <w:lvlJc w:val="left"/>
      <w:lvlText w:val="(%2)"/>
      <w:numFmt w:val="lowerLetter"/>
      <w:start w:val="7"/>
    </w:lvl>
  </w:abstractNum>
  <w:abstractNum w:abstractNumId="280">
    <w:nsid w:val="73154115"/>
    <w:multiLevelType w:val="hybridMultilevel"/>
    <w:lvl w:ilvl="0">
      <w:lvlJc w:val="left"/>
      <w:lvlText w:val="(%1)"/>
      <w:numFmt w:val="lowerLetter"/>
      <w:start w:val="1"/>
    </w:lvl>
    <w:lvl w:ilvl="1">
      <w:lvlJc w:val="left"/>
      <w:lvlText w:val="(%2)"/>
      <w:numFmt w:val="lowerLetter"/>
      <w:start w:val="8"/>
    </w:lvl>
  </w:abstractNum>
  <w:abstractNum w:abstractNumId="281">
    <w:nsid w:val="622D8102"/>
    <w:multiLevelType w:val="hybridMultilevel"/>
    <w:lvl w:ilvl="0">
      <w:lvlJc w:val="left"/>
      <w:lvlText w:val="(%1)"/>
      <w:numFmt w:val="lowerLetter"/>
      <w:start w:val="25"/>
    </w:lvl>
  </w:abstractNum>
  <w:abstractNum w:abstractNumId="282">
    <w:nsid w:val="2AB26587"/>
    <w:multiLevelType w:val="hybridMultilevel"/>
    <w:lvl w:ilvl="0">
      <w:lvlJc w:val="left"/>
      <w:lvlText w:val="(%1)"/>
      <w:numFmt w:val="lowerLetter"/>
      <w:start w:val="1"/>
    </w:lvl>
  </w:abstractNum>
  <w:abstractNum w:abstractNumId="283">
    <w:nsid w:val="44B3FA61"/>
    <w:multiLevelType w:val="hybridMultilevel"/>
    <w:lvl w:ilvl="0">
      <w:lvlJc w:val="left"/>
      <w:lvlText w:val="(%1)"/>
      <w:numFmt w:val="lowerLetter"/>
      <w:start w:val="2"/>
    </w:lvl>
  </w:abstractNum>
  <w:abstractNum w:abstractNumId="284">
    <w:nsid w:val="1C0CA67C"/>
    <w:multiLevelType w:val="hybridMultilevel"/>
    <w:lvl w:ilvl="0">
      <w:lvlJc w:val="left"/>
      <w:lvlText w:val="(%1)"/>
      <w:numFmt w:val="lowerLetter"/>
      <w:start w:val="1"/>
    </w:lvl>
  </w:abstractNum>
  <w:abstractNum w:abstractNumId="285">
    <w:nsid w:val="3D206613"/>
    <w:multiLevelType w:val="hybridMultilevel"/>
    <w:lvl w:ilvl="0">
      <w:lvlJc w:val="left"/>
      <w:lvlText w:val="(%1)"/>
      <w:numFmt w:val="lowerLetter"/>
      <w:start w:val="3"/>
    </w:lvl>
  </w:abstractNum>
  <w:abstractNum w:abstractNumId="286">
    <w:nsid w:val="7993B662"/>
    <w:multiLevelType w:val="hybridMultilevel"/>
    <w:lvl w:ilvl="0">
      <w:lvlJc w:val="left"/>
      <w:lvlText w:val="(%1)"/>
      <w:numFmt w:val="lowerLetter"/>
      <w:start w:val="1"/>
    </w:lvl>
  </w:abstractNum>
  <w:abstractNum w:abstractNumId="287">
    <w:nsid w:val="3BAB699E"/>
    <w:multiLevelType w:val="hybridMultilevel"/>
    <w:lvl w:ilvl="0">
      <w:lvlJc w:val="left"/>
      <w:lvlText w:val="(%1)"/>
      <w:numFmt w:val="upperLetter"/>
      <w:start w:val="1"/>
    </w:lvl>
  </w:abstractNum>
  <w:abstractNum w:abstractNumId="288">
    <w:nsid w:val="71315369"/>
    <w:multiLevelType w:val="hybridMultilevel"/>
    <w:lvl w:ilvl="0">
      <w:lvlJc w:val="left"/>
      <w:lvlText w:val="(%1)"/>
      <w:numFmt w:val="upperLetter"/>
      <w:start w:val="3"/>
    </w:lvl>
  </w:abstractNum>
  <w:abstractNum w:abstractNumId="289">
    <w:nsid w:val="7BCFBAFC"/>
    <w:multiLevelType w:val="hybridMultilevel"/>
    <w:lvl w:ilvl="0">
      <w:lvlJc w:val="left"/>
      <w:lvlText w:val="(%1)"/>
      <w:numFmt w:val="lowerLetter"/>
      <w:start w:val="1"/>
    </w:lvl>
  </w:abstractNum>
  <w:abstractNum w:abstractNumId="290">
    <w:nsid w:val="17859F72"/>
    <w:multiLevelType w:val="hybridMultilevel"/>
    <w:lvl w:ilvl="0">
      <w:lvlJc w:val="left"/>
      <w:lvlText w:val="(%1)"/>
      <w:numFmt w:val="lowerLetter"/>
      <w:start w:val="9"/>
    </w:lvl>
    <w:lvl w:ilvl="1">
      <w:lvlJc w:val="left"/>
      <w:lvlText w:val="(%2)"/>
      <w:numFmt w:val="lowerLetter"/>
      <w:start w:val="3"/>
    </w:lvl>
  </w:abstractNum>
  <w:abstractNum w:abstractNumId="291">
    <w:nsid w:val="3AA10581"/>
    <w:multiLevelType w:val="hybridMultilevel"/>
    <w:lvl w:ilvl="0">
      <w:lvlJc w:val="left"/>
      <w:lvlText w:val="(%1)"/>
      <w:numFmt w:val="lowerRoman"/>
      <w:start w:val="1"/>
    </w:lvl>
  </w:abstractNum>
  <w:abstractNum w:abstractNumId="292">
    <w:nsid w:val="63DE60CD"/>
    <w:multiLevelType w:val="hybridMultilevel"/>
    <w:lvl w:ilvl="0">
      <w:lvlJc w:val="left"/>
      <w:lvlText w:val="(%1)"/>
      <w:numFmt w:val="lowerLetter"/>
      <w:start w:val="3"/>
    </w:lvl>
  </w:abstractNum>
  <w:abstractNum w:abstractNumId="293">
    <w:nsid w:val="621AF471"/>
    <w:multiLevelType w:val="hybridMultilevel"/>
    <w:lvl w:ilvl="0">
      <w:lvlJc w:val="left"/>
      <w:lvlText w:val="(%1)"/>
      <w:numFmt w:val="lowerLetter"/>
      <w:start w:val="1"/>
    </w:lvl>
  </w:abstractNum>
  <w:abstractNum w:abstractNumId="294">
    <w:nsid w:val="73CFE165"/>
    <w:multiLevelType w:val="hybridMultilevel"/>
    <w:lvl w:ilvl="0">
      <w:lvlJc w:val="left"/>
      <w:lvlText w:val="(%1)"/>
      <w:numFmt w:val="lowerRoman"/>
      <w:start w:val="1"/>
    </w:lvl>
  </w:abstractNum>
  <w:abstractNum w:abstractNumId="295">
    <w:nsid w:val="20F88EA6"/>
    <w:multiLevelType w:val="hybridMultilevel"/>
    <w:lvl w:ilvl="0">
      <w:lvlJc w:val="left"/>
      <w:lvlText w:val="(%1)"/>
      <w:numFmt w:val="lowerLetter"/>
      <w:start w:val="1"/>
    </w:lvl>
  </w:abstractNum>
  <w:abstractNum w:abstractNumId="296">
    <w:nsid w:val="617C843E"/>
    <w:multiLevelType w:val="hybridMultilevel"/>
    <w:lvl w:ilvl="0">
      <w:lvlJc w:val="left"/>
      <w:lvlText w:val="(%1)"/>
      <w:numFmt w:val="lowerLetter"/>
      <w:start w:val="2"/>
    </w:lvl>
  </w:abstractNum>
  <w:abstractNum w:abstractNumId="297">
    <w:nsid w:val="7B541FAB"/>
    <w:multiLevelType w:val="hybridMultilevel"/>
    <w:lvl w:ilvl="0">
      <w:lvlJc w:val="left"/>
      <w:lvlText w:val="(%1)"/>
      <w:numFmt w:val="lowerLetter"/>
      <w:start w:val="3"/>
    </w:lvl>
  </w:abstractNum>
  <w:abstractNum w:abstractNumId="298">
    <w:nsid w:val="2A79EC49"/>
    <w:multiLevelType w:val="hybridMultilevel"/>
    <w:lvl w:ilvl="0">
      <w:lvlJc w:val="left"/>
      <w:lvlText w:val="(%1)"/>
      <w:numFmt w:val="lowerLetter"/>
      <w:start w:val="1"/>
    </w:lvl>
    <w:lvl w:ilvl="1">
      <w:lvlJc w:val="left"/>
      <w:lvlText w:val="(%2)"/>
      <w:numFmt w:val="lowerRoman"/>
      <w:start w:val="1"/>
    </w:lvl>
  </w:abstractNum>
  <w:abstractNum w:abstractNumId="299">
    <w:nsid w:val="338125CF"/>
    <w:multiLevelType w:val="hybridMultilevel"/>
    <w:lvl w:ilvl="0">
      <w:lvlJc w:val="left"/>
      <w:lvlText w:val="%1"/>
      <w:numFmt w:val="lowerLetter"/>
      <w:start w:val="1"/>
    </w:lvl>
    <w:lvl w:ilvl="1">
      <w:lvlJc w:val="left"/>
      <w:lvlText w:val="(%2)"/>
      <w:numFmt w:val="lowerRoman"/>
      <w:start w:val="3"/>
    </w:lvl>
  </w:abstractNum>
  <w:abstractNum w:abstractNumId="300">
    <w:nsid w:val="47C7C971"/>
    <w:multiLevelType w:val="hybridMultilevel"/>
    <w:lvl w:ilvl="0">
      <w:lvlJc w:val="left"/>
      <w:lvlText w:val="(%1)"/>
      <w:numFmt w:val="lowerLetter"/>
      <w:start w:val="2"/>
    </w:lvl>
    <w:lvl w:ilvl="1">
      <w:lvlJc w:val="left"/>
      <w:lvlText w:val="%2"/>
      <w:numFmt w:val="lowerRoman"/>
      <w:start w:val="1"/>
    </w:lvl>
  </w:abstractNum>
  <w:abstractNum w:abstractNumId="301">
    <w:nsid w:val="46F8284B"/>
    <w:multiLevelType w:val="hybridMultilevel"/>
    <w:lvl w:ilvl="0">
      <w:lvlJc w:val="left"/>
      <w:lvlText w:val="%1."/>
      <w:numFmt w:val="decimal"/>
      <w:start w:val="1"/>
    </w:lvl>
    <w:lvl w:ilvl="1">
      <w:lvlJc w:val="left"/>
      <w:lvlText w:val="(%2)"/>
      <w:numFmt w:val="lowerLetter"/>
      <w:start w:val="1"/>
    </w:lvl>
  </w:abstractNum>
  <w:abstractNum w:abstractNumId="302">
    <w:nsid w:val="4FA327CE"/>
    <w:multiLevelType w:val="hybridMultilevel"/>
    <w:lvl w:ilvl="0">
      <w:lvlJc w:val="left"/>
      <w:lvlText w:val="%1."/>
      <w:numFmt w:val="decimal"/>
      <w:start w:val="1"/>
    </w:lvl>
    <w:lvl w:ilvl="1">
      <w:lvlJc w:val="left"/>
      <w:lvlText w:val="(%2)"/>
      <w:numFmt w:val="lowerLetter"/>
      <w:start w:val="1"/>
    </w:lvl>
  </w:abstractNum>
  <w:abstractNum w:abstractNumId="303">
    <w:nsid w:val="187398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89" Type="http://schemas.openxmlformats.org/officeDocument/2006/relationships/hyperlink" Target="http://www.sec.gov/Archives/edgar/data/1792044/000119312523050797/d452663dex101.htm" TargetMode="External"/><Relationship Id="rId90" Type="http://schemas.openxmlformats.org/officeDocument/2006/relationships/hyperlink" Target="http://www.sec.gov/Archives/edgar/data/1792044/000119312523050797/d45266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2023-05-08T15:36:29Z</dcterms:created>
  <dcterms:modified xsi:type="dcterms:W3CDTF">2023-05-08T15:36:29Z</dcterms:modified>
</cp:coreProperties>
</file>