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420" w:right="280" w:hanging="394"/>
        <w:spacing w:after="0" w:line="238"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420" w:right="260" w:hanging="394"/>
        <w:spacing w:after="0" w:line="238" w:lineRule="auto"/>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001-39695</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180"/>
          </w:cols>
          <w:pgMar w:left="320" w:top="988" w:right="399" w:bottom="1440" w:gutter="0" w:footer="0" w:header="0"/>
        </w:sectPr>
      </w:pPr>
    </w:p>
    <w:p>
      <w:pPr>
        <w:spacing w:after="0" w:line="13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2">
            <w:col w:w="7360" w:space="720"/>
            <w:col w:w="3100"/>
          </w:cols>
          <w:pgMar w:left="320" w:top="988" w:right="399" w:bottom="1440" w:gutter="0" w:footer="0" w:header="0"/>
          <w:type w:val="continuous"/>
        </w:sectPr>
      </w:pP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(I.R.S. Employer</w:t>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Identification No.)</w:t>
      </w:r>
    </w:p>
    <w:p>
      <w:pPr>
        <w:spacing w:after="0" w:line="107" w:lineRule="exact"/>
        <w:rPr>
          <w:sz w:val="24"/>
          <w:szCs w:val="24"/>
          <w:color w:val="auto"/>
        </w:rPr>
      </w:pPr>
    </w:p>
    <w:p>
      <w:pPr>
        <w:sectPr>
          <w:pgSz w:w="11900" w:h="16838" w:orient="portrait"/>
          <w:cols w:equalWidth="0" w:num="2">
            <w:col w:w="7260" w:space="720"/>
            <w:col w:w="3200"/>
          </w:cols>
          <w:pgMar w:left="320" w:top="988"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88" w:right="399" w:bottom="1440" w:gutter="0" w:footer="0" w:header="0"/>
          <w:type w:val="continuous"/>
        </w:sectPr>
      </w:pPr>
    </w:p>
    <w:p>
      <w:pPr>
        <w:spacing w:after="0" w:line="147"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129" w:lineRule="exact"/>
        <w:rPr>
          <w:sz w:val="24"/>
          <w:szCs w:val="24"/>
          <w:color w:val="auto"/>
        </w:rPr>
      </w:pPr>
    </w:p>
    <w:p>
      <w:pPr>
        <w:sectPr>
          <w:pgSz w:w="11900" w:h="16838" w:orient="portrait"/>
          <w:cols w:equalWidth="0" w:num="3">
            <w:col w:w="3980" w:space="720"/>
            <w:col w:w="2180" w:space="720"/>
            <w:col w:w="3580"/>
          </w:cols>
          <w:pgMar w:left="320" w:top="988" w:right="39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88" w:right="399" w:bottom="1440" w:gutter="0" w:footer="0" w:header="0"/>
          <w:type w:val="continuous"/>
        </w:sectPr>
      </w:pPr>
    </w:p>
    <w:p>
      <w:pPr>
        <w:spacing w:after="0" w:line="24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left="20" w:right="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6"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number of shares of common stock outstanding, par value $0.01 per share, of the registrant as of May 5, 2025 was 1,173,681,964.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102870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88"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900" w:type="dxa"/>
            <w:vAlign w:val="bottom"/>
            <w:gridSpan w:val="9"/>
            <w:vMerge w:val="restart"/>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900" w:type="dxa"/>
            <w:vAlign w:val="bottom"/>
            <w:gridSpan w:val="9"/>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34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 Three Months Ended March 31, 2025 and 2024</w:t>
            </w:r>
          </w:p>
        </w:tc>
        <w:tc>
          <w:tcPr>
            <w:tcW w:w="1320" w:type="dxa"/>
            <w:vAlign w:val="bottom"/>
            <w:gridSpan w:val="3"/>
          </w:tcPr>
          <w:p>
            <w:pPr>
              <w:spacing w:after="0"/>
              <w:rPr>
                <w:sz w:val="16"/>
                <w:szCs w:val="16"/>
                <w:color w:val="auto"/>
              </w:rPr>
            </w:pPr>
          </w:p>
        </w:tc>
        <w:tc>
          <w:tcPr>
            <w:tcW w:w="9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 Three Months Ended March 31, 2025 and 2024</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2025 and December 31, 2024</w:t>
            </w:r>
          </w:p>
        </w:tc>
        <w:tc>
          <w:tcPr>
            <w:tcW w:w="60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 Three Months Ended March 31, 2025 and 2024</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2025 and 2024</w:t>
            </w:r>
          </w:p>
        </w:tc>
        <w:tc>
          <w:tcPr>
            <w:tcW w:w="12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2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32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900" w:type="dxa"/>
            <w:vAlign w:val="bottom"/>
            <w:gridSpan w:val="9"/>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734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2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4"/>
                <w:szCs w:val="24"/>
                <w:color w:val="auto"/>
              </w:rPr>
            </w:pPr>
          </w:p>
        </w:tc>
        <w:tc>
          <w:tcPr>
            <w:tcW w:w="736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 LTIP</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Amended and Restated 2003 Long-Term Incentive Plan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2020 Incentive Plan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Inc. 2020 Stock Incentive Plan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2024 Form 10-K</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annual report on Form 10-K for the fiscal year ended December 31, 2024, as amended</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$3.5 billion revolving facility dated as of September 27, 2024, by and among Viatris, certain lenders</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2024 Revolving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issuing banks from time to time party thereto and Bank of America, N.A., as administrative agent</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w:t>
            </w:r>
          </w:p>
        </w:tc>
      </w:tr>
      <w:tr>
        <w:trPr>
          <w:trHeight w:val="176"/>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 EBITDA (defined below) is further adjusted for share-based compensation expense, litigation</w:t>
            </w: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settlements, and other contingencies, net, gain (loss) on divestitures of businesses, impairment of long-</w:t>
            </w: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lived assets and goodwill, restructuring, acquisition and divestitures-related and other special items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Adjusted EPS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net earnings per diluted share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Abbreviated New Drug Application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AOCE</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 pharmaceutical ingredients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ARV</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Antiretroviral medicines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Limited</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Biologics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Biologics Limited, a majority owned subsidiary of Biocon</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Business Combination Agreement, dated as of July 29, 2019, as amended from time to time, among</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Combination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Mylan, Pfizer and certain of their affiliates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CAMT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corporate alternative minimum tax</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CCPS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Compulsory convertible preferred shares</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Code</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U.S. Internal Revenue Code of 1986, as amended</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Refers to Mylan combining with Pfizer's Upjohn Business in a Reverse Morris Trust transaction to form</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on November 16, 2020</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The $1.65 billion unsecured commercial paper program entered into as of November 16, 2020 by Viatris,</w:t>
            </w: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as issuer, Mylan Inc., Utah Acquisition Sub Inc. and Mylan II B.V., as guarantors, and certain dealers</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Commercial Paper Program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Viatris’ business segment that includes our operations primarily in the following markets: North America</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Developed Markets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Europe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distribution to Pfizer stockholders of all the issued and outstanding shares of Upjohn Inc.</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w:t>
            </w:r>
          </w:p>
        </w:tc>
      </w:tr>
      <w:tr>
        <w:trPr>
          <w:trHeight w:val="176"/>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investors - U.S. GAAP net earnings (loss) adjusted for income tax provision (benefit), interest expense</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depreciation and amortization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EDPA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Eastern District of Pennsylvania</w:t>
            </w: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but is not limited to, our operations primarily in the following</w:t>
            </w: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Emerging Markets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 Parts of Asia, the Middle East, South and Central America, Africa, and Eastern Europe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w:t>
            </w: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10-Q</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quarterly report on Form 10-Q for the quarterly period ended March 31, 2025</w:t>
            </w:r>
          </w:p>
        </w:tc>
      </w:tr>
      <w:tr>
        <w:trPr>
          <w:trHeight w:val="884"/>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 Depot</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Long-acting glatiramer acetate depot product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Systemically Important Banks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institutions that are considered systemically important by the Financial Stability Board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 following markets: mainland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Greater China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Taiwan and Hong Kong</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Idorsia Pharmaceuticals Ltd.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transaction between Viatris and Idorsia pursuant to which Viatris acquired the development</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programs and certain personnel related to selatogrel and cenerimod from Idorsia in exchange for an</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upfront payment to Idorsia of $350 million, potential development and regulatory milestone payments,</w:t>
            </w:r>
          </w:p>
        </w:tc>
        <w:tc>
          <w:tcPr>
            <w:tcW w:w="0" w:type="dxa"/>
            <w:vAlign w:val="bottom"/>
          </w:tcPr>
          <w:p>
            <w:pPr>
              <w:spacing w:after="0"/>
              <w:rPr>
                <w:sz w:val="1"/>
                <w:szCs w:val="1"/>
                <w:color w:val="auto"/>
              </w:rPr>
            </w:pPr>
          </w:p>
        </w:tc>
      </w:tr>
      <w:tr>
        <w:trPr>
          <w:trHeight w:val="175"/>
        </w:trPr>
        <w:tc>
          <w:tcPr>
            <w:tcW w:w="3620" w:type="dxa"/>
            <w:vAlign w:val="bottom"/>
            <w:tcBorders>
              <w:left w:val="single" w:sz="8" w:color="auto"/>
              <w:right w:val="single" w:sz="8" w:color="auto"/>
            </w:tcBorders>
          </w:tcPr>
          <w:p>
            <w:pPr>
              <w:spacing w:after="0"/>
              <w:rPr>
                <w:sz w:val="15"/>
                <w:szCs w:val="15"/>
                <w:color w:val="auto"/>
              </w:rPr>
            </w:pPr>
          </w:p>
        </w:tc>
        <w:tc>
          <w:tcPr>
            <w:tcW w:w="76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contingent payments of tiered sales milestones, as well as potential contingent tiered sales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estimated negative financial impact on 2025 total revenues and (loss) earnings from operations</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versus the comparable 2024 periods as a result of the FDA issued warning letter and import alert related</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Indore Impact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our oral finished dose manufacturing facility in Indore, India</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Internal Revenue Service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Information technology</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in the following markets: Japan, Australia and</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JANZ segment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Mapi</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Mapi Pharma Ltd.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maximum consolidated leverage ratio financial covenant requiring maintenance of a maximum ratio</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of consolidated total indebtedness as of the end of any quarter to consolidated EBITDA for the trailing</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 Leverage Ratio</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 quarters as defined in the related credit agreements from time to time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MDL</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Multidistrict litigation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and its subsidiaries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4.550% Senior Notes due 2028, 5.400% Senior Notes due 2043 and 5.200% Senior Notes due 2048</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by Mylan Inc., which are fully and unconditionally guaranteed on a senior unsecured basis by</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 Inc.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II B.V., Viatris Inc.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NASDAQ</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NDA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drug application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Over-the-counter</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OTC business that the Company divested to Cooper Consumer Health SAS in July 2024,</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including two manufacturing sites located in Merignac, France, and Confienza, Italy, and an R&amp;D site in</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OTC Business</w:t>
            </w: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Monza, Italy. This excludes the Company’s rights for Viagra®, Dymista® (which, in certain limited</w:t>
            </w:r>
          </w:p>
        </w:tc>
        <w:tc>
          <w:tcPr>
            <w:tcW w:w="0" w:type="dxa"/>
            <w:vAlign w:val="bottom"/>
          </w:tcPr>
          <w:p>
            <w:pPr>
              <w:spacing w:after="0"/>
              <w:rPr>
                <w:sz w:val="1"/>
                <w:szCs w:val="1"/>
                <w:color w:val="auto"/>
              </w:rPr>
            </w:pPr>
          </w:p>
        </w:tc>
      </w:tr>
      <w:tr>
        <w:trPr>
          <w:trHeight w:val="230"/>
        </w:trPr>
        <w:tc>
          <w:tcPr>
            <w:tcW w:w="36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markets, are sold as OTC products), and select OTC products in certain markets.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On October 1, 2023, Viatris announced it had received an offer for the divestiture of its OTC Business.</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 January 2024, we exercised our option to accept the offer and entered into a definitive transaction</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 Transaction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 with respect to such OTC Transaction. The OTC Transaction closed in July 2024.</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Oyster Point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Oyster Point Pharma,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Pfizer</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PSUs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R&amp;D</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Receivables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$400 million accounts receivable facility entered into in August 2020 and expiring in May 2025</w:t>
            </w:r>
          </w:p>
        </w:tc>
        <w:tc>
          <w:tcPr>
            <w:tcW w:w="0" w:type="dxa"/>
            <w:vAlign w:val="bottom"/>
          </w:tcPr>
          <w:p>
            <w:pPr>
              <w:spacing w:after="0"/>
              <w:rPr>
                <w:sz w:val="1"/>
                <w:szCs w:val="1"/>
                <w:color w:val="auto"/>
              </w:rPr>
            </w:pPr>
          </w:p>
        </w:tc>
      </w:tr>
      <w:tr>
        <w:trPr>
          <w:trHeight w:val="191"/>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The 2.300% Senior Notes due 2027, 2.700% Senior Notes due 2030, 3.850% Senior Notes due 2040 and</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4.000% Senior Notes due 2050 originally issued on October 29, 2021 registered with the SEC in</w:t>
            </w:r>
          </w:p>
        </w:tc>
        <w:tc>
          <w:tcPr>
            <w:tcW w:w="0" w:type="dxa"/>
            <w:vAlign w:val="bottom"/>
          </w:tcPr>
          <w:p>
            <w:pPr>
              <w:spacing w:after="0"/>
              <w:rPr>
                <w:sz w:val="1"/>
                <w:szCs w:val="1"/>
                <w:color w:val="auto"/>
              </w:rPr>
            </w:pPr>
          </w:p>
        </w:tc>
      </w:tr>
      <w:tr>
        <w:trPr>
          <w:trHeight w:val="202"/>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exchange for the corresponding Unregistered Upjohn U.S. Dollar Notes in a similar aggregate principal</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amount and with terms substantially identical to the corresponding Unregistered Upjohn U.S. Dollar</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Notes and fully and unconditionally guaranteed by Mylan Inc., Mylan II B.V. and Utah Acquisition Sub</w:t>
            </w:r>
          </w:p>
        </w:tc>
        <w:tc>
          <w:tcPr>
            <w:tcW w:w="0" w:type="dxa"/>
            <w:vAlign w:val="bottom"/>
          </w:tcPr>
          <w:p>
            <w:pPr>
              <w:spacing w:after="0"/>
              <w:rPr>
                <w:sz w:val="1"/>
                <w:szCs w:val="1"/>
                <w:color w:val="auto"/>
              </w:rPr>
            </w:pPr>
          </w:p>
        </w:tc>
      </w:tr>
      <w:tr>
        <w:trPr>
          <w:trHeight w:val="26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Registered Upjohn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Respiratory Delivery Platform</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proprietary dry powder inhaler delivery platform</w:t>
            </w: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Restricted Stock Awards</w:t>
            </w:r>
          </w:p>
        </w:tc>
        <w:tc>
          <w:tcPr>
            <w:tcW w:w="76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Company’s nonvested restricted stock and restricted stock unit awards, including PSUs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RICO</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Racketeer Influenced and Corrupt Organizations Act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SDNY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Southern District of New York</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Upjohn U.S. Dollar Notes, the Utah U.S. Dollar Notes and the Mylan Inc. U.S. Dollar Notes,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collectively</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Separation and Distribution Agreement between Viatris and Pfizer, dated as of July 29, 2019, as</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Separation and Distribution Agreement</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from time to time</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stock awards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options and SARs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Teva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Teva Pharmaceutical Industries Ltd.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Transition services agreements, including related distribution services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2.300% Senior Notes due 2027, 2.700% Senior Notes due 2030, 3.850% Senior Notes due 2040 and</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4.000% Senior Notes due 2050 originally issued on June 22, 2020 by Upjohn Inc. (now Viatris Inc.) in a</w:t>
            </w: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Unregistered Upjohn U.S. Dollar Notes</w:t>
            </w:r>
          </w:p>
        </w:tc>
        <w:tc>
          <w:tcPr>
            <w:tcW w:w="76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private offering exempt from the registration requirements of the Securities Act and fully and</w:t>
            </w:r>
          </w:p>
        </w:tc>
        <w:tc>
          <w:tcPr>
            <w:tcW w:w="0" w:type="dxa"/>
            <w:vAlign w:val="bottom"/>
          </w:tcPr>
          <w:p>
            <w:pPr>
              <w:spacing w:after="0"/>
              <w:rPr>
                <w:sz w:val="1"/>
                <w:szCs w:val="1"/>
                <w:color w:val="auto"/>
              </w:rPr>
            </w:pPr>
          </w:p>
        </w:tc>
      </w:tr>
      <w:tr>
        <w:trPr>
          <w:trHeight w:val="229"/>
        </w:trPr>
        <w:tc>
          <w:tcPr>
            <w:tcW w:w="36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unconditionally guaranteed by Mylan Inc., Mylan II B.V. and Utah Acquisition Sub Inc.</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Upjohn Inc., a wholly owned subsidiary of Pfizer prior to the Distribution, that combined with Mylan</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was renamed Viatris Inc.</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Pfizer’s off-patent branded and generic established medicines business that, in connection with the</w:t>
            </w:r>
          </w:p>
        </w:tc>
        <w:tc>
          <w:tcPr>
            <w:tcW w:w="0" w:type="dxa"/>
            <w:vAlign w:val="bottom"/>
          </w:tcPr>
          <w:p>
            <w:pPr>
              <w:spacing w:after="0"/>
              <w:rPr>
                <w:sz w:val="1"/>
                <w:szCs w:val="1"/>
                <w:color w:val="auto"/>
              </w:rPr>
            </w:pPr>
          </w:p>
        </w:tc>
      </w:tr>
      <w:tr>
        <w:trPr>
          <w:trHeight w:val="24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Business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was separated from Pfizer and combined with Mylan to form Viatris</w:t>
            </w:r>
          </w:p>
        </w:tc>
        <w:tc>
          <w:tcPr>
            <w:tcW w:w="0" w:type="dxa"/>
            <w:vAlign w:val="bottom"/>
          </w:tcPr>
          <w:p>
            <w:pPr>
              <w:spacing w:after="0"/>
              <w:rPr>
                <w:sz w:val="1"/>
                <w:szCs w:val="1"/>
                <w:color w:val="auto"/>
              </w:rPr>
            </w:pPr>
          </w:p>
        </w:tc>
      </w:tr>
      <w:tr>
        <w:trPr>
          <w:trHeight w:val="205"/>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Select geographic markets that were part of the Combination that are smaller in nature and in which we</w:t>
            </w: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right w:val="single" w:sz="8" w:color="auto"/>
            </w:tcBorders>
          </w:tcPr>
          <w:p>
            <w:pPr>
              <w:spacing w:after="0"/>
              <w:rPr>
                <w:sz w:val="18"/>
                <w:szCs w:val="18"/>
                <w:color w:val="auto"/>
              </w:rPr>
            </w:pPr>
          </w:p>
        </w:tc>
        <w:tc>
          <w:tcPr>
            <w:tcW w:w="7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had no established infrastructure prior to or following the Combination and that the Company has</w:t>
            </w:r>
          </w:p>
        </w:tc>
        <w:tc>
          <w:tcPr>
            <w:tcW w:w="0" w:type="dxa"/>
            <w:vAlign w:val="bottom"/>
          </w:tcPr>
          <w:p>
            <w:pPr>
              <w:spacing w:after="0"/>
              <w:rPr>
                <w:sz w:val="1"/>
                <w:szCs w:val="1"/>
                <w:color w:val="auto"/>
              </w:rPr>
            </w:pPr>
          </w:p>
        </w:tc>
      </w:tr>
      <w:tr>
        <w:trPr>
          <w:trHeight w:val="248"/>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Distributor Markets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divested or intends to divest</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Senior unsecured notes denominated in U.S. dollars and originally issued by Upjohn Inc. or Viatris Inc.</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pursuant to an indenture dated June 22, 2020 and fully and unconditionally guaranteed by Mylan Inc.,</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II B.V. and Utah Acquisition Sub Inc.</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Acquisition Sub</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Utah Acquisition Sub Inc., a Delaware corporation and an indirect wholly owned subsidiary of Viatris</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3.950% Senior Notes due 2026 and 5.250% Senior Notes due 2046 issued by Utah Acquisition Sub</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 which are fully and unconditionally guaranteed on a senior unsecured basis by Mylan Inc., Viatris</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U.S. Dollar Notes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 and Mylan II B.V.</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Viatris</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Viatris Inc., formerly known as Upjohn Inc. prior to the completion of the Combination</w:t>
            </w:r>
          </w:p>
        </w:tc>
        <w:tc>
          <w:tcPr>
            <w:tcW w:w="0" w:type="dxa"/>
            <w:vAlign w:val="bottom"/>
          </w:tcPr>
          <w:p>
            <w:pPr>
              <w:spacing w:after="0"/>
              <w:rPr>
                <w:sz w:val="1"/>
                <w:szCs w:val="1"/>
                <w:color w:val="auto"/>
              </w:rPr>
            </w:pPr>
          </w:p>
        </w:tc>
      </w:tr>
      <w:tr>
        <w:trPr>
          <w:trHeight w:val="169"/>
        </w:trPr>
        <w:tc>
          <w:tcPr>
            <w:tcW w:w="3620" w:type="dxa"/>
            <w:vAlign w:val="bottom"/>
            <w:tcBorders>
              <w:left w:val="single" w:sz="8" w:color="auto"/>
              <w:right w:val="single" w:sz="8" w:color="auto"/>
            </w:tcBorders>
          </w:tcPr>
          <w:p>
            <w:pPr>
              <w:spacing w:after="0"/>
              <w:rPr>
                <w:sz w:val="14"/>
                <w:szCs w:val="14"/>
                <w:color w:val="auto"/>
              </w:rPr>
            </w:pPr>
          </w:p>
        </w:tc>
        <w:tc>
          <w:tcPr>
            <w:tcW w:w="76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¥40 billion term loan agreement dated as of July 1, 2021, among Viatris, the guarantors from time to</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right w:val="single" w:sz="8" w:color="auto"/>
            </w:tcBorders>
          </w:tcPr>
          <w:p>
            <w:pPr>
              <w:spacing w:after="0"/>
              <w:rPr>
                <w:sz w:val="16"/>
                <w:szCs w:val="16"/>
                <w:color w:val="auto"/>
              </w:rPr>
            </w:pPr>
          </w:p>
        </w:tc>
        <w:tc>
          <w:tcPr>
            <w:tcW w:w="76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time party thereto, the lenders from time to time party thereto and Mizuho Bank, Ltd., as administrative</w:t>
            </w:r>
          </w:p>
        </w:tc>
        <w:tc>
          <w:tcPr>
            <w:tcW w:w="0" w:type="dxa"/>
            <w:vAlign w:val="bottom"/>
          </w:tcPr>
          <w:p>
            <w:pPr>
              <w:spacing w:after="0"/>
              <w:rPr>
                <w:sz w:val="1"/>
                <w:szCs w:val="1"/>
                <w:color w:val="auto"/>
              </w:rPr>
            </w:pPr>
          </w:p>
        </w:tc>
      </w:tr>
      <w:tr>
        <w:trPr>
          <w:trHeight w:val="23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YEN Term Loan Facility</w:t>
            </w:r>
          </w:p>
        </w:tc>
        <w:tc>
          <w:tcPr>
            <w:tcW w:w="7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agent</w:t>
            </w:r>
          </w:p>
        </w:tc>
        <w:tc>
          <w:tcPr>
            <w:tcW w:w="0" w:type="dxa"/>
            <w:vAlign w:val="bottom"/>
          </w:tcPr>
          <w:p>
            <w:pPr>
              <w:spacing w:after="0"/>
              <w:rPr>
                <w:sz w:val="1"/>
                <w:szCs w:val="1"/>
                <w:color w:val="auto"/>
              </w:rPr>
            </w:pPr>
          </w:p>
        </w:tc>
      </w:tr>
      <w:tr>
        <w:trPr>
          <w:trHeight w:val="898"/>
        </w:trPr>
        <w:tc>
          <w:tcPr>
            <w:tcW w:w="3620" w:type="dxa"/>
            <w:vAlign w:val="bottom"/>
          </w:tcPr>
          <w:p>
            <w:pPr>
              <w:spacing w:after="0"/>
              <w:rPr>
                <w:sz w:val="24"/>
                <w:szCs w:val="24"/>
                <w:color w:val="auto"/>
              </w:rPr>
            </w:pPr>
          </w:p>
        </w:tc>
        <w:tc>
          <w:tcPr>
            <w:tcW w:w="76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Acquired IPR&amp;D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earnings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earnings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r>
      <w:tr>
        <w:trPr>
          <w:trHeight w:val="23"/>
        </w:trPr>
        <w:tc>
          <w:tcPr>
            <w:tcW w:w="8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r>
      <w:tr>
        <w:trPr>
          <w:trHeight w:val="229"/>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unrecognized loss and prior service cost related to defined benefit plans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(loss) gain on derivatives in cash flow hedging relationships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unrecognized (loss) gain on derivatives in net investment hedging relationships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(loss) on available-for-sale fixed income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29"/>
        </w:trPr>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ind w:left="918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20"/>
          </w:cols>
          <w:pgMar w:left="320" w:top="114" w:right="359" w:bottom="1440" w:gutter="0" w:footer="0" w:header="0"/>
        </w:sect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w:t>
      </w:r>
    </w:p>
    <w:p>
      <w:pPr>
        <w:spacing w:after="0" w:line="23" w:lineRule="exact"/>
        <w:rPr>
          <w:sz w:val="20"/>
          <w:szCs w:val="20"/>
          <w:color w:val="auto"/>
        </w:rPr>
      </w:pPr>
    </w:p>
    <w:p>
      <w:pPr>
        <w:ind w:left="680" w:right="320" w:hanging="201"/>
        <w:spacing w:after="0" w:line="273"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spacing w:after="0" w:line="2" w:lineRule="exact"/>
        <w:rPr>
          <w:sz w:val="20"/>
          <w:szCs w:val="20"/>
          <w:color w:val="auto"/>
        </w:rPr>
      </w:pPr>
    </w:p>
    <w:p>
      <w:pPr>
        <w:ind w:left="240" w:right="1060"/>
        <w:spacing w:after="0" w:line="266" w:lineRule="auto"/>
        <w:rPr>
          <w:sz w:val="20"/>
          <w:szCs w:val="20"/>
          <w:color w:val="auto"/>
        </w:rPr>
      </w:pPr>
      <w:r>
        <w:rPr>
          <w:rFonts w:ascii="Times New Roman" w:cs="Times New Roman" w:eastAsia="Times New Roman" w:hAnsi="Times New Roman"/>
          <w:sz w:val="18"/>
          <w:szCs w:val="18"/>
          <w:color w:val="auto"/>
        </w:rPr>
        <w:t>Property, plant and equipment, net Intangible assets, net Goodwill</w:t>
      </w:r>
    </w:p>
    <w:p>
      <w:pPr>
        <w:ind w:left="240"/>
        <w:spacing w:after="0"/>
        <w:rPr>
          <w:sz w:val="20"/>
          <w:szCs w:val="20"/>
          <w:color w:val="auto"/>
        </w:rPr>
      </w:pPr>
      <w:r>
        <w:rPr>
          <w:rFonts w:ascii="Times New Roman" w:cs="Times New Roman" w:eastAsia="Times New Roman" w:hAnsi="Times New Roman"/>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assets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162560</wp:posOffset>
            </wp:positionV>
            <wp:extent cx="71151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-128270</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422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3,221.3</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3,854.1</w:t>
            </w:r>
          </w:p>
        </w:tc>
      </w:tr>
      <w:tr>
        <w:trPr>
          <w:trHeight w:val="234"/>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w:t>
            </w:r>
          </w:p>
        </w:tc>
      </w:tr>
      <w:tr>
        <w:trPr>
          <w:trHeight w:val="218"/>
        </w:trPr>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9,520.7</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17,070.9</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9,133.3</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r>
      <w:tr>
        <w:trPr>
          <w:trHeight w:val="234"/>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2,356.9</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41,500.9</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-1508125</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-1216660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-916305</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-624840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-334010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-16510</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44" w:lineRule="exact"/>
        <w:rPr>
          <w:sz w:val="20"/>
          <w:szCs w:val="20"/>
          <w:color w:val="auto"/>
        </w:rPr>
      </w:pPr>
    </w:p>
    <w:p>
      <w:pPr>
        <w:sectPr>
          <w:pgSz w:w="11900" w:h="16838" w:orient="portrait"/>
          <w:cols w:equalWidth="0" w:num="2">
            <w:col w:w="3780" w:space="720"/>
            <w:col w:w="6720"/>
          </w:cols>
          <w:pgMar w:left="320" w:top="114" w:right="359" w:bottom="1440" w:gutter="0" w:footer="0" w:header="0"/>
          <w:type w:val="continuous"/>
        </w:sectPr>
      </w:pPr>
    </w:p>
    <w:tbl>
      <w:tblPr>
        <w:tblLayout w:type="fixed"/>
        <w:tblInd w:w="20" w:type="dxa"/>
        <w:tblCellMar>
          <w:top w:w="0" w:type="dxa"/>
          <w:left w:w="0" w:type="dxa"/>
          <w:bottom w:w="0" w:type="dxa"/>
          <w:right w:w="0" w:type="dxa"/>
        </w:tblCellMar>
      </w:tblP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w:t>
            </w: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 and other long-term obligations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3,724.7</w:t>
            </w:r>
          </w:p>
        </w:tc>
      </w:tr>
      <w:tr>
        <w:trPr>
          <w:trHeight w:val="223"/>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5,779.4</w:t>
            </w: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14,038.9</w:t>
            </w: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1,939.2</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22,865.4</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Viatris Inc. shareholders’ equity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6"/>
        </w:trPr>
        <w:tc>
          <w:tcPr>
            <w:tcW w:w="87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3,000,000,000 shares authorized; shares issued: 1,244,908,128 and</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1,234,131,491 as of March 31, 2025 and December 31, 2024</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18,921.6</w:t>
            </w: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3,418.8</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(3,212.9)</w:t>
            </w:r>
          </w:p>
        </w:tc>
      </w:tr>
      <w:tr>
        <w:trPr>
          <w:trHeight w:val="223"/>
        </w:trPr>
        <w:tc>
          <w:tcPr>
            <w:tcW w:w="8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19,139.8</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Treasury stock — at cost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Common stock shares: 59,091,265 and 40,483,663 as of March 31, 2025 and December 31, 2024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18,635.5</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41,500.9</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8"/>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7"/>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9"/>
                <w:szCs w:val="9"/>
                <w:color w:val="auto"/>
              </w:rPr>
            </w:pPr>
          </w:p>
        </w:tc>
        <w:tc>
          <w:tcPr>
            <w:tcW w:w="820" w:type="dxa"/>
            <w:vAlign w:val="bottom"/>
            <w:gridSpan w:val="3"/>
            <w:vMerge w:val="restart"/>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9"/>
                <w:szCs w:val="9"/>
                <w:color w:val="auto"/>
              </w:rPr>
            </w:pPr>
          </w:p>
        </w:tc>
        <w:tc>
          <w:tcPr>
            <w:tcW w:w="170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4"/>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80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9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1,234,131,491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$18,921.6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$ 3,418.8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$(504.3)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w w:val="99"/>
              </w:rPr>
              <w:t>$18,635.5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10,714,146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2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repurchase</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18,607,602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1,244,908,128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18,960.8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227.9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59,091,265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(679.8)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r>
              <w:rPr>
                <w:rFonts w:ascii="Times New Roman" w:cs="Times New Roman" w:eastAsia="Times New Roman" w:hAnsi="Times New Roman"/>
                <w:sz w:val="18"/>
                <w:szCs w:val="18"/>
                <w:u w:val="single" w:color="auto"/>
                <w:color w:val="auto"/>
              </w:rPr>
              <w:t>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9"/>
              </w:rPr>
              <w:t>$15,650.4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8"/>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7"/>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9"/>
                <w:szCs w:val="9"/>
                <w:color w:val="auto"/>
              </w:rPr>
            </w:pPr>
          </w:p>
        </w:tc>
        <w:tc>
          <w:tcPr>
            <w:tcW w:w="820" w:type="dxa"/>
            <w:vAlign w:val="bottom"/>
            <w:gridSpan w:val="3"/>
            <w:vMerge w:val="restart"/>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9"/>
                <w:szCs w:val="9"/>
                <w:color w:val="auto"/>
              </w:rPr>
            </w:pPr>
          </w:p>
        </w:tc>
        <w:tc>
          <w:tcPr>
            <w:tcW w:w="170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4"/>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8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1,221,994,491</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$18,814.7</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$ 4,639.7</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21,239,521</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$(251.8)</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97"/>
              </w:rPr>
              <w:t>$20,467.4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 net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8,842,107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4"/>
        </w:trPr>
        <w:tc>
          <w:tcPr>
            <w:tcW w:w="39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2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repurchase</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19,244,142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1,230,891,074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18,839.8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$ 4,607.5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(504.3)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r>
              <w:rPr>
                <w:rFonts w:ascii="Times New Roman" w:cs="Times New Roman" w:eastAsia="Times New Roman" w:hAnsi="Times New Roman"/>
                <w:sz w:val="18"/>
                <w:szCs w:val="18"/>
                <w:u w:val="single" w:color="auto"/>
                <w:color w:val="auto"/>
              </w:rPr>
              <w:t>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7"/>
              </w:rPr>
              <w:t>$20,014.3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earnings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(gain) on disposal of business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Acquired IPR&amp;D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Impairment of goodwill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non-cash items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r>
      <w:tr>
        <w:trPr>
          <w:trHeight w:val="207"/>
        </w:trPr>
        <w:tc>
          <w:tcPr>
            <w:tcW w:w="8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614.6</w:t>
            </w:r>
          </w:p>
        </w:tc>
      </w:tr>
      <w:tr>
        <w:trPr>
          <w:trHeight w:val="19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product rights and other,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refunds of IPR&amp;D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assets and subsidiaries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w:t>
            </w:r>
          </w:p>
        </w:tc>
      </w:tr>
      <w:tr>
        <w:trPr>
          <w:trHeight w:val="19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short-term borrowings,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items,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w:t>
            </w:r>
          </w:p>
        </w:tc>
      </w:tr>
      <w:tr>
        <w:trPr>
          <w:trHeight w:val="207"/>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on cash of changes in exchange rates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993.6</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1,015.9</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loss, financial position, equity and cash flows for the periods presented.</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consolidated financial statements and notes thereto in Viatris’ 2024 Form 10-K. The December 31, 2024 condensed consolidated balance sheet was derived from audited financial statements.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interim results of operations, comprehensive loss and cash flows for the three months ended March 31, 2025 are not necessarily indicative of the results to be expected for the full fiscal year or any other future period.</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227"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net sales by product category for each of our reportable segments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respectively:</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2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 xml:space="preserve">Three Months Ended March 31, 2025 </w:t>
            </w:r>
            <w:r>
              <w:rPr>
                <w:rFonts w:ascii="Times New Roman" w:cs="Times New Roman" w:eastAsia="Times New Roman" w:hAnsi="Times New Roman"/>
                <w:sz w:val="18"/>
                <w:szCs w:val="18"/>
                <w:b w:val="1"/>
                <w:bCs w:val="1"/>
                <w:color w:val="auto"/>
                <w:vertAlign w:val="superscript"/>
              </w:rPr>
              <w:t>(a)</w:t>
            </w:r>
          </w:p>
        </w:tc>
        <w:tc>
          <w:tcPr>
            <w:tcW w:w="1160" w:type="dxa"/>
            <w:vAlign w:val="bottom"/>
            <w:tcBorders>
              <w:bottom w:val="single" w:sz="8" w:color="auto"/>
            </w:tcBorders>
          </w:tcPr>
          <w:p>
            <w:pPr>
              <w:spacing w:after="0"/>
              <w:rPr>
                <w:sz w:val="18"/>
                <w:szCs w:val="18"/>
                <w:color w:val="auto"/>
              </w:rPr>
            </w:pPr>
          </w:p>
        </w:tc>
      </w:tr>
      <w:tr>
        <w:trPr>
          <w:trHeight w:val="184"/>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6"/>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63" w:lineRule="exact"/>
        <w:rPr>
          <w:sz w:val="20"/>
          <w:szCs w:val="20"/>
          <w:color w:val="auto"/>
        </w:rPr>
      </w:pPr>
    </w:p>
    <w:p>
      <w:pPr>
        <w:ind w:left="660" w:right="480" w:hanging="328"/>
        <w:spacing w:after="0" w:line="229" w:lineRule="auto"/>
        <w:tabs>
          <w:tab w:leader="none" w:pos="65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months ended March 31, 2025 include the Indore Impact and the impact of foreign currency translations and divested businesses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on a consolidated basis for select key products for the three months ended March 31, 2025 and 2024, respectively:</w:t>
      </w:r>
    </w:p>
    <w:p>
      <w:pPr>
        <w:spacing w:after="0" w:line="7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Select Key Global Products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Lipitor ®</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Norvasc ®</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Lyrica ®</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Viagra ®</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EpiPen® Auto-Injectors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Creon ®</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Celebrex ®</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Zoloft ®</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Effexor ®</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Xalabrands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Select Key Segment Products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Yupelri ®</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Dymista ®</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Amitiza ®</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4"/>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Xanax ®</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does not disclose net sales for any products considered competitively sensitive.</w:t>
      </w:r>
    </w:p>
    <w:p>
      <w:pPr>
        <w:spacing w:after="0" w:line="4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Products disclosed may change in future periods, including as a result of seasonality, competition or new product launches.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months ended March 31, 2025 include the impact of foreign currency translations compared to the prior year period.</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intellectual property matters included in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for additional information regarding Yupelri® and Amitiza®.</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Variable Consideration and Accounts Receivable</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sales to net sales by each significant category of variable consideration during the three months ended March 31, 2025 and 2024, respectively:</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18"/>
                <w:szCs w:val="18"/>
                <w:b w:val="1"/>
                <w:bCs w:val="1"/>
                <w:color w:val="auto"/>
                <w:vertAlign w:val="superscript"/>
              </w:rPr>
              <w:t>(a)</w:t>
            </w:r>
          </w:p>
        </w:tc>
        <w:tc>
          <w:tcPr>
            <w:tcW w:w="360" w:type="dxa"/>
            <w:vAlign w:val="bottom"/>
          </w:tcPr>
          <w:p>
            <w:pPr>
              <w:spacing w:after="0"/>
              <w:rPr>
                <w:sz w:val="17"/>
                <w:szCs w:val="17"/>
                <w:color w:val="auto"/>
              </w:rPr>
            </w:pPr>
          </w:p>
        </w:tc>
        <w:tc>
          <w:tcPr>
            <w:tcW w:w="8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6,174.6</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to net adjustments: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Chargebacks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Rebates, promotional programs and other sales allowances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Governmental rebate programs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to net adjustments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63" w:lineRule="exact"/>
        <w:rPr>
          <w:sz w:val="20"/>
          <w:szCs w:val="20"/>
          <w:color w:val="auto"/>
        </w:rPr>
      </w:pPr>
    </w:p>
    <w:p>
      <w:pPr>
        <w:ind w:left="660" w:right="420" w:hanging="328"/>
        <w:spacing w:after="0" w:line="229" w:lineRule="auto"/>
        <w:tabs>
          <w:tab w:leader="none" w:pos="65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the three months ended March 31, 2025 include the Indore Impact and the impact of foreign currency translations and divested businesses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No significant revisions were made to the methodology used in determining these provisions or the nature of the provisions during the three months ended March 31, 2025. Such allowances were comprised of the following at March 31, 2025 and December 31, 2024, respectively:</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was comprised of the following at March 31, 2025 and December 31, 2024, respectively:</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 Factoring Arrangements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$92.2 million and $68.5 million of accounts receivable as of March 31, 2025 and December 31, 2024, respectively, under these factoring arrangements. Additionally, in 2023, we entered into a similar arrangement for certain European countries. As of March 31, 2025 and December 31, 2024, we assigned and derecognized approximately $21.5 million and $29.9 million, respectively, of </w:t>
      </w:r>
      <w:r>
        <w:rPr>
          <w:rFonts w:ascii="Times New Roman" w:cs="Times New Roman" w:eastAsia="Times New Roman" w:hAnsi="Times New Roman"/>
          <w:sz w:val="18"/>
          <w:szCs w:val="18"/>
          <w:i w:val="1"/>
          <w:iCs w:val="1"/>
          <w:color w:val="auto"/>
        </w:rPr>
        <w:t xml:space="preserve">Trade Receivables, Net, </w:t>
      </w:r>
      <w:r>
        <w:rPr>
          <w:rFonts w:ascii="Times New Roman" w:cs="Times New Roman" w:eastAsia="Times New Roman" w:hAnsi="Times New Roman"/>
          <w:sz w:val="18"/>
          <w:szCs w:val="18"/>
          <w:color w:val="auto"/>
        </w:rPr>
        <w:t>which were included in</w:t>
      </w:r>
      <w:r>
        <w:rPr>
          <w:rFonts w:ascii="Times New Roman" w:cs="Times New Roman" w:eastAsia="Times New Roman" w:hAnsi="Times New Roman"/>
          <w:sz w:val="18"/>
          <w:szCs w:val="18"/>
          <w:i w:val="1"/>
          <w:iCs w:val="1"/>
          <w:color w:val="auto"/>
        </w:rPr>
        <w:t xml:space="preserve"> Other Receivables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Accounting Standards and Disclosure Rules Issued Not Yet Adopted</w:t>
      </w:r>
    </w:p>
    <w:p>
      <w:pPr>
        <w:spacing w:after="0" w:line="25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March 2024, the SEC adopted final rules under SEC Release No. 34-99678 and No. 33-11275, “The Enhancement and Standardization of Climate-Related Disclosures for Investors” (the “Final Rules”), which would require registrants to provide certain climate-related information in their registration statements and annual reports. The Final Rules would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Final Rules would also require disclosure outside of the financial statements of material scope 1 and scope 2 greenhouse gas emissions, among other climate-related disclosures. In April 2024, the SEC stayed the effectiveness of the Final Rules pending completion of litigation in the U.S. Court of Appeals for the Eighth Circuit. Prior to the effectiveness of the Final Rules being stayed, the disclosure requirements of the Final Rules were scheduled to begin phasing in for the Company for fiscal year 2025. On March 27, 2025, the SEC voted to end its defense of the Final Rules and withdrew its defense of the Final Rules in the pending litigation. The Company continues to monitor the status of the Final Rules.</w:t>
      </w:r>
    </w:p>
    <w:p>
      <w:pPr>
        <w:spacing w:after="0" w:line="2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There were no other significant changes in new accounting standards from those disclosed in Viatris’ 2024 Form 10-K. Refer to Viatris’ 2024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Other Transactions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 of Idorsia Products</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contractually obligated to contribute to the development costs for both programs. Viatris has worldwide commercialization rights for both selatogrel and cenerimod (which excluded, for cenerimod only, Japan, South Korea and certain countries in the Asia-Pacific region). A joint development committee was formed to oversee the development of the ongoing Phase 3 programs through regulatory approval. The agreements also provided Viatris a right of first refusal and a right of first negotiation for certain other assets in Idorsia’s pipeline. The transaction expanded our portfolio of innovative assets by adding two Phase 3 assets and combines our financial strength and worldwide operational infrastructure with Idorsia’s proven, highly-productive drug development team and innovation engine.</w:t>
      </w:r>
    </w:p>
    <w:p>
      <w:pPr>
        <w:spacing w:after="0" w:line="21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U.S. GAAP, the transaction has been accounted for as a business combination under the acquisition method of accounting. Under the acquisition method of accounting, the assets acquired and liabilities assumed in the transaction were recorded at their respective estimated fair values at the acquisition date. During the three months ended March 31, 2025 and 2024, the Company incurred acquisition-related costs of approximately $2.6 million and $0.3 million, respectively, which were recorded primarily 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statements of operations.</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U.S. GAAP purchase price allocated to the transaction was $695 million, which consisted of $350 million of cash consideration paid and estimated contingent consideration at the date of acquisition valued at approximately $345 million. The fair value of the contingent consideration was valued using a Monte Carlo simulation model using Level 3 inputs. The fair value is sensitive to changes in the forecasts of operating metrics, probability of success, and discount rates. Refer to Note 11, </w:t>
      </w:r>
      <w:r>
        <w:rPr>
          <w:rFonts w:ascii="Times New Roman" w:cs="Times New Roman" w:eastAsia="Times New Roman" w:hAnsi="Times New Roman"/>
          <w:sz w:val="18"/>
          <w:szCs w:val="18"/>
          <w:i w:val="1"/>
          <w:iCs w:val="1"/>
          <w:color w:val="auto"/>
        </w:rPr>
        <w:t>Financial Instruments and Risk Management for additional information</w:t>
      </w:r>
      <w:r>
        <w:rPr>
          <w:rFonts w:ascii="Times New Roman" w:cs="Times New Roman" w:eastAsia="Times New Roman" w:hAnsi="Times New Roman"/>
          <w:sz w:val="18"/>
          <w:szCs w:val="18"/>
          <w:color w:val="auto"/>
        </w:rPr>
        <w:t>. The allocation of the purchase price to the assets acquired and liabilities assumed is shown below. There were no measurement period adjustments.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9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w:t>
            </w:r>
          </w:p>
        </w:tc>
      </w:tr>
      <w:tr>
        <w:trPr>
          <w:trHeight w:val="20"/>
        </w:trPr>
        <w:tc>
          <w:tcPr>
            <w:tcW w:w="9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$675 million was based on the excess earnings method, which utilizes forecasts of expected cash inflows (including estimates for ongoing costs) and other contributory charges. A discount rate of 20%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Viatris and Idorsia are both contractually obligated to contribute to the development costs for both programs, which are expected to be incurred through 2026. There are risks and uncertainties associated with the timely and successful completion of the projects included in IPR&amp;D, including but not limited to the high cost and uncertainty of conducting clinical trials (particularly with respect to new and/or complex or innovative drugs), obtaining approval by relevant regulatory bodies and our partner’s financial condition, and no assurances can be given that the underlying assumptions used to estimate the fair value of IPR&amp;D will not change or the timely completion of each project to commercial success will occur.</w:t>
      </w:r>
    </w:p>
    <w:p>
      <w:pPr>
        <w:spacing w:after="0" w:line="19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letter agreement, Viatris received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letter agreement provides for the replacement of the joint development committee with a transition committee to oversee the transition of both development programs to Viatris.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for additional information on the fair value adjustment to the Idorsia Transaction contingent consideration liability recorded during the three months ended March 31, 2025 as a result of the February 25, 2025 letter agreement.</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goodwill of $19.5 million arising from the acquisition consisted largely of the value of the employee workforce and the expected value of products, including additional indications, to be developed in the future. All of the goodwill was assigned to the Developed Markets segment. None of the goodwill recognized in this transaction is expected to be deductible for income tax purposes. The acquisition did not have a material impact on the Company’s results of operations since the acquisition date or on a pro forma basis during the three months ended March 31, 2024.</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By the end of 2024, the Company had substantially completed the previously announced divestitures of its OTC Business, its women’s healthcare business primarily related to oral and injectable contraceptives, its API business in India, its rights to two women’s healthcare products in certain countries, and commercialization rights in the majority of the Upjohn Distributor Markets.</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the Company recorded additional pre-tax charges of approximately $36.9 million related to the divestitures. The additional charges were recorded as a component of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condensed consolidated statements of operations, and were primarily due to an increase in estimated transaction related costs, including the assumption of additional contractual obligations, as well as the impact of working capital and other transaction-related adjustments.</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some of which include various on-going financial obligations. During the three months ended March 31, 2025 and 2024, the Company recognized TSA income related to all divestitures of approximately $17.4 million and $13.4 million, respectively. TSA income is recorded as a component of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Incentive Plan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Distribution, Viatris adopted and Pfizer, in the capacity as Viatris’ sole stockholder at such time, approved the 2020 Incentive Plan (the </w:t>
      </w:r>
      <w:r>
        <w:rPr>
          <w:rFonts w:ascii="Times New Roman" w:cs="Times New Roman" w:eastAsia="Times New Roman" w:hAnsi="Times New Roman"/>
          <w:sz w:val="18"/>
          <w:szCs w:val="18"/>
          <w:i w:val="1"/>
          <w:iCs w:val="1"/>
          <w:color w:val="auto"/>
        </w:rPr>
        <w:t>Viatris Inc. 2020 Stock Incentive Plan</w:t>
      </w:r>
      <w:r>
        <w:rPr>
          <w:rFonts w:ascii="Times New Roman" w:cs="Times New Roman" w:eastAsia="Times New Roman" w:hAnsi="Times New Roman"/>
          <w:sz w:val="18"/>
          <w:szCs w:val="18"/>
          <w:color w:val="auto"/>
        </w:rPr>
        <w:t>) which became effective as of the Distribution. In connection with the Combination, as of November 16,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the 2003 LTIP (</w:t>
      </w:r>
      <w:r>
        <w:rPr>
          <w:rFonts w:ascii="Times New Roman" w:cs="Times New Roman" w:eastAsia="Times New Roman" w:hAnsi="Times New Roman"/>
          <w:sz w:val="18"/>
          <w:szCs w:val="18"/>
          <w:i w:val="1"/>
          <w:iCs w:val="1"/>
          <w:color w:val="auto"/>
        </w:rPr>
        <w:t>Mylan N.V. Amended and Restated 2003 Long-Term Incentive Plan</w:t>
      </w:r>
      <w:r>
        <w:rPr>
          <w:rFonts w:ascii="Times New Roman" w:cs="Times New Roman" w:eastAsia="Times New Roman" w:hAnsi="Times New Roman"/>
          <w:sz w:val="18"/>
          <w:szCs w:val="18"/>
          <w:color w:val="auto"/>
        </w:rPr>
        <w:t>),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Board approved an amendment to the 2020 Incentive Plan, which was approved by Viatris shareholders on December 6, 2024, to increase the maximum aggregate number of shares of Viatris common stock available for issuance under the 2020 Incentive Plan by 49,000,000.</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2020 Incentive Plan,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awards (stock options and SARs)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Under Stock Awards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3,154,876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stock awards outstanding, stock awards vested and expected to vest, and stock awards exercisable each had average remaining contractual terms of 2.9 years. Also, at March 31, 2025, stock awards outstanding, stock awards vested and expected to vest, and stock awards exercisable each had aggregate intrinsic values of $0.1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changes in the Company’s nonvested Restricted Stock Awards (restricted stock and restricted stock unit awards,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from December 31, 2024 to March 31, 2025 is presented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29,083,934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18,458,587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34,314,948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$276.7 million of total unrecognized compensation expense, net of estimated forfeitures, related to all of its stock-based awards, which we expect to recognize over the remaining weighted average vesting period of 1.8 years. The total intrinsic value of Restricted Stock Awards released and stock options exercised during the three months ended March 31, 2025 and 2024 was $118.2 million and $129.0 million, respectively.</w:t>
      </w:r>
    </w:p>
    <w:p>
      <w:pPr>
        <w:spacing w:after="0" w:line="200" w:lineRule="exact"/>
        <w:rPr>
          <w:sz w:val="20"/>
          <w:szCs w:val="20"/>
          <w:color w:val="auto"/>
        </w:rPr>
      </w:pPr>
    </w:p>
    <w:p>
      <w:pPr>
        <w:spacing w:after="0" w:line="219" w:lineRule="exact"/>
        <w:rPr>
          <w:sz w:val="20"/>
          <w:szCs w:val="20"/>
          <w:color w:val="auto"/>
        </w:rPr>
      </w:pPr>
    </w:p>
    <w:p>
      <w:pPr>
        <w:ind w:left="340" w:right="7540" w:hanging="332"/>
        <w:spacing w:after="0" w:line="503" w:lineRule="auto"/>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Pensions and Other Postretirement Benefits </w:t>
      </w:r>
      <w:r>
        <w:rPr>
          <w:rFonts w:ascii="Times New Roman" w:cs="Times New Roman" w:eastAsia="Times New Roman" w:hAnsi="Times New Roman"/>
          <w:sz w:val="18"/>
          <w:szCs w:val="18"/>
          <w:i w:val="1"/>
          <w:iCs w:val="1"/>
          <w:color w:val="auto"/>
        </w:rPr>
        <w:t>Defined Benefit Plans</w:t>
      </w: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net periodic benefit cost for the three months ended March 31, 2025 and 2024 were as follows:</w:t>
      </w:r>
    </w:p>
    <w:p>
      <w:pPr>
        <w:spacing w:after="0" w:line="13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Pension and Other Postretirement</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Benefits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8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is making the minimum mandatory contributions to its defined benefit pension plans in the U.S. and Puerto Rico for the 2025 plan year. The Company expects to make total benefit payments of approximately $112.2 million from pension and other postretirement benefit plans in 2025. The Company anticipates making contributions to pension and other postretirement benefit plans of approximately $68.8 million in 2025.</w:t>
      </w:r>
    </w:p>
    <w:p>
      <w:pPr>
        <w:spacing w:after="0" w:line="200" w:lineRule="exact"/>
        <w:rPr>
          <w:sz w:val="20"/>
          <w:szCs w:val="20"/>
          <w:color w:val="auto"/>
        </w:rPr>
      </w:pP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balance sheet components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0" w:type="dxa"/>
            <w:vAlign w:val="bottom"/>
          </w:tcPr>
          <w:p>
            <w:pPr>
              <w:jc w:val="center"/>
              <w:ind w:left="31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90"/>
        </w:trPr>
        <w:tc>
          <w:tcPr>
            <w:tcW w:w="4220" w:type="dxa"/>
            <w:vAlign w:val="bottom"/>
            <w:vMerge w:val="continue"/>
          </w:tcPr>
          <w:p>
            <w:pPr>
              <w:spacing w:after="0"/>
              <w:rPr>
                <w:sz w:val="16"/>
                <w:szCs w:val="16"/>
                <w:color w:val="auto"/>
              </w:rPr>
            </w:pPr>
          </w:p>
        </w:tc>
        <w:tc>
          <w:tcPr>
            <w:tcW w:w="44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fixed income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 for taxes on intercompany profit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Prepaid expenses consist primarily of prepaid rent, insurance and other individually insignificant items.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allowances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accruals, including litigation accruals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employee benefit liabilities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0" w:type="dxa"/>
            <w:vAlign w:val="bottom"/>
          </w:tcPr>
          <w:p>
            <w:pPr>
              <w:spacing w:after="0"/>
              <w:rPr>
                <w:sz w:val="1"/>
                <w:szCs w:val="1"/>
                <w:color w:val="auto"/>
              </w:rPr>
            </w:pPr>
          </w:p>
        </w:tc>
      </w:tr>
      <w:tr>
        <w:trPr>
          <w:trHeight w:val="21"/>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obligations</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2"/>
                <w:szCs w:val="2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related items, including contingencies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long-term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(loss) earnings per share is computed by dividing net (loss) earnings attributable to holders of Viatris Inc. common stock by the weighted average number of shares outstanding during the period. Diluted (loss) earnings per share is computed by dividing net (loss)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(loss) earnings per share attributable to Viatris Inc. are calculated as follows:</w:t>
      </w:r>
    </w:p>
    <w:p>
      <w:pPr>
        <w:spacing w:after="0" w:line="138"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earnings attributable to Viatris Inc. common shareholders (numerator):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earnings attributable to Viatris Inc. common shareholders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8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8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8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 (loss) earnings per share attributable to Viatris Inc.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earnings attributable to Viatris Inc. common shareholders (numerator):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earnings attributable to Viatris Inc. common shareholders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8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8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r>
      <w:tr>
        <w:trPr>
          <w:trHeight w:val="229"/>
        </w:trPr>
        <w:tc>
          <w:tcPr>
            <w:tcW w:w="8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dilutive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earnings per share attributable to Viatris Inc.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Additional stock awards and Restricted Stock Awards were outstanding during the three months ended March 31, 2025 and 2024, but were not included in the computation of diluted (loss) earnings per share for each respective period because the effect would be anti-dilutive. Excluded shares also include certain share-based compensation awards and restricted shares whose performance conditions had not been fully met. Such excluded shares and anti-dilutive awards represented 27.3 million shares and 7.9 million shares for the three months ended March 31, 2025 and 2024, respectively.</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paid a quarterly dividend of $0.12 per share on the Company’s issued and outstanding common stock on March 18, 2025. On May 5, 2025, the Company’s Board of Directors declared a quarterly cash dividend of $0.12 per share on the Company’s issued and outstanding common stock, which will be payable on June 16, 2025 to shareholders of record as of the close of business on May 23, 2025.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three months ended March 31, 2025 and 2024, the Company repurchased approximately 18.6 million shares of common stock at a cost of approximately $175.4 million, and approximately 19.2 million shares of common stock at a cost of approximately $250 million, respectively, under the program. As of March 31, 2025, the Company had repurchased a total of approximately 59.1 million shares of common stock at a cost of approximately $675.4 million under the program. Additionally, subsequent to March 31, 2025, the Company repurchased approximately 16.4 million shares of common stock at a cost of approximately $139.5 million, bringing the total to approximately 75.5 million shares of common stock at a cost of approximately $814.9 million under the program, in each case through and including May 7, 2025. The share repurchase program does not obligate the Company to acquire any particular amount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340" w:right="8520" w:hanging="332"/>
        <w:spacing w:after="0" w:line="503" w:lineRule="auto"/>
        <w:tabs>
          <w:tab w:leader="none" w:pos="33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2025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20" w:type="dxa"/>
            <w:vAlign w:val="bottom"/>
          </w:tcPr>
          <w:p>
            <w:pPr>
              <w:spacing w:after="0"/>
              <w:rPr>
                <w:sz w:val="16"/>
                <w:szCs w:val="1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6"/>
                <w:szCs w:val="16"/>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JANZ </w:t>
            </w:r>
            <w:r>
              <w:rPr>
                <w:rFonts w:ascii="Times New Roman" w:cs="Times New Roman" w:eastAsia="Times New Roman" w:hAnsi="Times New Roman"/>
                <w:sz w:val="18"/>
                <w:szCs w:val="18"/>
                <w:b w:val="1"/>
                <w:bCs w:val="1"/>
                <w:color w:val="auto"/>
                <w:vertAlign w:val="superscript"/>
              </w:rPr>
              <w:t>(2)</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80" w:type="dxa"/>
            <w:vAlign w:val="bottom"/>
          </w:tcPr>
          <w:p>
            <w:pPr>
              <w:spacing w:after="0"/>
              <w:rPr>
                <w:sz w:val="16"/>
                <w:szCs w:val="16"/>
                <w:color w:val="auto"/>
              </w:rPr>
            </w:pPr>
          </w:p>
        </w:tc>
        <w:tc>
          <w:tcPr>
            <w:tcW w:w="9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Markets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59"/>
              <w:spacing w:after="0"/>
              <w:rPr>
                <w:sz w:val="20"/>
                <w:szCs w:val="20"/>
                <w:color w:val="auto"/>
              </w:rPr>
            </w:pPr>
            <w:r>
              <w:rPr>
                <w:rFonts w:ascii="Times New Roman" w:cs="Times New Roman" w:eastAsia="Times New Roman" w:hAnsi="Times New Roman"/>
                <w:sz w:val="9"/>
                <w:szCs w:val="9"/>
                <w:b w:val="1"/>
                <w:bCs w:val="1"/>
                <w:color w:val="auto"/>
              </w:rPr>
              <w:t>(3)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9,133.3</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March 31, 2025 and December 31, 2024 include an accumulated impairment loss of $3.19 billion and $929.0 million, respectively.</w:t>
      </w:r>
    </w:p>
    <w:p>
      <w:pPr>
        <w:spacing w:after="0" w:line="1" w:lineRule="exact"/>
        <w:rPr>
          <w:rFonts w:ascii="Times New Roman" w:cs="Times New Roman" w:eastAsia="Times New Roman" w:hAnsi="Times New Roman"/>
          <w:sz w:val="23"/>
          <w:szCs w:val="23"/>
          <w:color w:val="auto"/>
          <w:vertAlign w:val="superscript"/>
        </w:rPr>
      </w:pPr>
    </w:p>
    <w:p>
      <w:pPr>
        <w:ind w:left="660" w:right="900" w:hanging="328"/>
        <w:spacing w:after="0" w:line="21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March 31, 2025 and December 31, 2024 include an accumulated impairment loss of $651.8 million and $351.0 million, respectively.</w:t>
      </w:r>
    </w:p>
    <w:p>
      <w:pPr>
        <w:ind w:left="660" w:right="900" w:hanging="328"/>
        <w:spacing w:after="0" w:line="21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March 31, 2025 and December 31, 2024 include an accumulated impairment loss of $499.0 million and $124.0 million, respectively.</w:t>
      </w:r>
    </w:p>
    <w:p>
      <w:pPr>
        <w:spacing w:after="0" w:line="22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 Since the end of February 2025, the Company has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performed its interim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w:t>
      </w:r>
    </w:p>
    <w:p>
      <w:pPr>
        <w:spacing w:after="0" w:line="21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When compared to the prior year annual goodwill impairment test completed on April 1, 2024, the recent significantly increased uncertainty and volatility in the geopolitical and economic environments in which the Company operates has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recent significant increase in business risks and uncertainty have led to an increase in discount rate assumptions impacting all reporting units as compared to the April 1, 2024 annual goodwill impairment test.</w:t>
      </w:r>
    </w:p>
    <w:p>
      <w:pPr>
        <w:spacing w:after="0" w:line="21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(prior to the impairment charges noted below), the allocation of the Company’s total goodwill was as follows: North America $3.09 billion, Europe $3.92 billion, Emerging Markets $1.17 billion, JANZ $0.30 billion and Greater China $0.92 billion.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conjunction with its March 31, 2025 interim goodwill impairment test, the Company recorded the following impairment charges: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8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North America reporting unit at March 31, 2025, the Company forecasted cash flows for the next 10 years. During the forecast period, the revenue compound annual growth rate was approximately 3.1%. A terminal year value was calculated with a negative 3.0% revenue growth rate applied. The discount rate utilized was 12.5% and the estimated tax rate was 24.8%.</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Europe reporting unit at March 31, 2025, the Company forecasted cash flows for the next 10 years. During the forecast period, the revenue compound annual growth rate was approximately 3.3%. A terminal year value was calculated with a 2.0% revenue growth rate applied. The discount rate utilized was 12.0% and the estimated tax rate was 15.8%.</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Emerging Markets reporting unit at March 31, 2025, the Company forecasted cash flows for the next 10 years. During the forecast period, the revenue compound annual growth rate was approximately 3.5%. A terminal year value was calculated with a 2.0% revenue growth rate applied. The discount rate utilized was 14.5% and the estimated tax rate was 16.7%.</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JANZ reporting unit at March 31, 2025, the Company forecasted cash flows for the next 10 years. During the forecast period, the revenue compound annual growth rate was approximately negative 0.9%. A terminal year value was calculated with a 1.0% revenue growth rate applied. The discount rate utilized was 8.5% and the estimated tax rate was 30.2%. After the goodwill impairment charge recorded during the first quarter of 2025, there is no remaining goodwill allocated to the JANZ reporting unit.</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Following the goodwill impairment charges recorded in these reporting units, since the carrying value of the reporting units is equal to their estimated fair value as of March 31, 2025, if market conditions or the projected results were to negatively change, it may be necessary to record further impairment charges to one or more of these reporting units in future periods. Any such future charges could be material.</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the Greater China reporting unit, the estimated fair value exceeded its carrying value by approximately $322.0 million or 5.8% for the March 31, 2025 interim goodwill impairment test. As it relates to the discounted cash flow approach for the Greater China reporting unit at March 31, 2025, the Company forecasted cash flows for the next 10 years. During the forecast period, the revenue compound annual growth rate was approximately 1.6%. A terminal year value was calculated with a negative 1.5% revenue growth rate applied. The discount rate utilized was 15.0% and the estimated tax rate was 24.7%. If all other assumptions are held constant, a reduction in the terminal value growth rate by 3.5% or an increase in discount rate by 1.0% would result in an impairment charge for the Greater China reporting unit.</w:t>
      </w:r>
    </w:p>
    <w:p>
      <w:pPr>
        <w:spacing w:after="0" w:line="1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components at March 31, 2025 and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Original Cost</w:t>
            </w: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Net Book Value</w:t>
            </w:r>
          </w:p>
        </w:tc>
        <w:tc>
          <w:tcPr>
            <w:tcW w:w="0" w:type="dxa"/>
            <w:vAlign w:val="bottom"/>
          </w:tcPr>
          <w:p>
            <w:pPr>
              <w:spacing w:after="0"/>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18,047.1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15,857.9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18,047.1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16,662.3</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17,091.8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17,091.8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amortizable intangible assets. Other intangible assets consist principally of customer lists and contractual rights.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Amortization expense, intangible asset disposal &amp; impairment charges and IPR&amp;D intangible asset impairment charges (which are included as a component of amortization expense) are classified primarily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statements of operations and were as follows for the three months ended March 31, 2025 and 2024:</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6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700" w:type="dxa"/>
            <w:vAlign w:val="bottom"/>
            <w:vMerge w:val="continue"/>
          </w:tcPr>
          <w:p>
            <w:pPr>
              <w:spacing w:after="0"/>
              <w:rPr>
                <w:sz w:val="15"/>
                <w:szCs w:val="15"/>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r>
      <w:tr>
        <w:trPr>
          <w:trHeight w:val="223"/>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 amortization expense (including disposal &amp; impairment charges)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20" w:type="dxa"/>
            <w:vAlign w:val="bottom"/>
            <w:tcBorders>
              <w:bottom w:val="single" w:sz="8" w:color="auto"/>
            </w:tcBorders>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10"/>
        </w:trPr>
        <w:tc>
          <w:tcPr>
            <w:tcW w:w="112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Intangible asset amortization expense over the remainder of 2025 and for the years ending December 31, 2026 through 2029 is estimated to be as</w:t>
            </w:r>
          </w:p>
        </w:tc>
      </w:t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8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tcPr>
          <w:p>
            <w:pPr>
              <w:spacing w:after="0"/>
              <w:rPr>
                <w:sz w:val="19"/>
                <w:szCs w:val="19"/>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0" w:type="dxa"/>
            <w:vAlign w:val="bottom"/>
          </w:tcPr>
          <w:p>
            <w:pPr>
              <w:spacing w:after="0"/>
              <w:rPr>
                <w:sz w:val="19"/>
                <w:szCs w:val="19"/>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 and Risk Management</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principal amounts of the Company’s outstanding Euro and Yen borrowings and the notional amounts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 and Yen borrowings designated as net investment hedges: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Notional Amount Designated as a Net</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Investment Hedge</w:t>
            </w:r>
          </w:p>
        </w:tc>
        <w:tc>
          <w:tcPr>
            <w:tcW w:w="0" w:type="dxa"/>
            <w:vAlign w:val="bottom"/>
          </w:tcPr>
          <w:p>
            <w:pPr>
              <w:spacing w:after="0"/>
              <w:rPr>
                <w:sz w:val="1"/>
                <w:szCs w:val="1"/>
                <w:color w:val="auto"/>
              </w:rPr>
            </w:pPr>
          </w:p>
        </w:tc>
      </w:tr>
      <w:tr>
        <w:trPr>
          <w:trHeight w:val="147"/>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0" w:type="dxa"/>
            <w:vAlign w:val="bottom"/>
          </w:tcPr>
          <w:p>
            <w:pPr>
              <w:spacing w:after="0"/>
              <w:rPr>
                <w:sz w:val="12"/>
                <w:szCs w:val="12"/>
                <w:color w:val="auto"/>
              </w:rPr>
            </w:pPr>
          </w:p>
        </w:tc>
        <w:tc>
          <w:tcPr>
            <w:tcW w:w="124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100" w:type="dxa"/>
            <w:vAlign w:val="bottom"/>
          </w:tcPr>
          <w:p>
            <w:pPr>
              <w:jc w:val="right"/>
              <w:ind w:right="135"/>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16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1.362% Euro Senior Notes due 2027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3.125% Euro Senior Notes due 2028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1.908% Euro Senior Notes due 2032</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3"/>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Euro Total</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Yen</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YEN Term Loan</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Yen Total</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3"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At March 31, 2025, the principal amount of the Company’s outstanding Yen borrowings and the notional amount of the Yen borrowings designated as net investment hedges was $266.7 million.</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Company executed fixed-rate cross-currency interest rate swaps with notional amounts totaling Japanese Yen 14.6 billion with settlement dates through 2026. During the second quarter of 2024, the Company executed fixed-rate cross-currency interest rate swaps with notional amounts totaling €500 million with settlement dates through 2026. The transactions hedge a portion of the Company’s net investment in certain Yen- and Euro-functional currency subsidiaries. All changes in the fair value of these derivative instruments, which are designated as net investment hedges, are marked-to-market using the current spot exchange rate as of the end of the period. The portion of these changes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executed foreign currency forward contracts with notional amounts totaling €500 million. During the second quarter of 2024, the Company executed additional foreign currency forward contracts with notional amounts totaling €600 million. The transactions hedged a portion of the Company’s net investment in certain Euro functional currency subsidiaries. The contracts were designated as a net investment hedge and matured in July 2024.</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April 2025, the Company executed foreign currency forward contracts with notional amounts totaling Chinese Renminbi 1.42 billion (approximately $200 million) maturing in December 2026 and Chinese Renminbi 695 million (approximately $100 million) maturing in December 2027. The transactions hedge a portion of the Company’s net investment in certain Chinese Renminbi functional currency subsidiaries. The contracts were designated as net investment hedges.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Flow Hedging Relationships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classification and fair values of derivative instruments in our condensed consolidated balance sheets: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820" w:type="dxa"/>
            <w:vAlign w:val="bottom"/>
            <w:tcBorders>
              <w:top w:val="single" w:sz="8" w:color="auto"/>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4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860" w:type="dxa"/>
            <w:vAlign w:val="bottom"/>
          </w:tcPr>
          <w:p>
            <w:pPr>
              <w:jc w:val="center"/>
              <w:ind w:right="76"/>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12"/>
                <w:szCs w:val="12"/>
                <w:color w:val="auto"/>
              </w:rPr>
            </w:pPr>
          </w:p>
        </w:tc>
        <w:tc>
          <w:tcPr>
            <w:tcW w:w="820" w:type="dxa"/>
            <w:vAlign w:val="bottom"/>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2025 Fair</w:t>
            </w: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860" w:type="dxa"/>
            <w:vAlign w:val="bottom"/>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2025 Fair</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2024 Fair Value</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 Fair Value</w:t>
            </w:r>
          </w:p>
        </w:tc>
        <w:tc>
          <w:tcPr>
            <w:tcW w:w="0" w:type="dxa"/>
            <w:vAlign w:val="bottom"/>
          </w:tcPr>
          <w:p>
            <w:pPr>
              <w:spacing w:after="0"/>
              <w:rPr>
                <w:sz w:val="1"/>
                <w:szCs w:val="1"/>
                <w:color w:val="auto"/>
              </w:rPr>
            </w:pPr>
          </w:p>
        </w:tc>
      </w:tr>
      <w:tr>
        <w:trPr>
          <w:trHeight w:val="20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spacing w:after="0"/>
              <w:rPr>
                <w:sz w:val="15"/>
                <w:szCs w:val="15"/>
                <w:color w:val="auto"/>
              </w:rPr>
            </w:pPr>
          </w:p>
        </w:tc>
        <w:tc>
          <w:tcPr>
            <w:tcW w:w="1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Other current</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&amp;</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w:t>
            </w:r>
          </w:p>
        </w:tc>
        <w:tc>
          <w:tcPr>
            <w:tcW w:w="18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hedges:</w:t>
            </w: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spacing w:after="0"/>
              <w:rPr>
                <w:sz w:val="15"/>
                <w:szCs w:val="15"/>
                <w:color w:val="auto"/>
              </w:rPr>
            </w:pPr>
          </w:p>
        </w:tc>
        <w:tc>
          <w:tcPr>
            <w:tcW w:w="1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Other current</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not designated as hedges</w:t>
            </w:r>
          </w:p>
        </w:tc>
        <w:tc>
          <w:tcPr>
            <w:tcW w:w="1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the gains/(losses) incurred to hedge or offset operational foreign exchange or interest rate risk:</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AOCE (Net</w:t>
            </w:r>
          </w:p>
        </w:tc>
        <w:tc>
          <w:tcPr>
            <w:tcW w:w="100" w:type="dxa"/>
            <w:vAlign w:val="bottom"/>
          </w:tcPr>
          <w:p>
            <w:pPr>
              <w:spacing w:after="0"/>
              <w:rPr>
                <w:sz w:val="12"/>
                <w:szCs w:val="12"/>
                <w:color w:val="auto"/>
              </w:rPr>
            </w:pPr>
          </w:p>
        </w:tc>
        <w:tc>
          <w:tcPr>
            <w:tcW w:w="1620" w:type="dxa"/>
            <w:vAlign w:val="bottom"/>
            <w:gridSpan w:val="3"/>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Tax) on Derivatives</w:t>
            </w: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1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2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 Financial Instruments in Cash Flow</w:t>
            </w:r>
          </w:p>
        </w:tc>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Hedging Relationships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6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216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in Net Investment</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160" w:type="dxa"/>
            <w:vAlign w:val="bottom"/>
            <w:shd w:val="clear" w:color="auto" w:fill="CCEEFF"/>
          </w:tcPr>
          <w:p>
            <w:pPr>
              <w:ind w:left="100"/>
              <w:spacing w:after="0" w:line="231"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 Financial Instruments in Net</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Hedging Relationships: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 Financial Instruments Not Designated as</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option and forward contracts</w:t>
            </w:r>
          </w:p>
        </w:tc>
        <w:tc>
          <w:tcPr>
            <w:tcW w:w="216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660" w:right="460" w:hanging="328"/>
        <w:spacing w:after="0" w:line="21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March 31, 2025, the Company expects that approximately $4.0 million of pre-tax net losses on cash flow hedges will be reclassified from AOCE into earnings during the next twelve months.</w:t>
      </w:r>
    </w:p>
    <w:p>
      <w:pPr>
        <w:spacing w:after="0" w:line="47"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recognized in earnings on derivatives.</w:t>
      </w:r>
    </w:p>
    <w:p>
      <w:pPr>
        <w:spacing w:after="0" w:line="68" w:lineRule="exact"/>
        <w:rPr>
          <w:rFonts w:ascii="Times New Roman" w:cs="Times New Roman" w:eastAsia="Times New Roman" w:hAnsi="Times New Roman"/>
          <w:sz w:val="23"/>
          <w:szCs w:val="23"/>
          <w:color w:val="auto"/>
          <w:vertAlign w:val="superscript"/>
        </w:rPr>
      </w:pPr>
    </w:p>
    <w:p>
      <w:pPr>
        <w:ind w:left="640" w:hanging="308"/>
        <w:spacing w:after="0" w:line="219" w:lineRule="auto"/>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reclassified from AOCE into earnings.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0" w:lineRule="exact"/>
        <w:rPr>
          <w:sz w:val="20"/>
          <w:szCs w:val="20"/>
          <w:color w:val="auto"/>
        </w:rPr>
      </w:pPr>
    </w:p>
    <w:p>
      <w:pPr>
        <w:ind w:left="980" w:right="320" w:hanging="324"/>
        <w:spacing w:after="0" w:line="284" w:lineRule="auto"/>
        <w:tabs>
          <w:tab w:leader="none" w:pos="97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hierarchy gives the highest priority to Level 1 inputs.</w:t>
      </w:r>
    </w:p>
    <w:p>
      <w:pPr>
        <w:spacing w:after="0" w:line="50"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other than quoted prices in active markets for identical assets or liabilities.</w:t>
      </w:r>
    </w:p>
    <w:p>
      <w:pPr>
        <w:spacing w:after="0" w:line="117" w:lineRule="exact"/>
        <w:rPr>
          <w:rFonts w:ascii="Times New Roman" w:cs="Times New Roman" w:eastAsia="Times New Roman" w:hAnsi="Times New Roman"/>
          <w:sz w:val="18"/>
          <w:szCs w:val="18"/>
          <w:i w:val="1"/>
          <w:iCs w:val="1"/>
          <w:color w:val="auto"/>
        </w:rPr>
      </w:pPr>
    </w:p>
    <w:p>
      <w:pPr>
        <w:ind w:left="980" w:right="140" w:hanging="324"/>
        <w:spacing w:after="0" w:line="284" w:lineRule="auto"/>
        <w:tabs>
          <w:tab w:leader="none" w:pos="97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w:t>
      </w:r>
    </w:p>
    <w:p>
      <w:pPr>
        <w:spacing w:after="0" w:line="16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carried at fair value are classified in the tables below in one of the three categories described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Exchange traded funds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 securities</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derivative assets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 derivative liabilities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spacing w:after="0" w:line="6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valued at observable net asset value prices.</w:t>
      </w:r>
    </w:p>
    <w:p>
      <w:pPr>
        <w:spacing w:after="0" w:line="117" w:lineRule="exact"/>
        <w:rPr>
          <w:rFonts w:ascii="Times New Roman" w:cs="Times New Roman" w:eastAsia="Times New Roman" w:hAnsi="Times New Roman"/>
          <w:sz w:val="18"/>
          <w:szCs w:val="18"/>
          <w:color w:val="auto"/>
        </w:rPr>
      </w:pPr>
    </w:p>
    <w:p>
      <w:pPr>
        <w:jc w:val="both"/>
        <w:ind w:left="980" w:right="120" w:hanging="324"/>
        <w:spacing w:after="0" w:line="267" w:lineRule="auto"/>
        <w:tabs>
          <w:tab w:leader="none" w:pos="97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securities, exchange traded funds </w:t>
      </w:r>
      <w:r>
        <w:rPr>
          <w:rFonts w:ascii="Times New Roman" w:cs="Times New Roman" w:eastAsia="Times New Roman" w:hAnsi="Times New Roman"/>
          <w:sz w:val="18"/>
          <w:szCs w:val="18"/>
          <w:color w:val="auto"/>
        </w:rPr>
        <w:t>— valued at the active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sources at the reporting date. Unrealized gains and losses attributable to changes in fair value are included in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condensed consolidated statements of operations.</w:t>
      </w:r>
    </w:p>
    <w:p>
      <w:pPr>
        <w:spacing w:after="0" w:line="65" w:lineRule="exact"/>
        <w:rPr>
          <w:rFonts w:ascii="Times New Roman" w:cs="Times New Roman" w:eastAsia="Times New Roman" w:hAnsi="Times New Roman"/>
          <w:sz w:val="18"/>
          <w:szCs w:val="18"/>
          <w:b w:val="1"/>
          <w:bCs w:val="1"/>
          <w:i w:val="1"/>
          <w:iCs w:val="1"/>
          <w:color w:val="auto"/>
        </w:rPr>
      </w:pPr>
    </w:p>
    <w:p>
      <w:pPr>
        <w:ind w:left="980" w:right="20" w:hanging="324"/>
        <w:spacing w:after="0" w:line="267" w:lineRule="auto"/>
        <w:tabs>
          <w:tab w:leader="none" w:pos="97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Equity securities, marketable securities </w:t>
      </w:r>
      <w:r>
        <w:rPr>
          <w:rFonts w:ascii="Times New Roman" w:cs="Times New Roman" w:eastAsia="Times New Roman" w:hAnsi="Times New Roman"/>
          <w:sz w:val="18"/>
          <w:szCs w:val="18"/>
          <w:color w:val="auto"/>
        </w:rPr>
        <w:t>— valued using quoted stock prices from public exchanges at the reporting date. Unrealized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attributable to changes in fair value are included in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condensed consolidated statements of operations.</w:t>
      </w:r>
    </w:p>
    <w:p>
      <w:pPr>
        <w:spacing w:after="0" w:line="65" w:lineRule="exact"/>
        <w:rPr>
          <w:rFonts w:ascii="Times New Roman" w:cs="Times New Roman" w:eastAsia="Times New Roman" w:hAnsi="Times New Roman"/>
          <w:sz w:val="18"/>
          <w:szCs w:val="18"/>
          <w:b w:val="1"/>
          <w:bCs w:val="1"/>
          <w:i w:val="1"/>
          <w:iCs w:val="1"/>
          <w:color w:val="auto"/>
        </w:rPr>
      </w:pPr>
    </w:p>
    <w:p>
      <w:pPr>
        <w:ind w:left="980" w:right="40" w:hanging="324"/>
        <w:spacing w:after="0" w:line="257" w:lineRule="auto"/>
        <w:tabs>
          <w:tab w:leader="none" w:pos="97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CCPS in Biocon Biologics </w:t>
      </w:r>
      <w:r>
        <w:rPr>
          <w:rFonts w:ascii="Times New Roman" w:cs="Times New Roman" w:eastAsia="Times New Roman" w:hAnsi="Times New Roman"/>
          <w:sz w:val="18"/>
          <w:szCs w:val="18"/>
          <w:color w:val="auto"/>
        </w:rPr>
        <w:t>— valued using a Monte Carlo simulation model using Level 3 inputs. The fair value of the CCPS is sensitive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changes in the forecasts of operating metrics, changes in volatility and discount rates, and share dilution. The Company elected the fair value option for the CCPS under </w:t>
      </w:r>
      <w:r>
        <w:rPr>
          <w:rFonts w:ascii="Times New Roman" w:cs="Times New Roman" w:eastAsia="Times New Roman" w:hAnsi="Times New Roman"/>
          <w:sz w:val="18"/>
          <w:szCs w:val="18"/>
          <w:i w:val="1"/>
          <w:iCs w:val="1"/>
          <w:color w:val="auto"/>
        </w:rPr>
        <w:t>ASC 825.</w:t>
      </w:r>
      <w:r>
        <w:rPr>
          <w:rFonts w:ascii="Times New Roman" w:cs="Times New Roman" w:eastAsia="Times New Roman" w:hAnsi="Times New Roman"/>
          <w:sz w:val="18"/>
          <w:szCs w:val="18"/>
          <w:color w:val="auto"/>
        </w:rPr>
        <w:t xml:space="preserve"> The fair value is reassessed quarterly and any change in the fair value estimate is recorded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(Income), Net </w:t>
      </w:r>
      <w:r>
        <w:rPr>
          <w:rFonts w:ascii="Times New Roman" w:cs="Times New Roman" w:eastAsia="Times New Roman" w:hAnsi="Times New Roman"/>
          <w:sz w:val="18"/>
          <w:szCs w:val="18"/>
          <w:color w:val="auto"/>
        </w:rPr>
        <w:t>in the condensed consolidated statements of operations for that period. During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 the Company recorded a loss (gain) of $115.8 million and $(46.9) million, respectively, as a result of remeasuring the CCPS in Biocon Biologics to fair value. The current year loss is primarily related to changes 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980" w:right="240"/>
        <w:spacing w:after="0" w:line="284" w:lineRule="auto"/>
        <w:rPr>
          <w:sz w:val="20"/>
          <w:szCs w:val="20"/>
          <w:color w:val="auto"/>
        </w:rPr>
      </w:pPr>
      <w:r>
        <w:rPr>
          <w:rFonts w:ascii="Times New Roman" w:cs="Times New Roman" w:eastAsia="Times New Roman" w:hAnsi="Times New Roman"/>
          <w:sz w:val="18"/>
          <w:szCs w:val="18"/>
          <w:color w:val="auto"/>
        </w:rPr>
        <w:t xml:space="preserve">certain market factors. The Company’s CCPS in Biocon Biologics are classified as equity securities and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condensed consolidated balance sheets.</w:t>
      </w:r>
    </w:p>
    <w:p>
      <w:pPr>
        <w:spacing w:after="0" w:line="50" w:lineRule="exact"/>
        <w:rPr>
          <w:sz w:val="20"/>
          <w:szCs w:val="20"/>
          <w:color w:val="auto"/>
        </w:rPr>
      </w:pPr>
    </w:p>
    <w:p>
      <w:pPr>
        <w:ind w:left="980" w:right="380" w:hanging="324"/>
        <w:spacing w:after="0" w:line="267" w:lineRule="auto"/>
        <w:tabs>
          <w:tab w:leader="none" w:pos="97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Available-for-sale fixed income investments </w:t>
      </w:r>
      <w:r>
        <w:rPr>
          <w:rFonts w:ascii="Times New Roman" w:cs="Times New Roman" w:eastAsia="Times New Roman" w:hAnsi="Times New Roman"/>
          <w:sz w:val="18"/>
          <w:szCs w:val="18"/>
          <w:color w:val="auto"/>
        </w:rPr>
        <w:t>— valued at the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65"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derivative assets and liabilities </w:t>
      </w:r>
      <w:r>
        <w:rPr>
          <w:rFonts w:ascii="Times New Roman" w:cs="Times New Roman" w:eastAsia="Times New Roman" w:hAnsi="Times New Roman"/>
          <w:sz w:val="18"/>
          <w:szCs w:val="18"/>
          <w:color w:val="auto"/>
        </w:rPr>
        <w:t>— valued using quoted forward foreign exchange prices and spot rates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Counterparties to these contracts are highly rated financial institutions.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2025 and December 31, 2024, the Company had a contingent consideration liability of $270.0 million and $378.0 million, respectively, related to the Idorsia Transaction. 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for additional information. During the three months ended March 31, 2025, the Company recorded a fair value adjustment gain related to the Idorsia Transaction contingent consideration liability, primarily as a result of the February 25, 2025 letter agreement entered into that amended certain terms of the original development agreement for selatogrel and cenerimod.</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the Company had a contingent consideration liability of $140.5 million and $176.3 million, respectively, related to the Respiratory Delivery Platform.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March 31, 2025, discount rates ranging from 9.0% to 18.0%, and at December 31, 2024, discount rates ranging from 9.0% and 19.0% were utilized in the valuations. Significant changes in unobservable inputs could result in material changes to the contingent consideration liabilities.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activity in the Company’s fair value of contingent consideration from December 31, 2024 to March 31, 2025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Current Portion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Contingent</w:t>
            </w:r>
          </w:p>
        </w:tc>
        <w:tc>
          <w:tcPr>
            <w:tcW w:w="0" w:type="dxa"/>
            <w:vAlign w:val="bottom"/>
          </w:tcPr>
          <w:p>
            <w:pPr>
              <w:spacing w:after="0"/>
              <w:rPr>
                <w:sz w:val="1"/>
                <w:szCs w:val="1"/>
                <w:color w:val="auto"/>
              </w:rPr>
            </w:pPr>
          </w:p>
        </w:tc>
      </w:tr>
      <w:tr>
        <w:trPr>
          <w:trHeight w:val="203"/>
        </w:trPr>
        <w:tc>
          <w:tcPr>
            <w:tcW w:w="738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Portion </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Fair value gain </w:t>
            </w:r>
            <w:r>
              <w:rPr>
                <w:rFonts w:ascii="Times New Roman" w:cs="Times New Roman" w:eastAsia="Times New Roman" w:hAnsi="Times New Roman"/>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current liabilities in the condensed consolidated balance sheets.</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long-term obligations in the condensed consolidated balance sheets.</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litigation settlements and other contingencies, net in the condensed consolidated statements of operations.</w:t>
      </w:r>
    </w:p>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Although the Company has not elected the fair value option for financial assets and liabilities other than the CCPS, any future transacted financial asset or liability will be evaluated for the fair value election.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Viatris’ 2024 Form 10-K.</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 and Note Securitization Facility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 $400 million Receivables Facility which now expires in May 2025 and currently expects to enter into a similar facility prior to expiration.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the Receivables Facility are included as a component of short-term borrowings, while the accounts receivable securing these obligations remain as a component of accounts receivable, net, in our condensed consolidated balance sheets.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long-term debt is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 as</w:t>
            </w:r>
          </w:p>
        </w:tc>
        <w:tc>
          <w:tcPr>
            <w:tcW w:w="20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7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of March 31,</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440" w:type="dxa"/>
            <w:vAlign w:val="bottom"/>
            <w:tcBorders>
              <w:bottom w:val="single" w:sz="8" w:color="CCEEFF"/>
            </w:tcBorders>
            <w:gridSpan w:val="2"/>
            <w:vMerge w:val="continue"/>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2032</w:t>
            </w:r>
          </w:p>
        </w:tc>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2040</w:t>
            </w:r>
          </w:p>
        </w:tc>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2043</w:t>
            </w:r>
          </w:p>
        </w:tc>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2046</w:t>
            </w:r>
          </w:p>
        </w:tc>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2048</w:t>
            </w:r>
          </w:p>
        </w:tc>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2050</w:t>
            </w:r>
          </w:p>
        </w:tc>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2,191.6</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YEN Term Loan Facility</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Variable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14,038.9</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00" w:hanging="168"/>
        <w:spacing w:after="0"/>
        <w:tabs>
          <w:tab w:leader="none" w:pos="5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originally issued by Mylan N.V.; now held by Utah Acquisition Sub Inc.</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Viatris Inc.</w:t>
      </w:r>
    </w:p>
    <w:p>
      <w:pPr>
        <w:spacing w:after="0" w:line="56" w:lineRule="exact"/>
        <w:rPr>
          <w:rFonts w:ascii="Times New Roman" w:cs="Times New Roman" w:eastAsia="Times New Roman" w:hAnsi="Times New Roman"/>
          <w:sz w:val="23"/>
          <w:szCs w:val="23"/>
          <w:color w:val="auto"/>
          <w:vertAlign w:val="superscript"/>
        </w:rPr>
      </w:pPr>
    </w:p>
    <w:p>
      <w:pPr>
        <w:ind w:left="720" w:hanging="388"/>
        <w:spacing w:after="0" w:line="194" w:lineRule="auto"/>
        <w:tabs>
          <w:tab w:leader="none" w:pos="7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Upjohn Finance B.V.</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At March 31, 2025 and December 31, 2024, the aggregate fair value of the Company’s outstanding notes was approximately $11.41 billion and $11.53 billion, respectively. The fair values of the outstanding notes were valued at quoted market prices from broker or dealer quotations and were classified as Level 2 in the fair value hierarchy.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notional amount of outstanding long-term debt at March 31, 2025 were as follows for each of the periods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29"/>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3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Comprehensive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as reflected in the condensed consolidated balance sheets, is comprised of the following: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available-for-sale fixed income securities, net of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and prior service cost related to defined benefit plans,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unrecognized loss on derivatives in cash flow hedging relationships, net of tax</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on derivatives in net investment hedging relationships, net of tax</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(3,990.8)</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accumulated other comprehensive loss, before tax, consist of the following, for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36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0" w:type="dxa"/>
            <w:vAlign w:val="bottom"/>
          </w:tcPr>
          <w:p>
            <w:pPr>
              <w:spacing w:after="0"/>
              <w:rPr>
                <w:sz w:val="1"/>
                <w:szCs w:val="1"/>
                <w:color w:val="auto"/>
              </w:rPr>
            </w:pPr>
          </w:p>
        </w:tc>
      </w:tr>
      <w:tr>
        <w:trPr>
          <w:trHeight w:val="155"/>
        </w:trPr>
        <w:tc>
          <w:tcPr>
            <w:tcW w:w="3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 as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cash flow hedges, included in interest</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 included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56"/>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other comprehensive (loss)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0" w:type="dxa"/>
            <w:vAlign w:val="bottom"/>
          </w:tcPr>
          <w:p>
            <w:pPr>
              <w:spacing w:after="0"/>
              <w:rPr>
                <w:sz w:val="1"/>
                <w:szCs w:val="1"/>
                <w:color w:val="auto"/>
              </w:rPr>
            </w:pPr>
          </w:p>
        </w:tc>
      </w:tr>
      <w:tr>
        <w:trPr>
          <w:trHeight w:val="156"/>
        </w:trPr>
        <w:tc>
          <w:tcPr>
            <w:tcW w:w="3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 as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cash flow hedges, included in interest</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 included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55"/>
        </w:trPr>
        <w:tc>
          <w:tcPr>
            <w:tcW w:w="3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7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who evaluates the performance of its segments and allocates resources based on total revenues and our measure of segment profit or loss, segment profitability. These financial metrics are used to review operating trends, perform comparisons between periods, and monitor budget and forecast-to-actual variances on a regular basis. Net sales of our business segments exclude intersegment sales as these activities are not regularly reviewed by the CODM and are eliminated in consolidation.</w:t>
      </w:r>
    </w:p>
    <w:p>
      <w:pPr>
        <w:spacing w:after="0" w:line="18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Certain costs and gains are not included in the measurement of segment profitability, or in segment cost of sales, and segment SG&amp;A, as management excludes these costs in assessing segment financial performance. Such costs and gains include:</w:t>
      </w:r>
    </w:p>
    <w:p>
      <w:pPr>
        <w:spacing w:after="0" w:line="54"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expense;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(including of goodwill, intangible assets (including IPR&amp;D), and long-lived assets);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Acquired IPR&amp;D expense;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charges or net gains for litigation settlements and other contingencies;</w:t>
      </w:r>
    </w:p>
    <w:p>
      <w:pPr>
        <w:spacing w:after="0" w:line="117" w:lineRule="exact"/>
        <w:rPr>
          <w:rFonts w:ascii="Times New Roman" w:cs="Times New Roman" w:eastAsia="Times New Roman" w:hAnsi="Times New Roman"/>
          <w:sz w:val="18"/>
          <w:szCs w:val="18"/>
          <w:color w:val="auto"/>
        </w:rPr>
      </w:pPr>
    </w:p>
    <w:p>
      <w:pPr>
        <w:ind w:left="660" w:firstLine="320"/>
        <w:spacing w:after="0" w:line="272" w:lineRule="auto"/>
        <w:tabs>
          <w:tab w:leader="none" w:pos="130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costs related to transactions and events such as: (i) purchase accounting adjustments, where we incur expenses associated with the amortization of fair value adjustments to inventory and property, plant and equipment; (ii) share-based compensation expense; (iii) acquisition-related costs, where we incur costs for executing the transaction, integrating the acquired operations and restructuring the combined company; and</w:t>
      </w:r>
    </w:p>
    <w:p>
      <w:pPr>
        <w:spacing w:after="0" w:line="1" w:lineRule="exact"/>
        <w:rPr>
          <w:rFonts w:ascii="Times New Roman" w:cs="Times New Roman" w:eastAsia="Times New Roman" w:hAnsi="Times New Roman"/>
          <w:sz w:val="17"/>
          <w:szCs w:val="17"/>
          <w:color w:val="auto"/>
        </w:rPr>
      </w:pPr>
    </w:p>
    <w:p>
      <w:pPr>
        <w:ind w:left="660" w:right="160" w:hanging="4"/>
        <w:spacing w:after="0" w:line="252" w:lineRule="auto"/>
        <w:tabs>
          <w:tab w:leader="none" w:pos="9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items, which are substantive and/or unusual, and in some cases recurring, items (such as restructuring, including costs associated with facilities to be closed or divested, employee separation costs, impairment charges, accelerated depreciation, incremental manufacturing variances, equipment relocation costs, decommissioning and other restructuring related costs)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costs, as well as gains and losses, related to disposals of assets or businesses, including those related to divestitures, and, as applicable, any associated transition activities;</w:t>
      </w:r>
    </w:p>
    <w:p>
      <w:pPr>
        <w:spacing w:after="0" w:line="80" w:lineRule="exact"/>
        <w:rPr>
          <w:rFonts w:ascii="Times New Roman" w:cs="Times New Roman" w:eastAsia="Times New Roman" w:hAnsi="Times New Roman"/>
          <w:sz w:val="18"/>
          <w:szCs w:val="18"/>
          <w:color w:val="auto"/>
        </w:rPr>
      </w:pPr>
    </w:p>
    <w:p>
      <w:pPr>
        <w:ind w:left="660" w:right="140" w:firstLine="320"/>
        <w:spacing w:after="0" w:line="261" w:lineRule="auto"/>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costs associated with global functions (such as IT, facilities, legal, finance, human resources, insurance, public affairs, compliance, and procurement), patient advocacy activities and certain compensation and other corporate costs (such as certain expenses associated with our manufacturing, including manufacturing variances associated with production) and operations that are not directly assessed to an operating segment as business unit (segment) management does not manage these costs;</w:t>
      </w:r>
    </w:p>
    <w:p>
      <w:pPr>
        <w:spacing w:after="0" w:line="71" w:lineRule="exact"/>
        <w:rPr>
          <w:rFonts w:ascii="Times New Roman" w:cs="Times New Roman" w:eastAsia="Times New Roman" w:hAnsi="Times New Roman"/>
          <w:sz w:val="18"/>
          <w:szCs w:val="18"/>
          <w:color w:val="auto"/>
        </w:rPr>
      </w:pPr>
    </w:p>
    <w:p>
      <w:pPr>
        <w:ind w:left="660" w:right="440" w:firstLine="320"/>
        <w:spacing w:after="0" w:line="282" w:lineRule="auto"/>
        <w:tabs>
          <w:tab w:leader="none" w:pos="13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(Income), Net (including interest and dividend income, gains and losses from investments, business divestitures, and foreign exchange);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report depreciation expense, total assets and capital expenditures by segment, as such information is not used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CODM.</w:t>
      </w:r>
    </w:p>
    <w:p>
      <w:pPr>
        <w:spacing w:after="0" w:line="205"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the 2024 Form 10-K.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Presented in the table below is segment information for the periods identified and a reconciliation of segment information to total consolidated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62865</wp:posOffset>
            </wp:positionV>
            <wp:extent cx="37719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revenues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Cost of sales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Selling, general and administration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profit</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profit:</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Impairment of goodwill</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Acquired IPR&amp;D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Litigation settlements and other contingencies, net</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revenues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Cost of sales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Selling, general and administration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profit</w:t>
      </w:r>
    </w:p>
    <w:p>
      <w:pPr>
        <w:spacing w:after="0" w:line="291" w:lineRule="exact"/>
        <w:rPr>
          <w:sz w:val="20"/>
          <w:szCs w:val="20"/>
          <w:color w:val="auto"/>
        </w:rPr>
      </w:pPr>
    </w:p>
    <w:p>
      <w:pPr>
        <w:ind w:left="140" w:right="1740" w:hanging="107"/>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Reconciliation of segment profit: </w:t>
      </w:r>
      <w:r>
        <w:rPr>
          <w:rFonts w:ascii="Times New Roman" w:cs="Times New Roman" w:eastAsia="Times New Roman" w:hAnsi="Times New Roman"/>
          <w:sz w:val="18"/>
          <w:szCs w:val="18"/>
          <w:color w:val="auto"/>
        </w:rPr>
        <w:t>Intangible asset amortization expense Research and development Acquired IPR&amp;D</w:t>
      </w:r>
    </w:p>
    <w:p>
      <w:pPr>
        <w:ind w:left="140"/>
        <w:spacing w:after="0"/>
        <w:rPr>
          <w:sz w:val="20"/>
          <w:szCs w:val="20"/>
          <w:color w:val="auto"/>
        </w:rPr>
      </w:pPr>
      <w:r>
        <w:rPr>
          <w:rFonts w:ascii="Times New Roman" w:cs="Times New Roman" w:eastAsia="Times New Roman" w:hAnsi="Times New Roman"/>
          <w:sz w:val="17"/>
          <w:szCs w:val="17"/>
          <w:color w:val="auto"/>
        </w:rPr>
        <w:t>Litigation settlements and other contingencies, net</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from operations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Developed</w:t>
            </w:r>
          </w:p>
        </w:tc>
        <w:tc>
          <w:tcPr>
            <w:tcW w:w="120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Emerging</w:t>
            </w:r>
          </w:p>
        </w:tc>
        <w:tc>
          <w:tcPr>
            <w:tcW w:w="1180" w:type="dxa"/>
            <w:vAlign w:val="bottom"/>
            <w:tcBorders>
              <w:top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6"/>
                <w:szCs w:val="16"/>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8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0" w:type="dxa"/>
            <w:vAlign w:val="bottom"/>
          </w:tcPr>
          <w:p>
            <w:pPr>
              <w:spacing w:after="0"/>
              <w:rPr>
                <w:sz w:val="1"/>
                <w:szCs w:val="1"/>
                <w:color w:val="auto"/>
              </w:rPr>
            </w:pPr>
          </w:p>
        </w:tc>
      </w:tr>
      <w:tr>
        <w:trPr>
          <w:trHeight w:val="449"/>
        </w:trPr>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2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8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0" w:type="dxa"/>
            <w:vAlign w:val="bottom"/>
          </w:tcPr>
          <w:p>
            <w:pPr>
              <w:spacing w:after="0"/>
              <w:rPr>
                <w:sz w:val="1"/>
                <w:szCs w:val="1"/>
                <w:color w:val="auto"/>
              </w:rPr>
            </w:pPr>
          </w:p>
        </w:tc>
      </w:tr>
      <w:tr>
        <w:trPr>
          <w:trHeight w:val="719"/>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(2,882.2)</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-2571115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-2271395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-1971040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-1679575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-1353820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-1062355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-770890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-479425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-187960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282575</wp:posOffset>
            </wp:positionV>
            <wp:extent cx="3771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Developed</w:t>
            </w:r>
          </w:p>
        </w:tc>
        <w:tc>
          <w:tcPr>
            <w:tcW w:w="120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Emerging</w:t>
            </w:r>
          </w:p>
        </w:tc>
        <w:tc>
          <w:tcPr>
            <w:tcW w:w="118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7"/>
                <w:szCs w:val="17"/>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4"/>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8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0" w:type="dxa"/>
            <w:vAlign w:val="bottom"/>
          </w:tcPr>
          <w:p>
            <w:pPr>
              <w:spacing w:after="0"/>
              <w:rPr>
                <w:sz w:val="1"/>
                <w:szCs w:val="1"/>
                <w:color w:val="auto"/>
              </w:rPr>
            </w:pPr>
          </w:p>
        </w:tc>
      </w:tr>
      <w:tr>
        <w:trPr>
          <w:trHeight w:val="449"/>
        </w:trPr>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2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8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1,646.4</w:t>
            </w:r>
          </w:p>
        </w:tc>
        <w:tc>
          <w:tcPr>
            <w:tcW w:w="0" w:type="dxa"/>
            <w:vAlign w:val="bottom"/>
          </w:tcPr>
          <w:p>
            <w:pPr>
              <w:spacing w:after="0"/>
              <w:rPr>
                <w:sz w:val="1"/>
                <w:szCs w:val="1"/>
                <w:color w:val="auto"/>
              </w:rPr>
            </w:pPr>
          </w:p>
        </w:tc>
      </w:tr>
      <w:tr>
        <w:trPr>
          <w:trHeight w:val="719"/>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-2425065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-2125345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-1824990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-1533525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-1207770</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-916305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-624840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-333375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720"/>
            <w:col w:w="594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Licensing and Other Partner Agreements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including those related to the Idorsia Transaction. Refer to Note 11 </w:t>
      </w:r>
      <w:r>
        <w:rPr>
          <w:rFonts w:ascii="Times New Roman" w:cs="Times New Roman" w:eastAsia="Times New Roman" w:hAnsi="Times New Roman"/>
          <w:sz w:val="18"/>
          <w:szCs w:val="18"/>
          <w:i w:val="1"/>
          <w:iCs w:val="1"/>
          <w:color w:val="auto"/>
        </w:rPr>
        <w:t>Financial Instruments and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for further discussion of contingent consideration.</w:t>
      </w:r>
    </w:p>
    <w:p>
      <w:pPr>
        <w:spacing w:after="0" w:line="18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Our potential maximum development milestones not accrued for at March 31, 2025 totaled approximately $420 million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estimate that the amounts that may be paid through the end of 2025 to be approximately $23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Mapi</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2018, the Company entered into an exclusive license and commercialization agreement with Mapi for the development and commercialization on a world-wide basis of GA Depot. Under the terms of the license and commercialization agreement, as of March 31, 2025, Mapi is eligible to receive regulatory approval and commercial launch milestone payments of up to $90.0 million. Additionally, upon commercial launch of GA Depot, Mapi is eligible to receive potential contingent payments, such as tiered royalties and tiered sales-based milestones.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During the first quarter of 2024, the Company was informed that Mapi received a Complete Response Letter (“CRL”) regarding the NDA for GA Depot 40 mg from the FDA. In December 2024, the companies met with the FDA and reviewed the content of the CRL. As a result of the meeting, Viatris and Mapi are discussing and determining the appropriate next steps for the program. In the fourth quarter of 2024, as a result of the additional uncertainty of regulatory and commercial timing and success of GA Depot and the financial condition of Mapi, the Company impaired its equity investment and prepaid assets related to advances for the initial supply of commercial product. Total charges of $184.6 million were recorded during the year ended December 31, 2024 as a component of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in the consolidated statements of operations.</w:t>
      </w:r>
    </w:p>
    <w:p>
      <w:pPr>
        <w:spacing w:after="0" w:line="21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December 2023, the Company entered into a letter agreement, as amended, with Mapi for the development and commercialization of certain additional products, which is subject to finalization pending the execution of a definitive agreement. The Company made an initial upfront payment of $75.0 million which was accounted for as </w:t>
      </w:r>
      <w:r>
        <w:rPr>
          <w:rFonts w:ascii="Times New Roman" w:cs="Times New Roman" w:eastAsia="Times New Roman" w:hAnsi="Times New Roman"/>
          <w:sz w:val="18"/>
          <w:szCs w:val="18"/>
          <w:i w:val="1"/>
          <w:iCs w:val="1"/>
          <w:color w:val="auto"/>
        </w:rPr>
        <w:t>Acquired IPR&amp;D</w:t>
      </w:r>
      <w:r>
        <w:rPr>
          <w:rFonts w:ascii="Times New Roman" w:cs="Times New Roman" w:eastAsia="Times New Roman" w:hAnsi="Times New Roman"/>
          <w:sz w:val="18"/>
          <w:szCs w:val="18"/>
          <w:color w:val="auto"/>
        </w:rPr>
        <w:t xml:space="preserve"> expense in the consolidated statements of operations during 2023.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other significant changes to our licensing and other partner agreements as disclosed in our 2024 Form 10-K.</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Legislative Updates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August 16, 2022, the U.S. government enacted the Inflation Reduction Act of 2022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our condensed consolidated balance sheets as of March 31, 2025 and December 31, 2024. The share repurchase and authorization amounts otherwise disclosed in this Form 10-Q exclude the excise tax. The Company does not anticipate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being subject to the 15% CAMT tax in 2025 based on enacted law and regulatory guidance; however, our CAMT status could change in the future, depending on new regulations or regulatory guidance issued by the U.S. Department of the Treasury.</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many countries are actively considering or have proposed or enacted changes to their tax laws based on the Pillar Two Global Anti-Base Erosion Rules (“Pillar Two Rules”) proposed by the Organisation for Economic Co-operation and Development. The Pillar Two Rules impose a global minimum tax of 15%, and under these rules, the Company may be required to pay a “top-up” tax to the extent our effective tax rate in any given country is below 15%. Several countries have enacted the Pillar Two Rules effective January 1, 2024, with many countries postponing implementation to January 1, 2025 or later, if at all. After determining which jurisdictions are not required to calculate a Pillar Two liability as a result of the existing safe harbors, the Company has determined that the impact of the Pillar Two Rules in the countries that have enacted such rules effective for tax years ending on or before December 31, 2025, is not material to our results of operations for the three months ended March 31, 2025. While the Pillar Two Rules did not have a significant impact on the tax provision or financial results for the three months ended March 31, 2025, the Company will continue to monitor and evaluate the evolving tax legislation in the jurisdictions in which we operate which could impact future tax provision and financial results.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Examinations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ongoing IRS examinations. The years 2020 through 2023 are open years, with 2020 and 2021 under examination.</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 A decision is pending.</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$22.3 million during the year ended December 31, 2023 due to the terms of this agreement. The remaining issues are in the audit phase or are being challenged in the Indian tax courts.</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2020, the Swedish Tax Authorities (“STA”) asserted an underpayment of tax against Meda A.B. for the tax years 2014 to 2019. The claim was that profits earned by its Luxembourg subsidiary should have been attributed to Meda A.B. The Company appealed the STA’s assessment to the Administrative Court of Stockholm. On September 16, 2022, the Court ruled in favor of Meda A.B. that no tax was due. The STA appealed that decision. On April 10, 2024, the Administrative Court of Appeals overturned the lower Court’s ruling and issued a decision in favor of the STA upholding its original assessment. The</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amount due including interest and penalties is approximately $18.2 million, which was paid during the second quarter of 2024. The Company’s petition seeking review of the decision to the Supreme Administrative Court was denied and this matter is now closed.</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recorded a net reserve for uncertain tax positions of $284.5 million and $277.0 million, including interest and penalties, in connection with its international audits at March 31, 2025 and December 31, 2024, respectively. In connection with our international tax audits, it is possible that we will incur material losses above the amounts reserved.</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U.S. state taxing jurisdictions remain open from fiscal year 2015 through 2023, with several state audits currently in progress. The Company’s major international taxing jurisdictions remain open from 2013 through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4"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Litigation</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or repurchase shares and/or stock price. If and when any reasonably possible losses associated with the resolution of such other pending proceedings, in the opinion of the Company, become material, the Company will disclose such matters.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costs are recorded as incurred and are classified in SG&amp;A in the Company’s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EpiPen® Auto-Injector Litigation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 In December 2024, the Company reached an agreement and paid $73.5 million to fully resolve this matter. The settlement is subject to final court approval and contains an express provision disclaiming and denying any wrongdoing by the Company.</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Class certification was denied. The case is proceeding with Rochester Drug Company, Dakota Drug, and Morris &amp; Dickson Company as plaintiffs and they seek monetary damages, attorneys’ fees and costs.</w:t>
      </w:r>
    </w:p>
    <w:p>
      <w:pPr>
        <w:spacing w:after="0" w:line="18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January 2025, the State of Indiana filed a complaint in Superior Court in Marion County, Indiana against the Company and other non-Viatris affiliated companies alleging harm under Indiana state laws, including antitrust and consumer protection laws, and unjust enrichment claims. Indiana generally seeks monetary damages, restitution, disgorgement, civil penalties, injunctive relief, and attorneys’ fees and costs.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June 2024, the Company received a civil subpoena from the Attorney General of the State of Mississippi seeking information relating to the sales and/or marketing of EpiPen® Auto-Injector. The Company is fully cooperating with this request and has communicated with certain other State Attorneys General regarding related issues.</w:t>
      </w:r>
    </w:p>
    <w:p>
      <w:pPr>
        <w:spacing w:after="0" w:line="20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issues covered in the Indiana complaint, Mississippi subpoena, and communications with certain other States, generally relate to issues from litigations and/or investigations that have been previously disclosed, including the indirect purchaser class action that was resolved in 2022 and the direct purchaser litigation matters described above.</w:t>
      </w:r>
    </w:p>
    <w:p>
      <w:pPr>
        <w:spacing w:after="0" w:line="20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 total accrual of approximately $20.5 million related to these matters at March 31, 2025,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spacing w:after="0" w:line="183" w:lineRule="exact"/>
        <w:rPr>
          <w:sz w:val="20"/>
          <w:szCs w:val="20"/>
          <w:color w:val="auto"/>
        </w:rPr>
      </w:pPr>
    </w:p>
    <w:p>
      <w:pPr>
        <w:jc w:val="center"/>
        <w:ind w:right="9640"/>
        <w:spacing w:after="0"/>
        <w:rPr>
          <w:sz w:val="20"/>
          <w:szCs w:val="20"/>
          <w:color w:val="auto"/>
        </w:rPr>
      </w:pPr>
      <w:r>
        <w:rPr>
          <w:rFonts w:ascii="Times New Roman" w:cs="Times New Roman" w:eastAsia="Times New Roman" w:hAnsi="Times New Roman"/>
          <w:sz w:val="17"/>
          <w:szCs w:val="17"/>
          <w:b w:val="1"/>
          <w:bCs w:val="1"/>
          <w:i w:val="1"/>
          <w:iCs w:val="1"/>
          <w:color w:val="auto"/>
        </w:rPr>
        <w:t>Drug Pricing Matters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Civil Litigation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Beginning in 2016, the Company, along with other manufacturers, has been named as a defendant in lawsuits filed in the United States and Canada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alleging anticompetitive conduct with respect to generic drugs. The lawsuits have been filed by plaintiffs, including putative classes of 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indirect purchasers, and indirect resellers, as well as individual direct and indirect purchasers and certain cities and counties. The lawsuits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allege harm under federal laws and the United States lawsuits also allege harm under state laws, including antitrust laws, state consumer protection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unjust enrichment claims. Some of the United States lawsuits also name as defendants the Company’s former President, including allegations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him with respect to a single drug product, and one of the Company’s sales employees, including allegations against him with respect to certain generic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drugs. The vast majority of the lawsuits have been consolidated in an MDL proceeding in the Eastern District of Pennsylvania (“EDPA”). Plaintiffs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seek monetary damages, restitution, declaratory and injunctive relief, attorneys’ fees and costs. The EDPA Court has ordered the Clomipramine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Clobetasol direct and indirect purchaser cases to proceed as bellwethers. The Company is named only in the Clomipramine bellwether cases, wherein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EDPA Court certified both direct and indirect purchaser classes. Defendants have filed petitions for permission to appeal those class 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decisions, which are pending before the U.S. Court of Appeals for the Third Circuit and have also filed summary judgment motions, which remain pending.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a potential for trials in the Clomipramine bellwether cases beginning as soon as August 2025. Plaintiffs are asserting damages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million in each of the Clomipramine bellwether cases, which are subject to trebling under federal law in the direct purchaser case or multipliers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state laws in the indirect purchaser case. The Company believes that it acted lawfully, is continuing to defend itself vigorously, and intends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vigorously contest all aspects of the cases, including the asserted damages.</w:t>
      </w:r>
    </w:p>
    <w:p>
      <w:pPr>
        <w:spacing w:after="0" w:line="2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Attorneys General Litigation</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forty-three states, the District of Columbia and the Commonwealth of Puerto Rico. The Company is alleged to have engaged in anticompetitive conduct with respect to four generic drug products. The amended complaint also includes claims asserted by attorneys general of thirty-three states and the Commonwealth of Puerto Rico against certain individuals, including the Company’s former President, with respect to a single drug product.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The complaint has been subsequently amended, including on November 22, 2024, to add states as plaintiffs. The operative complaint is brought by attorneys general of forty-five states, certain territories and the District of Columbia. The amended complaint also includes claims asserted by attorneys general of forty-one states and certain territories against several individuals, including a Company sales employee. The operative complaint seeks declaratory and injunctive relief, disgorgement, attorneys’ fees and costs, and certain states seek monetary damages, civil penalties, restitution, and other equitable monetary relief. This lawsuit was transferred to the aforementioned MDL proceeding in the EDPA.</w:t>
      </w:r>
    </w:p>
    <w:p>
      <w:pPr>
        <w:spacing w:after="0" w:line="21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forty-three states, certain territories and the District of Columbia.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 This lawsuit was transferred to the aforementioned MDL proceeding in the EDPA and was ordered to proceed as a bellwether. The Company has filed a motion for summary judgment seeking to dismiss this case in its entirety, which remains pending.</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aforementioned complaints have now been transferred back to the U.S. District Court for the District of Connecticut.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Related Litigation</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February 14, 2020, the Abu Dhabi Investment Authority (“ADIA”) filed a complaint against Mylan N.V. and Mylan Inc. (collectively for purposes of this paragraph, “Mylan”) in the United States District Court for the Southern District of New York (“SDNY”) alleging that Mylan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and allegedly anticompetitive conduct with respect to EpiPen® Auto-Injector and certain generic drugs (“ADIA Litigation”). ADIA seeks monetary damages as well as fees and costs. Mylan has filed a motion for summary judgment to dismiss ADIA’s case in its entirety, which is pending. As previously disclosed, the allegations in ADIA’s complaint were the subject of a class action lawsuit filed in the same court in the SDNY against Mylan and certain individuals. In March 2023, the SDNY dismissed the class action lawsuit in its entirety on summary judgment, which was affirmed on appeal and concluded the class action lawsuit.</w:t>
      </w:r>
    </w:p>
    <w:p>
      <w:pPr>
        <w:spacing w:after="0" w:line="2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June 26, 2020, a putative class action complaint was filed by the Public Employees Retirement System of Mississippi, which was subsequently amended on November 13, 2020, against Mylan N.V., certain of Mylan N.V.’s former directors and officers, and a former officer/current director of the Company (collectively for the purposes of this paragraph, the “defendants”) in the U.S. District Court for the Western District of Pennsylvania (“WDPA”) on behalf of certain purchasers of securities of Mylan N.V. (“WDPA Mylan N.V. Class Action Litigation”). The amended complaint alleges that defendants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On May 18, 2023, the Court dismissed 45 of the 46 challenged statements. The complaint seeks monetary damages, as well as the plaintiff’s fees and costs.</w:t>
      </w:r>
    </w:p>
    <w:p>
      <w:pPr>
        <w:spacing w:after="0" w:line="19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On February 15, 2021, a complaint was filed in the SDNY by Skandia Mutual Life Ins. Co., Lansforsakringar AB, KBC Asset Management N.V., and GIC Private Limited, against the Company, certain of Mylan N.V.’s former directors and officers, a former officer/current director of the Company, and certain former and current employees of the Company (“Skandia Litigation”). The Complaint filed in the Skandia Litigation asserts claims which are based on allegations that are similar to those in the ADIA Litigation and WDPA Mylan N.V. Class Action Litigation. Plaintiffs seek compensatory damages, costs and expenses and attorneys’ fees. The parties have reached an agreement that resolves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 On September 20, 2024, the Court granted Defendants’ motion to dismiss all of Plaintiffs’ claims. Plaintiffs have filed an appeal to the United States Court of Appeals for the Third Circuit, which remains pending.</w:t>
      </w:r>
    </w:p>
    <w:p>
      <w:pPr>
        <w:spacing w:after="0" w:line="219"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spacing w:after="0" w:line="210"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In April 2025, a putative class action complaint was filed against the Company and certain of the Company’s officers, one of whom is also a director, in the WDPA on behalf of certain purchasers of the Company’s securities. The complaint alleges that defendants made false or misleading statements or omissions of material fact, in violation of federal securities laws, in connection with disclosures relating to regulatory issues and actions concerning the Company’s Indore manufacturing facility. Plaintiffs seek certification of a class of purchasers of Company securities between August 8, 2024 and February 26, 2025. Plaintiffs seek various forms of relief, including damages, costs and fees.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Opioids</w:t>
      </w:r>
    </w:p>
    <w:p>
      <w:pPr>
        <w:spacing w:after="0" w:line="229" w:lineRule="exact"/>
        <w:rPr>
          <w:sz w:val="20"/>
          <w:szCs w:val="20"/>
          <w:color w:val="auto"/>
        </w:rPr>
      </w:pPr>
    </w:p>
    <w:p>
      <w:pPr>
        <w:jc w:val="both"/>
        <w:ind w:right="360" w:firstLine="648"/>
        <w:spacing w:after="0" w:line="281" w:lineRule="auto"/>
        <w:rPr>
          <w:sz w:val="20"/>
          <w:szCs w:val="20"/>
          <w:color w:val="auto"/>
        </w:rPr>
      </w:pPr>
      <w:r>
        <w:rPr>
          <w:rFonts w:ascii="Times New Roman" w:cs="Times New Roman" w:eastAsia="Times New Roman" w:hAnsi="Times New Roman"/>
          <w:sz w:val="17"/>
          <w:szCs w:val="17"/>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64"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7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April 2025, the Company has reached a nationwide settlement framework to resolve opioid-related claims by States, local governments, and Native American tribes against the Company and certain of its subsidiaries. Under the agreed upon framework, which will be initiated by a process to determine the level of participation in the settlement, the Company would pay up to a maximum of $335 million, consisting of annual payments over a nine-year period of between approximately $27.5 and $40 million each, to help support state and local efforts to address opioid-related issues. The settlement framework is not an admission of wrongdoing or liability.</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2023, the Company received a civil subpoena from the Attorney General of the State of New York seeking information relating to opioids manufactured, marketed, or sold by the Company and related subject matter. Beginning in January 2024, the Company has received similar subpoenas from the Attorneys General of Alaska, Oregon, Utah, Maryland, and Louisiana. The Company is fully cooperating with these subpoena requests. Each of these States will have the option to participate in the settlement framework identified above.</w:t>
      </w:r>
    </w:p>
    <w:p>
      <w:pPr>
        <w:spacing w:after="0" w:line="20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has accrued approximately $335 million in connection with the possible resolution of certain of these matters at March 31, 2025,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results of operations, cash flows, ability to pay dividends or repurchase shares and/or stock price in future periods.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Citalopram</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filed a case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spacing w:after="0" w:line="21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accrued approximately €12.1 million as of March 31, 2025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Perindopril</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spacing w:after="0" w:line="20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Bodies of national health authorities in England, Wales, Scotland, and Northern Ireland filed a case in the English High Court against Servier, seeking monetary damages, plus interest, purportedly arising from the settlement agreements. Servier has joined the generic companies, including the Company, as defendants in this litigation.</w:t>
      </w:r>
    </w:p>
    <w:p>
      <w:pPr>
        <w:spacing w:after="0" w:line="203"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In December 2024, health insurance funds located in the EU filed a case in the Amsterdam District Court against Servier and the generic companies, including the Company, seeking monetary damages, plus interest, purportedly arising from the settlement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76"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The Company has accrued approximately $66.8 million as of March 31, 2025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Nitrosamines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allegedly caused by ingestion of the medications. A similar lawsuit pertaining to valsartan is pending in Israel. Third party payor, consumer and medical monitoring classes were certified in the valsartan MDL. The Company has also received requests to indemnify purchasers of the Company’s API and/or finished dose forms of these products. The original master complaints concerning ranitidine were dismissed on December 31, 2020. The end-payor plaintiff</w:t>
      </w:r>
    </w:p>
    <w:p>
      <w:pPr>
        <w:ind w:right="60"/>
        <w:spacing w:after="0" w:line="261" w:lineRule="auto"/>
        <w:rPr>
          <w:sz w:val="20"/>
          <w:szCs w:val="20"/>
          <w:color w:val="auto"/>
        </w:rPr>
      </w:pPr>
      <w:r>
        <w:rPr>
          <w:rFonts w:ascii="Times New Roman" w:cs="Times New Roman" w:eastAsia="Times New Roman" w:hAnsi="Times New Roman"/>
          <w:sz w:val="18"/>
          <w:szCs w:val="18"/>
          <w:color w:val="auto"/>
        </w:rPr>
        <w:t>immediately appealed to the U.S. Court of Appeals for the 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Lipitor</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State court proceedings remain pending in Missouri and New York.</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Depo-Provera</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Beginning in October 2024, the Company (including Greenstone LLC), Pfizer and certain entities related to Pfizer, and Prasco Labs have been named in a number of lawsuits filed in federal and state courts related to claims pertaining to Depo-Provera. Certain of these lawsuits include allegations that individual plaintiffs developed meningiomas purportedly as a result of the ingestion of Depo-Provera or its authorized generic equivalent and seek compensatory and punitive damages. Putative class complaints seeking relief in the form of medical monitoring for individuals from certain states who</w:t>
      </w:r>
    </w:p>
    <w:p>
      <w:pPr>
        <w:spacing w:after="0" w:line="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have taken Depo-Provera or its authorized generic equivalent, but have not developed meningiomas, have also been filed. In February 2025, the federal lawsuits were transferred for consolidated pre-trial proceedings to an MDL in the U.S. District Court for the Northern District of Florida. Pfizer is the new drug application holder of Depo-Provera and markets and sells the branded version of the product. Greenstone LLC was a subsidiary of Pfizer until the closing of the Combination and sold the authorized generic of Depo-Provera until the closing of the Combination. Concurrently with the closing of the Combination, Pfizer divested the authorized generic of Depo-Provera to Prasco Labs. The Company has sought to tender its defense and is seeking indemnification for these claims from Pfizer pursuant to the Separation and Distribution Agreement and Pfizer is seeking cross-indemnification from the Company pursuant to the Separation and Distribution Agreement with respect to the authorized generic product previously sold by Greenstone LLC.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Company is involved in a number of patent litigation lawsuits involving the validity and/or infringement of patents held by branded</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pharmaceutical manufacturers.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or repurchase shares and/or stock price.</w:t>
      </w:r>
    </w:p>
    <w:p>
      <w:pPr>
        <w:spacing w:after="0" w:line="186"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approximately $0.7 million accrued related to its intellectual property matters at March 31, 2025. It is reasonably possible that we may incur additional losses and fees but we cannot estimate a range of such reasonably possible losses or legal fees related to these claims at this time.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Yupelri</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method of use patents expiring in 2039. The companies have not filed Paragraph IV certifications to our compound patents, one of which is subject to a patent term extension to October 2028. Beginning in February 2023, we brought patent infringement actions against the generic filers in federal district courts, including the U.S. District Court for the District of New Jersey, the U.S. District Court for the District of Delaware, the U.S. District Court for the Middle District of North Carolina, and the U.S. District Court for the Eastern District of Pennsylvania asserting infringement of the patents by the generic companies. The actions filed in Delaware, North Carolina and Pennsylvania have been dismissed and the remaining actions will proceed in New Jersey. The Company has entered into settlement agreements with Teva, Accord, Orbicular, Lupin, and Qilu granting licenses to commercialize their generic versions of Yupelri® in April 2039 or earlier depending on certain circumstances. Three ANDA filers remain in the litigation.</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Tyrvaya</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In March 2024, Oyster Point filed an amended complaint asserting infringement with respect to four additional patents that were recently listed in the Orange Book for Tyrvaya® and also have expiration dates in October 2035. This lawsuit automatically stays FDA approval of the generic company’s ANDA until December 6, 2025, or until an adverse court decision, if any, whichever may occur earlier. The parties are awaiting the scheduling of a trial.</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Amitiza</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September 2023, Sawai Pharmaceutical Co. (“Sawai”) filed challenges with the Japanese Patent Office (“JPO”) asserting invalidity of patent term extensions for the JPP ‘4332353 patent (the ‘353 patent) relevant to Amitiza®, which the Company commercializes in Japan as a licensee of the relevant patents, including the ‘353 patent. Towa Pharmaceutical Co. Ltd. also filed a challenge to the ‘353 patent term extension in January 2024. Separately, in December 2023, Sawai filed an invalidity action with the JPO against the ‘353 patent itself. With the granted extensions, the ‘353 patent has expiration dates for the Company’s 24µg and 12µg strengths of April 2025 and April 2027, respectively. In April 2025, the JPO upheld the validity of the ‘353 patent. The challenges to the ‘353 patent term extension remain pending.</w:t>
      </w:r>
    </w:p>
    <w:p>
      <w:pPr>
        <w:spacing w:after="0" w:line="21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Beginning in April 2024, Sawai filed challenges with the JPO with respect to the 12µg strength, asserting invalidity of patent term extensions of five additional patents expiring in October 2025, September 2026, August 2027, November 2027, and December 2028, and challenged the validity of the August 2027 patent itself.</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Ryzumvi</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February 2025, a generic company notified the Company that it had filed an ANDA with the FDA seeking approval to market a generic version of Ryzumvi® with associated Paragraph IV certifications. The generic company asserts the invalidity and/or non-infringement of Orange Book listed patents that have an expiration date of January 31, 2034, and October 25, 2039. In March 2025, the Company brought a patent infringement action against the generic filer in the U.S. District Court for the District of New Jersey. This lawsuit automatically stays FDA approval of the generic company’s ANDA until August 3, 2027, or until an adverse court decision, if any, whichever may occur earlier.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including commercial, contractual, employment, or other similar matters that are considered normal to its business. The Company has approximately $7 million accrued related to these various other legal proceedings at March 31,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following discussion and analysis addresses material changes in the financial condition and results of operations of Viatris Inc. and</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subsidiaries for the periods presented. Unless context requires otherwise, the “Company,” “Viatris,” “our” or “we” refer to Viatris Inc. and its subsidiaries.</w:t>
      </w:r>
    </w:p>
    <w:p>
      <w:pPr>
        <w:spacing w:after="0" w:line="21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2024 Form 10-K, the unaudited interim financial statements and related Notes included in Part I — Item 1 of this Form 10-Q and our other SEC filings and public disclosures. The interim results of operations and comprehensive loss for the three months ended March 31, 2025, and cash flows for the three months ended March 31, 2025 are not necessarily indicative of the results to be expected for the full fiscal year or any other future period.</w:t>
      </w:r>
    </w:p>
    <w:p>
      <w:pPr>
        <w:spacing w:after="0" w:line="17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color w:val="auto"/>
        </w:rPr>
        <w:t>This Form 10-Q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2" w:lineRule="exact"/>
        <w:rPr>
          <w:sz w:val="20"/>
          <w:szCs w:val="20"/>
          <w:color w:val="auto"/>
        </w:rPr>
      </w:pPr>
    </w:p>
    <w:p>
      <w:pPr>
        <w:jc w:val="both"/>
        <w:ind w:left="660" w:right="300" w:hanging="328"/>
        <w:spacing w:after="0" w:line="256"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w:t>
      </w:r>
    </w:p>
    <w:p>
      <w:pPr>
        <w:spacing w:after="0" w:line="1" w:lineRule="exact"/>
        <w:rPr>
          <w:rFonts w:ascii="Times New Roman" w:cs="Times New Roman" w:eastAsia="Times New Roman" w:hAnsi="Times New Roman"/>
          <w:sz w:val="17"/>
          <w:szCs w:val="17"/>
          <w:color w:val="auto"/>
        </w:rPr>
      </w:pPr>
    </w:p>
    <w:p>
      <w:pPr>
        <w:ind w:left="660" w:right="380" w:hanging="328"/>
        <w:spacing w:after="0" w:line="22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risks and uncertainties associated with our recent divestitures;</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or impairment charges or other losses;</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achieve expected or targeted future financial and operating performance and results;</w:t>
      </w:r>
    </w:p>
    <w:p>
      <w:pPr>
        <w:ind w:left="660" w:right="18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natural or man-made disasters, public health outbreaks, epidemics, pandemics or social disruption in regions where we or our partners or suppliers operate;</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ind w:left="660" w:right="40" w:hanging="328"/>
        <w:spacing w:after="0" w:line="23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regulations and policies and/or the application or implementation thereof, including but not limited to tax, healthcare and pharmaceutical laws, regulations and policies globally;</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motivate and retain key personnel;</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liquidity, capital resources and ability to obtain financing;</w:t>
      </w:r>
    </w:p>
    <w:p>
      <w:pPr>
        <w:ind w:left="660" w:right="72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the Company’s ability to bring new products to market, including but not limited to “at-risk launches”;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in development that receive regulatory approval may not achieve expected levels of market acceptance, efficacy or safety;</w:t>
      </w:r>
    </w:p>
    <w:p>
      <w:pPr>
        <w:ind w:left="660" w:hanging="328"/>
        <w:spacing w:after="0" w:line="23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review, response and approval times as a result of evolving regulatory priorities and reductions in personnel at health agencies;</w:t>
      </w:r>
    </w:p>
    <w:p>
      <w:pPr>
        <w:ind w:left="660" w:right="700" w:hanging="328"/>
        <w:spacing w:after="0" w:line="23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the Company’s or its partners’ ability to execute on new product opportunities and develop, manufacture and commercialize products;</w:t>
      </w:r>
    </w:p>
    <w:p>
      <w:pPr>
        <w:spacing w:after="0" w:line="1" w:lineRule="exact"/>
        <w:rPr>
          <w:rFonts w:ascii="Times New Roman" w:cs="Times New Roman" w:eastAsia="Times New Roman" w:hAnsi="Times New Roman"/>
          <w:sz w:val="18"/>
          <w:szCs w:val="18"/>
          <w:color w:val="auto"/>
        </w:rPr>
      </w:pPr>
    </w:p>
    <w:p>
      <w:pPr>
        <w:ind w:left="660" w:right="300" w:hanging="328"/>
        <w:spacing w:after="0" w:line="21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32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 and the impact of any such proceedings on the Company;</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our IT systems;</w:t>
      </w:r>
    </w:p>
    <w:p>
      <w:pPr>
        <w:ind w:left="660" w:hanging="328"/>
        <w:spacing w:after="0" w:line="21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intellectual property and preserve intellectual property rights;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spacing w:after="0" w:line="2" w:lineRule="exact"/>
        <w:rPr>
          <w:rFonts w:ascii="Times New Roman" w:cs="Times New Roman" w:eastAsia="Times New Roman" w:hAnsi="Times New Roman"/>
          <w:sz w:val="18"/>
          <w:szCs w:val="18"/>
          <w:color w:val="auto"/>
        </w:rPr>
      </w:pPr>
    </w:p>
    <w:p>
      <w:pPr>
        <w:ind w:left="660" w:right="560" w:hanging="328"/>
        <w:spacing w:after="0"/>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changes in the Company’s or its partners’ customer and supplier relationships and customer purchasing patterns, including customer loss and business disruption being greater than expected following an adverse regulatory action, acquisition or divestiture;</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the Company or its partners;</w:t>
      </w:r>
    </w:p>
    <w:p>
      <w:pPr>
        <w:ind w:left="660" w:hanging="328"/>
        <w:spacing w:after="0" w:line="23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the Company’s products;</w:t>
      </w:r>
    </w:p>
    <w:p>
      <w:pPr>
        <w:ind w:left="660" w:right="160" w:hanging="328"/>
        <w:spacing w:after="0" w:line="21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potential for adverse impacts from future tariffs and trade restrictions, inflation rates and global exchange rates; and</w:t>
      </w:r>
    </w:p>
    <w:p>
      <w:pPr>
        <w:ind w:left="660" w:right="280" w:hanging="328"/>
        <w:spacing w:after="0" w:line="23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2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the 2024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32,000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spacing w:after="0" w:line="187"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Market and Industry Factors</w:t>
      </w:r>
    </w:p>
    <w:p>
      <w:pPr>
        <w:spacing w:after="0" w:line="227"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4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process of obtaining regulatory approval to manufacture and market new branded and generic pharmaceutical products is rigorous, time consuming, costly, and inherently unpredictable. Complex products are more difficult, costly and time-consuming to receive regulatory approval for and bring to market. Any delay in regulatory approval could impact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commercial or financial success of a product. Regulatory approval, if and when obtained, may be limited in scope. Even if regulatory approvals for new products are obtained, the success of those products is dependent upon market acceptance.</w:t>
      </w:r>
    </w:p>
    <w:p>
      <w:pPr>
        <w:spacing w:after="0" w:line="189" w:lineRule="exact"/>
        <w:rPr>
          <w:sz w:val="20"/>
          <w:szCs w:val="20"/>
          <w:color w:val="auto"/>
        </w:rPr>
      </w:pPr>
    </w:p>
    <w:p>
      <w:pPr>
        <w:ind w:right="260" w:firstLine="648"/>
        <w:spacing w:after="0" w:line="273" w:lineRule="auto"/>
        <w:rPr>
          <w:sz w:val="20"/>
          <w:szCs w:val="20"/>
          <w:color w:val="auto"/>
        </w:rPr>
      </w:pPr>
      <w:r>
        <w:rPr>
          <w:rFonts w:ascii="Times New Roman" w:cs="Times New Roman" w:eastAsia="Times New Roman" w:hAnsi="Times New Roman"/>
          <w:sz w:val="17"/>
          <w:szCs w:val="17"/>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 In addition, U.S. governmental agencies provide funding for certain products in our Emerging Markets region. We expect that any reduction in that funding will have a negative impact on our financial condition, results of operations or cash flows.</w:t>
      </w:r>
    </w:p>
    <w:p>
      <w:pPr>
        <w:spacing w:after="0" w:line="17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we expect generic entry for Amitiza® 24 μg to occur in Japan in December 2025 upon expiration of patent exclusivity.</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Sales continue to be negatively affected by the impact of tender systems in certain countries.</w:t>
      </w:r>
    </w:p>
    <w:p>
      <w:pPr>
        <w:spacing w:after="0" w:line="183"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disruptions and staffing challenges and other economic considerations, longer review, response and approval times as a result of evolving regulatory priorities and reductions in personnel at health agencies, the potential for adverse impacts from future tariffs and trade restrictions, foreign currency exchange fluctuations, public health epidemics, changes in intellectual property legal protections and other regulatory changes.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 Since the end of February 2025, the Company has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When compared to the prior year annual goodwill impairment test completed on April 1, 2024, the recent significantly increased uncertainty and volatility in the geopolitical and economic environments in which the Company operates has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recent significant increase in business risks and uncertainty have led to an increase in discount rate assumptions impacting all reporting units as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compared to the April 1, 2024 annual goodwill impairment test. For the three months ended March 31, 2025, the Company recorded a non-cash goodwill impairment charge of $2.9 billion as a result of the interim goodwill impairment test performed as of March 31, 2025.</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Indore Manufacturing Facility</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Following an inspection by the FDA at our oral finished dose manufacturing facility in Indore, India in 2024, the FDA has issued a warning letter, and an import alert related to this facility. The import alert affects 11 actively distributed products that will no longer be accepted into the U.S. until the warning letter is lifted. It makes exceptions, subject to certain conditions, for four products based on shortage concerns. Following discussions with the FDA, the Company does not expect additional product exceptions to be granted by the FDA.</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Following the substance of FDA’s original inspection observations, the Company immediately implemented a comprehensive remediation plan at the site. The necessary corrective and preventive actions are well underway, including but not limited to related personnel actions. Additionally, we have engaged independent third-party subject matter experts to support the remediation plan.</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been in regular communication with FDA during this process and will continue to work to ensure that the FDA is satisfied with the steps we have taken to resolve all the points raised. Our responses to the warning letter and import alert were submitted within the required time periods.</w:t>
      </w:r>
    </w:p>
    <w:p>
      <w:pPr>
        <w:spacing w:after="0" w:line="18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While product continues to be shipped from the Indore facility to markets outside the U.S., as expected, we have also experienced a negative impact in other markets in the three months ended March 31, 2025, including the ARV business in Emerging Markets and select generic products in Europe.</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continue to anticipate negative impacts for the remainder of the year. The estimated negative impact to first quarter 2025 total revenues was approximately $140 million versus the first quarter of 2024, and we currently estimate the negative impact to 2025 total revenues to be approximately $500 million and to 2025 earnings from operations to be approximately $385 million.</w:t>
      </w: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take very seriously our continued and comprehensive oversight of our entire manufacturing network. Patient safety remains our primary and unwavering focus. We will work closely with our customers to mitigate any possible supply disruptions and meet the needs of the patients we serve.</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 of Idorsia Products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has worldwide commercialization rights for both selatogrel and cenerimod (which excluded, for cenerimod only, Japan, South Korea and certain countries in the Asia-Pacific region). A joint development committee was formed to oversee the development of the ongoing Phase 3 programs through regulatory approval. The agreements also provided Viatris a right of first refusal and a right of first negotiation for certain other assets in Idorsia’s pipeline. Viatris and Idorsia are both contractually obligated to contribute to the development costs for both programs, which are expected to be incurred through 2026.</w:t>
      </w:r>
    </w:p>
    <w:p>
      <w:pPr>
        <w:spacing w:after="0" w:line="21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received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letter agreement provides for the replacement of the joint development committee with a transition committee to oversee the transition of both development programs to Viatris.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There are risks and uncertainties associated with the timely and successful completion of these programs, including but not limited to the high cost and uncertainty of conducting clinical trials (particularly with respect to new and/or complex or innovative drugs), obtaining approval by relevant regulatory bodies and our partner’s financial condition. 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included in Part I, Item 1 of this Form 10-Q for more information.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three months ended March 31, 2025 and 2024, the Company repurchased approximately 18.6 million shares of common stock at a cost of approximately $175.4 million, and approximately 19.2 million shares of common stock at a cost of approximately $250 million, respectively, under the program. As of March 31, 2025, the Company had repurchased a total of approximately 59.1 million shares of common stock at a cost of approximately $675.4 million under the program. Additionally, subsequent to March 31, 2025, the Company repurchased approximately 16.4 million shares of common stock at a cost of approximately $139.5 million, bringing the total to approximately 75.5 million shares of common stock at a cost of approximately $814.9 million under the program, in each case through and including May 7, 2025. The share repurchase program does not obligate the Company to acquire any particular amount of common stock.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is a summary of the Company’s financial results for the three months ended March 31, 2025 compared to the prior year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(3,086.1)</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(3,155.9)</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Use of Non-GAAP Financial Measures.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Three Months Ended 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2025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Impact </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1340" w:type="dxa"/>
            <w:vAlign w:val="bottom"/>
          </w:tcPr>
          <w:p>
            <w:pPr>
              <w:jc w:val="right"/>
              <w:ind w:right="20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Developed Markets </w:t>
            </w:r>
            <w:r>
              <w:rPr>
                <w:rFonts w:ascii="Times New Roman" w:cs="Times New Roman" w:eastAsia="Times New Roman" w:hAnsi="Times New Roman"/>
                <w:sz w:val="23"/>
                <w:szCs w:val="23"/>
                <w:color w:val="auto"/>
                <w:vertAlign w:val="superscript"/>
              </w:rPr>
              <w:t>(3)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Emerging Markets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23"/>
                <w:szCs w:val="23"/>
                <w:color w:val="auto"/>
                <w:vertAlign w:val="superscript"/>
              </w:rPr>
              <w:t>(3)(5)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Reductions were driven primarily by the inclusion of net sales in the prior year period related to divestitures that closed during 2024 and the Indore Impact.</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2025, other revenues in Developed Markets, JANZ, and Emerging Markets were approximately $6.9 million, $1.0 million, and $3.2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eliminates on a consolidated basis.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Viatris reported total revenues of $3.25 billion, compared to $3.66 billion for the comparable prior year period, representing a decrease of $409.1 million, or 11%. Total revenues include both net sales and other revenues from third parties. Net sales for the three months ended March 31, 2025 were $3.24 billion, compared to $3.65 billion for the comparable prior year period, representing a decrease of $410.3 million, or 11%. Other revenues for the three months ended March 31, 2025 were $11.1 million, compared to $9.9 million for the comparable prior year period.</w:t>
      </w:r>
    </w:p>
    <w:p>
      <w:pPr>
        <w:spacing w:after="0" w:line="1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Net sales decreased by approximately $237.4 million or 6% due to the inclusion of net sales in the prior year period related to divestitures that closed during 2024. The decrease in net sales was also partially driven by the unfavorable impact of foreign currency translation of approximately $85.1 million, or 2%, primarily reflecting changes in the U.S. Dollar as compared to the currencies of subsidiaries in the EU, Japan, China, and countries in Emerging Markets. On a constant currency basis, net sales from the remaining business decreased by approximately $87.8 million, or 2%, for the three months ended March 31, 2025 compared to the prior year period. The decrease was the result of base business erosion of approximately $154.6 million, approximately $140 million of which relates to the Indore Impact. This decrease was partially offset by new product sales of approximately $66.8 million, primarily in Developed Markets. New product sales include new products launched in 2025 and the carryover impact of new products, including business development, launched within the last twelve months.</w:t>
      </w:r>
    </w:p>
    <w:p>
      <w:pPr>
        <w:spacing w:after="0" w:line="192"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38% and 34%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Net sales from Developed Markets decreased by $273.7 million or 13% for the three months ended March 31, 2025 when compared to the prior year period. Net sales decreased by approximately $179.7 million or 8% due to the inclusion of net sales in the prior year period related to divestitures that closed during 2024. The unfavorable impact of foreign currency translation was approximately $33.2 million or 2%. Constant currency net sales from the remaining business decreased by approximately $60.8 million or 3% when compared to the prior year period, driven primarily by lower net sales of certain existing products, including lenalidomide and everolimus in the U.S., as a result of the Indore Impact of approximately $80 million, partially offset by new product sales. Net sales within North America totaled approximately $800.9 million and net sales within Europe totaled approximately $1.09 billion.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Net sales from Greater China increased by $11.6 million or 2% for the three months ended March 31, 2025 when compared to the prior year period. The unfavorable impact of foreign currency translation was approximately $12.0 million, or 2%. Constant currency net sales increased by approximately $24.1 million or 4% when compared to the prior year period, driven by strong growth across multiple channels, including e-commerce, retail, and private hospitals. Divestitures did not have a significant impact on the net sales for the current year period.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sales from JANZ decreased by $41.7 million or 13% for the three months ended March 31, 2025 when compared to the prior year period. This decrease was partially driven by the unfavorable impact of foreign currency translation of approximately $12.3 million, or 4%. In addition, net sales decreased by approximately $9.7 million, or 3%, due to the inclusion of net sales in the prior year period related to divestitures that closed during 2024. Constant currency net sales from the remaining business decreased by approximately $19.7 million, or 6%, when compared to the prior year period, driven primarily by lower net sales of existing products in Japan as a result of government price reductions and additional competition, and by the Indore Impact of approximately $3.0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Net sales from Emerging Markets decreased by $106.5 million or 17% for the three months ended March 31, 2025 when compared to the prior year period. Net sales decreased by approximately $47.5 million, or 8%, due to the inclusion of net sales in the prior year period related to divestitures that closed during 2024. The decrease in net sales was also partially driven by the unfavorable impact of foreign currency translation of approximately $27.6 million, or 4%. Constant currency net sales from the remaining business decreased by $31.4 million, or 5% when compared to the prior year period, primarily driven by lower volumes in our ARV business, mainly as a result of the Indore Impact of approximately $57.0 million. These decreases were partially offset by new product sales in certain Latin American countries.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sales decreased from $2.16 billion for the three months ended March 31, 2024 to $2.09 billion for the three months ended March 31, 2025. The decrease in cost of sales was largely driven by the impact of the decrease in net sales, including as a result of the divestitures that closed during 2024 and the Indore Impact</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March 31, 2025 was $1.16 billion and gross margins were 36%. For the three months ended March 31, 2024, gross profit was $1.50 billion and gross margins were 41%. The changes in gross profit and gross margins are primarily related to the impact of the divestitures and the Indore Impact. Adjusted gross margins were approximately 56% for the three months ended March 31, 2025, compared to approximately 59%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three months ended March 31, 2025 compared to the three months ended March 31, 2024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2,093.1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2,159.4</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divestiture-related costs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1,434.7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1,508.6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1,819.6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2,154.8</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R&amp;D expense for the three months ended March 31, 2025 was $222.0 million, compared to $199.7 million for the comparable prior year period, an increase of $22.3 million. This increase was primarily the result of higher expenses for the selatogrel and cenerimod development programs.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Acquired IPR&amp;D</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Acquired IPR&amp;D expense for the three months ended March 31, 2025 was $10.0 million, compared to $6.1 million for the comparable prior year period, an increase of $3.9 million. The current period expense is related to an upfront licensing payment for rights to cenerimod in Japan, South Korea and certain countries in the Asia-Pacific region.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SG&amp;A expense for the three months ended March 31, 2025 was $948.1 million, compared to $1.02 billion for the comparable prior year period, a decrease of $69.4 million. The decrease was primarily due to the impact of the divestitures, and lower acquisition and divestiture-related costs of approximately $48.7 million. These decreases were partially offset by higher restructuring-related costs of approximately $56.7 million.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performed an interim goodwill impairment test as of March 31, 2025, and in conjunction with the interim goodwill impairment test, the Company recorded a goodwill impairment charge of $2.94 billion during the first quarter of 2025. Refer to Note 10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Part I, Item 1 of this Form 10-Q for more information.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(gains)/losses recognized in litigation settlements and other contingencies, net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60.2</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included in Part I, Item 1 of this Form 10-Q for more information with respect to the contingent consideration adjustment.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Also refer to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 Item 1 of this Form 10-Q for more information on litigation settlements, net.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2025 totaled $115.5 million, compared to $138.4 million for the three months ended March 31, 2024, a decrease of $22.9 million. The decrease was primarily due to the impact of 2024 debt repayments.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includes gains and losses from divestitures of businesses, changes in the fair value of equity securities, extinguishment of debt, foreign exchange, expense (income) related to post-employment benefit plans, TSA income, and interest and dividend income. Other expense (income), net for the three months ended March 31, 2025 totaled $99.3 million of expense, compared to $139.1 million of income for the three months ended March 31, 2024, a decrease of $238.4 million.</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decrease in other income, net was primarily driven by: (1) a loss of $115.8 million recorded in the current year period as a result of changes in the fair value of the CCPS in Biocon Biologics, compared to a gain of $46.9 million in the prior year period; (2) loss on divestitures of $36.9 million recorded in the current year period primarily due to an increase in estimated transaction related costs, including the assumption of additional contractual obligations, as well as the impact of working capital and other transaction-related adjustments, compared to a net gain of $70.4 million recorded in the prior year period primarily related to the divestiture of the women’s healthcare business which closed in March 2024; and (3) lower interest income of $11.7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the Company recognized an income tax benefit of $55.0 million, compared to an income tax provision of $90.7 million for the comparable prior year period, a change of $145.7 million. The benefit in the current year period is primarily driven by the loss before income taxes, partially offset by the negative impact of the goodwill impairment charge, for which minimal tax benefit was realized, and a $17.7 million accrual related to the resolution of the previously disclosed Swedish tax matter. The current year and prior year provisions were also impacted by the levels of income and the changing mix at which it is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of Sales and Adjusted Gross Margin</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Earnings and Adjusted EPS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(loss) on divestitures of businesses, impairment of long-lived assets and goodwill, restructuring, acquisition and divestiture-related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items excluded from adjusted cost of sales, adjusted EBITDA, adjusted net earnings, and adjusted EPS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Amortization and Other Related Items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Adjustments, Including Contingent Consideration</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Acquisition and Divestiture-Related Costs and Other Special Items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related to restructuring, acquisition and divestiture-related activities and other actions are excluded from adjusted cost of sales,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adjusted net earnings, and adjusted EPS, as applicable. These amounts include items such as:</w:t>
      </w:r>
    </w:p>
    <w:p>
      <w:pPr>
        <w:spacing w:after="0" w:line="99" w:lineRule="exact"/>
        <w:rPr>
          <w:sz w:val="20"/>
          <w:szCs w:val="20"/>
          <w:color w:val="auto"/>
        </w:rPr>
      </w:pPr>
    </w:p>
    <w:p>
      <w:pPr>
        <w:ind w:left="980" w:right="56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13" w:lineRule="exact"/>
        <w:rPr>
          <w:rFonts w:ascii="Times New Roman" w:cs="Times New Roman" w:eastAsia="Times New Roman" w:hAnsi="Times New Roman"/>
          <w:sz w:val="18"/>
          <w:szCs w:val="18"/>
          <w:color w:val="auto"/>
        </w:rPr>
      </w:pPr>
    </w:p>
    <w:p>
      <w:pPr>
        <w:ind w:left="980" w:right="40" w:hanging="324"/>
        <w:spacing w:after="0" w:line="258"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spacing w:after="0" w:line="2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to further develop and optimize our global enterprise resource planning systems, operations and supply chain;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divestitures, including impairments of held for sale assets; and</w:t>
      </w:r>
    </w:p>
    <w:p>
      <w:pPr>
        <w:spacing w:after="0" w:line="63"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 Net</w:t>
      </w:r>
    </w:p>
    <w:p>
      <w:pPr>
        <w:spacing w:after="0" w:line="227"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Charges and gains related to legal matters, such as those discussed in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 Item 1 of this Form 10-Q are generally excluded from adjusted EBITDA, adjusted net earnings, and adjusted EPS. Normal, ongoing defense costs of the Company made in the normal course of our business are not excluded.</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(Loss) Earnings to Adjusted Net Earnings and U.S. GAAP EPS to Adjusted EPS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net (loss) earnings and diluted EPS as reported under U.S. GAAP, and adjusted net earnings and adjusted EPS for the periods shown follows: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net (loss) earnings and U.S. GAAP diluted (loss)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Purchase accounting amortization (primarily included in cost of sales)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Impairment of goodwill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(primarily amortization of premiums and discounts on long term debt)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Loss (gain) on divestitures of businesses (included in other expense (income), net)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Acquisition and divestiture-related costs (primarily included in SG&amp;A) </w:t>
            </w:r>
            <w:r>
              <w:rPr>
                <w:rFonts w:ascii="Times New Roman" w:cs="Times New Roman" w:eastAsia="Times New Roman" w:hAnsi="Times New Roman"/>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costs </w:t>
            </w:r>
            <w:r>
              <w:rPr>
                <w:rFonts w:ascii="Times New Roman" w:cs="Times New Roman" w:eastAsia="Times New Roman" w:hAnsi="Times New Roman"/>
                <w:sz w:val="23"/>
                <w:szCs w:val="23"/>
                <w:color w:val="auto"/>
                <w:vertAlign w:val="superscript"/>
              </w:rPr>
              <w:t>(d)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special items included in:</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(f)</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the above items and other income tax related items </w:t>
            </w:r>
            <w:r>
              <w:rPr>
                <w:rFonts w:ascii="Times New Roman" w:cs="Times New Roman" w:eastAsia="Times New Roman" w:hAnsi="Times New Roman"/>
                <w:sz w:val="23"/>
                <w:szCs w:val="23"/>
                <w:color w:val="auto"/>
                <w:vertAlign w:val="superscript"/>
              </w:rPr>
              <w:t>(g)</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earnings and adjusted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include the following:</w:t>
      </w:r>
    </w:p>
    <w:p>
      <w:pPr>
        <w:spacing w:after="0" w:line="63" w:lineRule="exact"/>
        <w:rPr>
          <w:sz w:val="20"/>
          <w:szCs w:val="20"/>
          <w:color w:val="auto"/>
        </w:rPr>
      </w:pPr>
    </w:p>
    <w:p>
      <w:pPr>
        <w:ind w:left="660" w:hanging="328"/>
        <w:spacing w:after="0" w:line="229" w:lineRule="auto"/>
        <w:tabs>
          <w:tab w:leader="none" w:pos="655"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2025, includes a goodwill impairment charge of $2.94 billion as a result of the interim goodwill impairment test performed as of March 31, 2025.</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35"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2025, consists of pre-tax charges related to the divestitures primarily due to an increase in estimated transaction related costs, including the assumption of additional contractual obligations, as well as the impact of working capital and other transaction-related adjustments.</w:t>
      </w:r>
    </w:p>
    <w:p>
      <w:pPr>
        <w:spacing w:after="0" w:line="7"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Acquisition and divestiture-related costs consist primarily of transaction costs including legal and consulting fees and integration activities.</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2025, charges include approximately $19.8 million in cost of sales, approximately $0.8 million in R&amp;D, and approximately $72.3 million in SG&amp;A.</w:t>
      </w:r>
    </w:p>
    <w:p>
      <w:pPr>
        <w:spacing w:after="0" w:line="35"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55"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2025, charges include incremental manufacturing variances at plants slated for sale or closure or undergoing remediation activities of approximately $31.7 million.</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55"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2025, includes a loss of approximately $115.8 million as a result of remeasuring the CCPS in Biocon Biologics to fair value.</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(Loss) Earnings to EBITDA and Adjusted EBITDA</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Below is a reconciliation of U.S. GAAP net (loss) earnings to EBITDA and adjusted EBITDA for the three months ended March 31, 2025 compared to the prior year period: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(loss)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9"/>
        </w:trPr>
        <w:tc>
          <w:tcPr>
            <w:tcW w:w="88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(b)</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divestitures of businesses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acquisition and divestiture-related and other special items </w:t>
            </w:r>
            <w:r>
              <w:rPr>
                <w:rFonts w:ascii="Times New Roman" w:cs="Times New Roman" w:eastAsia="Times New Roman" w:hAnsi="Times New Roman"/>
                <w:sz w:val="23"/>
                <w:szCs w:val="23"/>
                <w:color w:val="auto"/>
                <w:vertAlign w:val="superscript"/>
              </w:rPr>
              <w:t>(c)</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80" w:hanging="248"/>
        <w:spacing w:after="0"/>
        <w:tabs>
          <w:tab w:leader="none" w:pos="5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of premiums and discounts on long-term debt.</w:t>
      </w:r>
    </w:p>
    <w:p>
      <w:pPr>
        <w:spacing w:after="0" w:line="55"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purchase accounting related amortization.</w:t>
      </w:r>
    </w:p>
    <w:p>
      <w:pPr>
        <w:spacing w:after="0" w:line="56"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items detailed in the Reconciliation of U.S. GAAP Net (Loss) Earnings to Adjusted Net Earnings.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primary source of liquidity is net cash provided by operating activities, which was $535.5 million for the three months ended March 31, 2025.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by $79.1 million to $535.5 million for the three months ended March 31, 2025, as compared to net cash provided by operating activities of $614.6 million for the three months ended March 31, 2024.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decrease in net cash provided by operating activities was principally due to lower operating earnings, including as a result of divestitures that closed in 2024, and the timing of cash payments and collections.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$65.1 million for the three months ended March 31, 2025, as compared to $154.3 million for the three months ended March 31, 2024, a decrease of $89.2 million.</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2025, significant items in investing activities included the following:</w:t>
      </w:r>
    </w:p>
    <w:p>
      <w:pPr>
        <w:spacing w:after="0" w:line="121" w:lineRule="exact"/>
        <w:rPr>
          <w:sz w:val="20"/>
          <w:szCs w:val="20"/>
          <w:color w:val="auto"/>
        </w:rPr>
      </w:pPr>
    </w:p>
    <w:p>
      <w:pPr>
        <w:ind w:left="980" w:right="20" w:hanging="324"/>
        <w:spacing w:after="0" w:line="312" w:lineRule="auto"/>
        <w:tabs>
          <w:tab w:leader="none" w:pos="9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primarily for equipment and facilities, totaling approximately $42.6 million. While there can be no assurance that current expectations will be realized, capital expenditures for the 2025 calendar year are expected to be approximately $300 million to $400 million.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2024, significant items in investing activities included the following:</w:t>
      </w:r>
    </w:p>
    <w:p>
      <w:pPr>
        <w:spacing w:after="0" w:line="56"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18"/>
          <w:szCs w:val="18"/>
          <w:color w:val="auto"/>
        </w:rPr>
        <w:t>proceeds from the sale of assets and businesses of $240.6 million related to the divestiture of the women’s healthcare business;</w:t>
      </w:r>
    </w:p>
    <w:p>
      <w:pPr>
        <w:spacing w:after="0" w:line="89" w:lineRule="exact"/>
        <w:rPr>
          <w:rFonts w:ascii="Times New Roman" w:cs="Times New Roman" w:eastAsia="Times New Roman" w:hAnsi="Times New Roman"/>
          <w:sz w:val="26"/>
          <w:szCs w:val="26"/>
          <w:b w:val="1"/>
          <w:bCs w:val="1"/>
          <w:i w:val="1"/>
          <w:iCs w:val="1"/>
          <w:color w:val="auto"/>
          <w:vertAlign w:val="superscript"/>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acquired, of $350.0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$49.8 million.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$467.0 million for the three months ended March 31, 2025, as compared to $425.6 million for the three months ended March 31, 2024, an increase of $41.4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2025,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$175.4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$143.3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of $108.7 million paid on behalf of other partners, which is included in Other items, net.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2024,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$250.0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$142.8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of $6.3 million collected on behalf of other partners, including Biocon Biologics, which is included in Other items, net.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cash and cash equivalents totaled $755.0 million at March 31, 2025. The majority of our cash is invested in U.S. government money market funds and in bank deposits. In order to support our global operations, we maintain significant cash and cash equivalents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spacing w:after="0" w:line="21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access to $3.5 billion under the 2024 Revolving Facility which matures in September 2029. Up to $1.65 billion of the 2024 Revolving Facility may be used to support borrowings under our Commercial Paper Program. As of March 31, 2025, the Company did not have any borrowings outstanding under the Commercial Paper Program or the 2024 Revolving Facility.</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$400 million Receivables Facility which now expires in May 2025 and currently expects to enter into a similar facility prior to expiration. As of March 31, 2025, the Company did not have any borrowings outstanding under the Receivables Facility.</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Receivables Facility bear interest at the applicable base rate plus 0.775% and are included as a component of short-term borrowings, while the accounts receivable securing these obligations remain as a component of accounts receivable, net, in our condensed consolidated balance sheets. In addition, the agreement governing the Receivables Facility contains various customary affirmative and negative covenants, and customary default and termination provisions.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$92.2 million and $68.5 million of accounts receivable as of March 31, 2025 and December 31, 2024, respectively, under these factoring arrangements. Additionally, in 2023, we entered into a similar arrangement for certain European countries. As of March 31, 2025 and December 31, 2024, we assigned and derecognized approximately $21.5 million and $29.9 million, respectively,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which were included in</w:t>
      </w:r>
      <w:r>
        <w:rPr>
          <w:rFonts w:ascii="Times New Roman" w:cs="Times New Roman" w:eastAsia="Times New Roman" w:hAnsi="Times New Roman"/>
          <w:sz w:val="18"/>
          <w:szCs w:val="18"/>
          <w:i w:val="1"/>
          <w:iCs w:val="1"/>
          <w:color w:val="auto"/>
        </w:rPr>
        <w:t xml:space="preserve"> Other Receivables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unlock the value of the Company’s unique global platform in order to create shareholder value.</w:t>
      </w:r>
    </w:p>
    <w:p>
      <w:pPr>
        <w:spacing w:after="0" w:line="18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dividends paid and declared and share repurchase program, refer to Note 9 </w:t>
      </w:r>
      <w:r>
        <w:rPr>
          <w:rFonts w:ascii="Times New Roman" w:cs="Times New Roman" w:eastAsia="Times New Roman" w:hAnsi="Times New Roman"/>
          <w:sz w:val="18"/>
          <w:szCs w:val="18"/>
          <w:i w:val="1"/>
          <w:iCs w:val="1"/>
          <w:color w:val="auto"/>
        </w:rPr>
        <w:t>(Loss) Earnings per Share</w:t>
      </w:r>
      <w:r>
        <w:rPr>
          <w:rFonts w:ascii="Times New Roman" w:cs="Times New Roman" w:eastAsia="Times New Roman" w:hAnsi="Times New Roman"/>
          <w:sz w:val="18"/>
          <w:szCs w:val="18"/>
          <w:color w:val="auto"/>
        </w:rPr>
        <w:t xml:space="preserve"> included in Part I, Item 1 of this Form 10-Q.</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Debt Maturity</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our debt agreements and mandatory minimum repayments remaining on the outstanding notional amount of long-term debt at March 31, 2025,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Part I, Item 1 of this Form 10-Q.</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in compliance with its covenants at March 31, 2025 and expects to remain in compliance for the next twelve months.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Part I, Item 1 of this Form 10-Q for more information.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Viatris Inc. is the issuer of the Registered Upjohn Notes, which are fully and unconditionally guaranteed on a senior unsecured basis by Mylan Inc., Mylan II B.V. and Utah Acquisition Sub Inc.</w:t>
      </w:r>
    </w:p>
    <w:p>
      <w:pPr>
        <w:spacing w:after="0" w:line="10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Mylan Inc. is the issuer of the Mylan Inc. U.S. Dollar Notes, which are fully and unconditionally guaranteed on a senior unsecured basis by Mylan II B.V., Viatris Inc. and Utah Acquisition Sub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spacing w:after="0" w:line="19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The following table presents unaudited summarized financial information of Viatris Inc., Mylan Inc., Utah Acquisition Sub Inc., and Mylan II B.V. on a combined basis as of and for the three months ended March 31, 2025 and as of and for the year ended December 31, 2024. All intercompany balances have been eliminated in consolidation. This unaudited combined summarized financial information is presented utilizing the equity method of accounting.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Combined Summarized Balance Sheet Information of</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Viatris Inc., Mylan Inc., Utah Acquisition Sub Inc. and</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Mylan II B.V.</w:t>
            </w:r>
          </w:p>
        </w:tc>
        <w:tc>
          <w:tcPr>
            <w:tcW w:w="0" w:type="dxa"/>
            <w:vAlign w:val="bottom"/>
          </w:tcPr>
          <w:p>
            <w:pPr>
              <w:spacing w:after="0"/>
              <w:rPr>
                <w:sz w:val="1"/>
                <w:szCs w:val="1"/>
                <w:color w:val="auto"/>
              </w:rPr>
            </w:pPr>
          </w:p>
        </w:tc>
      </w:tr>
      <w:tr>
        <w:trPr>
          <w:trHeight w:val="23"/>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20" w:type="dxa"/>
            <w:vAlign w:val="bottom"/>
            <w:vMerge w:val="continue"/>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61,424.7</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30,796.9</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12,779.0</w:t>
            </w:r>
          </w:p>
        </w:tc>
        <w:tc>
          <w:tcPr>
            <w:tcW w:w="0" w:type="dxa"/>
            <w:vAlign w:val="bottom"/>
          </w:tcPr>
          <w:p>
            <w:pPr>
              <w:spacing w:after="0"/>
              <w:rPr>
                <w:sz w:val="1"/>
                <w:szCs w:val="1"/>
                <w:color w:val="auto"/>
              </w:rPr>
            </w:pPr>
          </w:p>
        </w:tc>
      </w:tr>
      <w:tr>
        <w:trPr>
          <w:trHeight w:val="900"/>
        </w:trPr>
        <w:tc>
          <w:tcPr>
            <w:tcW w:w="3920" w:type="dxa"/>
            <w:vAlign w:val="bottom"/>
          </w:tcPr>
          <w:p>
            <w:pPr>
              <w:spacing w:after="0"/>
              <w:rPr>
                <w:sz w:val="24"/>
                <w:szCs w:val="24"/>
                <w:color w:val="auto"/>
              </w:rPr>
            </w:pPr>
          </w:p>
        </w:tc>
        <w:tc>
          <w:tcPr>
            <w:tcW w:w="3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3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Combined Summarized Income Statement Information</w:t>
            </w:r>
          </w:p>
        </w:tc>
        <w:tc>
          <w:tcPr>
            <w:tcW w:w="0" w:type="dxa"/>
            <w:vAlign w:val="bottom"/>
          </w:tcPr>
          <w:p>
            <w:pPr>
              <w:spacing w:after="0"/>
              <w:rPr>
                <w:sz w:val="1"/>
                <w:szCs w:val="1"/>
                <w:color w:val="auto"/>
              </w:rPr>
            </w:pPr>
          </w:p>
        </w:tc>
      </w:tr>
      <w:tr>
        <w:trPr>
          <w:trHeight w:val="176"/>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of Viatris Inc., Mylan Inc., Utah Acquisition Sub Inc.</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and 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1"/>
                <w:szCs w:val="11"/>
                <w:color w:val="auto"/>
              </w:rPr>
            </w:pPr>
          </w:p>
        </w:tc>
        <w:tc>
          <w:tcPr>
            <w:tcW w:w="17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4"/>
        </w:trPr>
        <w:tc>
          <w:tcPr>
            <w:tcW w:w="7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00" w:type="dxa"/>
            <w:vAlign w:val="bottom"/>
          </w:tcPr>
          <w:p>
            <w:pPr>
              <w:spacing w:after="0"/>
              <w:rPr>
                <w:sz w:val="16"/>
                <w:szCs w:val="16"/>
                <w:color w:val="auto"/>
              </w:rPr>
            </w:pPr>
          </w:p>
        </w:tc>
        <w:tc>
          <w:tcPr>
            <w:tcW w:w="11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$443.2 million accrued for legal contingencies at March 31, 2025.</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divestitures, Viatris and the respective buyers entered into transition services and/or manufacturing and supply agreements pursuant to which the Company is providing services to the respective purchasers, substantially the same as we previously provided to the related businesses, generally for a period of up to 12 months for transition services and for periods between one to 10 years for manufacturing and supply agreements, depending on the geographic market and the products subject to such agreement, subject to potential extensions in certain circumstances. In addition, in connection with the OTC Transaction and the divestiture of our women’s healthcare business, we entered into distribution agreements for certain markets for a limited period of time. In connection with the API business divestiture, we entered into a manufacturing and supply agreement pursuant to which we are purchasing a significant amount of API from the purchaser in that transaction. Some of these agreements include various ongoing financial obligations.</w:t>
      </w: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Application of Critical Accounting Policies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 Since the end of February 2025, the Company has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performed its interim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When compared to the prior year annual goodwill impairment test completed on April 1, 2024, the recent significantly increased uncertainty and volatility in the geopolitical and economic environments in which the Company operates has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recent significant increase in business risks and uncertainty have led to an increase in discount rate assumptions impacting all reporting units as compared to the April 1, 2024 annual goodwill impairment test.</w:t>
      </w:r>
    </w:p>
    <w:p>
      <w:pPr>
        <w:spacing w:after="0" w:line="21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(prior to the impairment charges noted below), the allocation of the Company’s total goodwill was as follows: North America $3.09 billion, Europe $3.92 billion, Emerging Markets $1.17 billion, JANZ $0.30 billion and Greater China $0.92 billion.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conjunction with its March 31, 2025 interim goodwill impairment test, the Company recorded the following impairment charges: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8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r>
    </w:tbl>
    <w:p>
      <w:pPr>
        <w:spacing w:after="0" w:line="2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North America reporting unit at March 31, 2025, the Company forecasted cash flows for the next 10 years. During the forecast period, the revenue compound annual growth rate was approximately 3.1%. A terminal year value was calculated with a negative 3.0% revenue growth rate applied. The discount rate utilized was 12.5% and the estimated tax rate was 24.8%.</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Europe reporting unit at March 31, 2025, the Company forecasted cash flows for the next 10 years. During the forecast period, the revenue compound annual growth rate was approximately 3.3%. A terminal year value was calculated with a 2.0% revenue growth rate applied. The discount rate utilized was 12.0% and the estimated tax rate was 15.8%.</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Emerging Markets reporting unit at March 31, 2025, the Company forecasted cash flows for the next 10 years. During the forecast period, the revenue compound annual growth rate was approximately 3.5%. A terminal year value was calculated with a 2.0% revenue growth rate applied. The discount rate utilized was 14.5% and the estimated tax rate was 16.7%.</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For the JANZ reporting unit at March 31, 2025, the Company forecasted cash flows for the next 10 years. During the forecast period, the revenue compound annual growth rate was approximately negative 0.9%. A terminal year value was calculated with a 1.0% revenue growth rate applied. The discount rate utilized was 8.5% and the estimated tax rate was 30.2%. After the goodwill impairment charge recorded during the first quarter of 2025, there is no remaining goodwill allocated to the JANZ reporting unit.</w:t>
      </w:r>
    </w:p>
    <w:p>
      <w:pPr>
        <w:spacing w:after="0" w:line="20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Following the goodwill impairment charges recorded in these reporting units, since the carrying value of the reporting units is equal to their estimated fair value as of March 31, 2025, if market conditions or the projected results were to negatively change, it may be necessary to record further impairment charges to one or more of these reporting units in future periods. Any such future charges could be material.</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For the Greater China reporting unit, the estimated fair value exceeded its carrying value by approximately $322.0 million or 5.8% for the March 31, 2025 interim goodwill impairment test. As it relates to the discounted cash flow approach for the Greater China reporting unit at March 31, 2025, the Company forecasted cash flows for the next 10 years. During the forecast period, the revenue compound annual growth rate was approximately 1.6%. A terminal year value was calculated with a negative 1.5% revenue growth rate applied. The discount rate utilized was 15.0% and the estimated tax rate was 24.7%. If all other assumptions are held constant, a reduction in the terminal value growth rate by 3.5% or an increase in discount rate by 1.0% would result in an impairment charge for the Greater China reporting unit.</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market risk, see “Item 7A. Quantitative and Qualitative Disclosures about Market Risk” in Viatris’ 2024 Form 10-K.</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March 31, 2025. Based upon that evaluation, the Principal Executive Officer and the Principal Financial Officer concluded that the Company’s disclosure controls and procedures were effective.</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changes in the Company’s internal control over financial reporting (“ICFR”) that occurred during the first quarter of 2025 that have materially affected, or are reasonably likely to materially affect, the Company’s ICFR.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information regarding legal proceedings, refer to Note 17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in the accompanying Notes to interim financial statements in this Form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0" w:lineRule="exact"/>
        <w:rPr>
          <w:sz w:val="20"/>
          <w:szCs w:val="20"/>
          <w:color w:val="auto"/>
        </w:rPr>
      </w:pPr>
    </w:p>
    <w:p>
      <w:pPr>
        <w:spacing w:after="0" w:line="2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in the Company’s risk factors from those disclosed in Viatris’ 2024 Form 10-K.</w:t>
      </w:r>
    </w:p>
    <w:p>
      <w:pPr>
        <w:spacing w:after="0" w:line="248"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imposition of tariffs on, or other trade restrictions or domestic sourcing requirements in, the territories and countries where we, our partners, suppliers, or customers do business, as well as any retaliatory actions with respect to such actions, could have a material adverse effect on our business, financial condition, results of operations, cash flows, ability to pay dividends or repurchase shares, and/or stock price.</w:t>
      </w:r>
    </w:p>
    <w:p>
      <w:pPr>
        <w:spacing w:after="0" w:line="20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U.S. has recently imposed significant tariffs on imports from other countries, which have prompted retaliatory measures from several countries, which may further escalate, and impact our cost of doing business. While pharmaceutical products are currently excluded from the baseline and “reciprocal” tariffs imposed by the U.S., the current U.S. administration has expressed an intent to impose tariffs on pharmaceutical imports in the near future.</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imposition of adopted, new or proposed tariffs, trade restrictions or domestic sourcing requirements on pharmaceutical imports, including but not limited to products, ingredients, and inputs (such as API), could result in increased costs of goods and prices, disruptions to our supply chain, manufacturing delays, supply shortages, and adverse impacts to clinical trials. These measures could also result in decreased profit margins on certain of our products, particularly within our generics portfolio. Decreased or negative profit margins have in the past, and could in the future, make the production of certain of our products unsustainable, thereby reducing our net sales as well as access for patients. In addition, we may be restricted in our ability to adapt to these impacts and challenges due to, among other things, the terms of our current customer, supply or distribution agreements, or the need to obtain regulatory approval prior to making any changes to our manufacturing locations, processes or suppliers. Future tariffs, trade agreements, or domestic sourcing requirements, as well as potential exemptions, could also provide our competitors with an advantage.</w:t>
      </w:r>
    </w:p>
    <w:p>
      <w:pPr>
        <w:spacing w:after="0" w:line="2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impact of any adopted, new or proposed tariffs, trade restrictions or domestic sourcing requirements on our business is subject to a number of factors that we cannot predict, including, but not limited to, the scope, nature, amount, effective date and duration of any such measures. Furthermore, general uncertainty related to adopted, new or potential tariffs, trade restrictions and domestic sourcing requirements has in the past reduced and could in the future further reduce global economic activity, thereby resulting in additional adverse impacts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of the risks described above could have a material adverse effect on our business, financial condition, results of operations, cash flows, ability to pay dividends or repurchase shares, and/or stock price.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u w:val="single" w:color="auto"/>
          <w:color w:val="auto"/>
        </w:rPr>
        <w:t>Viatris Inc.</w:t>
      </w:r>
    </w:p>
    <w:p>
      <w:pPr>
        <w:spacing w:after="0" w:line="27"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w:t>
      </w:r>
    </w:p>
    <w:p>
      <w:pPr>
        <w:spacing w:after="0" w:line="25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2440" w:type="dxa"/>
            <w:vAlign w:val="bottom"/>
            <w:vMerge w:val="restart"/>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00" w:type="dxa"/>
            <w:vAlign w:val="bottom"/>
          </w:tcPr>
          <w:p>
            <w:pPr>
              <w:jc w:val="center"/>
              <w:ind w:left="74"/>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0" w:type="dxa"/>
            <w:vAlign w:val="bottom"/>
          </w:tcPr>
          <w:p>
            <w:pPr>
              <w:spacing w:after="0"/>
              <w:rPr>
                <w:sz w:val="1"/>
                <w:szCs w:val="1"/>
                <w:color w:val="auto"/>
              </w:rPr>
            </w:pPr>
          </w:p>
        </w:tc>
      </w:tr>
      <w:tr>
        <w:trPr>
          <w:trHeight w:val="135"/>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4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2000" w:type="dxa"/>
            <w:vAlign w:val="bottom"/>
          </w:tcPr>
          <w:p>
            <w:pPr>
              <w:jc w:val="center"/>
              <w:ind w:left="54"/>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0" w:type="dxa"/>
            <w:vAlign w:val="bottom"/>
          </w:tcPr>
          <w:p>
            <w:pPr>
              <w:spacing w:after="0"/>
              <w:rPr>
                <w:sz w:val="1"/>
                <w:szCs w:val="1"/>
                <w:color w:val="auto"/>
              </w:rPr>
            </w:pPr>
          </w:p>
        </w:tc>
      </w:tr>
      <w:tr>
        <w:trPr>
          <w:trHeight w:val="162"/>
        </w:trPr>
        <w:tc>
          <w:tcPr>
            <w:tcW w:w="1240" w:type="dxa"/>
            <w:vAlign w:val="bottom"/>
            <w:vMerge w:val="continue"/>
          </w:tcPr>
          <w:p>
            <w:pPr>
              <w:spacing w:after="0"/>
              <w:rPr>
                <w:sz w:val="14"/>
                <w:szCs w:val="14"/>
                <w:color w:val="auto"/>
              </w:rPr>
            </w:pPr>
          </w:p>
        </w:tc>
        <w:tc>
          <w:tcPr>
            <w:tcW w:w="2440" w:type="dxa"/>
            <w:vAlign w:val="bottom"/>
          </w:tcPr>
          <w:p>
            <w:pPr>
              <w:jc w:val="center"/>
              <w:ind w:left="628"/>
              <w:spacing w:after="0" w:line="162" w:lineRule="exact"/>
              <w:rPr>
                <w:sz w:val="20"/>
                <w:szCs w:val="20"/>
                <w:color w:val="auto"/>
              </w:rPr>
            </w:pPr>
            <w:r>
              <w:rPr>
                <w:rFonts w:ascii="Times New Roman" w:cs="Times New Roman" w:eastAsia="Times New Roman" w:hAnsi="Times New Roman"/>
                <w:sz w:val="14"/>
                <w:szCs w:val="14"/>
                <w:b w:val="1"/>
                <w:bCs w:val="1"/>
                <w:color w:val="auto"/>
                <w:w w:val="91"/>
              </w:rPr>
              <w:t xml:space="preserve">Purchased </w:t>
            </w:r>
            <w:r>
              <w:rPr>
                <w:rFonts w:ascii="Times New Roman" w:cs="Times New Roman" w:eastAsia="Times New Roman" w:hAnsi="Times New Roman"/>
                <w:sz w:val="18"/>
                <w:szCs w:val="18"/>
                <w:b w:val="1"/>
                <w:bCs w:val="1"/>
                <w:color w:val="auto"/>
                <w:w w:val="91"/>
                <w:vertAlign w:val="superscript"/>
              </w:rPr>
              <w:t>(a) (b)</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6"/>
              </w:rPr>
              <w:t xml:space="preserve">Share </w:t>
            </w:r>
            <w:r>
              <w:rPr>
                <w:rFonts w:ascii="Times New Roman" w:cs="Times New Roman" w:eastAsia="Times New Roman" w:hAnsi="Times New Roman"/>
                <w:sz w:val="18"/>
                <w:szCs w:val="18"/>
                <w:b w:val="1"/>
                <w:bCs w:val="1"/>
                <w:color w:val="auto"/>
                <w:w w:val="96"/>
                <w:vertAlign w:val="superscript"/>
              </w:rPr>
              <w:t>(c)</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9"/>
                <w:szCs w:val="9"/>
                <w:b w:val="1"/>
                <w:bCs w:val="1"/>
                <w:color w:val="auto"/>
              </w:rPr>
              <w:t>(a)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6" w:lineRule="exact"/>
        <w:rPr>
          <w:sz w:val="20"/>
          <w:szCs w:val="20"/>
          <w:color w:val="auto"/>
        </w:rPr>
      </w:pP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Shares that May Yet Be Purchased Under the Plans or Programs </w:t>
      </w:r>
      <w:r>
        <w:rPr>
          <w:rFonts w:ascii="Times New Roman" w:cs="Times New Roman" w:eastAsia="Times New Roman" w:hAnsi="Times New Roman"/>
          <w:sz w:val="9"/>
          <w:szCs w:val="9"/>
          <w:b w:val="1"/>
          <w:bCs w:val="1"/>
          <w:color w:val="auto"/>
        </w:rPr>
        <w:t>(a)</w:t>
      </w:r>
    </w:p>
    <w:p>
      <w:pPr>
        <w:spacing w:after="0" w:line="24" w:lineRule="exact"/>
        <w:rPr>
          <w:sz w:val="20"/>
          <w:szCs w:val="20"/>
          <w:color w:val="auto"/>
        </w:rPr>
      </w:pPr>
    </w:p>
    <w:p>
      <w:pPr>
        <w:sectPr>
          <w:pgSz w:w="11900" w:h="16838" w:orient="portrait"/>
          <w:cols w:equalWidth="0" w:num="2">
            <w:col w:w="8860" w:space="200"/>
            <w:col w:w="218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28,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 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18,607,602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18,607,602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1,324,630,514</w:t>
            </w:r>
          </w:p>
        </w:tc>
        <w:tc>
          <w:tcPr>
            <w:tcW w:w="0" w:type="dxa"/>
            <w:vAlign w:val="bottom"/>
          </w:tcPr>
          <w:p>
            <w:pPr>
              <w:spacing w:after="0"/>
              <w:rPr>
                <w:sz w:val="1"/>
                <w:szCs w:val="1"/>
                <w:color w:val="auto"/>
              </w:rPr>
            </w:pPr>
          </w:p>
        </w:tc>
      </w:tr>
      <w:tr>
        <w:trPr>
          <w:trHeight w:val="223"/>
        </w:trPr>
        <w:tc>
          <w:tcPr>
            <w:tcW w:w="3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18,607,602</w:t>
            </w:r>
          </w:p>
        </w:tc>
        <w:tc>
          <w:tcPr>
            <w:tcW w:w="7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18,607,602</w:t>
            </w:r>
          </w:p>
        </w:tc>
        <w:tc>
          <w:tcPr>
            <w:tcW w:w="7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1,324,630,514</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35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00" w:hanging="328"/>
        <w:spacing w:after="0" w:line="236" w:lineRule="auto"/>
        <w:tabs>
          <w:tab w:leader="none" w:pos="655"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Part I, Item 2.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Results of Operations – Recent Developments</w:t>
      </w:r>
      <w:r>
        <w:rPr>
          <w:rFonts w:ascii="Times New Roman" w:cs="Times New Roman" w:eastAsia="Times New Roman" w:hAnsi="Times New Roman"/>
          <w:sz w:val="18"/>
          <w:szCs w:val="18"/>
          <w:color w:val="auto"/>
        </w:rPr>
        <w:t xml:space="preserve"> of this Form 10-Q for additional information regarding the Company’s authorized share repurchase program. During the three months ended March 31, 2025, the Company repurchased approximately 18.6 million shares of common stock at a cost of approximately $175.4 million under this program.</w:t>
      </w:r>
    </w:p>
    <w:p>
      <w:pPr>
        <w:spacing w:after="0" w:line="8"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purchased is based on the purchase date and not the settlement date.</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per share includes commissions.</w:t>
      </w:r>
    </w:p>
    <w:p>
      <w:pPr>
        <w:spacing w:after="0" w:line="2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227"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4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7"/>
          <w:szCs w:val="17"/>
          <w:color w:val="auto"/>
        </w:rPr>
        <w:t>Offer Letter with Corinne Le Goff, dated February 16, 2024.*</w:t>
      </w:r>
    </w:p>
    <w:p>
      <w:pPr>
        <w:spacing w:after="0" w:line="239" w:lineRule="exact"/>
        <w:rPr>
          <w:sz w:val="20"/>
          <w:szCs w:val="20"/>
          <w:color w:val="auto"/>
        </w:rPr>
      </w:pPr>
    </w:p>
    <w:p>
      <w:pPr>
        <w:ind w:left="1120" w:right="140" w:hanging="1094"/>
        <w:spacing w:after="0" w:line="237" w:lineRule="auto"/>
        <w:tabs>
          <w:tab w:leader="none" w:pos="1120" w:val="left"/>
        </w:tabs>
        <w:numPr>
          <w:ilvl w:val="0"/>
          <w:numId w:val="4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subsidiary guarantors and issuers of guaranteed securities, filed by Viatris Inc. as Exhibit 22 to Form 10-K for the fiscal year ended December 31, 2024, and incorporated herein by reference.</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2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302 of the Sarbanes-Oxley Act of 2002.</w:t>
            </w:r>
          </w:p>
        </w:tc>
      </w:tr>
      <w:tr>
        <w:trPr>
          <w:trHeight w:val="426"/>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bl>
    <w:p>
      <w:pPr>
        <w:spacing w:after="0" w:line="238" w:lineRule="exact"/>
        <w:rPr>
          <w:sz w:val="20"/>
          <w:szCs w:val="20"/>
          <w:color w:val="auto"/>
        </w:rPr>
      </w:pPr>
    </w:p>
    <w:p>
      <w:pPr>
        <w:ind w:left="1120" w:hanging="1094"/>
        <w:spacing w:after="0"/>
        <w:tabs>
          <w:tab w:leader="none" w:pos="112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Definition Linkbase</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bl>
    <w:p>
      <w:pPr>
        <w:spacing w:after="0" w:line="265" w:lineRule="exact"/>
        <w:rPr>
          <w:sz w:val="20"/>
          <w:szCs w:val="20"/>
          <w:color w:val="auto"/>
        </w:rPr>
      </w:pPr>
    </w:p>
    <w:p>
      <w:pPr>
        <w:ind w:left="1120" w:hanging="1094"/>
        <w:spacing w:after="0" w:line="237" w:lineRule="auto"/>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A. Smith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2025</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720"/>
          </w:cols>
          <w:pgMar w:left="320" w:top="114" w:right="859" w:bottom="1440" w:gutter="0" w:footer="0" w:header="0"/>
        </w:sectPr>
      </w:pPr>
    </w:p>
    <w:bookmarkStart w:id="66" w:name="page67"/>
    <w:bookmarkEnd w:id="66"/>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[Viatris Letterhead]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16,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Corinne:</w:t>
      </w:r>
    </w:p>
    <w:p>
      <w:pPr>
        <w:spacing w:after="0" w:line="243"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On behalf of Viatris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 I am pleased to confirm the terms of employment offered by the Company in connection with your role as Chief Commercial Officer of the Company effective as of March 1, 2024,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w:t>
      </w:r>
    </w:p>
    <w:p>
      <w:pPr>
        <w:spacing w:after="0" w:line="173" w:lineRule="exact"/>
        <w:rPr>
          <w:sz w:val="20"/>
          <w:szCs w:val="20"/>
          <w:color w:val="auto"/>
        </w:rPr>
      </w:pPr>
    </w:p>
    <w:p>
      <w:pPr>
        <w:ind w:left="660" w:right="320" w:hanging="328"/>
        <w:spacing w:after="0" w:line="310" w:lineRule="auto"/>
        <w:tabs>
          <w:tab w:leader="none" w:pos="66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Position</w:t>
      </w:r>
      <w:r>
        <w:rPr>
          <w:rFonts w:ascii="Times New Roman" w:cs="Times New Roman" w:eastAsia="Times New Roman" w:hAnsi="Times New Roman"/>
          <w:sz w:val="19"/>
          <w:szCs w:val="19"/>
          <w:color w:val="auto"/>
        </w:rPr>
        <w:t>. Your position shall be Chief Commercial Officer, and you shall devote your full business time and attention to such position. You shall report to the Chief Executive Officer (the “</w:t>
      </w:r>
      <w:r>
        <w:rPr>
          <w:rFonts w:ascii="Times New Roman" w:cs="Times New Roman" w:eastAsia="Times New Roman" w:hAnsi="Times New Roman"/>
          <w:sz w:val="19"/>
          <w:szCs w:val="19"/>
          <w:u w:val="single" w:color="auto"/>
          <w:color w:val="auto"/>
        </w:rPr>
        <w:t>CEO</w:t>
      </w:r>
      <w:r>
        <w:rPr>
          <w:rFonts w:ascii="Times New Roman" w:cs="Times New Roman" w:eastAsia="Times New Roman" w:hAnsi="Times New Roman"/>
          <w:sz w:val="19"/>
          <w:szCs w:val="19"/>
          <w:color w:val="auto"/>
        </w:rPr>
        <w:t>”) and you shall perform such duties as requested by the CEO.</w:t>
      </w:r>
    </w:p>
    <w:p>
      <w:pPr>
        <w:spacing w:after="0" w:line="164" w:lineRule="exact"/>
        <w:rPr>
          <w:rFonts w:ascii="Times New Roman" w:cs="Times New Roman" w:eastAsia="Times New Roman" w:hAnsi="Times New Roman"/>
          <w:sz w:val="19"/>
          <w:szCs w:val="19"/>
          <w:color w:val="auto"/>
        </w:rPr>
      </w:pPr>
    </w:p>
    <w:p>
      <w:pPr>
        <w:ind w:left="660" w:right="240" w:hanging="328"/>
        <w:spacing w:after="0" w:line="269"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 Location</w:t>
      </w:r>
      <w:r>
        <w:rPr>
          <w:rFonts w:ascii="Times New Roman" w:cs="Times New Roman" w:eastAsia="Times New Roman" w:hAnsi="Times New Roman"/>
          <w:sz w:val="20"/>
          <w:szCs w:val="20"/>
          <w:color w:val="auto"/>
        </w:rPr>
        <w:t>. Your working time will be spent at Company offices in New York, Pittsburgh and other locations. You will also be required to travel as dictated by business needs.</w:t>
      </w:r>
    </w:p>
    <w:p>
      <w:pPr>
        <w:spacing w:after="0" w:line="199" w:lineRule="exact"/>
        <w:rPr>
          <w:rFonts w:ascii="Times New Roman" w:cs="Times New Roman" w:eastAsia="Times New Roman" w:hAnsi="Times New Roman"/>
          <w:sz w:val="20"/>
          <w:szCs w:val="20"/>
          <w:color w:val="auto"/>
        </w:rPr>
      </w:pPr>
    </w:p>
    <w:p>
      <w:pPr>
        <w:ind w:left="660" w:right="600" w:hanging="328"/>
        <w:spacing w:after="0" w:line="269"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Your annual base salary shall be $875,000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payable on the Company's standard payroll dates and subject to deductions and withholdings as required by applicable law.</w:t>
      </w:r>
    </w:p>
    <w:p>
      <w:pPr>
        <w:spacing w:after="0" w:line="199" w:lineRule="exact"/>
        <w:rPr>
          <w:rFonts w:ascii="Times New Roman" w:cs="Times New Roman" w:eastAsia="Times New Roman" w:hAnsi="Times New Roman"/>
          <w:sz w:val="20"/>
          <w:szCs w:val="20"/>
          <w:color w:val="auto"/>
        </w:rPr>
      </w:pPr>
    </w:p>
    <w:p>
      <w:pPr>
        <w:ind w:left="660" w:right="180" w:hanging="328"/>
        <w:spacing w:after="0" w:line="281" w:lineRule="auto"/>
        <w:tabs>
          <w:tab w:leader="none" w:pos="66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Incentive Bonus</w:t>
      </w:r>
      <w:r>
        <w:rPr>
          <w:rFonts w:ascii="Times New Roman" w:cs="Times New Roman" w:eastAsia="Times New Roman" w:hAnsi="Times New Roman"/>
          <w:sz w:val="19"/>
          <w:szCs w:val="19"/>
          <w:color w:val="auto"/>
        </w:rPr>
        <w:t>. Your target bonus opportunity shall be 100% of Base Salary and shall be prorated for 2024 to reflect a partial year of service (based on days). The terms and conditions of the annual incentive plan applicable to the Company' s officers, including the applicable performance goals, will be subject to the determination of the Board (or its applicable designee) each year.</w:t>
      </w:r>
    </w:p>
    <w:p>
      <w:pPr>
        <w:spacing w:after="0" w:line="191" w:lineRule="exact"/>
        <w:rPr>
          <w:rFonts w:ascii="Times New Roman" w:cs="Times New Roman" w:eastAsia="Times New Roman" w:hAnsi="Times New Roman"/>
          <w:sz w:val="19"/>
          <w:szCs w:val="19"/>
          <w:color w:val="auto"/>
        </w:rPr>
      </w:pPr>
    </w:p>
    <w:p>
      <w:pPr>
        <w:ind w:left="660" w:right="100" w:hanging="328"/>
        <w:spacing w:after="0" w:line="253"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Long-Term Incentive Awards</w:t>
      </w:r>
      <w:r>
        <w:rPr>
          <w:rFonts w:ascii="Times New Roman" w:cs="Times New Roman" w:eastAsia="Times New Roman" w:hAnsi="Times New Roman"/>
          <w:sz w:val="20"/>
          <w:szCs w:val="20"/>
          <w:color w:val="auto"/>
        </w:rPr>
        <w:t>. During your employment with the Company, you shall be eligible to receive annual grants of long-term incentive awards as determined by the Board (or its applicable designee). It is intended that the grant date value of such awards shall equal for 400% of Base Salary. The terms and conditions of the long-term incentive plan applicable to the Company's officers, including the applicable performance goals, the mix of long-term incentive vehicles and the timing of applicable grants, will be subject to the determination of the Board (or its applicable designee) each year.</w:t>
      </w:r>
    </w:p>
    <w:p>
      <w:pPr>
        <w:spacing w:after="0" w:line="218" w:lineRule="exact"/>
        <w:rPr>
          <w:rFonts w:ascii="Times New Roman" w:cs="Times New Roman" w:eastAsia="Times New Roman" w:hAnsi="Times New Roman"/>
          <w:sz w:val="20"/>
          <w:szCs w:val="20"/>
          <w:color w:val="auto"/>
        </w:rPr>
      </w:pPr>
    </w:p>
    <w:p>
      <w:pPr>
        <w:ind w:left="660" w:right="420" w:hanging="328"/>
        <w:spacing w:after="0" w:line="254"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Sign on One-Time Long-Term Incentive Award</w:t>
      </w:r>
      <w:r>
        <w:rPr>
          <w:rFonts w:ascii="Times New Roman" w:cs="Times New Roman" w:eastAsia="Times New Roman" w:hAnsi="Times New Roman"/>
          <w:sz w:val="20"/>
          <w:szCs w:val="20"/>
          <w:color w:val="auto"/>
        </w:rPr>
        <w:t>. At the time of hire, you shall be eligible to receive a one-time grant of restricted stock units (RSUs). It is intended that the grant date value of such award on hire date shall equal 100% of your Base Salary. The award will have a graded vesting schedule of 50% on the first anniversary of the award grant date and the remaining balance on the second anniversary of the award grant date.</w:t>
      </w:r>
    </w:p>
    <w:p>
      <w:pPr>
        <w:spacing w:after="0" w:line="214" w:lineRule="exact"/>
        <w:rPr>
          <w:rFonts w:ascii="Times New Roman" w:cs="Times New Roman" w:eastAsia="Times New Roman" w:hAnsi="Times New Roman"/>
          <w:sz w:val="20"/>
          <w:szCs w:val="20"/>
          <w:color w:val="auto"/>
        </w:rPr>
      </w:pPr>
    </w:p>
    <w:p>
      <w:pPr>
        <w:ind w:left="660" w:right="160" w:hanging="328"/>
        <w:spacing w:after="0" w:line="253"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In the event you are terminated by the Company without Cause following the commencement of your employment, you will be entitled to receive a severance payment equal to (i) the Severance Multiple multiplied by (ii) the sum of your Base Salary and target annual bonus in effect at the time of such termination. For purposes of this offer letter, the Severance Multiple means (x) one-half (0.5) in the event of a termination on or prior to March l, 2025 and one (1) thereafter. For the avoidance of doubt, you acknowledge and agree that upon any termination of your employment with the Company, you will be deemed to have immediately resigned from the Board and the board of directors (or equivalent) of any of the Company's affiliates or subsidiaries and from any officer positions with the Company and its affiliates or</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7" w:lineRule="exact"/>
        <w:rPr>
          <w:sz w:val="20"/>
          <w:szCs w:val="20"/>
          <w:color w:val="auto"/>
        </w:rPr>
      </w:pPr>
    </w:p>
    <w:p>
      <w:pPr>
        <w:ind w:left="660" w:right="300"/>
        <w:spacing w:after="0" w:line="258" w:lineRule="auto"/>
        <w:rPr>
          <w:sz w:val="20"/>
          <w:szCs w:val="20"/>
          <w:color w:val="auto"/>
        </w:rPr>
      </w:pPr>
      <w:r>
        <w:rPr>
          <w:rFonts w:ascii="Times New Roman" w:cs="Times New Roman" w:eastAsia="Times New Roman" w:hAnsi="Times New Roman"/>
          <w:sz w:val="20"/>
          <w:szCs w:val="20"/>
          <w:color w:val="auto"/>
        </w:rPr>
        <w:t>subsidiaries. The severance hereunder, if applicable, will be paid to you in the form of installments over a period of months corresponding to the severance period, on the Company's normal payroll dates, beginning no later than 60 days after your termination date, subject to your execution and non-revocation of the customary Company release of claims agreement signed by similarly situated senior executive officers.</w:t>
      </w:r>
    </w:p>
    <w:p>
      <w:pPr>
        <w:spacing w:after="0" w:line="199" w:lineRule="exact"/>
        <w:rPr>
          <w:sz w:val="20"/>
          <w:szCs w:val="20"/>
          <w:color w:val="auto"/>
        </w:rPr>
      </w:pPr>
    </w:p>
    <w:p>
      <w:pPr>
        <w:ind w:left="660" w:right="460" w:hanging="328"/>
        <w:spacing w:after="0" w:line="261"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your employment with the Company, you shall be eligible to participate in all of the various employee benefit plans and programs which are made available to similarly situated officers of the Company, in accordance with the eligibility provisions and other terms and conditions of such plans and programs.</w:t>
      </w:r>
    </w:p>
    <w:p>
      <w:pPr>
        <w:spacing w:after="0" w:line="208" w:lineRule="exact"/>
        <w:rPr>
          <w:rFonts w:ascii="Times New Roman" w:cs="Times New Roman" w:eastAsia="Times New Roman" w:hAnsi="Times New Roman"/>
          <w:sz w:val="20"/>
          <w:szCs w:val="20"/>
          <w:color w:val="auto"/>
        </w:rPr>
      </w:pPr>
    </w:p>
    <w:p>
      <w:pPr>
        <w:jc w:val="both"/>
        <w:ind w:left="660" w:right="260" w:hanging="328"/>
        <w:spacing w:after="0" w:line="261"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The Company may deduct and withhold from any amount payable under this offer letter such Federal, state, local, foreign or other taxes as are required to be withheld. The validity, interpretation, construction and performance of this offer letter will be governed by the laws of the Commonwealth of Pennsylvania (without giving effect to its conflicts of law).</w:t>
      </w:r>
    </w:p>
    <w:p>
      <w:pPr>
        <w:spacing w:after="0" w:line="208"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20"/>
          <w:szCs w:val="20"/>
          <w:color w:val="auto"/>
        </w:rPr>
        <w:t>This offer is also contingent upon execution by you of any applicable agreements relating to your employment with the Company (or an affiliate of the Company) (including any applicable confidentiality and/or restrictive covenant agreement), in each case, in a form consistent with such agreement to be entered into with similarly situated Company officers, which may be provided to you at a later date.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To confirm your acceptance of this offer, please sign and return the original to me.</w:t>
      </w:r>
    </w:p>
    <w:p>
      <w:pPr>
        <w:spacing w:after="0" w:line="243"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Your passion and commitment give us every reason to believe that together we will set new standards in healthcare and provide access to high quality medicine for the world's 7 billion people.</w:t>
      </w:r>
    </w:p>
    <w:p>
      <w:pPr>
        <w:spacing w:after="0" w:line="1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Sincerely,</w:t>
      </w:r>
    </w:p>
    <w:p>
      <w:pPr>
        <w:spacing w:after="0" w:line="2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u w:val="single" w:color="auto"/>
          <w:color w:val="auto"/>
        </w:rPr>
        <w:t>/s/ Andrew Enrietti</w:t>
      </w:r>
    </w:p>
    <w:p>
      <w:pPr>
        <w:spacing w:after="0" w:line="2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Andrew Enrietti</w:t>
      </w:r>
    </w:p>
    <w:p>
      <w:pPr>
        <w:spacing w:after="0" w:line="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Chief Human Relations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Corinne Le Goff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19, 2024</w:t>
      </w:r>
    </w:p>
    <w:p>
      <w:pPr>
        <w:sectPr>
          <w:pgSz w:w="11900" w:h="16838" w:orient="portrait"/>
          <w:cols w:equalWidth="0" w:num="1">
            <w:col w:w="11180"/>
          </w:cols>
          <w:pgMar w:left="320" w:top="1440" w:right="39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Smith, certify that:</w:t>
      </w:r>
    </w:p>
    <w:p>
      <w:pPr>
        <w:spacing w:after="0" w:line="131" w:lineRule="exact"/>
        <w:rPr>
          <w:sz w:val="20"/>
          <w:szCs w:val="20"/>
          <w:color w:val="auto"/>
        </w:rPr>
      </w:pPr>
    </w:p>
    <w:p>
      <w:pPr>
        <w:ind w:left="640" w:hanging="187"/>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34290</wp:posOffset>
            </wp:positionV>
            <wp:extent cx="25031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ectPr>
          <w:pgSz w:w="11900" w:h="16838" w:orient="portrait"/>
          <w:cols w:equalWidth="0" w:num="1">
            <w:col w:w="11240"/>
          </w:cols>
          <w:pgMar w:left="320" w:top="90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Theodora Mistras, certify that:</w:t>
      </w:r>
    </w:p>
    <w:p>
      <w:pPr>
        <w:spacing w:after="0" w:line="131" w:lineRule="exact"/>
        <w:rPr>
          <w:sz w:val="20"/>
          <w:szCs w:val="20"/>
          <w:color w:val="auto"/>
        </w:rPr>
      </w:pPr>
    </w:p>
    <w:p>
      <w:pPr>
        <w:ind w:left="640" w:hanging="187"/>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ectPr>
          <w:pgSz w:w="11900" w:h="16838" w:orient="portrait"/>
          <w:cols w:equalWidth="0" w:num="1">
            <w:col w:w="11240"/>
          </w:cols>
          <w:pgMar w:left="320" w:top="90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6" w:lineRule="exact"/>
        <w:rPr>
          <w:sz w:val="20"/>
          <w:szCs w:val="20"/>
          <w:color w:val="auto"/>
        </w:rPr>
      </w:pPr>
    </w:p>
    <w:p>
      <w:pPr>
        <w:ind w:right="140" w:firstLine="445"/>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Viatris Inc. (the “Company”) for the period ended March 31, 2025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8" w:lineRule="exact"/>
        <w:rPr>
          <w:sz w:val="20"/>
          <w:szCs w:val="20"/>
          <w:color w:val="auto"/>
        </w:rPr>
      </w:pPr>
    </w:p>
    <w:p>
      <w:pPr>
        <w:ind w:left="1080" w:hanging="181"/>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080" w:hanging="181"/>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198" w:lineRule="exact"/>
        <w:rPr>
          <w:sz w:val="20"/>
          <w:szCs w:val="20"/>
          <w:color w:val="auto"/>
        </w:rPr>
      </w:pPr>
    </w:p>
    <w:p>
      <w:pPr>
        <w:ind w:right="420" w:firstLine="445"/>
        <w:spacing w:after="0" w:line="32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94" w:lineRule="exact"/>
        <w:rPr>
          <w:sz w:val="20"/>
          <w:szCs w:val="20"/>
          <w:color w:val="auto"/>
        </w:rPr>
      </w:pPr>
    </w:p>
    <w:p>
      <w:pPr>
        <w:ind w:right="520" w:firstLine="445"/>
        <w:spacing w:after="0" w:line="329" w:lineRule="auto"/>
        <w:rPr>
          <w:sz w:val="20"/>
          <w:szCs w:val="20"/>
          <w:color w:val="auto"/>
        </w:rPr>
      </w:pPr>
      <w:r>
        <w:rPr>
          <w:rFonts w:ascii="Times New Roman" w:cs="Times New Roman" w:eastAsia="Times New Roman" w:hAnsi="Times New Roman"/>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decimal"/>
      <w:start w:val="3"/>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1."/>
      <w:numFmt w:val="decimal"/>
      <w:start w:val="5"/>
    </w:lvl>
  </w:abstractNum>
  <w:abstractNum w:abstractNumId="10">
    <w:nsid w:val="2901D82"/>
    <w:multiLevelType w:val="hybridMultilevel"/>
    <w:lvl w:ilvl="0">
      <w:lvlJc w:val="left"/>
      <w:lvlText w:val="%1."/>
      <w:numFmt w:val="decimal"/>
      <w:start w:val="6"/>
    </w:lvl>
  </w:abstractNum>
  <w:abstractNum w:abstractNumId="11">
    <w:nsid w:val="3A95F874"/>
    <w:multiLevelType w:val="hybridMultilevel"/>
    <w:lvl w:ilvl="0">
      <w:lvlJc w:val="left"/>
      <w:lvlText w:val="%1."/>
      <w:numFmt w:val="decimal"/>
      <w:start w:val="7"/>
    </w:lvl>
  </w:abstractNum>
  <w:abstractNum w:abstractNumId="12">
    <w:nsid w:val="8138641"/>
    <w:multiLevelType w:val="hybridMultilevel"/>
    <w:lvl w:ilvl="0">
      <w:lvlJc w:val="left"/>
      <w:lvlText w:val="%1."/>
      <w:numFmt w:val="decimal"/>
      <w:start w:val="9"/>
    </w:lvl>
  </w:abstractNum>
  <w:abstractNum w:abstractNumId="13">
    <w:nsid w:val="1E7FF521"/>
    <w:multiLevelType w:val="hybridMultilevel"/>
    <w:lvl w:ilvl="0">
      <w:lvlJc w:val="left"/>
      <w:lvlText w:val="%1."/>
      <w:numFmt w:val="decimal"/>
      <w:start w:val="10"/>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Roman"/>
      <w:start w:val="3"/>
    </w:lvl>
    <w:lvl w:ilvl="1">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22"/>
    </w:lvl>
  </w:abstractNum>
  <w:abstractNum w:abstractNumId="40">
    <w:nsid w:val="725A06FB"/>
    <w:multiLevelType w:val="hybridMultilevel"/>
    <w:lvl w:ilvl="0">
      <w:lvlJc w:val="left"/>
      <w:lvlText w:val="%1"/>
      <w:numFmt w:val="decimal"/>
      <w:start w:val="32"/>
    </w:lvl>
  </w:abstractNum>
  <w:abstractNum w:abstractNumId="41">
    <w:nsid w:val="2CD89A32"/>
    <w:multiLevelType w:val="hybridMultilevel"/>
    <w:lvl w:ilvl="0">
      <w:lvlJc w:val="left"/>
      <w:lvlText w:val="%1"/>
      <w:numFmt w:val="decimal"/>
      <w:start w:val="104"/>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8"/>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2025-05-08T08:27:33Z</dcterms:created>
  <dcterms:modified xsi:type="dcterms:W3CDTF">2025-05-08T08:27:33Z</dcterms:modified>
</cp:coreProperties>
</file>