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4"/>
          <w:szCs w:val="24"/>
          <w:color w:val="auto"/>
        </w:rPr>
      </w:pPr>
    </w:p>
    <w:p>
      <w:pPr>
        <w:jc w:val="center"/>
        <w:ind w:right="-139"/>
        <w:spacing w:after="0"/>
        <w:rPr>
          <w:sz w:val="20"/>
          <w:szCs w:val="20"/>
          <w:color w:val="auto"/>
        </w:rPr>
      </w:pPr>
      <w:r>
        <w:rPr>
          <w:rFonts w:ascii="Arial" w:cs="Arial" w:eastAsia="Arial" w:hAnsi="Arial"/>
          <w:sz w:val="27"/>
          <w:szCs w:val="27"/>
          <w:color w:val="auto"/>
        </w:rPr>
        <w:t>UNITED STATES</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27"/>
          <w:szCs w:val="27"/>
          <w:color w:val="auto"/>
        </w:rPr>
        <w:t>SECURITIES AND EXCHANGE COMMISSION</w:t>
      </w: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70" w:lineRule="exact"/>
        <w:rPr>
          <w:sz w:val="24"/>
          <w:szCs w:val="24"/>
          <w:color w:val="auto"/>
        </w:rPr>
      </w:pPr>
    </w:p>
    <w:p>
      <w:pPr>
        <w:jc w:val="center"/>
        <w:ind w:right="-139"/>
        <w:spacing w:after="0"/>
        <w:rPr>
          <w:sz w:val="20"/>
          <w:szCs w:val="20"/>
          <w:color w:val="auto"/>
        </w:rPr>
      </w:pPr>
      <w:r>
        <w:rPr>
          <w:rFonts w:ascii="Arial" w:cs="Arial" w:eastAsia="Arial" w:hAnsi="Arial"/>
          <w:sz w:val="27"/>
          <w:szCs w:val="27"/>
          <w:color w:val="auto"/>
        </w:rPr>
        <w:t>FORM 10-Q</w:t>
      </w:r>
    </w:p>
    <w:p>
      <w:pPr>
        <w:spacing w:after="0" w:line="125" w:lineRule="exact"/>
        <w:rPr>
          <w:sz w:val="24"/>
          <w:szCs w:val="24"/>
          <w:color w:val="auto"/>
        </w:rPr>
      </w:pPr>
    </w:p>
    <w:p>
      <w:pPr>
        <w:ind w:left="3460" w:hanging="248"/>
        <w:spacing w:after="0"/>
        <w:tabs>
          <w:tab w:leader="none" w:pos="3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w:t>
      </w:r>
    </w:p>
    <w:p>
      <w:pPr>
        <w:spacing w:after="0" w:line="21" w:lineRule="exact"/>
        <w:rPr>
          <w:rFonts w:ascii="MS PGothic" w:cs="MS PGothic" w:eastAsia="MS PGothic" w:hAnsi="MS PGothic"/>
          <w:sz w:val="17"/>
          <w:szCs w:val="17"/>
          <w:color w:val="auto"/>
        </w:rPr>
      </w:pPr>
    </w:p>
    <w:p>
      <w:pPr>
        <w:ind w:left="3820"/>
        <w:spacing w:after="0"/>
        <w:rPr>
          <w:rFonts w:ascii="MS PGothic" w:cs="MS PGothic" w:eastAsia="MS PGothic" w:hAnsi="MS PGothic"/>
          <w:sz w:val="17"/>
          <w:szCs w:val="17"/>
          <w:color w:val="auto"/>
        </w:rPr>
      </w:pPr>
      <w:r>
        <w:rPr>
          <w:rFonts w:ascii="Arial" w:cs="Arial" w:eastAsia="Arial" w:hAnsi="Arial"/>
          <w:sz w:val="17"/>
          <w:szCs w:val="17"/>
          <w:color w:val="auto"/>
        </w:rPr>
        <w:t>OF THE SECURITIES EXCHANGE ACT OF 1934</w:t>
      </w:r>
    </w:p>
    <w:p>
      <w:pPr>
        <w:spacing w:after="0" w:line="9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For the quarterly period ended March 29, 2020</w:t>
      </w:r>
    </w:p>
    <w:p>
      <w:pPr>
        <w:spacing w:after="0" w:line="119"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OR</w:t>
      </w:r>
    </w:p>
    <w:p>
      <w:pPr>
        <w:spacing w:after="0" w:line="129" w:lineRule="exact"/>
        <w:rPr>
          <w:sz w:val="24"/>
          <w:szCs w:val="24"/>
          <w:color w:val="auto"/>
        </w:rPr>
      </w:pPr>
    </w:p>
    <w:p>
      <w:pPr>
        <w:jc w:val="both"/>
        <w:ind w:left="3460" w:right="3340" w:firstLine="48"/>
        <w:spacing w:after="0" w:line="306" w:lineRule="auto"/>
        <w:tabs>
          <w:tab w:leader="none" w:pos="3828"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3" w:lineRule="exact"/>
        <w:rPr>
          <w:sz w:val="24"/>
          <w:szCs w:val="24"/>
          <w:color w:val="auto"/>
        </w:rPr>
      </w:pPr>
    </w:p>
    <w:p>
      <w:pPr>
        <w:ind w:left="3880"/>
        <w:spacing w:after="0"/>
        <w:rPr>
          <w:sz w:val="20"/>
          <w:szCs w:val="20"/>
          <w:color w:val="auto"/>
        </w:rPr>
      </w:pPr>
      <w:r>
        <w:rPr>
          <w:rFonts w:ascii="Arial" w:cs="Arial" w:eastAsia="Arial" w:hAnsi="Arial"/>
          <w:sz w:val="17"/>
          <w:szCs w:val="17"/>
          <w:color w:val="auto"/>
        </w:rPr>
        <w:t>For the transition period from _______ to _______</w:t>
      </w:r>
    </w:p>
    <w:p>
      <w:pPr>
        <w:spacing w:after="0" w:line="224"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u w:val="single" w:color="auto"/>
          <w:color w:val="auto"/>
        </w:rPr>
        <w:t>Commission file number 000-56114</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UPJOHN INC.</w:t>
      </w:r>
    </w:p>
    <w:p>
      <w:pPr>
        <w:spacing w:after="0" w:line="20"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(Exact name of registrant as specified in its charter)</w:t>
      </w:r>
    </w:p>
    <w:p>
      <w:pPr>
        <w:spacing w:after="0" w:line="138"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3560" w:type="dxa"/>
            <w:vAlign w:val="bottom"/>
            <w:gridSpan w:val="3"/>
          </w:tcPr>
          <w:p>
            <w:pPr>
              <w:jc w:val="center"/>
              <w:ind w:right="555"/>
              <w:spacing w:after="0"/>
              <w:rPr>
                <w:sz w:val="20"/>
                <w:szCs w:val="20"/>
                <w:color w:val="auto"/>
              </w:rPr>
            </w:pPr>
            <w:r>
              <w:rPr>
                <w:rFonts w:ascii="Arial" w:cs="Arial" w:eastAsia="Arial" w:hAnsi="Arial"/>
                <w:sz w:val="17"/>
                <w:szCs w:val="17"/>
                <w:b w:val="1"/>
                <w:bCs w:val="1"/>
                <w:color w:val="auto"/>
                <w:w w:val="91"/>
              </w:rPr>
              <w:t>Delaware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tcPr>
          <w:p>
            <w:pPr>
              <w:jc w:val="right"/>
              <w:ind w:right="2039"/>
              <w:spacing w:after="0"/>
              <w:rPr>
                <w:sz w:val="20"/>
                <w:szCs w:val="20"/>
                <w:color w:val="auto"/>
              </w:rPr>
            </w:pPr>
            <w:r>
              <w:rPr>
                <w:rFonts w:ascii="Arial" w:cs="Arial" w:eastAsia="Arial" w:hAnsi="Arial"/>
                <w:sz w:val="17"/>
                <w:szCs w:val="17"/>
                <w:b w:val="1"/>
                <w:bCs w:val="1"/>
                <w:color w:val="auto"/>
                <w:w w:val="99"/>
              </w:rPr>
              <w:t>83-4364296</w:t>
            </w:r>
          </w:p>
        </w:tc>
      </w:tr>
      <w:tr>
        <w:trPr>
          <w:trHeight w:val="270"/>
        </w:trPr>
        <w:tc>
          <w:tcPr>
            <w:tcW w:w="4140" w:type="dxa"/>
            <w:vAlign w:val="bottom"/>
            <w:gridSpan w:val="4"/>
          </w:tcPr>
          <w:p>
            <w:pPr>
              <w:jc w:val="center"/>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460" w:type="dxa"/>
            <w:vAlign w:val="bottom"/>
            <w:gridSpan w:val="3"/>
          </w:tcPr>
          <w:p>
            <w:pPr>
              <w:jc w:val="center"/>
              <w:ind w:right="539"/>
              <w:spacing w:after="0"/>
              <w:rPr>
                <w:sz w:val="20"/>
                <w:szCs w:val="20"/>
                <w:color w:val="auto"/>
              </w:rPr>
            </w:pPr>
            <w:r>
              <w:rPr>
                <w:rFonts w:ascii="Arial" w:cs="Arial" w:eastAsia="Arial" w:hAnsi="Arial"/>
                <w:sz w:val="17"/>
                <w:szCs w:val="17"/>
                <w:color w:val="auto"/>
                <w:w w:val="94"/>
              </w:rPr>
              <w:t>(I.R.S. Employer Identification No.)</w:t>
            </w:r>
          </w:p>
        </w:tc>
      </w:tr>
      <w:tr>
        <w:trPr>
          <w:trHeight w:val="297"/>
        </w:trPr>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20" w:type="dxa"/>
            <w:vAlign w:val="bottom"/>
            <w:gridSpan w:val="5"/>
          </w:tcPr>
          <w:p>
            <w:pPr>
              <w:jc w:val="center"/>
              <w:ind w:right="240"/>
              <w:spacing w:after="0"/>
              <w:rPr>
                <w:sz w:val="20"/>
                <w:szCs w:val="20"/>
                <w:color w:val="auto"/>
              </w:rPr>
            </w:pPr>
            <w:r>
              <w:rPr>
                <w:rFonts w:ascii="Arial" w:cs="Arial" w:eastAsia="Arial" w:hAnsi="Arial"/>
                <w:sz w:val="17"/>
                <w:szCs w:val="17"/>
                <w:color w:val="auto"/>
                <w:w w:val="90"/>
              </w:rPr>
              <w:t>235 East 42</w:t>
            </w:r>
            <w:r>
              <w:rPr>
                <w:rFonts w:ascii="Arial" w:cs="Arial" w:eastAsia="Arial" w:hAnsi="Arial"/>
                <w:sz w:val="25"/>
                <w:szCs w:val="25"/>
                <w:color w:val="auto"/>
                <w:w w:val="90"/>
                <w:vertAlign w:val="superscript"/>
              </w:rPr>
              <w:t>nd</w:t>
            </w:r>
            <w:r>
              <w:rPr>
                <w:rFonts w:ascii="Arial" w:cs="Arial" w:eastAsia="Arial" w:hAnsi="Arial"/>
                <w:sz w:val="17"/>
                <w:szCs w:val="17"/>
                <w:color w:val="auto"/>
                <w:w w:val="90"/>
              </w:rPr>
              <w:t xml:space="preserve"> Street, New York, New York 10017</w:t>
            </w:r>
          </w:p>
        </w:tc>
        <w:tc>
          <w:tcPr>
            <w:tcW w:w="3040" w:type="dxa"/>
            <w:vAlign w:val="bottom"/>
          </w:tcPr>
          <w:p>
            <w:pPr>
              <w:spacing w:after="0"/>
              <w:rPr>
                <w:sz w:val="24"/>
                <w:szCs w:val="24"/>
                <w:color w:val="auto"/>
              </w:rPr>
            </w:pPr>
          </w:p>
        </w:tc>
      </w:tr>
      <w:tr>
        <w:trPr>
          <w:trHeight w:val="206"/>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20" w:type="dxa"/>
            <w:vAlign w:val="bottom"/>
            <w:gridSpan w:val="5"/>
          </w:tcPr>
          <w:p>
            <w:pPr>
              <w:jc w:val="center"/>
              <w:ind w:right="240"/>
              <w:spacing w:after="0"/>
              <w:rPr>
                <w:sz w:val="20"/>
                <w:szCs w:val="20"/>
                <w:color w:val="auto"/>
              </w:rPr>
            </w:pPr>
            <w:r>
              <w:rPr>
                <w:rFonts w:ascii="Arial" w:cs="Arial" w:eastAsia="Arial" w:hAnsi="Arial"/>
                <w:sz w:val="17"/>
                <w:szCs w:val="17"/>
                <w:color w:val="auto"/>
                <w:w w:val="93"/>
              </w:rPr>
              <w:t>(Address of principal executive offices) (Zip Code)</w:t>
            </w:r>
          </w:p>
        </w:tc>
        <w:tc>
          <w:tcPr>
            <w:tcW w:w="304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40" w:type="dxa"/>
            <w:vAlign w:val="bottom"/>
            <w:gridSpan w:val="2"/>
          </w:tcPr>
          <w:p>
            <w:pPr>
              <w:jc w:val="center"/>
              <w:ind w:right="221"/>
              <w:spacing w:after="0"/>
              <w:rPr>
                <w:sz w:val="20"/>
                <w:szCs w:val="20"/>
                <w:color w:val="auto"/>
              </w:rPr>
            </w:pPr>
            <w:r>
              <w:rPr>
                <w:rFonts w:ascii="Arial" w:cs="Arial" w:eastAsia="Arial" w:hAnsi="Arial"/>
                <w:sz w:val="18"/>
                <w:szCs w:val="18"/>
                <w:color w:val="auto"/>
                <w:w w:val="90"/>
              </w:rPr>
              <w:t>(212) 733-2323</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20" w:type="dxa"/>
            <w:vAlign w:val="bottom"/>
            <w:gridSpan w:val="5"/>
          </w:tcPr>
          <w:p>
            <w:pPr>
              <w:jc w:val="center"/>
              <w:ind w:right="240"/>
              <w:spacing w:after="0"/>
              <w:rPr>
                <w:sz w:val="20"/>
                <w:szCs w:val="20"/>
                <w:color w:val="auto"/>
              </w:rPr>
            </w:pPr>
            <w:r>
              <w:rPr>
                <w:rFonts w:ascii="Arial" w:cs="Arial" w:eastAsia="Arial" w:hAnsi="Arial"/>
                <w:sz w:val="17"/>
                <w:szCs w:val="17"/>
                <w:color w:val="auto"/>
                <w:w w:val="90"/>
              </w:rPr>
              <w:t>(Registrant’s telephone number, including area code)</w:t>
            </w:r>
          </w:p>
        </w:tc>
        <w:tc>
          <w:tcPr>
            <w:tcW w:w="3040" w:type="dxa"/>
            <w:vAlign w:val="bottom"/>
          </w:tcPr>
          <w:p>
            <w:pPr>
              <w:spacing w:after="0"/>
              <w:rPr>
                <w:sz w:val="18"/>
                <w:szCs w:val="18"/>
                <w:color w:val="auto"/>
              </w:rPr>
            </w:pPr>
          </w:p>
        </w:tc>
      </w:tr>
      <w:tr>
        <w:trPr>
          <w:trHeight w:val="314"/>
        </w:trPr>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300" w:type="dxa"/>
            <w:vAlign w:val="bottom"/>
            <w:gridSpan w:val="6"/>
          </w:tcPr>
          <w:p>
            <w:pPr>
              <w:jc w:val="center"/>
              <w:ind w:left="555"/>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3040" w:type="dxa"/>
            <w:vAlign w:val="bottom"/>
          </w:tcPr>
          <w:p>
            <w:pPr>
              <w:spacing w:after="0"/>
              <w:rPr>
                <w:sz w:val="24"/>
                <w:szCs w:val="24"/>
                <w:color w:val="auto"/>
              </w:rPr>
            </w:pPr>
          </w:p>
        </w:tc>
      </w:tr>
      <w:tr>
        <w:trPr>
          <w:trHeight w:val="318"/>
        </w:trPr>
        <w:tc>
          <w:tcPr>
            <w:tcW w:w="580" w:type="dxa"/>
            <w:vAlign w:val="bottom"/>
          </w:tcPr>
          <w:p>
            <w:pPr>
              <w:spacing w:after="0"/>
              <w:rPr>
                <w:sz w:val="24"/>
                <w:szCs w:val="24"/>
                <w:color w:val="auto"/>
              </w:rPr>
            </w:pPr>
          </w:p>
        </w:tc>
        <w:tc>
          <w:tcPr>
            <w:tcW w:w="2100" w:type="dxa"/>
            <w:vAlign w:val="bottom"/>
            <w:gridSpan w:val="2"/>
          </w:tcPr>
          <w:p>
            <w:pPr>
              <w:jc w:val="center"/>
              <w:ind w:right="795"/>
              <w:spacing w:after="0"/>
              <w:rPr>
                <w:sz w:val="20"/>
                <w:szCs w:val="20"/>
                <w:color w:val="auto"/>
              </w:rPr>
            </w:pPr>
            <w:r>
              <w:rPr>
                <w:rFonts w:ascii="Arial" w:cs="Arial" w:eastAsia="Arial" w:hAnsi="Arial"/>
                <w:sz w:val="17"/>
                <w:szCs w:val="17"/>
                <w:color w:val="auto"/>
                <w:w w:val="89"/>
              </w:rPr>
              <w:t>Title of each class</w:t>
            </w:r>
          </w:p>
        </w:tc>
        <w:tc>
          <w:tcPr>
            <w:tcW w:w="14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gridSpan w:val="2"/>
          </w:tcPr>
          <w:p>
            <w:pPr>
              <w:jc w:val="center"/>
              <w:ind w:right="1095"/>
              <w:spacing w:after="0"/>
              <w:rPr>
                <w:sz w:val="20"/>
                <w:szCs w:val="20"/>
                <w:color w:val="auto"/>
              </w:rPr>
            </w:pPr>
            <w:r>
              <w:rPr>
                <w:rFonts w:ascii="Arial" w:cs="Arial" w:eastAsia="Arial" w:hAnsi="Arial"/>
                <w:sz w:val="17"/>
                <w:szCs w:val="17"/>
                <w:color w:val="auto"/>
                <w:w w:val="92"/>
              </w:rPr>
              <w:t>Trading Symbol(s)</w:t>
            </w:r>
          </w:p>
        </w:tc>
        <w:tc>
          <w:tcPr>
            <w:tcW w:w="24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184"/>
        </w:trPr>
        <w:tc>
          <w:tcPr>
            <w:tcW w:w="580" w:type="dxa"/>
            <w:vAlign w:val="bottom"/>
          </w:tcPr>
          <w:p>
            <w:pPr>
              <w:spacing w:after="0"/>
              <w:rPr>
                <w:sz w:val="16"/>
                <w:szCs w:val="16"/>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None</w:t>
            </w:r>
          </w:p>
        </w:tc>
        <w:tc>
          <w:tcPr>
            <w:tcW w:w="234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420" w:type="dxa"/>
            <w:vAlign w:val="bottom"/>
            <w:gridSpan w:val="2"/>
          </w:tcPr>
          <w:p>
            <w:pPr>
              <w:spacing w:after="0"/>
              <w:rPr>
                <w:sz w:val="16"/>
                <w:szCs w:val="16"/>
                <w:color w:val="auto"/>
              </w:rPr>
            </w:pP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75" w:lineRule="exact"/>
        <w:rPr>
          <w:sz w:val="24"/>
          <w:szCs w:val="24"/>
          <w:color w:val="auto"/>
        </w:rPr>
      </w:pPr>
    </w:p>
    <w:p>
      <w:pPr>
        <w:jc w:val="both"/>
        <w:ind w:left="120" w:right="100"/>
        <w:spacing w:after="0" w:line="26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6" w:lineRule="exact"/>
        <w:rPr>
          <w:sz w:val="24"/>
          <w:szCs w:val="24"/>
          <w:color w:val="auto"/>
        </w:rPr>
      </w:pPr>
    </w:p>
    <w:p>
      <w:pPr>
        <w:ind w:left="120"/>
        <w:spacing w:after="0" w:line="196" w:lineRule="exact"/>
        <w:tabs>
          <w:tab w:leader="none" w:pos="560" w:val="left"/>
          <w:tab w:leader="none" w:pos="940" w:val="left"/>
          <w:tab w:leader="none" w:pos="1360" w:val="left"/>
        </w:tabs>
        <w:rPr>
          <w:sz w:val="20"/>
          <w:szCs w:val="20"/>
          <w:color w:val="auto"/>
        </w:rPr>
      </w:pPr>
      <w:r>
        <w:rPr>
          <w:rFonts w:ascii="Arial" w:cs="Arial" w:eastAsia="Arial" w:hAnsi="Arial"/>
          <w:sz w:val="17"/>
          <w:szCs w:val="17"/>
          <w:color w:val="auto"/>
        </w:rPr>
        <w:t>Yes</w:t>
        <w:tab/>
      </w:r>
      <w:r>
        <w:rPr>
          <w:rFonts w:ascii="MS PGothic" w:cs="MS PGothic" w:eastAsia="MS PGothic" w:hAnsi="MS PGothic"/>
          <w:sz w:val="17"/>
          <w:szCs w:val="17"/>
          <w:color w:val="auto"/>
        </w:rPr>
        <w:t>☐</w:t>
      </w:r>
      <w:r>
        <w:rPr>
          <w:rFonts w:ascii="Arial" w:cs="Arial" w:eastAsia="Arial" w:hAnsi="Arial"/>
          <w:sz w:val="17"/>
          <w:szCs w:val="17"/>
          <w:color w:val="auto"/>
        </w:rPr>
        <w:tab/>
        <w:t>No</w:t>
      </w:r>
      <w:r>
        <w:rPr>
          <w:sz w:val="20"/>
          <w:szCs w:val="20"/>
          <w:color w:val="auto"/>
        </w:rPr>
        <w:tab/>
      </w:r>
      <w:r>
        <w:rPr>
          <w:rFonts w:ascii="MS PGothic" w:cs="MS PGothic" w:eastAsia="MS PGothic" w:hAnsi="MS PGothic"/>
          <w:sz w:val="14"/>
          <w:szCs w:val="14"/>
          <w:color w:val="auto"/>
        </w:rPr>
        <w:t>☒</w:t>
      </w:r>
    </w:p>
    <w:p>
      <w:pPr>
        <w:spacing w:after="0" w:line="147" w:lineRule="exact"/>
        <w:rPr>
          <w:sz w:val="24"/>
          <w:szCs w:val="24"/>
          <w:color w:val="auto"/>
        </w:rPr>
      </w:pPr>
    </w:p>
    <w:p>
      <w:pPr>
        <w:ind w:left="120" w:right="460"/>
        <w:spacing w:after="0" w:line="34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3" w:lineRule="exact"/>
        <w:rPr>
          <w:sz w:val="24"/>
          <w:szCs w:val="24"/>
          <w:color w:val="auto"/>
        </w:rPr>
      </w:pPr>
    </w:p>
    <w:p>
      <w:pPr>
        <w:ind w:left="120"/>
        <w:spacing w:after="0" w:line="196" w:lineRule="exact"/>
        <w:tabs>
          <w:tab w:leader="none" w:pos="560" w:val="left"/>
          <w:tab w:leader="none" w:pos="940" w:val="left"/>
          <w:tab w:leader="none" w:pos="1360" w:val="left"/>
        </w:tabs>
        <w:rPr>
          <w:sz w:val="20"/>
          <w:szCs w:val="20"/>
          <w:color w:val="auto"/>
        </w:rPr>
      </w:pPr>
      <w:r>
        <w:rPr>
          <w:rFonts w:ascii="Arial" w:cs="Arial" w:eastAsia="Arial" w:hAnsi="Arial"/>
          <w:sz w:val="17"/>
          <w:szCs w:val="17"/>
          <w:color w:val="auto"/>
        </w:rPr>
        <w:t>Yes</w:t>
        <w:tab/>
      </w:r>
      <w:r>
        <w:rPr>
          <w:rFonts w:ascii="MS PGothic" w:cs="MS PGothic" w:eastAsia="MS PGothic" w:hAnsi="MS PGothic"/>
          <w:sz w:val="17"/>
          <w:szCs w:val="17"/>
          <w:color w:val="auto"/>
        </w:rPr>
        <w:t>☒</w:t>
      </w:r>
      <w:r>
        <w:rPr>
          <w:rFonts w:ascii="Arial" w:cs="Arial" w:eastAsia="Arial" w:hAnsi="Arial"/>
          <w:sz w:val="17"/>
          <w:szCs w:val="17"/>
          <w:color w:val="auto"/>
        </w:rPr>
        <w:tab/>
        <w:t>No</w:t>
      </w:r>
      <w:r>
        <w:rPr>
          <w:sz w:val="20"/>
          <w:szCs w:val="20"/>
          <w:color w:val="auto"/>
        </w:rPr>
        <w:tab/>
      </w:r>
      <w:r>
        <w:rPr>
          <w:rFonts w:ascii="MS PGothic" w:cs="MS PGothic" w:eastAsia="MS PGothic" w:hAnsi="MS PGothic"/>
          <w:sz w:val="14"/>
          <w:szCs w:val="14"/>
          <w:color w:val="auto"/>
        </w:rPr>
        <w:t>☐</w:t>
      </w:r>
    </w:p>
    <w:p>
      <w:pPr>
        <w:spacing w:after="0" w:line="147" w:lineRule="exact"/>
        <w:rPr>
          <w:sz w:val="24"/>
          <w:szCs w:val="24"/>
          <w:color w:val="auto"/>
        </w:rPr>
      </w:pPr>
    </w:p>
    <w:p>
      <w:pPr>
        <w:ind w:left="12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30" w:right="459" w:bottom="1440" w:gutter="0" w:footer="0" w:header="0"/>
        </w:sectPr>
      </w:pPr>
    </w:p>
    <w:p>
      <w:pPr>
        <w:spacing w:after="0" w:line="59"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ectPr>
          <w:pgSz w:w="11900" w:h="16838" w:orient="portrait"/>
          <w:cols w:equalWidth="0" w:num="7">
            <w:col w:w="1940" w:space="680"/>
            <w:col w:w="1140" w:space="80"/>
            <w:col w:w="180" w:space="720"/>
            <w:col w:w="1440" w:space="80"/>
            <w:col w:w="160" w:space="700"/>
            <w:col w:w="1860" w:space="80"/>
            <w:col w:w="2060"/>
          </w:cols>
          <w:pgMar w:left="320" w:top="230"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2">
            <w:col w:w="1980" w:space="80"/>
            <w:col w:w="9060"/>
          </w:cols>
          <w:pgMar w:left="320" w:top="230" w:right="459" w:bottom="1440" w:gutter="0" w:footer="0" w:header="0"/>
          <w:type w:val="continuous"/>
        </w:sectPr>
      </w:pPr>
    </w:p>
    <w:p>
      <w:pPr>
        <w:ind w:left="120" w:right="30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5" w:lineRule="exact"/>
        <w:rPr>
          <w:sz w:val="24"/>
          <w:szCs w:val="24"/>
          <w:color w:val="auto"/>
        </w:rPr>
      </w:pPr>
    </w:p>
    <w:p>
      <w:pPr>
        <w:ind w:left="12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37" w:lineRule="exact"/>
        <w:rPr>
          <w:sz w:val="24"/>
          <w:szCs w:val="24"/>
          <w:color w:val="auto"/>
        </w:rPr>
      </w:pPr>
    </w:p>
    <w:p>
      <w:pPr>
        <w:ind w:left="120"/>
        <w:spacing w:after="0" w:line="196" w:lineRule="exact"/>
        <w:tabs>
          <w:tab w:leader="none" w:pos="560" w:val="left"/>
          <w:tab w:leader="none" w:pos="940" w:val="left"/>
          <w:tab w:leader="none" w:pos="1360" w:val="left"/>
        </w:tabs>
        <w:rPr>
          <w:sz w:val="20"/>
          <w:szCs w:val="20"/>
          <w:color w:val="auto"/>
        </w:rPr>
      </w:pPr>
      <w:r>
        <w:rPr>
          <w:rFonts w:ascii="Arial" w:cs="Arial" w:eastAsia="Arial" w:hAnsi="Arial"/>
          <w:sz w:val="17"/>
          <w:szCs w:val="17"/>
          <w:color w:val="auto"/>
        </w:rPr>
        <w:t>Yes</w:t>
        <w:tab/>
      </w:r>
      <w:r>
        <w:rPr>
          <w:rFonts w:ascii="MS PGothic" w:cs="MS PGothic" w:eastAsia="MS PGothic" w:hAnsi="MS PGothic"/>
          <w:sz w:val="17"/>
          <w:szCs w:val="17"/>
          <w:color w:val="auto"/>
        </w:rPr>
        <w:t>☒</w:t>
      </w:r>
      <w:r>
        <w:rPr>
          <w:rFonts w:ascii="Arial" w:cs="Arial" w:eastAsia="Arial" w:hAnsi="Arial"/>
          <w:sz w:val="17"/>
          <w:szCs w:val="17"/>
          <w:color w:val="auto"/>
        </w:rPr>
        <w:tab/>
        <w:t>No</w:t>
      </w:r>
      <w:r>
        <w:rPr>
          <w:sz w:val="20"/>
          <w:szCs w:val="20"/>
          <w:color w:val="auto"/>
        </w:rPr>
        <w:tab/>
      </w:r>
      <w:r>
        <w:rPr>
          <w:rFonts w:ascii="MS PGothic" w:cs="MS PGothic" w:eastAsia="MS PGothic" w:hAnsi="MS PGothic"/>
          <w:sz w:val="14"/>
          <w:szCs w:val="14"/>
          <w:color w:val="auto"/>
        </w:rPr>
        <w:t>☐</w:t>
      </w:r>
    </w:p>
    <w:p>
      <w:pPr>
        <w:spacing w:after="0" w:line="147" w:lineRule="exact"/>
        <w:rPr>
          <w:sz w:val="24"/>
          <w:szCs w:val="24"/>
          <w:color w:val="auto"/>
        </w:rPr>
      </w:pPr>
    </w:p>
    <w:p>
      <w:pPr>
        <w:ind w:left="120"/>
        <w:spacing w:after="0"/>
        <w:rPr>
          <w:sz w:val="20"/>
          <w:szCs w:val="20"/>
          <w:color w:val="auto"/>
        </w:rPr>
      </w:pPr>
      <w:r>
        <w:rPr>
          <w:rFonts w:ascii="Arial" w:cs="Arial" w:eastAsia="Arial" w:hAnsi="Arial"/>
          <w:sz w:val="17"/>
          <w:szCs w:val="17"/>
          <w:color w:val="auto"/>
        </w:rPr>
        <w:t>As of May 11, 2020, there were 100 outstanding shares of the registrant’s common stock, $0.01 par value per share.</w:t>
      </w:r>
    </w:p>
    <w:p>
      <w:pPr>
        <w:spacing w:after="0" w:line="111"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The registrant meets the conditions set forth in General Instructions (H)(1)(a) and (b) of Form 10-Q and therefore is filing this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form with the reduced disclosure format permitted by Form 10-Q.</w:t>
      </w:r>
    </w:p>
    <w:p>
      <w:pPr>
        <w:sectPr>
          <w:pgSz w:w="11900" w:h="16838" w:orient="portrait"/>
          <w:cols w:equalWidth="0" w:num="1">
            <w:col w:w="11120"/>
          </w:cols>
          <w:pgMar w:left="32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300" w:type="dxa"/>
            <w:vAlign w:val="bottom"/>
            <w:gridSpan w:val="5"/>
          </w:tcPr>
          <w:p>
            <w:pPr>
              <w:ind w:left="148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r>
      <w:tr>
        <w:trPr>
          <w:trHeight w:val="413"/>
        </w:trPr>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310"/>
        </w:trPr>
        <w:tc>
          <w:tcPr>
            <w:tcW w:w="10360" w:type="dxa"/>
            <w:vAlign w:val="bottom"/>
            <w:gridSpan w:val="8"/>
          </w:tcPr>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EXPLANATORY NOTE</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4"/>
        </w:trPr>
        <w:tc>
          <w:tcPr>
            <w:tcW w:w="10360" w:type="dxa"/>
            <w:vAlign w:val="bottom"/>
            <w:gridSpan w:val="8"/>
          </w:tcPr>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PART I. FINANCIAL INFORMATION</w:t>
              </w:r>
            </w:hyperlink>
          </w:p>
        </w:tc>
        <w:tc>
          <w:tcPr>
            <w:tcW w:w="580" w:type="dxa"/>
            <w:vAlign w:val="bottom"/>
          </w:tcPr>
          <w:p>
            <w:pPr>
              <w:spacing w:after="0"/>
              <w:rPr>
                <w:sz w:val="24"/>
                <w:szCs w:val="24"/>
                <w:color w:val="auto"/>
              </w:rPr>
            </w:pPr>
          </w:p>
        </w:tc>
      </w:tr>
      <w:tr>
        <w:trPr>
          <w:trHeight w:val="283"/>
        </w:trPr>
        <w:tc>
          <w:tcPr>
            <w:tcW w:w="10360" w:type="dxa"/>
            <w:vAlign w:val="bottom"/>
            <w:gridSpan w:val="8"/>
          </w:tcPr>
          <w:p>
            <w:pPr>
              <w:spacing w:after="0"/>
              <w:rPr>
                <w:sz w:val="20"/>
                <w:szCs w:val="20"/>
                <w:color w:val="auto"/>
              </w:rPr>
            </w:pPr>
            <w:r>
              <w:rPr>
                <w:rFonts w:ascii="Arial" w:cs="Arial" w:eastAsia="Arial" w:hAnsi="Arial"/>
                <w:sz w:val="16"/>
                <w:szCs w:val="16"/>
                <w:color w:val="auto"/>
              </w:rPr>
              <w:t>Item 1.</w:t>
            </w:r>
          </w:p>
        </w:tc>
        <w:tc>
          <w:tcPr>
            <w:tcW w:w="580" w:type="dxa"/>
            <w:vAlign w:val="bottom"/>
          </w:tcPr>
          <w:p>
            <w:pPr>
              <w:spacing w:after="0"/>
              <w:rPr>
                <w:sz w:val="24"/>
                <w:szCs w:val="24"/>
                <w:color w:val="auto"/>
              </w:rPr>
            </w:pPr>
          </w:p>
        </w:tc>
      </w:tr>
      <w:tr>
        <w:trPr>
          <w:trHeight w:val="283"/>
        </w:trPr>
        <w:tc>
          <w:tcPr>
            <w:tcW w:w="10360" w:type="dxa"/>
            <w:vAlign w:val="bottom"/>
            <w:gridSpan w:val="8"/>
          </w:tcPr>
          <w:p>
            <w:pPr>
              <w:ind w:left="2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Statements</w:t>
              </w:r>
            </w:hyperlink>
          </w:p>
        </w:tc>
        <w:tc>
          <w:tcPr>
            <w:tcW w:w="580" w:type="dxa"/>
            <w:vAlign w:val="bottom"/>
          </w:tcPr>
          <w:p>
            <w:pPr>
              <w:spacing w:after="0"/>
              <w:rPr>
                <w:sz w:val="24"/>
                <w:szCs w:val="24"/>
                <w:color w:val="auto"/>
              </w:rPr>
            </w:pPr>
          </w:p>
        </w:tc>
      </w:tr>
      <w:tr>
        <w:trPr>
          <w:trHeight w:val="249"/>
        </w:trPr>
        <w:tc>
          <w:tcPr>
            <w:tcW w:w="360" w:type="dxa"/>
            <w:vAlign w:val="bottom"/>
          </w:tcPr>
          <w:p>
            <w:pPr>
              <w:spacing w:after="0"/>
              <w:rPr>
                <w:sz w:val="21"/>
                <w:szCs w:val="21"/>
                <w:color w:val="auto"/>
              </w:rPr>
            </w:pPr>
          </w:p>
        </w:tc>
        <w:tc>
          <w:tcPr>
            <w:tcW w:w="9240" w:type="dxa"/>
            <w:vAlign w:val="bottom"/>
            <w:tcBorders>
              <w:bottom w:val="single" w:sz="8" w:color="0000EE"/>
            </w:tcBorders>
            <w:gridSpan w:val="4"/>
          </w:tcPr>
          <w:p>
            <w:pPr>
              <w:spacing w:after="0"/>
              <w:rPr>
                <w:rFonts w:ascii="Arial" w:cs="Arial" w:eastAsia="Arial" w:hAnsi="Arial"/>
                <w:sz w:val="16"/>
                <w:szCs w:val="16"/>
                <w:color w:val="0000EE"/>
                <w:w w:val="91"/>
              </w:rPr>
            </w:pPr>
            <w:hyperlink w:anchor="page4">
              <w:r>
                <w:rPr>
                  <w:rFonts w:ascii="Arial" w:cs="Arial" w:eastAsia="Arial" w:hAnsi="Arial"/>
                  <w:sz w:val="16"/>
                  <w:szCs w:val="16"/>
                  <w:color w:val="0000EE"/>
                  <w:w w:val="91"/>
                </w:rPr>
                <w:t>Condensed Consolidated Statements of Income for the three months ended March 29, 2020 and for the period from February 14, 2019 (date of</w:t>
              </w:r>
            </w:hyperlink>
          </w:p>
        </w:tc>
        <w:tc>
          <w:tcPr>
            <w:tcW w:w="76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r>
      <w:tr>
        <w:trPr>
          <w:trHeight w:val="183"/>
        </w:trPr>
        <w:tc>
          <w:tcPr>
            <w:tcW w:w="360" w:type="dxa"/>
            <w:vAlign w:val="bottom"/>
          </w:tcPr>
          <w:p>
            <w:pPr>
              <w:spacing w:after="0"/>
              <w:rPr>
                <w:sz w:val="15"/>
                <w:szCs w:val="15"/>
                <w:color w:val="auto"/>
              </w:rPr>
            </w:pPr>
          </w:p>
        </w:tc>
        <w:tc>
          <w:tcPr>
            <w:tcW w:w="2160" w:type="dxa"/>
            <w:vAlign w:val="bottom"/>
            <w:tcBorders>
              <w:bottom w:val="single" w:sz="8" w:color="0000EE"/>
            </w:tcBorders>
          </w:tcPr>
          <w:p>
            <w:pPr>
              <w:spacing w:after="0" w:line="183" w:lineRule="exact"/>
              <w:rPr>
                <w:rFonts w:ascii="Arial" w:cs="Arial" w:eastAsia="Arial" w:hAnsi="Arial"/>
                <w:sz w:val="16"/>
                <w:szCs w:val="16"/>
                <w:color w:val="0000EE"/>
                <w:w w:val="92"/>
              </w:rPr>
            </w:pPr>
            <w:hyperlink w:anchor="page4">
              <w:r>
                <w:rPr>
                  <w:rFonts w:ascii="Arial" w:cs="Arial" w:eastAsia="Arial" w:hAnsi="Arial"/>
                  <w:sz w:val="16"/>
                  <w:szCs w:val="16"/>
                  <w:color w:val="0000EE"/>
                  <w:w w:val="92"/>
                </w:rPr>
                <w:t>incorporation) to March 31, 2019</w:t>
              </w:r>
            </w:hyperlink>
          </w:p>
        </w:tc>
        <w:tc>
          <w:tcPr>
            <w:tcW w:w="7840" w:type="dxa"/>
            <w:vAlign w:val="bottom"/>
            <w:gridSpan w:val="6"/>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r>
      <w:tr>
        <w:trPr>
          <w:trHeight w:val="263"/>
        </w:trPr>
        <w:tc>
          <w:tcPr>
            <w:tcW w:w="360" w:type="dxa"/>
            <w:vAlign w:val="bottom"/>
          </w:tcPr>
          <w:p>
            <w:pPr>
              <w:spacing w:after="0"/>
              <w:rPr>
                <w:sz w:val="22"/>
                <w:szCs w:val="22"/>
                <w:color w:val="auto"/>
              </w:rPr>
            </w:pPr>
          </w:p>
        </w:tc>
        <w:tc>
          <w:tcPr>
            <w:tcW w:w="9760" w:type="dxa"/>
            <w:vAlign w:val="bottom"/>
            <w:tcBorders>
              <w:bottom w:val="single" w:sz="8" w:color="0000EE"/>
            </w:tcBorders>
            <w:gridSpan w:val="6"/>
          </w:tcPr>
          <w:p>
            <w:pPr>
              <w:spacing w:after="0"/>
              <w:rPr>
                <w:rFonts w:ascii="Arial" w:cs="Arial" w:eastAsia="Arial" w:hAnsi="Arial"/>
                <w:sz w:val="16"/>
                <w:szCs w:val="16"/>
                <w:color w:val="0000EE"/>
                <w:w w:val="91"/>
              </w:rPr>
            </w:pPr>
            <w:hyperlink w:anchor="page5">
              <w:r>
                <w:rPr>
                  <w:rFonts w:ascii="Arial" w:cs="Arial" w:eastAsia="Arial" w:hAnsi="Arial"/>
                  <w:sz w:val="16"/>
                  <w:szCs w:val="16"/>
                  <w:color w:val="0000EE"/>
                  <w:w w:val="91"/>
                </w:rPr>
                <w:t>Condensed Consolidated Statements of Comprehensive Income for the three months ended March 29, 2020 and for the period from February 14, 2019</w:t>
              </w:r>
            </w:hyperlink>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183"/>
        </w:trPr>
        <w:tc>
          <w:tcPr>
            <w:tcW w:w="360" w:type="dxa"/>
            <w:vAlign w:val="bottom"/>
          </w:tcPr>
          <w:p>
            <w:pPr>
              <w:spacing w:after="0"/>
              <w:rPr>
                <w:sz w:val="15"/>
                <w:szCs w:val="15"/>
                <w:color w:val="auto"/>
              </w:rPr>
            </w:pPr>
          </w:p>
        </w:tc>
        <w:tc>
          <w:tcPr>
            <w:tcW w:w="2700" w:type="dxa"/>
            <w:vAlign w:val="bottom"/>
            <w:tcBorders>
              <w:bottom w:val="single" w:sz="8" w:color="0000EE"/>
            </w:tcBorders>
            <w:gridSpan w:val="2"/>
          </w:tcPr>
          <w:p>
            <w:pPr>
              <w:spacing w:after="0" w:line="183" w:lineRule="exact"/>
              <w:rPr>
                <w:rFonts w:ascii="Arial" w:cs="Arial" w:eastAsia="Arial" w:hAnsi="Arial"/>
                <w:sz w:val="16"/>
                <w:szCs w:val="16"/>
                <w:color w:val="0000EE"/>
                <w:w w:val="92"/>
              </w:rPr>
            </w:pPr>
            <w:hyperlink w:anchor="page5">
              <w:r>
                <w:rPr>
                  <w:rFonts w:ascii="Arial" w:cs="Arial" w:eastAsia="Arial" w:hAnsi="Arial"/>
                  <w:sz w:val="16"/>
                  <w:szCs w:val="16"/>
                  <w:color w:val="0000EE"/>
                  <w:w w:val="92"/>
                </w:rPr>
                <w:t>(date of incorporation) to March 31, 2019</w:t>
              </w:r>
            </w:hyperlink>
          </w:p>
        </w:tc>
        <w:tc>
          <w:tcPr>
            <w:tcW w:w="7300" w:type="dxa"/>
            <w:vAlign w:val="bottom"/>
            <w:gridSpan w:val="5"/>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5</w:t>
            </w:r>
          </w:p>
        </w:tc>
      </w:tr>
      <w:tr>
        <w:trPr>
          <w:trHeight w:val="298"/>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Balance Sheets as of March 29, 2020 and December 31, 2019</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49"/>
        </w:trPr>
        <w:tc>
          <w:tcPr>
            <w:tcW w:w="360" w:type="dxa"/>
            <w:vAlign w:val="bottom"/>
          </w:tcPr>
          <w:p>
            <w:pPr>
              <w:spacing w:after="0"/>
              <w:rPr>
                <w:sz w:val="21"/>
                <w:szCs w:val="21"/>
                <w:color w:val="auto"/>
              </w:rPr>
            </w:pPr>
          </w:p>
        </w:tc>
        <w:tc>
          <w:tcPr>
            <w:tcW w:w="9180" w:type="dxa"/>
            <w:vAlign w:val="bottom"/>
            <w:tcBorders>
              <w:bottom w:val="single" w:sz="8" w:color="0000EE"/>
            </w:tcBorders>
            <w:gridSpan w:val="3"/>
          </w:tcPr>
          <w:p>
            <w:pPr>
              <w:spacing w:after="0"/>
              <w:rPr>
                <w:rFonts w:ascii="Arial" w:cs="Arial" w:eastAsia="Arial" w:hAnsi="Arial"/>
                <w:sz w:val="16"/>
                <w:szCs w:val="16"/>
                <w:color w:val="0000EE"/>
                <w:w w:val="91"/>
              </w:rPr>
            </w:pPr>
            <w:hyperlink w:anchor="page7">
              <w:r>
                <w:rPr>
                  <w:rFonts w:ascii="Arial" w:cs="Arial" w:eastAsia="Arial" w:hAnsi="Arial"/>
                  <w:sz w:val="16"/>
                  <w:szCs w:val="16"/>
                  <w:color w:val="0000EE"/>
                  <w:w w:val="91"/>
                </w:rPr>
                <w:t>Condensed Consolidated Statements of Equity for the three months ended March 29, 2020 and for the period from February 14, 2019 (date of</w:t>
              </w:r>
            </w:hyperlink>
          </w:p>
        </w:tc>
        <w:tc>
          <w:tcPr>
            <w:tcW w:w="82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r>
      <w:tr>
        <w:trPr>
          <w:trHeight w:val="183"/>
        </w:trPr>
        <w:tc>
          <w:tcPr>
            <w:tcW w:w="360" w:type="dxa"/>
            <w:vAlign w:val="bottom"/>
          </w:tcPr>
          <w:p>
            <w:pPr>
              <w:spacing w:after="0"/>
              <w:rPr>
                <w:sz w:val="15"/>
                <w:szCs w:val="15"/>
                <w:color w:val="auto"/>
              </w:rPr>
            </w:pPr>
          </w:p>
        </w:tc>
        <w:tc>
          <w:tcPr>
            <w:tcW w:w="2160" w:type="dxa"/>
            <w:vAlign w:val="bottom"/>
            <w:tcBorders>
              <w:bottom w:val="single" w:sz="8" w:color="0000EE"/>
            </w:tcBorders>
          </w:tcPr>
          <w:p>
            <w:pPr>
              <w:spacing w:after="0" w:line="183" w:lineRule="exact"/>
              <w:rPr>
                <w:rFonts w:ascii="Arial" w:cs="Arial" w:eastAsia="Arial" w:hAnsi="Arial"/>
                <w:sz w:val="16"/>
                <w:szCs w:val="16"/>
                <w:color w:val="0000EE"/>
                <w:w w:val="92"/>
              </w:rPr>
            </w:pPr>
            <w:hyperlink w:anchor="page7">
              <w:r>
                <w:rPr>
                  <w:rFonts w:ascii="Arial" w:cs="Arial" w:eastAsia="Arial" w:hAnsi="Arial"/>
                  <w:sz w:val="16"/>
                  <w:szCs w:val="16"/>
                  <w:color w:val="0000EE"/>
                  <w:w w:val="92"/>
                </w:rPr>
                <w:t>incorporation) to March 31, 2019</w:t>
              </w:r>
            </w:hyperlink>
          </w:p>
        </w:tc>
        <w:tc>
          <w:tcPr>
            <w:tcW w:w="7840" w:type="dxa"/>
            <w:vAlign w:val="bottom"/>
            <w:gridSpan w:val="6"/>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7</w:t>
            </w:r>
          </w:p>
        </w:tc>
      </w:tr>
      <w:tr>
        <w:trPr>
          <w:trHeight w:val="263"/>
        </w:trPr>
        <w:tc>
          <w:tcPr>
            <w:tcW w:w="360" w:type="dxa"/>
            <w:vAlign w:val="bottom"/>
          </w:tcPr>
          <w:p>
            <w:pPr>
              <w:spacing w:after="0"/>
              <w:rPr>
                <w:sz w:val="22"/>
                <w:szCs w:val="22"/>
                <w:color w:val="auto"/>
              </w:rPr>
            </w:pPr>
          </w:p>
        </w:tc>
        <w:tc>
          <w:tcPr>
            <w:tcW w:w="10000" w:type="dxa"/>
            <w:vAlign w:val="bottom"/>
            <w:gridSpan w:val="7"/>
          </w:tcPr>
          <w:p>
            <w:pPr>
              <w:spacing w:after="0"/>
              <w:rPr>
                <w:rFonts w:ascii="Arial" w:cs="Arial" w:eastAsia="Arial" w:hAnsi="Arial"/>
                <w:sz w:val="16"/>
                <w:szCs w:val="16"/>
                <w:color w:val="0000EE"/>
                <w:w w:val="95"/>
              </w:rPr>
            </w:pPr>
            <w:hyperlink w:anchor="page8">
              <w:r>
                <w:rPr>
                  <w:rFonts w:ascii="Arial" w:cs="Arial" w:eastAsia="Arial" w:hAnsi="Arial"/>
                  <w:sz w:val="16"/>
                  <w:szCs w:val="16"/>
                  <w:color w:val="0000EE"/>
                  <w:w w:val="95"/>
                </w:rPr>
                <w:t>Condensed Consolidated Statements of Cash Flows for the three months ended March 29, 2020 and for the period from February 14, 2019 (date of</w:t>
              </w:r>
            </w:hyperlink>
          </w:p>
        </w:tc>
        <w:tc>
          <w:tcPr>
            <w:tcW w:w="580" w:type="dxa"/>
            <w:vAlign w:val="bottom"/>
          </w:tcPr>
          <w:p>
            <w:pPr>
              <w:spacing w:after="0"/>
              <w:rPr>
                <w:sz w:val="22"/>
                <w:szCs w:val="22"/>
                <w:color w:val="auto"/>
              </w:rPr>
            </w:pPr>
          </w:p>
        </w:tc>
      </w:tr>
      <w:tr>
        <w:trPr>
          <w:trHeight w:val="183"/>
        </w:trPr>
        <w:tc>
          <w:tcPr>
            <w:tcW w:w="360" w:type="dxa"/>
            <w:vAlign w:val="bottom"/>
          </w:tcPr>
          <w:p>
            <w:pPr>
              <w:spacing w:after="0"/>
              <w:rPr>
                <w:sz w:val="15"/>
                <w:szCs w:val="15"/>
                <w:color w:val="auto"/>
              </w:rPr>
            </w:pPr>
          </w:p>
        </w:tc>
        <w:tc>
          <w:tcPr>
            <w:tcW w:w="216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92"/>
              </w:rPr>
            </w:pPr>
            <w:hyperlink w:anchor="page8">
              <w:r>
                <w:rPr>
                  <w:rFonts w:ascii="Arial" w:cs="Arial" w:eastAsia="Arial" w:hAnsi="Arial"/>
                  <w:sz w:val="16"/>
                  <w:szCs w:val="16"/>
                  <w:color w:val="0000EE"/>
                  <w:w w:val="92"/>
                </w:rPr>
                <w:t>incorporation) to March 31, 2019</w:t>
              </w:r>
            </w:hyperlink>
          </w:p>
        </w:tc>
        <w:tc>
          <w:tcPr>
            <w:tcW w:w="7340" w:type="dxa"/>
            <w:vAlign w:val="bottom"/>
            <w:tcBorders>
              <w:top w:val="single" w:sz="8" w:color="0000EE"/>
            </w:tcBorders>
            <w:gridSpan w:val="4"/>
          </w:tcPr>
          <w:p>
            <w:pPr>
              <w:spacing w:after="0"/>
              <w:rPr>
                <w:sz w:val="15"/>
                <w:szCs w:val="15"/>
                <w:color w:val="auto"/>
              </w:rPr>
            </w:pPr>
          </w:p>
        </w:tc>
        <w:tc>
          <w:tcPr>
            <w:tcW w:w="500" w:type="dxa"/>
            <w:vAlign w:val="bottom"/>
            <w:gridSpan w:val="2"/>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r>
      <w:tr>
        <w:trPr>
          <w:trHeight w:val="298"/>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Notes to Condensed Consolidated Financial Statements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83"/>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Report of Independent Registered Public Accounting Firm</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83"/>
        </w:trPr>
        <w:tc>
          <w:tcPr>
            <w:tcW w:w="10360" w:type="dxa"/>
            <w:vAlign w:val="bottom"/>
            <w:gridSpan w:val="8"/>
          </w:tcPr>
          <w:p>
            <w:pPr>
              <w:spacing w:after="0"/>
              <w:rPr>
                <w:sz w:val="20"/>
                <w:szCs w:val="20"/>
                <w:color w:val="auto"/>
              </w:rPr>
            </w:pPr>
            <w:r>
              <w:rPr>
                <w:rFonts w:ascii="Arial" w:cs="Arial" w:eastAsia="Arial" w:hAnsi="Arial"/>
                <w:sz w:val="16"/>
                <w:szCs w:val="16"/>
                <w:color w:val="auto"/>
              </w:rPr>
              <w:t>Item 2.</w:t>
            </w:r>
          </w:p>
        </w:tc>
        <w:tc>
          <w:tcPr>
            <w:tcW w:w="580" w:type="dxa"/>
            <w:vAlign w:val="bottom"/>
          </w:tcPr>
          <w:p>
            <w:pPr>
              <w:spacing w:after="0"/>
              <w:rPr>
                <w:sz w:val="24"/>
                <w:szCs w:val="24"/>
                <w:color w:val="auto"/>
              </w:rPr>
            </w:pPr>
          </w:p>
        </w:tc>
      </w:tr>
      <w:tr>
        <w:trPr>
          <w:trHeight w:val="283"/>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Management’s Discussion and Analysis of Financial Condition and Results of Operations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4"/>
        </w:trPr>
        <w:tc>
          <w:tcPr>
            <w:tcW w:w="10360" w:type="dxa"/>
            <w:vAlign w:val="bottom"/>
            <w:gridSpan w:val="8"/>
          </w:tcPr>
          <w:p>
            <w:pPr>
              <w:spacing w:after="0"/>
              <w:rPr>
                <w:sz w:val="20"/>
                <w:szCs w:val="20"/>
                <w:color w:val="auto"/>
              </w:rPr>
            </w:pPr>
            <w:r>
              <w:rPr>
                <w:rFonts w:ascii="Arial" w:cs="Arial" w:eastAsia="Arial" w:hAnsi="Arial"/>
                <w:sz w:val="16"/>
                <w:szCs w:val="16"/>
                <w:color w:val="auto"/>
              </w:rPr>
              <w:t>Item 3.</w:t>
            </w:r>
          </w:p>
        </w:tc>
        <w:tc>
          <w:tcPr>
            <w:tcW w:w="580" w:type="dxa"/>
            <w:vAlign w:val="bottom"/>
          </w:tcPr>
          <w:p>
            <w:pPr>
              <w:spacing w:after="0"/>
              <w:rPr>
                <w:sz w:val="24"/>
                <w:szCs w:val="24"/>
                <w:color w:val="auto"/>
              </w:rPr>
            </w:pPr>
          </w:p>
        </w:tc>
      </w:tr>
      <w:tr>
        <w:trPr>
          <w:trHeight w:val="283"/>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Quantitative and Qualitative Disclosures About Market Risk</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3"/>
        </w:trPr>
        <w:tc>
          <w:tcPr>
            <w:tcW w:w="10360" w:type="dxa"/>
            <w:vAlign w:val="bottom"/>
            <w:gridSpan w:val="8"/>
          </w:tcPr>
          <w:p>
            <w:pPr>
              <w:spacing w:after="0"/>
              <w:rPr>
                <w:sz w:val="20"/>
                <w:szCs w:val="20"/>
                <w:color w:val="auto"/>
              </w:rPr>
            </w:pPr>
            <w:r>
              <w:rPr>
                <w:rFonts w:ascii="Arial" w:cs="Arial" w:eastAsia="Arial" w:hAnsi="Arial"/>
                <w:sz w:val="16"/>
                <w:szCs w:val="16"/>
                <w:color w:val="auto"/>
              </w:rPr>
              <w:t>Item 4.</w:t>
            </w:r>
          </w:p>
        </w:tc>
        <w:tc>
          <w:tcPr>
            <w:tcW w:w="580" w:type="dxa"/>
            <w:vAlign w:val="bottom"/>
          </w:tcPr>
          <w:p>
            <w:pPr>
              <w:spacing w:after="0"/>
              <w:rPr>
                <w:sz w:val="24"/>
                <w:szCs w:val="24"/>
                <w:color w:val="auto"/>
              </w:rPr>
            </w:pPr>
          </w:p>
        </w:tc>
      </w:tr>
      <w:tr>
        <w:trPr>
          <w:trHeight w:val="283"/>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Controls and Procedures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4"/>
        </w:trPr>
        <w:tc>
          <w:tcPr>
            <w:tcW w:w="10360" w:type="dxa"/>
            <w:vAlign w:val="bottom"/>
            <w:gridSpan w:val="8"/>
          </w:tcPr>
          <w:p>
            <w:pPr>
              <w:spacing w:after="0"/>
              <w:rPr>
                <w:rFonts w:ascii="Arial" w:cs="Arial" w:eastAsia="Arial" w:hAnsi="Arial"/>
                <w:sz w:val="16"/>
                <w:szCs w:val="16"/>
                <w:b w:val="1"/>
                <w:bCs w:val="1"/>
                <w:u w:val="single" w:color="auto"/>
                <w:color w:val="0000EE"/>
              </w:rPr>
            </w:pPr>
            <w:hyperlink w:anchor="page12">
              <w:r>
                <w:rPr>
                  <w:rFonts w:ascii="Arial" w:cs="Arial" w:eastAsia="Arial" w:hAnsi="Arial"/>
                  <w:sz w:val="16"/>
                  <w:szCs w:val="16"/>
                  <w:b w:val="1"/>
                  <w:bCs w:val="1"/>
                  <w:u w:val="single" w:color="auto"/>
                  <w:color w:val="0000EE"/>
                </w:rPr>
                <w:t>PART II. OTHER INFORMATION</w:t>
              </w:r>
            </w:hyperlink>
          </w:p>
        </w:tc>
        <w:tc>
          <w:tcPr>
            <w:tcW w:w="580" w:type="dxa"/>
            <w:vAlign w:val="bottom"/>
          </w:tcPr>
          <w:p>
            <w:pPr>
              <w:spacing w:after="0"/>
              <w:rPr>
                <w:sz w:val="24"/>
                <w:szCs w:val="24"/>
                <w:color w:val="auto"/>
              </w:rPr>
            </w:pPr>
          </w:p>
        </w:tc>
      </w:tr>
      <w:tr>
        <w:trPr>
          <w:trHeight w:val="283"/>
        </w:trPr>
        <w:tc>
          <w:tcPr>
            <w:tcW w:w="10360" w:type="dxa"/>
            <w:vAlign w:val="bottom"/>
            <w:gridSpan w:val="8"/>
          </w:tcPr>
          <w:p>
            <w:pPr>
              <w:spacing w:after="0"/>
              <w:rPr>
                <w:sz w:val="20"/>
                <w:szCs w:val="20"/>
                <w:color w:val="auto"/>
              </w:rPr>
            </w:pPr>
            <w:r>
              <w:rPr>
                <w:rFonts w:ascii="Arial" w:cs="Arial" w:eastAsia="Arial" w:hAnsi="Arial"/>
                <w:sz w:val="16"/>
                <w:szCs w:val="16"/>
                <w:color w:val="auto"/>
              </w:rPr>
              <w:t>Item 1.</w:t>
            </w:r>
          </w:p>
        </w:tc>
        <w:tc>
          <w:tcPr>
            <w:tcW w:w="580" w:type="dxa"/>
            <w:vAlign w:val="bottom"/>
          </w:tcPr>
          <w:p>
            <w:pPr>
              <w:spacing w:after="0"/>
              <w:rPr>
                <w:sz w:val="24"/>
                <w:szCs w:val="24"/>
                <w:color w:val="auto"/>
              </w:rPr>
            </w:pPr>
          </w:p>
        </w:tc>
      </w:tr>
      <w:tr>
        <w:trPr>
          <w:trHeight w:val="283"/>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Legal Proceedings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4"/>
        </w:trPr>
        <w:tc>
          <w:tcPr>
            <w:tcW w:w="10360" w:type="dxa"/>
            <w:vAlign w:val="bottom"/>
            <w:gridSpan w:val="8"/>
          </w:tcPr>
          <w:p>
            <w:pPr>
              <w:spacing w:after="0"/>
              <w:rPr>
                <w:sz w:val="20"/>
                <w:szCs w:val="20"/>
                <w:color w:val="auto"/>
              </w:rPr>
            </w:pPr>
            <w:r>
              <w:rPr>
                <w:rFonts w:ascii="Arial" w:cs="Arial" w:eastAsia="Arial" w:hAnsi="Arial"/>
                <w:sz w:val="16"/>
                <w:szCs w:val="16"/>
                <w:color w:val="auto"/>
              </w:rPr>
              <w:t>Item 1A.</w:t>
            </w:r>
          </w:p>
        </w:tc>
        <w:tc>
          <w:tcPr>
            <w:tcW w:w="580" w:type="dxa"/>
            <w:vAlign w:val="bottom"/>
          </w:tcPr>
          <w:p>
            <w:pPr>
              <w:spacing w:after="0"/>
              <w:rPr>
                <w:sz w:val="24"/>
                <w:szCs w:val="24"/>
                <w:color w:val="auto"/>
              </w:rPr>
            </w:pPr>
          </w:p>
        </w:tc>
      </w:tr>
      <w:tr>
        <w:trPr>
          <w:trHeight w:val="283"/>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Risk Factors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3"/>
        </w:trPr>
        <w:tc>
          <w:tcPr>
            <w:tcW w:w="10360" w:type="dxa"/>
            <w:vAlign w:val="bottom"/>
            <w:gridSpan w:val="8"/>
          </w:tcPr>
          <w:p>
            <w:pPr>
              <w:spacing w:after="0"/>
              <w:rPr>
                <w:sz w:val="20"/>
                <w:szCs w:val="20"/>
                <w:color w:val="auto"/>
              </w:rPr>
            </w:pPr>
            <w:r>
              <w:rPr>
                <w:rFonts w:ascii="Arial" w:cs="Arial" w:eastAsia="Arial" w:hAnsi="Arial"/>
                <w:sz w:val="16"/>
                <w:szCs w:val="16"/>
                <w:color w:val="auto"/>
              </w:rPr>
              <w:t>Item 2.</w:t>
            </w:r>
          </w:p>
        </w:tc>
        <w:tc>
          <w:tcPr>
            <w:tcW w:w="58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Unregistered Sales of Equity Securities and Use of Proceeds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3"/>
        </w:trPr>
        <w:tc>
          <w:tcPr>
            <w:tcW w:w="10360" w:type="dxa"/>
            <w:vAlign w:val="bottom"/>
            <w:gridSpan w:val="8"/>
          </w:tcPr>
          <w:p>
            <w:pPr>
              <w:spacing w:after="0"/>
              <w:rPr>
                <w:sz w:val="20"/>
                <w:szCs w:val="20"/>
                <w:color w:val="auto"/>
              </w:rPr>
            </w:pPr>
            <w:r>
              <w:rPr>
                <w:rFonts w:ascii="Arial" w:cs="Arial" w:eastAsia="Arial" w:hAnsi="Arial"/>
                <w:sz w:val="16"/>
                <w:szCs w:val="16"/>
                <w:color w:val="auto"/>
              </w:rPr>
              <w:t>Item 3.</w:t>
            </w:r>
          </w:p>
        </w:tc>
        <w:tc>
          <w:tcPr>
            <w:tcW w:w="580" w:type="dxa"/>
            <w:vAlign w:val="bottom"/>
          </w:tcPr>
          <w:p>
            <w:pPr>
              <w:spacing w:after="0"/>
              <w:rPr>
                <w:sz w:val="24"/>
                <w:szCs w:val="24"/>
                <w:color w:val="auto"/>
              </w:rPr>
            </w:pPr>
          </w:p>
        </w:tc>
      </w:tr>
      <w:tr>
        <w:trPr>
          <w:trHeight w:val="283"/>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Defaults Upon Senior Securities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4"/>
        </w:trPr>
        <w:tc>
          <w:tcPr>
            <w:tcW w:w="10360" w:type="dxa"/>
            <w:vAlign w:val="bottom"/>
            <w:gridSpan w:val="8"/>
          </w:tcPr>
          <w:p>
            <w:pPr>
              <w:spacing w:after="0"/>
              <w:rPr>
                <w:sz w:val="20"/>
                <w:szCs w:val="20"/>
                <w:color w:val="auto"/>
              </w:rPr>
            </w:pPr>
            <w:r>
              <w:rPr>
                <w:rFonts w:ascii="Arial" w:cs="Arial" w:eastAsia="Arial" w:hAnsi="Arial"/>
                <w:sz w:val="16"/>
                <w:szCs w:val="16"/>
                <w:color w:val="auto"/>
              </w:rPr>
              <w:t>Item 4.</w:t>
            </w:r>
          </w:p>
        </w:tc>
        <w:tc>
          <w:tcPr>
            <w:tcW w:w="580" w:type="dxa"/>
            <w:vAlign w:val="bottom"/>
          </w:tcPr>
          <w:p>
            <w:pPr>
              <w:spacing w:after="0"/>
              <w:rPr>
                <w:sz w:val="24"/>
                <w:szCs w:val="24"/>
                <w:color w:val="auto"/>
              </w:rPr>
            </w:pPr>
          </w:p>
        </w:tc>
      </w:tr>
      <w:tr>
        <w:trPr>
          <w:trHeight w:val="283"/>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Mine Safety Disclosures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3"/>
        </w:trPr>
        <w:tc>
          <w:tcPr>
            <w:tcW w:w="10360" w:type="dxa"/>
            <w:vAlign w:val="bottom"/>
            <w:gridSpan w:val="8"/>
          </w:tcPr>
          <w:p>
            <w:pPr>
              <w:spacing w:after="0"/>
              <w:rPr>
                <w:sz w:val="20"/>
                <w:szCs w:val="20"/>
                <w:color w:val="auto"/>
              </w:rPr>
            </w:pPr>
            <w:r>
              <w:rPr>
                <w:rFonts w:ascii="Arial" w:cs="Arial" w:eastAsia="Arial" w:hAnsi="Arial"/>
                <w:sz w:val="16"/>
                <w:szCs w:val="16"/>
                <w:color w:val="auto"/>
              </w:rPr>
              <w:t>Item 5.</w:t>
            </w:r>
          </w:p>
        </w:tc>
        <w:tc>
          <w:tcPr>
            <w:tcW w:w="58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Other Information</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3"/>
        </w:trPr>
        <w:tc>
          <w:tcPr>
            <w:tcW w:w="10360" w:type="dxa"/>
            <w:vAlign w:val="bottom"/>
            <w:gridSpan w:val="8"/>
          </w:tcPr>
          <w:p>
            <w:pPr>
              <w:spacing w:after="0"/>
              <w:rPr>
                <w:sz w:val="20"/>
                <w:szCs w:val="20"/>
                <w:color w:val="auto"/>
              </w:rPr>
            </w:pPr>
            <w:r>
              <w:rPr>
                <w:rFonts w:ascii="Arial" w:cs="Arial" w:eastAsia="Arial" w:hAnsi="Arial"/>
                <w:sz w:val="16"/>
                <w:szCs w:val="16"/>
                <w:color w:val="auto"/>
              </w:rPr>
              <w:t>Item 6.</w:t>
            </w:r>
          </w:p>
        </w:tc>
        <w:tc>
          <w:tcPr>
            <w:tcW w:w="580" w:type="dxa"/>
            <w:vAlign w:val="bottom"/>
          </w:tcPr>
          <w:p>
            <w:pPr>
              <w:spacing w:after="0"/>
              <w:rPr>
                <w:sz w:val="24"/>
                <w:szCs w:val="24"/>
                <w:color w:val="auto"/>
              </w:rPr>
            </w:pPr>
          </w:p>
        </w:tc>
      </w:tr>
      <w:tr>
        <w:trPr>
          <w:trHeight w:val="283"/>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Exhibits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4"/>
        </w:trPr>
        <w:tc>
          <w:tcPr>
            <w:tcW w:w="10360" w:type="dxa"/>
            <w:vAlign w:val="bottom"/>
            <w:gridSpan w:val="8"/>
          </w:tcPr>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Signature</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60"/>
          </w:cols>
          <w:pgMar w:left="320" w:top="486"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17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February 13, 2020, the United States Securities and Exchange Commission (the “SEC”) declared effective the Registration Statement on Form S-4, as amended (the “Registration Statement”), of Upjohn Inc. (the “Company” or “Upjohn”), to register shares of its common stock, par value $0.01 per share, that will be issued and distributed in connection with the series of agreements entered into by Pfizer Inc. (“Pfizer”), Upjohn, Mylan N.V. (“Mylan”) and certain of their affiliates to combine Pfizer’s global, primarily off-patent branded and generic established medicines business (the “Upjohn Business”) with Mylan in an all-stock Reverse Morris Trust transaction (the “Transaction”), creating a new global pharmaceutical company. A detailed description of the Upjohn Inc. capital stock and the Transaction is included in the Registration Statement. Upjohn has been newly formed to effect the transactions. Effective as of the closing of the Transaction, Upjohn will be renamed “Viatris” and will operate both Mylan and the Upjohn Business.</w:t>
      </w:r>
    </w:p>
    <w:p>
      <w:pPr>
        <w:spacing w:after="0" w:line="138"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In this Quarterly Report on Form 10-Q for the quarterly period ended March 29, 2020, the Company is reporting the financial statements, including the notes thereto, for the quarter ended March 29, 2020 and for the period from February 14, 2019 (date of incorporation) to March 31, 2019.</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40"/>
          </w:cols>
          <w:pgMar w:left="320" w:top="486"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437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3725" cy="17145"/>
                    </a:xfrm>
                    <a:prstGeom prst="rect">
                      <a:avLst/>
                    </a:prstGeom>
                    <a:noFill/>
                  </pic:spPr>
                </pic:pic>
              </a:graphicData>
            </a:graphic>
          </wp:anchor>
        </w:drawing>
      </w: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Period From</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February 14, 2019 (Date</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ind w:right="32"/>
              <w:spacing w:after="0"/>
              <w:rPr>
                <w:sz w:val="20"/>
                <w:szCs w:val="20"/>
                <w:color w:val="auto"/>
              </w:rPr>
            </w:pPr>
            <w:r>
              <w:rPr>
                <w:rFonts w:ascii="Arial" w:cs="Arial" w:eastAsia="Arial" w:hAnsi="Arial"/>
                <w:sz w:val="16"/>
                <w:szCs w:val="16"/>
                <w:color w:val="auto"/>
                <w:w w:val="99"/>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of Incorporation) to</w:t>
            </w:r>
          </w:p>
        </w:tc>
        <w:tc>
          <w:tcPr>
            <w:tcW w:w="0" w:type="dxa"/>
            <w:vAlign w:val="bottom"/>
          </w:tcPr>
          <w:p>
            <w:pPr>
              <w:spacing w:after="0"/>
              <w:rPr>
                <w:sz w:val="1"/>
                <w:szCs w:val="1"/>
                <w:color w:val="auto"/>
              </w:rPr>
            </w:pPr>
          </w:p>
        </w:tc>
      </w:tr>
      <w:tr>
        <w:trPr>
          <w:trHeight w:val="209"/>
        </w:trPr>
        <w:tc>
          <w:tcPr>
            <w:tcW w:w="6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(actual dollars and shares)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29, 2020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00" w:type="dxa"/>
            <w:vAlign w:val="bottom"/>
          </w:tcPr>
          <w:p>
            <w:pPr>
              <w:ind w:left="180"/>
              <w:spacing w:after="0"/>
              <w:rPr>
                <w:sz w:val="20"/>
                <w:szCs w:val="20"/>
                <w:color w:val="auto"/>
              </w:rPr>
            </w:pPr>
            <w:r>
              <w:rPr>
                <w:rFonts w:ascii="Arial" w:cs="Arial" w:eastAsia="Arial" w:hAnsi="Arial"/>
                <w:sz w:val="18"/>
                <w:szCs w:val="18"/>
                <w:color w:val="auto"/>
              </w:rPr>
              <w:t>Income before provision/(benefit) for taxes on income</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Provision/(benefit) for taxes on income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common share—basic</w:t>
            </w:r>
          </w:p>
        </w:tc>
        <w:tc>
          <w:tcPr>
            <w:tcW w:w="420" w:type="dxa"/>
            <w:vAlign w:val="bottom"/>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Weighted-average common shares—basic</w:t>
            </w: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7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Period From</w:t>
            </w:r>
          </w:p>
        </w:tc>
        <w:tc>
          <w:tcPr>
            <w:tcW w:w="80" w:type="dxa"/>
            <w:vAlign w:val="bottom"/>
          </w:tcPr>
          <w:p>
            <w:pPr>
              <w:spacing w:after="0"/>
              <w:rPr>
                <w:sz w:val="19"/>
                <w:szCs w:val="19"/>
                <w:color w:val="auto"/>
              </w:rPr>
            </w:pPr>
          </w:p>
        </w:tc>
      </w:tr>
      <w:tr>
        <w:trPr>
          <w:trHeight w:val="203"/>
        </w:trPr>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February 14, 2019 (Date</w:t>
            </w:r>
          </w:p>
        </w:tc>
      </w:tr>
      <w:tr>
        <w:trPr>
          <w:trHeight w:val="203"/>
        </w:trPr>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w w:val="99"/>
              </w:rPr>
              <w:t>Three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of Incorporation) to</w:t>
            </w:r>
          </w:p>
        </w:tc>
      </w:tr>
      <w:tr>
        <w:trPr>
          <w:trHeight w:val="209"/>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(actual dollars)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29, 2020</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2019</w:t>
            </w:r>
          </w:p>
        </w:tc>
        <w:tc>
          <w:tcPr>
            <w:tcW w:w="80" w:type="dxa"/>
            <w:vAlign w:val="bottom"/>
          </w:tcPr>
          <w:p>
            <w:pPr>
              <w:spacing w:after="0"/>
              <w:rPr>
                <w:sz w:val="18"/>
                <w:szCs w:val="18"/>
                <w:color w:val="auto"/>
              </w:rPr>
            </w:pPr>
          </w:p>
        </w:tc>
      </w:tr>
      <w:tr>
        <w:trPr>
          <w:trHeight w:val="213"/>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020" w:type="dxa"/>
            <w:vAlign w:val="bottom"/>
          </w:tcPr>
          <w:p>
            <w:pPr>
              <w:ind w:left="180"/>
              <w:spacing w:after="0"/>
              <w:rPr>
                <w:sz w:val="20"/>
                <w:szCs w:val="20"/>
                <w:color w:val="auto"/>
              </w:rPr>
            </w:pPr>
            <w:r>
              <w:rPr>
                <w:rFonts w:ascii="Arial" w:cs="Arial" w:eastAsia="Arial" w:hAnsi="Arial"/>
                <w:sz w:val="18"/>
                <w:szCs w:val="18"/>
                <w:color w:val="auto"/>
              </w:rPr>
              <w:t>Other comprehensive income/(loss) before tax</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provision/(benefit) on other comprehensive income/(loss)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Upjohn Inc.</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BALANCE SHEETS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5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As of</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As of</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20" w:type="dxa"/>
            <w:vAlign w:val="bottom"/>
            <w:gridSpan w:val="3"/>
          </w:tcPr>
          <w:p>
            <w:pPr>
              <w:spacing w:after="0"/>
              <w:rPr>
                <w:sz w:val="20"/>
                <w:szCs w:val="20"/>
                <w:color w:val="auto"/>
              </w:rPr>
            </w:pPr>
            <w:r>
              <w:rPr>
                <w:rFonts w:ascii="Arial" w:cs="Arial" w:eastAsia="Arial" w:hAnsi="Arial"/>
                <w:sz w:val="16"/>
                <w:szCs w:val="16"/>
                <w:color w:val="auto"/>
              </w:rPr>
              <w:t>(actual dollars and shares)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March 29, 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December 31, 2019</w:t>
            </w:r>
          </w:p>
        </w:tc>
        <w:tc>
          <w:tcPr>
            <w:tcW w:w="0" w:type="dxa"/>
            <w:vAlign w:val="bottom"/>
          </w:tcPr>
          <w:p>
            <w:pPr>
              <w:spacing w:after="0"/>
              <w:rPr>
                <w:sz w:val="1"/>
                <w:szCs w:val="1"/>
                <w:color w:val="auto"/>
              </w:rPr>
            </w:pPr>
          </w:p>
        </w:tc>
      </w:tr>
      <w:tr>
        <w:trPr>
          <w:trHeight w:val="203"/>
        </w:trPr>
        <w:tc>
          <w:tcPr>
            <w:tcW w:w="4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5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72"/>
              <w:spacing w:after="0"/>
              <w:rPr>
                <w:sz w:val="20"/>
                <w:szCs w:val="20"/>
                <w:color w:val="auto"/>
              </w:rPr>
            </w:pPr>
            <w:r>
              <w:rPr>
                <w:rFonts w:ascii="Arial" w:cs="Arial" w:eastAsia="Arial" w:hAnsi="Arial"/>
                <w:sz w:val="16"/>
                <w:szCs w:val="16"/>
                <w:color w:val="auto"/>
              </w:rPr>
              <w:t>(Unaudited)</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gridSpan w:val="3"/>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420" w:type="dxa"/>
            <w:vAlign w:val="bottom"/>
            <w:gridSpan w:val="3"/>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420" w:type="dxa"/>
            <w:vAlign w:val="bottom"/>
            <w:gridSpan w:val="3"/>
          </w:tcPr>
          <w:p>
            <w:pPr>
              <w:spacing w:after="0"/>
              <w:rPr>
                <w:sz w:val="20"/>
                <w:szCs w:val="20"/>
                <w:color w:val="auto"/>
              </w:rPr>
            </w:pPr>
            <w:r>
              <w:rPr>
                <w:rFonts w:ascii="Arial" w:cs="Arial" w:eastAsia="Arial" w:hAnsi="Arial"/>
                <w:sz w:val="18"/>
                <w:szCs w:val="18"/>
                <w:color w:val="auto"/>
                <w:w w:val="95"/>
              </w:rPr>
              <w:t>Common stock, $0.01 par value; 1,000 shares authorized; issued: 2020—100 shares; 2019—100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20" w:type="dxa"/>
            <w:vAlign w:val="bottom"/>
            <w:gridSpan w:val="3"/>
          </w:tcPr>
          <w:p>
            <w:pPr>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Due from shareholder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income/(loss)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Upjohn Inc. shareholder’s equity</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2"/>
        </w:trPr>
        <w:tc>
          <w:tcPr>
            <w:tcW w:w="4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Due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Accum.</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Upjohn Inc.</w:t>
            </w:r>
          </w:p>
        </w:tc>
      </w:tr>
      <w:tr>
        <w:trPr>
          <w:trHeight w:val="203"/>
        </w:trPr>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Add’l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from</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Share -</w:t>
            </w:r>
          </w:p>
        </w:tc>
      </w:tr>
      <w:tr>
        <w:trPr>
          <w:trHeight w:val="203"/>
        </w:trPr>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Par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4"/>
              </w:rPr>
              <w:t>Paid-In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3"/>
              </w:rPr>
              <w:t>Share-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Retained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Comp.</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holder’s</w:t>
            </w:r>
          </w:p>
        </w:tc>
      </w:tr>
      <w:tr>
        <w:trPr>
          <w:trHeight w:val="20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(actual dollars and shares)</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Shares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Value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Capital</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holder</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8"/>
              </w:rPr>
              <w:t>Earnings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Income/(Loss)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Equity</w:t>
            </w:r>
          </w:p>
        </w:tc>
        <w:tc>
          <w:tcPr>
            <w:tcW w:w="80" w:type="dxa"/>
            <w:vAlign w:val="bottom"/>
          </w:tcPr>
          <w:p>
            <w:pPr>
              <w:spacing w:after="0"/>
              <w:rPr>
                <w:sz w:val="18"/>
                <w:szCs w:val="18"/>
                <w:color w:val="auto"/>
              </w:rPr>
            </w:pPr>
          </w:p>
        </w:tc>
      </w:tr>
      <w:tr>
        <w:trPr>
          <w:trHeight w:val="212"/>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Balance, March 29, 2020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264"/>
        </w:trPr>
        <w:tc>
          <w:tcPr>
            <w:tcW w:w="4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4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Due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Accum.</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Upjohn Inc.</w:t>
            </w:r>
          </w:p>
        </w:tc>
      </w:tr>
      <w:tr>
        <w:trPr>
          <w:trHeight w:val="203"/>
        </w:trPr>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Add’l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from</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Share -</w:t>
            </w:r>
          </w:p>
        </w:tc>
      </w:tr>
      <w:tr>
        <w:trPr>
          <w:trHeight w:val="203"/>
        </w:trPr>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Par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4"/>
              </w:rPr>
              <w:t>Paid-In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3"/>
              </w:rPr>
              <w:t>Share-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Retained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Comp.</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holder’s</w:t>
            </w:r>
          </w:p>
        </w:tc>
      </w:tr>
      <w:tr>
        <w:trPr>
          <w:trHeight w:val="20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(actual dollars and shares)</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Shares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Value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Capital</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holder</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8"/>
              </w:rPr>
              <w:t>Earnings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Income/(Loss)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Equity</w:t>
            </w:r>
          </w:p>
        </w:tc>
        <w:tc>
          <w:tcPr>
            <w:tcW w:w="80" w:type="dxa"/>
            <w:vAlign w:val="bottom"/>
          </w:tcPr>
          <w:p>
            <w:pPr>
              <w:spacing w:after="0"/>
              <w:rPr>
                <w:sz w:val="18"/>
                <w:szCs w:val="18"/>
                <w:color w:val="auto"/>
              </w:rPr>
            </w:pPr>
          </w:p>
        </w:tc>
      </w:tr>
      <w:tr>
        <w:trPr>
          <w:trHeight w:val="213"/>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Initial capitalization, February 14, 2019 (date of incorporation)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Balance, March 31, 2019</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Period From</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w w:val="92"/>
              </w:rPr>
              <w:t>February 14, 2019 (Date</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w w:val="99"/>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of Incorporation) to</w:t>
            </w:r>
          </w:p>
        </w:tc>
        <w:tc>
          <w:tcPr>
            <w:tcW w:w="0" w:type="dxa"/>
            <w:vAlign w:val="bottom"/>
          </w:tcPr>
          <w:p>
            <w:pPr>
              <w:spacing w:after="0"/>
              <w:rPr>
                <w:sz w:val="1"/>
                <w:szCs w:val="1"/>
                <w:color w:val="auto"/>
              </w:rPr>
            </w:pPr>
          </w:p>
        </w:tc>
      </w:tr>
      <w:tr>
        <w:trPr>
          <w:trHeight w:val="209"/>
        </w:trPr>
        <w:tc>
          <w:tcPr>
            <w:tcW w:w="6900" w:type="dxa"/>
            <w:vAlign w:val="bottom"/>
            <w:gridSpan w:val="4"/>
          </w:tcPr>
          <w:p>
            <w:pPr>
              <w:spacing w:after="0"/>
              <w:rPr>
                <w:sz w:val="20"/>
                <w:szCs w:val="20"/>
                <w:color w:val="auto"/>
              </w:rPr>
            </w:pPr>
            <w:r>
              <w:rPr>
                <w:rFonts w:ascii="Arial" w:cs="Arial" w:eastAsia="Arial" w:hAnsi="Arial"/>
                <w:sz w:val="16"/>
                <w:szCs w:val="16"/>
                <w:color w:val="auto"/>
              </w:rPr>
              <w:t>(actual dollars)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March 29, 2020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March 31, 2019</w:t>
            </w:r>
          </w:p>
        </w:tc>
        <w:tc>
          <w:tcPr>
            <w:tcW w:w="0" w:type="dxa"/>
            <w:vAlign w:val="bottom"/>
          </w:tcPr>
          <w:p>
            <w:pPr>
              <w:spacing w:after="0"/>
              <w:rPr>
                <w:sz w:val="1"/>
                <w:szCs w:val="1"/>
                <w:color w:val="auto"/>
              </w:rPr>
            </w:pPr>
          </w:p>
        </w:tc>
      </w:tr>
      <w:tr>
        <w:trPr>
          <w:trHeight w:val="193"/>
        </w:trPr>
        <w:tc>
          <w:tcPr>
            <w:tcW w:w="1460" w:type="dxa"/>
            <w:vAlign w:val="bottom"/>
            <w:tcBorders>
              <w:top w:val="single" w:sz="8" w:color="auto"/>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color w:val="auto"/>
                <w:w w:val="92"/>
              </w:rPr>
              <w:t>Operating Activities</w:t>
            </w:r>
          </w:p>
        </w:tc>
        <w:tc>
          <w:tcPr>
            <w:tcW w:w="544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4"/>
          </w:tcPr>
          <w:p>
            <w:pPr>
              <w:ind w:left="180"/>
              <w:spacing w:after="0"/>
              <w:rPr>
                <w:sz w:val="20"/>
                <w:szCs w:val="20"/>
                <w:color w:val="auto"/>
              </w:rPr>
            </w:pPr>
            <w:r>
              <w:rPr>
                <w:rFonts w:ascii="Arial" w:cs="Arial" w:eastAsia="Arial" w:hAnsi="Arial"/>
                <w:sz w:val="18"/>
                <w:szCs w:val="18"/>
                <w:color w:val="auto"/>
              </w:rPr>
              <w:t>Other changes in assets and liabilities: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00" w:type="dxa"/>
            <w:vAlign w:val="bottom"/>
            <w:gridSpan w:val="4"/>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9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900" w:type="dxa"/>
            <w:vAlign w:val="bottom"/>
            <w:gridSpan w:val="4"/>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9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00" w:type="dxa"/>
            <w:vAlign w:val="bottom"/>
            <w:gridSpan w:val="4"/>
          </w:tcPr>
          <w:p>
            <w:pPr>
              <w:spacing w:after="0"/>
              <w:rPr>
                <w:sz w:val="20"/>
                <w:szCs w:val="20"/>
                <w:color w:val="auto"/>
              </w:rPr>
            </w:pPr>
            <w:r>
              <w:rPr>
                <w:rFonts w:ascii="Arial" w:cs="Arial" w:eastAsia="Arial" w:hAnsi="Arial"/>
                <w:sz w:val="18"/>
                <w:szCs w:val="18"/>
                <w:color w:val="auto"/>
              </w:rPr>
              <w:t>Effect of exchange-rate changes on cash and cash equivalents</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4"/>
          </w:tcPr>
          <w:p>
            <w:pPr>
              <w:ind w:left="260"/>
              <w:spacing w:after="0"/>
              <w:rPr>
                <w:sz w:val="20"/>
                <w:szCs w:val="20"/>
                <w:color w:val="auto"/>
              </w:rPr>
            </w:pPr>
            <w:r>
              <w:rPr>
                <w:rFonts w:ascii="Arial" w:cs="Arial" w:eastAsia="Arial" w:hAnsi="Arial"/>
                <w:sz w:val="18"/>
                <w:szCs w:val="18"/>
                <w:color w:val="auto"/>
              </w:rPr>
              <w:t>Cash and cash equivalents, beginning</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Cash and cash equivalents, end</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gridSpan w:val="4"/>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4"/>
          </w:tcPr>
          <w:p>
            <w:pPr>
              <w:ind w:left="180"/>
              <w:spacing w:after="0"/>
              <w:rPr>
                <w:sz w:val="20"/>
                <w:szCs w:val="20"/>
                <w:color w:val="auto"/>
              </w:rPr>
            </w:pPr>
            <w:r>
              <w:rPr>
                <w:rFonts w:ascii="Arial" w:cs="Arial" w:eastAsia="Arial" w:hAnsi="Arial"/>
                <w:sz w:val="18"/>
                <w:szCs w:val="18"/>
                <w:color w:val="auto"/>
              </w:rPr>
              <w:t>Income taxes</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 which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UPJOHN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 1. Organization and Basis of Presentation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 Organization</w:t>
      </w:r>
    </w:p>
    <w:p>
      <w:pPr>
        <w:spacing w:after="0" w:line="15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Upjohn Inc. (the “Company” or “Upjohn”), a Delaware corporation, was formed on February 14, 2019, and is currently a wholly-owned subsidiary of Pfizer Inc. (“Pfizer”). The Company has two wholly-owned subsidiaries, Utah Acquisition Holdco Inc. and Utah Acquisition Sub Inc., both of which are Delaware corporations formed on July 25, 2019. The Company and its subsidiaries have not commenced operations, have no significant assets or liabilities and have not conducted any material activities other than those incidental to its formation from February 14, 2019, its date of incorporation, through March 29, 2020.</w:t>
      </w:r>
    </w:p>
    <w:p>
      <w:pPr>
        <w:spacing w:after="0" w:line="10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On February 13, 2020, the United States Securities and Exchange Commission (the “SEC”) declared effective the Registration Statement on Form S-4, as amended (the “Registration Statement”), of the Company to register shares of its common stock, par value $0.01 per share, that will be issued and distributed in connection with a series of agreements entered into by Pfizer, the Company, Mylan N.V. (“Mylan”) and certain of their affiliates to combine Pfizer’s global, primarily off-patent branded and generic established medicines business (the “Upjohn Business”) with Mylan in an all-stock Reverse Morris Trust transaction (the “Transaction”), creating a new global pharmaceutical company.</w:t>
      </w:r>
    </w:p>
    <w:p>
      <w:pPr>
        <w:spacing w:after="0" w:line="1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On July 29, 2019, Pfizer announced it had entered into a definitive agreement to combine the Company with Mylan. Under the terms of the Transaction, Pfizer will contribute the Upjohn Business, a business unit of Pfizer, to the Company. The Company will be spun-off or split-off to Pfizer’s stockholders and, immediately thereafter, combined with Mylan. The name of the new company to be formed by the planned combination of the Upjohn Business and Mylan will be “Viatris.” The voting common stock of the Company is expected to be listed for trading on the NASDAQ. Pfizer stockholders would own 57% of the combined new company and former Mylan shareholders would own 43% on a fully diluted basis. The Company will issue $12 billion of debt in connection with its separation from Pfizer and will make a cash payment to Pfizer equal to $12 billion as partial consideration for the contribution of the Upjohn Business from Pfizer to the Company. The Transaction is generally expected to be tax free to Pfizer and Pfizer stockholders and is expected to close in the second half of 2020, subject to Mylan shareholder approval and satisfaction of other customary closing conditions, including receipt of regulatory approvals.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 Basis of Presentation</w:t>
      </w:r>
    </w:p>
    <w:p>
      <w:pPr>
        <w:spacing w:after="0" w:line="14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prepared the accompanying condensed consolidated financial statements following the requirements of the SEC for interim reporting. As permitted under those rules, certain footnotes or other financial information that are normally required by accounting principles generally accepted in the United States of America (“U.S. GAAP”) can be condensed or omitted.</w:t>
      </w:r>
    </w:p>
    <w:p>
      <w:pPr>
        <w:spacing w:after="0" w:line="11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financial information included in the Company’s condensed consolidated financial statements is as of and for the three months ended March 29, 2020 and for the period from February 14, 2019 (date of incorporation) to March 31, 2019.</w:t>
      </w:r>
    </w:p>
    <w:p>
      <w:pPr>
        <w:spacing w:after="0" w:line="10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w:t>
      </w:r>
    </w:p>
    <w:p>
      <w:pPr>
        <w:spacing w:after="0" w:line="8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is responsible for the unaudited financial statements included in this Quarterly Report on Form 10-Q. The interim financial statements include all normal and recurring adjustments that are considered necessary for the fair statement of results for the interim periods presented. The information included in this Quarterly Report on Form 10-Q should be read in conjunction with the consolidated financial statements and accompanying notes included in the Company’s 2019 Special Financial Report on Form 10-K.</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 2. Equity</w:t>
      </w:r>
    </w:p>
    <w:p>
      <w:pPr>
        <w:spacing w:after="0" w:line="16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 xml:space="preserve">As of March 29, 2020 and December 31, 2019, the Company is authorized to issue 1,000 shares of common stock, par value $0.01 per share. As of March 29, 2020 and December 31, 2019, there were 100 shares of common stock, par value of $0.01 per share, of the Company issued and outstanding. All such issued and outstanding shares of common stock were held by Pfizer. </w:t>
      </w:r>
      <w:r>
        <w:rPr>
          <w:rFonts w:ascii="Arial" w:cs="Arial" w:eastAsia="Arial" w:hAnsi="Arial"/>
          <w:sz w:val="18"/>
          <w:szCs w:val="18"/>
          <w:i w:val="1"/>
          <w:iCs w:val="1"/>
          <w:color w:val="auto"/>
        </w:rPr>
        <w:t>Due from shareholder</w:t>
      </w:r>
      <w:r>
        <w:rPr>
          <w:rFonts w:ascii="Arial" w:cs="Arial" w:eastAsia="Arial" w:hAnsi="Arial"/>
          <w:sz w:val="18"/>
          <w:szCs w:val="18"/>
          <w:color w:val="auto"/>
        </w:rPr>
        <w:t xml:space="preserve"> represents a receivable from Pfizer of $1 in connection with the issuance of the Company’s common stock.</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Upjohn Inc.:</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reviewed the condensed consolidated balance sheet of Upjohn Inc. and subsidiaries (the Company) as of March 29, 2020, the related condensed consolidated statements of income, comprehensive income, equity, and cash flows for the three month period ended March 29, 2020 and the period from February 14, 2019 (date of incorporation) to March 31, 2019,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3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2019, and the related consolidated statements of income, comprehensive income, equity, and cash flows for the period from February 14, 2019 (date of incorporation) to December 31, 2019 (not presented herein); and in our report dated May 7, 2020, we expressed an unqualified opinion on those consolidated financial statements. In our opinion, the information set forth in the accompanying condensed consolidated balance sheet as of December 31, 2019, is fairly stated, in all material respects, in relation to the consolidated balance sheet from which it has been derived.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Review Results</w:t>
      </w:r>
    </w:p>
    <w:p>
      <w:pPr>
        <w:spacing w:after="0" w:line="17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264795</wp:posOffset>
            </wp:positionV>
            <wp:extent cx="1242695" cy="24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269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KPMG LLP</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12, 2020</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 (“MD&amp;A”)</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Overview of Upjohn Inc.</w:t>
      </w:r>
    </w:p>
    <w:p>
      <w:pPr>
        <w:spacing w:after="0" w:line="15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 has filed the Registration Statement, which was declared effective by the SEC on February 13, 2020. Upjohn Inc. is a recently formed corporation organized in the State of Delaware on February 14, 2019 (date of incorporation) and is currently a wholly-owned subsidiary of Pfizer. The Company has not commenced operations, has no significant assets or liabilities and has not conducted any material activities other than those incidental to its formation from February 14, 2019, date of incorporation, through March 29, 2020.</w:t>
      </w:r>
    </w:p>
    <w:p>
      <w:pPr>
        <w:spacing w:after="0" w:line="10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July 29, 2019, Pfizer, Upjohn, Mylan and certain of their affiliates entered into a series of agreements to combine the Upjohn Business with Mylan in an all-stock Reverse Morris Trust transaction, creating a new global pharmaceutical company. Under the terms of the Transaction, Pfizer will contribute the Upjohn Business to the Company and distribute its ownership interest in Upjohn to Pfizer stockholders via either a spin-off or a split-off (the “Distribution”) and, immediately thereafter, Upjohn will be combined with Mylan. Pfizer stockholders would own 57% of the combined company and former Mylan shareholders would own 43% of the combined company on a fully diluted basis. For more information regarding the Transaction, see the Registration Statement.</w:t>
      </w:r>
    </w:p>
    <w:p>
      <w:pPr>
        <w:spacing w:after="0" w:line="12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Company will issue $12 billion of debt in connection with its separation from Pfizer and will make a cash payment to Pfizer equal to $12 billion as partial consideration for the contribution of the Upjohn Business from Pfizer to the Company. Immediately thereafter, Upjohn and Mylan will engage in a strategic combination transaction in which Mylan shareholders will receive shares of Upjohn common stock. The Transaction is generally expected to be tax free to Pfizer and Pfizer stockholders and is expected to close in the second half of 2020, subject to approval by Mylan shareholders and satisfaction of other customary closing conditions, including receipt of regulatory approvals.</w:t>
      </w:r>
    </w:p>
    <w:p>
      <w:pPr>
        <w:spacing w:after="0" w:line="1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has obtained financing commitments from certain financial institutions that will permit the Company to incur borrowings in an aggregate principal amount of up to $12 billion. The Company may issue debt securities or incur other debt financing in lieu of borrowing under the financing commitments. The Company expects to use the proceeds of such financings to make the cash distribution to Pfizer. The Company will incur such indebtedness prior to the date of the Distribution and would be responsible for the costs of the financing (including cash payments of interest in respect of the financing) from the date of issuance, assuming the Transaction closes.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Analysis of Financial Condition, Liquidity and Capital Resources</w:t>
      </w:r>
    </w:p>
    <w:p>
      <w:pPr>
        <w:spacing w:after="0" w:line="16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On February 14, 2019, the Company’s Board of Directors authorized the Company to issue 100 shares of the Company’s common stock to Pfizer for a total price of $1.</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Forward-Looking Information and Factors That May Affect Future Results</w:t>
      </w:r>
    </w:p>
    <w:p>
      <w:pPr>
        <w:spacing w:after="0" w:line="148"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This report and other written or oral statements that the Company makes from time to time contain forward-looking statements. Such forward-looking statements involve substantial risks and uncertainties. The Company has tried, wherever possible, to identify such statements by using words such as “will,” “may,” “could,” “should,” “would,” “likely,” “ongoing,” “anticipate,” “estimate,” “expect,” “project,” “potential,” “intend,” “continue,” “plan,” “believe,” “assume,” “target,” “forecast,” “guidance,” “goal,” “objective,” “aim,” “seek” and other words and terms of similar meaning or by using future dates in connection with any discussion of, among other things, the Company’s anticipated operating and financial performance, business plans and prospects, expectations for its products, sales efforts, expenses, interest rates, foreign exchange rates, the outcome of contingencies, such as legal proceedings, government regulation, the ability to successfully capitalize on growth opportunities or prospects, manufacturing and product supply and the Company’s expectations regarding the impact of a novel disease caused by a strain of coronavirus (“COVID-19”) on its business and operations. In particular, these include statements relating to future actions, including, among others, the expected timing, benefits, charges and/or costs in connection with the pending combination of the Upjohn Business with Mylan to create a new global pharmaceutical company, Viatris, and the Company’s anticipated liquidity position, the anticipated costs and savings from certain initiatives, and the expected payments to the unfunded (non-qualified) pension and postretirement plans and expected funding obligations.</w:t>
      </w:r>
    </w:p>
    <w:p>
      <w:pPr>
        <w:spacing w:after="0" w:line="100"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Company cannot guarantee that any forward-looking statement will be realized. Achievement of anticipated results is subject to substantial risks, uncertainties and inaccurate assumptions. Should known or unknown risks or uncertainties materialize or should underlying assumptions prove inaccurate, actual results could vary materially from past results and those anticipated, estimated or projected. Investors should bear this in mind as they consider forward-looking statements, and are cautioned not to put undue reliance on forward-looking statements.</w:t>
      </w:r>
    </w:p>
    <w:p>
      <w:pPr>
        <w:spacing w:after="0" w:line="104" w:lineRule="exact"/>
        <w:rPr>
          <w:sz w:val="20"/>
          <w:szCs w:val="20"/>
          <w:color w:val="auto"/>
        </w:rPr>
      </w:pPr>
    </w:p>
    <w:p>
      <w:pPr>
        <w:jc w:val="both"/>
        <w:ind w:left="120" w:right="620"/>
        <w:spacing w:after="0" w:line="263" w:lineRule="auto"/>
        <w:rPr>
          <w:sz w:val="20"/>
          <w:szCs w:val="20"/>
          <w:color w:val="auto"/>
        </w:rPr>
      </w:pPr>
      <w:r>
        <w:rPr>
          <w:rFonts w:ascii="Arial" w:cs="Arial" w:eastAsia="Arial" w:hAnsi="Arial"/>
          <w:sz w:val="18"/>
          <w:szCs w:val="18"/>
          <w:color w:val="auto"/>
        </w:rPr>
        <w:t>The Company undertakes no obligation to publicly update forward-looking statements, whether as a result of new information, future events or otherwise, except as required by law or by the rules and regulations of the SEC. You are advised, however, to consult any further disclosures the Company makes on related subjects.</w:t>
      </w:r>
    </w:p>
    <w:p>
      <w:pPr>
        <w:spacing w:after="0" w:line="10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You should read and consider the risk factors associated with the Upjohn Business because these risk factors may affect the operations and financial results of the new combined company and the Company’s common stock following the closing of the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Transaction. A description of the risks and uncertainties for the Upjohn Business, Mylan and the combined company may be found in the “Risk Factors” and “Cautionary Statement Regarding Forward-Looking Statements” sections of the Registration Statement, which was declared effective on February 13, 2020 and is on file with the SEC. Additional discussion regarding certain risks and uncertainties described above is included under the heading entitled “Risk Factors” in Part II, Item 1A, “Risk Factors” of this Quarterly Report on Form 10-Q. The Company notes these factors for investors as permitted by the 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6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During the period covered by this report, the Company did not conduct any material activities and therefore did not incur any significant interest rate risk, foreign currency exchange rate risk, commodity price risk or other relevant market risks.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62" w:lineRule="exact"/>
        <w:rPr>
          <w:sz w:val="20"/>
          <w:szCs w:val="20"/>
          <w:color w:val="auto"/>
        </w:rPr>
      </w:pPr>
    </w:p>
    <w:p>
      <w:pPr>
        <w:ind w:left="120" w:right="420"/>
        <w:spacing w:after="0" w:line="296" w:lineRule="auto"/>
        <w:rPr>
          <w:sz w:val="20"/>
          <w:szCs w:val="20"/>
          <w:color w:val="auto"/>
        </w:rPr>
      </w:pPr>
      <w:r>
        <w:rPr>
          <w:rFonts w:ascii="Arial" w:cs="Arial" w:eastAsia="Arial" w:hAnsi="Arial"/>
          <w:sz w:val="16"/>
          <w:szCs w:val="16"/>
          <w:color w:val="auto"/>
        </w:rPr>
        <w:t>As of the end of the period covered by this report, the Company carried out an evaluation, under the supervision and with the participation of its principal executive officer and principal financial officer, of the effectiveness of the design and operation of the Company’s disclosure controls and procedures (as such term is defined in Rules 13a-15(e) and 15d-15(e) under the Exchange Act). Based on this evaluation, the Company’s principal executive officer and principal financial officer concluded that the Company’s disclosure controls and procedures are effective in alerting them in a timely manner to material information required to be disclosed in the Company’s periodic reports filed with the SEC.</w:t>
      </w:r>
    </w:p>
    <w:p>
      <w:pPr>
        <w:spacing w:after="0" w:line="9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During the Company’s most recent fiscal quarter, there has not been any change in its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62"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During the period covered by this report, the Company did not conduct any material activities other than those related to its formation and the matters contemplated by the Transaction. Therefore, the Company did not incur any significant risk. You should also read and consider the risk factors associated with the Upjohn Business because these risk factors may affect the operations and financial results of the new combined company and the Company’s common stock following the closing of the Transaction. The Company refers to the “Forward-Looking Information and Factors That May Affect Future Results” section of the MD&amp;A of this Quarterly Report on Form 10-Q and to the description of the risks and uncertainties for the Upjohn Business, Mylan and the combined company that may be found in the “Risk Factors” and “Cautionary Statement Regarding Forward-Looking Statements” sections of the Registration Statement, which was declared effective on February 13, 2020 and is on file with the SEC.</w:t>
      </w:r>
    </w:p>
    <w:p>
      <w:pPr>
        <w:spacing w:after="0" w:line="9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b w:val="1"/>
          <w:bCs w:val="1"/>
          <w:color w:val="auto"/>
        </w:rPr>
        <w:t xml:space="preserve">COVID-19 Pandemic. </w:t>
      </w:r>
      <w:r>
        <w:rPr>
          <w:rFonts w:ascii="Arial" w:cs="Arial" w:eastAsia="Arial" w:hAnsi="Arial"/>
          <w:sz w:val="17"/>
          <w:szCs w:val="17"/>
          <w:color w:val="auto"/>
        </w:rPr>
        <w:t>In December 2019, illnesses associated with COVID-19 were reported and the virus has since caused widespread and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disruptions to daily life and economies across geographies, with cases of the virus reported in over 180 countries. The World Health Organization has classified the outbreak as a pandemic. The COVID-19 pandemic presents a number of challenges for the Company and the Upjohn Business, including, among others, potential delays or disruptions related to regulatory approvals in connection with the anticipated combination of the Upjohn Business with Mylan. For the Upjohn Business that is to be contributed to the Company under the terms of the Transaction, its business, operations, financial condition and results have been impacted by the COVID-19 pandemic to varying degrees, which are currently expected to primarily impact the second quarter of 2020. The pandemic presents a number of challenges for the Upjohn Business, including, among others, impacts due to travel limitations, social distancing and government-mandated work-from-home or shelter-in-place orders; potential manufacturing disruptions and delays and supply chain interruptions, including challenges related to reliance on third-party suppliers; impacts on product demand, including due to reduced numbers of in-person meetings with prescribers, patient visits with physicians, as well as increased unemployment resulting in lower new prescriptions or refills of existing prescriptions; costs associated with the COVID-19 pandemic, including protocols intended to reduce the risk of transmission; potential interruptions or delays in the operations of certain regulatory authorities; and government or regulatory actions to contain the virus or control the supply of medicines. Further, the COVID-19 pandemic, and the volatile global economic conditions stemming from the pandemic, could precipitate or amplify the other risk factors that are identified in the “Risk Factors” and “Cautionary Statement Regarding Forward-Looking Statements” sections of the Company’s Registration Statement.</w:t>
      </w:r>
    </w:p>
    <w:p>
      <w:pPr>
        <w:spacing w:after="0" w:line="105" w:lineRule="exact"/>
        <w:rPr>
          <w:sz w:val="20"/>
          <w:szCs w:val="20"/>
          <w:color w:val="auto"/>
        </w:rPr>
      </w:pPr>
    </w:p>
    <w:p>
      <w:pPr>
        <w:ind w:left="120" w:right="380"/>
        <w:spacing w:after="0" w:line="293" w:lineRule="auto"/>
        <w:rPr>
          <w:sz w:val="20"/>
          <w:szCs w:val="20"/>
          <w:color w:val="auto"/>
        </w:rPr>
      </w:pPr>
      <w:r>
        <w:rPr>
          <w:rFonts w:ascii="Arial" w:cs="Arial" w:eastAsia="Arial" w:hAnsi="Arial"/>
          <w:sz w:val="16"/>
          <w:szCs w:val="16"/>
          <w:color w:val="auto"/>
        </w:rPr>
        <w:t>The Company is continuing to monitor the impact of the latest developments regarding the COVID-19 pandemic on the Upjohn Business and its operations, financial condition and results. Despite careful tracking and planning, however, the Company cannot accurately predict the extent of the impact of the pandemic on the Upjohn Business and its operations, financial condition and results due to the uncertainty of future developments, including the speed and extent of the continued spread of the coronavirus globally, the duration of the pandemic, new information that may emerge concerning the severity and incidence of COVID-19, the safety, efficacy and availability of a vaccine and treatments for COVID-19, the global macroeconomic impact of the pandemic and governmental or regulatory actions to contain the virus or control supply of medicines.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916"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0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38"/>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2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92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Amendment No. 1 to the Separation and Distribution Agreement, dated as of February 18, 2020, by and between Pfizer Inc. and</w:t>
              </w:r>
            </w:hyperlink>
          </w:p>
        </w:tc>
        <w:tc>
          <w:tcPr>
            <w:tcW w:w="38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Upjohn Inc.</w:t>
              </w:r>
            </w:hyperlink>
          </w:p>
        </w:tc>
        <w:tc>
          <w:tcPr>
            <w:tcW w:w="8740" w:type="dxa"/>
            <w:vAlign w:val="bottom"/>
            <w:gridSpan w:val="5"/>
          </w:tcPr>
          <w:p>
            <w:pPr>
              <w:spacing w:after="0"/>
              <w:rPr>
                <w:sz w:val="17"/>
                <w:szCs w:val="17"/>
                <w:color w:val="auto"/>
              </w:rPr>
            </w:pPr>
          </w:p>
        </w:tc>
      </w:tr>
      <w:tr>
        <w:trPr>
          <w:trHeight w:val="304"/>
        </w:trPr>
        <w:tc>
          <w:tcPr>
            <w:tcW w:w="1220" w:type="dxa"/>
            <w:vAlign w:val="bottom"/>
          </w:tcPr>
          <w:p>
            <w:pPr>
              <w:ind w:left="6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9600" w:type="dxa"/>
            <w:vAlign w:val="bottom"/>
            <w:gridSpan w:val="6"/>
          </w:tcPr>
          <w:p>
            <w:pPr>
              <w:spacing w:after="0"/>
              <w:rPr>
                <w:rFonts w:ascii="Arial" w:cs="Arial" w:eastAsia="Arial" w:hAnsi="Arial"/>
                <w:sz w:val="18"/>
                <w:szCs w:val="18"/>
                <w:color w:val="0000EE"/>
              </w:rPr>
            </w:pPr>
            <w:hyperlink w:anchor="page17">
              <w:r>
                <w:rPr>
                  <w:rFonts w:ascii="Arial" w:cs="Arial" w:eastAsia="Arial" w:hAnsi="Arial"/>
                  <w:sz w:val="18"/>
                  <w:szCs w:val="18"/>
                  <w:u w:val="single" w:color="auto"/>
                  <w:color w:val="0000EE"/>
                </w:rPr>
                <w:t>Certification by the Principal Executive Officer Pursuant to Section 302 of the Sarbanes-Oxley Act of 2002</w:t>
              </w:r>
              <w:r>
                <w:rPr>
                  <w:rFonts w:ascii="Arial" w:cs="Arial" w:eastAsia="Arial" w:hAnsi="Arial"/>
                  <w:sz w:val="18"/>
                  <w:szCs w:val="18"/>
                  <w:color w:val="0000EE"/>
                </w:rPr>
                <w:t>.</w:t>
              </w:r>
            </w:hyperlink>
          </w:p>
        </w:tc>
      </w:tr>
      <w:tr>
        <w:trPr>
          <w:trHeight w:val="283"/>
        </w:trPr>
        <w:tc>
          <w:tcPr>
            <w:tcW w:w="1220" w:type="dxa"/>
            <w:vAlign w:val="bottom"/>
          </w:tcPr>
          <w:p>
            <w:pPr>
              <w:ind w:left="6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9600" w:type="dxa"/>
            <w:vAlign w:val="bottom"/>
            <w:gridSpan w:val="6"/>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Certification by the Chief Financial Officer Pursuant to Section 302 of the Sarbanes-Oxley Act of 2002.</w:t>
              </w:r>
            </w:hyperlink>
          </w:p>
        </w:tc>
      </w:tr>
      <w:tr>
        <w:trPr>
          <w:trHeight w:val="243"/>
        </w:trPr>
        <w:tc>
          <w:tcPr>
            <w:tcW w:w="1220" w:type="dxa"/>
            <w:vAlign w:val="bottom"/>
          </w:tcPr>
          <w:p>
            <w:pPr>
              <w:ind w:left="6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1"/>
                <w:szCs w:val="21"/>
                <w:color w:val="auto"/>
              </w:rPr>
            </w:pPr>
          </w:p>
        </w:tc>
        <w:tc>
          <w:tcPr>
            <w:tcW w:w="9600" w:type="dxa"/>
            <w:vAlign w:val="bottom"/>
            <w:gridSpan w:val="6"/>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Certification by the Principal Executive Officer Pursuant to 18 U.S.C. Section 1350, as Adopted Pursuant to Section 906 of the</w:t>
              </w:r>
            </w:hyperlink>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Sarbanes-Oxley Act of 2002.</w:t>
              </w:r>
            </w:hyperlink>
          </w:p>
        </w:tc>
        <w:tc>
          <w:tcPr>
            <w:tcW w:w="7040" w:type="dxa"/>
            <w:vAlign w:val="bottom"/>
            <w:tcBorders>
              <w:top w:val="single" w:sz="8" w:color="0000EE"/>
            </w:tcBorders>
          </w:tcPr>
          <w:p>
            <w:pPr>
              <w:spacing w:after="0"/>
              <w:rPr>
                <w:sz w:val="17"/>
                <w:szCs w:val="17"/>
                <w:color w:val="auto"/>
              </w:rPr>
            </w:pPr>
          </w:p>
        </w:tc>
        <w:tc>
          <w:tcPr>
            <w:tcW w:w="460" w:type="dxa"/>
            <w:vAlign w:val="bottom"/>
            <w:gridSpan w:val="2"/>
          </w:tcPr>
          <w:p>
            <w:pPr>
              <w:spacing w:after="0"/>
              <w:rPr>
                <w:sz w:val="17"/>
                <w:szCs w:val="17"/>
                <w:color w:val="auto"/>
              </w:rPr>
            </w:pPr>
          </w:p>
        </w:tc>
      </w:tr>
      <w:tr>
        <w:trPr>
          <w:trHeight w:val="263"/>
        </w:trPr>
        <w:tc>
          <w:tcPr>
            <w:tcW w:w="1220" w:type="dxa"/>
            <w:vAlign w:val="bottom"/>
          </w:tcPr>
          <w:p>
            <w:pPr>
              <w:ind w:left="6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2"/>
                <w:szCs w:val="22"/>
                <w:color w:val="auto"/>
              </w:rPr>
            </w:pPr>
          </w:p>
        </w:tc>
        <w:tc>
          <w:tcPr>
            <w:tcW w:w="96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Certification by the Chief Financial Officer Pursuant to 18 U.S.C. Section 1350, as Adopted Pursuant to Section 906 of the Sarbanes-</w:t>
              </w:r>
            </w:hyperlink>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0" w:type="dxa"/>
            <w:vAlign w:val="bottom"/>
            <w:gridSpan w:val="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Oxley Act of 2002.</w:t>
              </w:r>
            </w:hyperlink>
          </w:p>
        </w:tc>
      </w:tr>
      <w:tr>
        <w:trPr>
          <w:trHeight w:val="290"/>
        </w:trPr>
        <w:tc>
          <w:tcPr>
            <w:tcW w:w="1400" w:type="dxa"/>
            <w:vAlign w:val="bottom"/>
            <w:gridSpan w:val="2"/>
          </w:tcPr>
          <w:p>
            <w:pPr>
              <w:ind w:left="60"/>
              <w:spacing w:after="0"/>
              <w:rPr>
                <w:sz w:val="20"/>
                <w:szCs w:val="20"/>
                <w:color w:val="auto"/>
              </w:rPr>
            </w:pPr>
            <w:r>
              <w:rPr>
                <w:rFonts w:ascii="Arial" w:cs="Arial" w:eastAsia="Arial" w:hAnsi="Arial"/>
                <w:sz w:val="18"/>
                <w:szCs w:val="18"/>
                <w:color w:val="auto"/>
              </w:rPr>
              <w:t>Exhibit</w:t>
            </w:r>
          </w:p>
        </w:tc>
        <w:tc>
          <w:tcPr>
            <w:tcW w:w="8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220" w:type="dxa"/>
            <w:vAlign w:val="bottom"/>
          </w:tcPr>
          <w:p>
            <w:pPr>
              <w:ind w:left="6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8"/>
                <w:szCs w:val="18"/>
                <w:color w:val="auto"/>
              </w:rPr>
              <w:t>101.INS</w:t>
            </w:r>
          </w:p>
        </w:tc>
        <w:tc>
          <w:tcPr>
            <w:tcW w:w="9600" w:type="dxa"/>
            <w:vAlign w:val="bottom"/>
            <w:gridSpan w:val="6"/>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40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96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r>
      <w:tr>
        <w:trPr>
          <w:trHeight w:val="283"/>
        </w:trPr>
        <w:tc>
          <w:tcPr>
            <w:tcW w:w="1400" w:type="dxa"/>
            <w:vAlign w:val="bottom"/>
            <w:gridSpan w:val="2"/>
          </w:tcPr>
          <w:p>
            <w:pPr>
              <w:ind w:left="60"/>
              <w:spacing w:after="0"/>
              <w:rPr>
                <w:sz w:val="20"/>
                <w:szCs w:val="20"/>
                <w:color w:val="auto"/>
              </w:rPr>
            </w:pPr>
            <w:r>
              <w:rPr>
                <w:rFonts w:ascii="Arial" w:cs="Arial" w:eastAsia="Arial" w:hAnsi="Arial"/>
                <w:sz w:val="18"/>
                <w:szCs w:val="18"/>
                <w:color w:val="auto"/>
              </w:rPr>
              <w:t>101.CAL</w:t>
            </w:r>
          </w:p>
        </w:tc>
        <w:tc>
          <w:tcPr>
            <w:tcW w:w="96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83"/>
        </w:trPr>
        <w:tc>
          <w:tcPr>
            <w:tcW w:w="1400" w:type="dxa"/>
            <w:vAlign w:val="bottom"/>
            <w:gridSpan w:val="2"/>
          </w:tcPr>
          <w:p>
            <w:pPr>
              <w:ind w:left="60"/>
              <w:spacing w:after="0"/>
              <w:rPr>
                <w:sz w:val="20"/>
                <w:szCs w:val="20"/>
                <w:color w:val="auto"/>
              </w:rPr>
            </w:pPr>
            <w:r>
              <w:rPr>
                <w:rFonts w:ascii="Arial" w:cs="Arial" w:eastAsia="Arial" w:hAnsi="Arial"/>
                <w:sz w:val="18"/>
                <w:szCs w:val="18"/>
                <w:color w:val="auto"/>
              </w:rPr>
              <w:t>101.LAB</w:t>
            </w:r>
          </w:p>
        </w:tc>
        <w:tc>
          <w:tcPr>
            <w:tcW w:w="96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84"/>
        </w:trPr>
        <w:tc>
          <w:tcPr>
            <w:tcW w:w="1400" w:type="dxa"/>
            <w:vAlign w:val="bottom"/>
            <w:gridSpan w:val="2"/>
          </w:tcPr>
          <w:p>
            <w:pPr>
              <w:ind w:left="60"/>
              <w:spacing w:after="0"/>
              <w:rPr>
                <w:sz w:val="20"/>
                <w:szCs w:val="20"/>
                <w:color w:val="auto"/>
              </w:rPr>
            </w:pPr>
            <w:r>
              <w:rPr>
                <w:rFonts w:ascii="Arial" w:cs="Arial" w:eastAsia="Arial" w:hAnsi="Arial"/>
                <w:sz w:val="18"/>
                <w:szCs w:val="18"/>
                <w:color w:val="auto"/>
              </w:rPr>
              <w:t>101.PRE</w:t>
            </w:r>
          </w:p>
        </w:tc>
        <w:tc>
          <w:tcPr>
            <w:tcW w:w="96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83"/>
        </w:trPr>
        <w:tc>
          <w:tcPr>
            <w:tcW w:w="1400" w:type="dxa"/>
            <w:vAlign w:val="bottom"/>
            <w:gridSpan w:val="2"/>
          </w:tcPr>
          <w:p>
            <w:pPr>
              <w:ind w:left="60"/>
              <w:spacing w:after="0"/>
              <w:rPr>
                <w:sz w:val="20"/>
                <w:szCs w:val="20"/>
                <w:color w:val="auto"/>
              </w:rPr>
            </w:pPr>
            <w:r>
              <w:rPr>
                <w:rFonts w:ascii="Arial" w:cs="Arial" w:eastAsia="Arial" w:hAnsi="Arial"/>
                <w:sz w:val="18"/>
                <w:szCs w:val="18"/>
                <w:color w:val="auto"/>
              </w:rPr>
              <w:t>101.DEF</w:t>
            </w:r>
          </w:p>
        </w:tc>
        <w:tc>
          <w:tcPr>
            <w:tcW w:w="96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Document</w:t>
            </w: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8"/>
                <w:szCs w:val="18"/>
                <w:color w:val="auto"/>
              </w:rPr>
              <w:t>Exhibit 104</w:t>
            </w:r>
          </w:p>
        </w:tc>
        <w:tc>
          <w:tcPr>
            <w:tcW w:w="9600" w:type="dxa"/>
            <w:vAlign w:val="bottom"/>
            <w:gridSpan w:val="6"/>
          </w:tcPr>
          <w:p>
            <w:pPr>
              <w:spacing w:after="0"/>
              <w:rPr>
                <w:sz w:val="20"/>
                <w:szCs w:val="20"/>
                <w:color w:val="auto"/>
              </w:rPr>
            </w:pPr>
            <w:r>
              <w:rPr>
                <w:rFonts w:ascii="Arial" w:cs="Arial" w:eastAsia="Arial" w:hAnsi="Arial"/>
                <w:sz w:val="18"/>
                <w:szCs w:val="18"/>
                <w:color w:val="auto"/>
                <w:w w:val="91"/>
              </w:rPr>
              <w:t>Cover Page Interactive Data File—the cover page interactive data file does not appear in the Interactive Data File because its XBRL</w:t>
            </w:r>
          </w:p>
        </w:tc>
      </w:tr>
      <w:tr>
        <w:trPr>
          <w:trHeight w:val="230"/>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0" w:type="dxa"/>
            <w:vAlign w:val="bottom"/>
            <w:gridSpan w:val="6"/>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405"/>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4"/>
          </w:tcPr>
          <w:p>
            <w:pPr>
              <w:ind w:left="39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Under the requirements of the Securities Exchange Act of 1934, the registrant has duly caused this report to be signed by the undersigned thereunto duly authorized.</w:t>
      </w:r>
    </w:p>
    <w:p>
      <w:pPr>
        <w:spacing w:after="0" w:line="166"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Upjohn Inc.</w:t>
      </w:r>
    </w:p>
    <w:p>
      <w:pPr>
        <w:spacing w:after="0" w:line="148" w:lineRule="exact"/>
        <w:rPr>
          <w:sz w:val="20"/>
          <w:szCs w:val="20"/>
          <w:color w:val="auto"/>
        </w:rPr>
      </w:pPr>
    </w:p>
    <w:p>
      <w:pPr>
        <w:ind w:left="120"/>
        <w:spacing w:after="0"/>
        <w:tabs>
          <w:tab w:leader="none" w:pos="5780" w:val="left"/>
        </w:tabs>
        <w:rPr>
          <w:sz w:val="20"/>
          <w:szCs w:val="20"/>
          <w:color w:val="auto"/>
        </w:rPr>
      </w:pPr>
      <w:r>
        <w:rPr>
          <w:rFonts w:ascii="Arial" w:cs="Arial" w:eastAsia="Arial" w:hAnsi="Arial"/>
          <w:sz w:val="18"/>
          <w:szCs w:val="18"/>
          <w:color w:val="auto"/>
        </w:rPr>
        <w:t>Dated: May 12, 2020</w:t>
      </w:r>
      <w:r>
        <w:rPr>
          <w:sz w:val="20"/>
          <w:szCs w:val="20"/>
          <w:color w:val="auto"/>
        </w:rPr>
        <w:tab/>
      </w:r>
      <w:r>
        <w:rPr>
          <w:rFonts w:ascii="Arial" w:cs="Arial" w:eastAsia="Arial" w:hAnsi="Arial"/>
          <w:sz w:val="17"/>
          <w:szCs w:val="17"/>
          <w:color w:val="auto"/>
        </w:rPr>
        <w:t>By:  /s/ MICHAEL GOETTLER</w:t>
      </w:r>
    </w:p>
    <w:p>
      <w:pPr>
        <w:spacing w:after="0" w:line="15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Michael Goettler</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President (Principal Executive Officer)</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6" w:right="4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This Amendment No. 1 (this “</w:t>
      </w:r>
      <w:r>
        <w:rPr>
          <w:rFonts w:ascii="Arial" w:cs="Arial" w:eastAsia="Arial" w:hAnsi="Arial"/>
          <w:sz w:val="17"/>
          <w:szCs w:val="17"/>
          <w:u w:val="single" w:color="auto"/>
          <w:color w:val="auto"/>
        </w:rPr>
        <w:t>Amendment</w:t>
      </w:r>
      <w:r>
        <w:rPr>
          <w:rFonts w:ascii="Arial" w:cs="Arial" w:eastAsia="Arial" w:hAnsi="Arial"/>
          <w:sz w:val="17"/>
          <w:szCs w:val="17"/>
          <w:color w:val="auto"/>
        </w:rPr>
        <w:t>”) to the Separation and Distribution Agreement, dated as of July 29, 2019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February 18, 2020, by and between Pfizer Inc., a Delaware corporation (“</w:t>
      </w:r>
      <w:r>
        <w:rPr>
          <w:rFonts w:ascii="Arial" w:cs="Arial" w:eastAsia="Arial" w:hAnsi="Arial"/>
          <w:sz w:val="16"/>
          <w:szCs w:val="16"/>
          <w:u w:val="single" w:color="auto"/>
          <w:color w:val="auto"/>
        </w:rPr>
        <w:t>Pfizer</w:t>
      </w:r>
      <w:r>
        <w:rPr>
          <w:rFonts w:ascii="Arial" w:cs="Arial" w:eastAsia="Arial" w:hAnsi="Arial"/>
          <w:sz w:val="16"/>
          <w:szCs w:val="16"/>
          <w:color w:val="auto"/>
        </w:rPr>
        <w:t>”), and Upjohn Inc., a Delaware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wholly owned Subsidiary of Pfizer (“</w:t>
      </w:r>
      <w:r>
        <w:rPr>
          <w:rFonts w:ascii="Arial" w:cs="Arial" w:eastAsia="Arial" w:hAnsi="Arial"/>
          <w:sz w:val="18"/>
          <w:szCs w:val="18"/>
          <w:u w:val="single" w:color="auto"/>
          <w:color w:val="auto"/>
        </w:rPr>
        <w:t>Upjohn</w:t>
      </w:r>
      <w:r>
        <w:rPr>
          <w:rFonts w:ascii="Arial" w:cs="Arial" w:eastAsia="Arial" w:hAnsi="Arial"/>
          <w:sz w:val="18"/>
          <w:szCs w:val="18"/>
          <w:color w:val="auto"/>
        </w:rPr>
        <w:t>”, and together with Pfizer,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WHEREAS, the Parties entered into the Agreement on July 29, 2019;</w:t>
      </w:r>
    </w:p>
    <w:p>
      <w:pPr>
        <w:spacing w:after="0" w:line="225" w:lineRule="exact"/>
        <w:rPr>
          <w:sz w:val="20"/>
          <w:szCs w:val="20"/>
          <w:color w:val="auto"/>
        </w:rPr>
      </w:pPr>
    </w:p>
    <w:p>
      <w:pPr>
        <w:ind w:right="20" w:firstLine="1983"/>
        <w:spacing w:after="0" w:line="277" w:lineRule="auto"/>
        <w:rPr>
          <w:sz w:val="20"/>
          <w:szCs w:val="20"/>
          <w:color w:val="auto"/>
        </w:rPr>
      </w:pPr>
      <w:r>
        <w:rPr>
          <w:rFonts w:ascii="Arial" w:cs="Arial" w:eastAsia="Arial" w:hAnsi="Arial"/>
          <w:sz w:val="18"/>
          <w:szCs w:val="18"/>
          <w:color w:val="auto"/>
        </w:rPr>
        <w:t>WHEREAS, in accordance with the terms and conditions of the Agreement, the Parties now wish to amend the Agreement in the manner set forth in this Amendment; and</w:t>
      </w:r>
    </w:p>
    <w:p>
      <w:pPr>
        <w:spacing w:after="0" w:line="170" w:lineRule="exact"/>
        <w:rPr>
          <w:sz w:val="20"/>
          <w:szCs w:val="20"/>
          <w:color w:val="auto"/>
        </w:rPr>
      </w:pPr>
    </w:p>
    <w:p>
      <w:pPr>
        <w:ind w:right="480" w:firstLine="1983"/>
        <w:spacing w:after="0" w:line="342" w:lineRule="auto"/>
        <w:rPr>
          <w:sz w:val="20"/>
          <w:szCs w:val="20"/>
          <w:color w:val="auto"/>
        </w:rPr>
      </w:pPr>
      <w:r>
        <w:rPr>
          <w:rFonts w:ascii="Arial" w:cs="Arial" w:eastAsia="Arial" w:hAnsi="Arial"/>
          <w:sz w:val="16"/>
          <w:szCs w:val="16"/>
          <w:color w:val="auto"/>
        </w:rPr>
        <w:t>WHEREAS, in accordance with Section 10.03 of the Agreement, the Parties have obtained the prior written consent of Mylan N.V., a public company with limited liability incorporated under the laws of the Netherlands, to amend the Agreement as set forth herein.</w:t>
      </w:r>
    </w:p>
    <w:p>
      <w:pPr>
        <w:spacing w:after="0" w:line="124" w:lineRule="exact"/>
        <w:rPr>
          <w:sz w:val="20"/>
          <w:szCs w:val="20"/>
          <w:color w:val="auto"/>
        </w:rPr>
      </w:pPr>
    </w:p>
    <w:p>
      <w:pPr>
        <w:ind w:right="500" w:firstLine="1983"/>
        <w:spacing w:after="0" w:line="277" w:lineRule="auto"/>
        <w:rPr>
          <w:sz w:val="20"/>
          <w:szCs w:val="20"/>
          <w:color w:val="auto"/>
        </w:rPr>
      </w:pPr>
      <w:r>
        <w:rPr>
          <w:rFonts w:ascii="Arial" w:cs="Arial" w:eastAsia="Arial" w:hAnsi="Arial"/>
          <w:sz w:val="18"/>
          <w:szCs w:val="18"/>
          <w:color w:val="auto"/>
        </w:rPr>
        <w:t>NOW, THEREFORE, in consideration of the foregoing recitals and other good and valuable consideration, the receipt, adequacy and sufficiency of which is hereby acknowledged by each Party, the Parties hereto agree as follows:</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in this Amendment but not defined herein shall have the meanings given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them in the Agreement.</w:t>
      </w:r>
    </w:p>
    <w:p>
      <w:pPr>
        <w:spacing w:after="0" w:line="211" w:lineRule="exact"/>
        <w:rPr>
          <w:sz w:val="20"/>
          <w:szCs w:val="20"/>
          <w:color w:val="auto"/>
        </w:rPr>
      </w:pPr>
    </w:p>
    <w:p>
      <w:pPr>
        <w:ind w:right="240" w:firstLine="1983"/>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 to the Agreement</w:t>
      </w:r>
      <w:r>
        <w:rPr>
          <w:rFonts w:ascii="Arial" w:cs="Arial" w:eastAsia="Arial" w:hAnsi="Arial"/>
          <w:sz w:val="18"/>
          <w:szCs w:val="18"/>
          <w:color w:val="auto"/>
        </w:rPr>
        <w:t>. Section 1.01 of the Agreement is hereby amended to replace the definition of the term “Closing Working Capital Target” with the following:</w:t>
      </w:r>
    </w:p>
    <w:p>
      <w:pPr>
        <w:spacing w:after="0" w:line="17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Working Capital Target</w:t>
      </w:r>
      <w:r>
        <w:rPr>
          <w:rFonts w:ascii="Arial" w:cs="Arial" w:eastAsia="Arial" w:hAnsi="Arial"/>
          <w:sz w:val="18"/>
          <w:szCs w:val="18"/>
          <w:color w:val="auto"/>
        </w:rPr>
        <w:t>” means $902,000,000.</w:t>
      </w:r>
    </w:p>
    <w:p>
      <w:pPr>
        <w:spacing w:after="0" w:line="225" w:lineRule="exact"/>
        <w:rPr>
          <w:sz w:val="20"/>
          <w:szCs w:val="20"/>
          <w:color w:val="auto"/>
        </w:rPr>
      </w:pPr>
    </w:p>
    <w:p>
      <w:pPr>
        <w:ind w:right="60" w:firstLine="1983"/>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Limited Amendment</w:t>
      </w:r>
      <w:r>
        <w:rPr>
          <w:rFonts w:ascii="Arial" w:cs="Arial" w:eastAsia="Arial" w:hAnsi="Arial"/>
          <w:sz w:val="17"/>
          <w:szCs w:val="17"/>
          <w:color w:val="auto"/>
        </w:rPr>
        <w:t>. Each Party acknowledges and agrees that this Amendment constitutes an instrument in writing duly signed by the Parties under Section 10.03 of the Agreement. Except as specifically amended hereby, the Agreement shall continue in full force and effect in accordance with the provisions thereof as in existence on the date hereof. From and after the date hereof, all references to the Agreement, and each reference in the Agreement to “this Agreement,” “hereof,” “herein,” “hereby,” “hereto,” “herewith,” “hereunder” and derivative or similar words, shall refer to the Agreement as amended hereby. Each reference in the Agreement, as amended hereby, to “the date of this Agreement” or any similar reference, shall continue to refer to July 29, 2019.</w:t>
      </w:r>
    </w:p>
    <w:p>
      <w:pPr>
        <w:spacing w:after="0" w:line="178" w:lineRule="exact"/>
        <w:rPr>
          <w:sz w:val="20"/>
          <w:szCs w:val="20"/>
          <w:color w:val="auto"/>
        </w:rPr>
      </w:pPr>
    </w:p>
    <w:p>
      <w:pPr>
        <w:ind w:right="200" w:firstLine="198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provisions of Article VII and Article X of the Agreement shall apply to this 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 and are incorporated by reference as if fully set forth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15" w:name="page16"/>
    <w:bookmarkEnd w:id="1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Amendment, all as of the day and year first above written.</w:t>
      </w:r>
    </w:p>
    <w:p>
      <w:pPr>
        <w:spacing w:after="0" w:line="275" w:lineRule="exact"/>
        <w:rPr>
          <w:sz w:val="20"/>
          <w:szCs w:val="20"/>
          <w:color w:val="auto"/>
        </w:rPr>
      </w:pPr>
    </w:p>
    <w:p>
      <w:pPr>
        <w:jc w:val="center"/>
        <w:ind w:left="3200"/>
        <w:spacing w:after="0"/>
        <w:rPr>
          <w:sz w:val="20"/>
          <w:szCs w:val="20"/>
          <w:color w:val="auto"/>
        </w:rPr>
      </w:pPr>
      <w:r>
        <w:rPr>
          <w:rFonts w:ascii="Arial" w:cs="Arial" w:eastAsia="Arial" w:hAnsi="Arial"/>
          <w:sz w:val="18"/>
          <w:szCs w:val="18"/>
          <w:color w:val="auto"/>
        </w:rPr>
        <w:t>PFIZER INC.</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2339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ind w:left="6420"/>
        <w:spacing w:after="0"/>
        <w:tabs>
          <w:tab w:leader="none" w:pos="7000" w:val="left"/>
        </w:tabs>
        <w:rPr>
          <w:sz w:val="20"/>
          <w:szCs w:val="20"/>
          <w:color w:val="auto"/>
        </w:rPr>
      </w:pPr>
      <w:r>
        <w:rPr>
          <w:rFonts w:ascii="Arial" w:cs="Arial" w:eastAsia="Arial" w:hAnsi="Arial"/>
          <w:sz w:val="18"/>
          <w:szCs w:val="18"/>
          <w:color w:val="auto"/>
        </w:rPr>
        <w:t>Title:</w:t>
        <w:tab/>
        <w:t>Senior Vice President, Worldwide</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104"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Bryan A. Supran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23399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Bryan A. Supran</w:t>
      </w:r>
    </w:p>
    <w:p>
      <w:pPr>
        <w:spacing w:after="0" w:line="23" w:lineRule="exact"/>
        <w:rPr>
          <w:sz w:val="20"/>
          <w:szCs w:val="20"/>
          <w:color w:val="auto"/>
        </w:rPr>
      </w:pPr>
    </w:p>
    <w:p>
      <w:pPr>
        <w:ind w:left="6420"/>
        <w:spacing w:after="0"/>
        <w:tabs>
          <w:tab w:leader="none" w:pos="700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700"/>
          </w:cols>
          <w:pgMar w:left="1440" w:top="274" w:right="7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Goettler, certify that:</w:t>
      </w:r>
    </w:p>
    <w:p>
      <w:pPr>
        <w:spacing w:after="0" w:line="117" w:lineRule="exact"/>
        <w:rPr>
          <w:sz w:val="20"/>
          <w:szCs w:val="20"/>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Upjohn Inc.;</w:t>
      </w:r>
    </w:p>
    <w:p>
      <w:pPr>
        <w:spacing w:after="0" w:line="117" w:lineRule="exact"/>
        <w:rPr>
          <w:rFonts w:ascii="Arial" w:cs="Arial" w:eastAsia="Arial" w:hAnsi="Arial"/>
          <w:sz w:val="18"/>
          <w:szCs w:val="18"/>
          <w:color w:val="auto"/>
        </w:rPr>
      </w:pPr>
    </w:p>
    <w:p>
      <w:pPr>
        <w:ind w:right="180" w:firstLine="326"/>
        <w:spacing w:after="0" w:line="263" w:lineRule="auto"/>
        <w:tabs>
          <w:tab w:leader="none" w:pos="64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40" w:firstLine="326"/>
        <w:spacing w:after="0" w:line="308" w:lineRule="auto"/>
        <w:tabs>
          <w:tab w:leader="none" w:pos="645"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00" w:firstLine="326"/>
        <w:spacing w:after="0" w:line="263" w:lineRule="auto"/>
        <w:tabs>
          <w:tab w:leader="none" w:pos="64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320" w:right="100" w:firstLine="327"/>
        <w:spacing w:after="0" w:line="263" w:lineRule="auto"/>
        <w:tabs>
          <w:tab w:leader="none" w:pos="885"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320" w:right="180" w:firstLine="327"/>
        <w:spacing w:after="0" w:line="263" w:lineRule="auto"/>
        <w:tabs>
          <w:tab w:leader="none" w:pos="895"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320" w:right="420" w:firstLine="327"/>
        <w:spacing w:after="0" w:line="342" w:lineRule="auto"/>
        <w:tabs>
          <w:tab w:leader="none" w:pos="885"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20" w:right="400" w:firstLine="327"/>
        <w:spacing w:after="0" w:line="263" w:lineRule="auto"/>
        <w:tabs>
          <w:tab w:leader="none" w:pos="895"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60" w:firstLine="326"/>
        <w:spacing w:after="0" w:line="342" w:lineRule="auto"/>
        <w:tabs>
          <w:tab w:leader="none" w:pos="64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320" w:right="640" w:firstLine="327"/>
        <w:spacing w:after="0" w:line="308" w:lineRule="auto"/>
        <w:tabs>
          <w:tab w:leader="none" w:pos="885" w:val="left"/>
        </w:tabs>
        <w:numPr>
          <w:ilvl w:val="1"/>
          <w:numId w:val="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320" w:right="320" w:firstLine="327"/>
        <w:spacing w:after="0" w:line="277" w:lineRule="auto"/>
        <w:tabs>
          <w:tab w:leader="none" w:pos="895"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GOETTLER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Goettler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020"/>
          </w:cols>
          <w:pgMar w:left="440" w:top="121" w:right="4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117" w:lineRule="exact"/>
        <w:rPr>
          <w:sz w:val="20"/>
          <w:szCs w:val="20"/>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Upjohn Inc.;</w:t>
      </w:r>
    </w:p>
    <w:p>
      <w:pPr>
        <w:spacing w:after="0" w:line="117" w:lineRule="exact"/>
        <w:rPr>
          <w:rFonts w:ascii="Arial" w:cs="Arial" w:eastAsia="Arial" w:hAnsi="Arial"/>
          <w:sz w:val="18"/>
          <w:szCs w:val="18"/>
          <w:color w:val="auto"/>
        </w:rPr>
      </w:pPr>
    </w:p>
    <w:p>
      <w:pPr>
        <w:ind w:right="180" w:firstLine="326"/>
        <w:spacing w:after="0" w:line="263" w:lineRule="auto"/>
        <w:tabs>
          <w:tab w:leader="none" w:pos="64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40" w:firstLine="326"/>
        <w:spacing w:after="0" w:line="308" w:lineRule="auto"/>
        <w:tabs>
          <w:tab w:leader="none" w:pos="645"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00" w:firstLine="326"/>
        <w:spacing w:after="0" w:line="263" w:lineRule="auto"/>
        <w:tabs>
          <w:tab w:leader="none" w:pos="6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320" w:right="100" w:firstLine="327"/>
        <w:spacing w:after="0" w:line="263" w:lineRule="auto"/>
        <w:tabs>
          <w:tab w:leader="none" w:pos="88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320" w:right="180" w:firstLine="327"/>
        <w:spacing w:after="0" w:line="263" w:lineRule="auto"/>
        <w:tabs>
          <w:tab w:leader="none" w:pos="89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320" w:right="420" w:firstLine="327"/>
        <w:spacing w:after="0" w:line="342" w:lineRule="auto"/>
        <w:tabs>
          <w:tab w:leader="none" w:pos="885"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20" w:right="400" w:firstLine="327"/>
        <w:spacing w:after="0" w:line="263" w:lineRule="auto"/>
        <w:tabs>
          <w:tab w:leader="none" w:pos="895"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60" w:firstLine="326"/>
        <w:spacing w:after="0" w:line="342" w:lineRule="auto"/>
        <w:tabs>
          <w:tab w:leader="none" w:pos="64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320" w:right="640" w:firstLine="327"/>
        <w:spacing w:after="0" w:line="308" w:lineRule="auto"/>
        <w:tabs>
          <w:tab w:leader="none" w:pos="885"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320" w:right="320" w:firstLine="327"/>
        <w:spacing w:after="0" w:line="277" w:lineRule="auto"/>
        <w:tabs>
          <w:tab w:leader="none" w:pos="895"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SANJEEV NARULA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Sanjeev Narula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 Controller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661"/>
        <w:spacing w:after="0" w:line="259" w:lineRule="auto"/>
        <w:rPr>
          <w:sz w:val="20"/>
          <w:szCs w:val="20"/>
          <w:color w:val="auto"/>
        </w:rPr>
      </w:pPr>
      <w:r>
        <w:rPr>
          <w:rFonts w:ascii="Arial" w:cs="Arial" w:eastAsia="Arial" w:hAnsi="Arial"/>
          <w:sz w:val="18"/>
          <w:szCs w:val="18"/>
          <w:color w:val="auto"/>
        </w:rPr>
        <w:t>Pursuant to 18 U.S.C. Section 1350, I, Michael Goettler, hereby certify that, to the best of my knowledge, the Quarterly Report on Form 10-Q of Upjohn Inc. for the fiscal quarter ended March 29, 2020 (the “Report”) fully complies with the requirements of Section 13(a) or Section 15(d) of the Securities Exchange Act of 1934, and that the information contained in that Report fairly presents, in all material respects, the financial condition and results of operations of Upjohn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MICHAEL GOETTLER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Goettler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May 12, 2020</w:t>
      </w:r>
    </w:p>
    <w:p>
      <w:pPr>
        <w:spacing w:after="0" w:line="131" w:lineRule="exact"/>
        <w:rPr>
          <w:sz w:val="20"/>
          <w:szCs w:val="20"/>
          <w:color w:val="auto"/>
        </w:rPr>
      </w:pPr>
    </w:p>
    <w:p>
      <w:pPr>
        <w:ind w:right="20" w:firstLine="661"/>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020"/>
          </w:cols>
          <w:pgMar w:left="440" w:top="121" w:right="4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61"/>
        <w:spacing w:after="0" w:line="259" w:lineRule="auto"/>
        <w:rPr>
          <w:sz w:val="20"/>
          <w:szCs w:val="20"/>
          <w:color w:val="auto"/>
        </w:rPr>
      </w:pPr>
      <w:r>
        <w:rPr>
          <w:rFonts w:ascii="Arial" w:cs="Arial" w:eastAsia="Arial" w:hAnsi="Arial"/>
          <w:sz w:val="18"/>
          <w:szCs w:val="18"/>
          <w:color w:val="auto"/>
        </w:rPr>
        <w:t>Pursuant to 18 U.S.C. Section 1350, I, Sanjeev Narula, hereby certify that, to the best of my knowledge, the Quarterly Report on Form 10-Q of Upjohn Inc. for the fiscal quarter ended March 29, 2020 (the “Report”) fully complies with the requirements of Section 13(a) or Section 15(d) of the Securities Exchange Act of 1934, and that the information contained in that Report fairly presents, in all material respects, the financial condition and results of operations of Upjohn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SANJEEV NARULA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Sanjeev Narula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 Controller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May 12, 2020</w:t>
      </w:r>
    </w:p>
    <w:p>
      <w:pPr>
        <w:spacing w:after="0" w:line="131" w:lineRule="exact"/>
        <w:rPr>
          <w:sz w:val="20"/>
          <w:szCs w:val="20"/>
          <w:color w:val="auto"/>
        </w:rPr>
      </w:pPr>
    </w:p>
    <w:p>
      <w:pPr>
        <w:ind w:right="20" w:firstLine="661"/>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2020-05-12T15:36:58Z</dcterms:created>
  <dcterms:modified xsi:type="dcterms:W3CDTF">2020-05-12T15:36:58Z</dcterms:modified>
</cp:coreProperties>
</file>