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495"/>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180"/>
        <w:ind w:left="0" w:right="0" w:firstLine="495"/>
        <w:jc w:val="left"/>
        <w:rPr>
          <w:rFonts w:ascii="Times New Roman;serif" w:hAnsi="Times New Roman;serif"/>
          <w:b/>
          <w:color w:val="000000"/>
          <w:sz w:val="20"/>
        </w:rPr>
      </w:pPr>
      <w:r>
        <w:rPr>
          <w:rFonts w:ascii="Times New Roman;serif" w:hAnsi="Times New Roman;serif"/>
          <w:b/>
          <w:color w:val="000000"/>
          <w:sz w:val="20"/>
        </w:rPr>
        <w:t>For the transition period from _____________to___________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001-39695 </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VIATRIS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4197" w:type="dxa"/>
        <w:jc w:val="center"/>
        <w:tblInd w:w="0" w:type="dxa"/>
        <w:tblLayout w:type="fixed"/>
        <w:tblCellMar>
          <w:top w:w="28" w:type="dxa"/>
          <w:left w:w="28" w:type="dxa"/>
          <w:bottom w:w="28" w:type="dxa"/>
          <w:right w:w="28" w:type="dxa"/>
        </w:tblCellMar>
      </w:tblPr>
      <w:tblGrid>
        <w:gridCol w:w="884"/>
        <w:gridCol w:w="776"/>
        <w:gridCol w:w="785"/>
        <w:gridCol w:w="109"/>
        <w:gridCol w:w="109"/>
        <w:gridCol w:w="109"/>
        <w:gridCol w:w="416"/>
        <w:gridCol w:w="416"/>
        <w:gridCol w:w="593"/>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83-4364296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1000 Mylan Boulevard, Canonsburg, Pennsylvania 15317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(724) 514-1800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53" w:type="dxa"/>
        <w:jc w:val="center"/>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before="0" w:after="0"/>
        <w:jc w:val="center"/>
        <w:rPr/>
      </w:pPr>
      <w:r>
        <w:rPr/>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39"/>
        <w:gridCol w:w="954"/>
        <w:gridCol w:w="898"/>
        <w:gridCol w:w="194"/>
        <w:gridCol w:w="194"/>
        <w:gridCol w:w="194"/>
        <w:gridCol w:w="194"/>
        <w:gridCol w:w="194"/>
        <w:gridCol w:w="194"/>
        <w:gridCol w:w="194"/>
        <w:gridCol w:w="194"/>
        <w:gridCol w:w="194"/>
        <w:gridCol w:w="1370"/>
        <w:gridCol w:w="1370"/>
        <w:gridCol w:w="1378"/>
        <w:gridCol w:w="194"/>
        <w:gridCol w:w="194"/>
        <w:gridCol w:w="194"/>
        <w:gridCol w:w="194"/>
        <w:gridCol w:w="194"/>
        <w:gridCol w:w="280"/>
      </w:tblGrid>
      <w:tr>
        <w:trPr/>
        <w:tc>
          <w:tcPr>
            <w:tcW w:w="1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2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number of shares of common stock outstanding, par value $0.01 per share, of the registrant as of August 3, 2026 was 1,148,590,864.</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tbl>
      <w:tblPr>
        <w:tblW w:w="10205" w:type="dxa"/>
        <w:jc w:val="center"/>
        <w:tblInd w:w="0" w:type="dxa"/>
        <w:tblLayout w:type="fixed"/>
        <w:tblCellMar>
          <w:top w:w="28" w:type="dxa"/>
          <w:left w:w="28" w:type="dxa"/>
          <w:bottom w:w="28" w:type="dxa"/>
          <w:right w:w="28" w:type="dxa"/>
        </w:tblCellMar>
      </w:tblPr>
      <w:tblGrid>
        <w:gridCol w:w="472"/>
        <w:gridCol w:w="415"/>
        <w:gridCol w:w="419"/>
        <w:gridCol w:w="2829"/>
        <w:gridCol w:w="2777"/>
        <w:gridCol w:w="2781"/>
        <w:gridCol w:w="149"/>
        <w:gridCol w:w="149"/>
        <w:gridCol w:w="21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 (unaudited)</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9">
              <w:r>
                <w:rPr>
                  <w:rStyle w:val="InternetLink"/>
                  <w:rFonts w:ascii="Times New Roman;serif" w:hAnsi="Times New Roman;serif"/>
                  <w:b w:val="false"/>
                  <w:color w:val="000080"/>
                  <w:sz w:val="20"/>
                  <w:u w:val="single"/>
                </w:rPr>
                <w:t>Condensed Consolidated Statements of Operations — Three</w:t>
              </w:r>
            </w:hyperlink>
            <w:hyperlink w:anchor="i61e5533529bd4b8b8b580f5cad6a41ec_19">
              <w:r>
                <w:rPr>
                  <w:rStyle w:val="InternetLink"/>
                  <w:rFonts w:ascii="Times New Roman;serif" w:hAnsi="Times New Roman;serif"/>
                  <w:b w:val="false"/>
                  <w:color w:val="000080"/>
                  <w:sz w:val="20"/>
                  <w:u w:val="single"/>
                </w:rPr>
                <w:t xml:space="preserve"> and Six</w:t>
              </w:r>
            </w:hyperlink>
            <w:hyperlink w:anchor="i61e5533529bd4b8b8b580f5cad6a41ec_19">
              <w:r>
                <w:rPr>
                  <w:rStyle w:val="InternetLink"/>
                  <w:rFonts w:ascii="Times New Roman;serif" w:hAnsi="Times New Roman;serif"/>
                  <w:b w:val="false"/>
                  <w:color w:val="000080"/>
                  <w:sz w:val="20"/>
                  <w:u w:val="single"/>
                </w:rPr>
                <w:t xml:space="preserve"> Months Ended </w:t>
              </w:r>
            </w:hyperlink>
            <w:hyperlink w:anchor="i61e5533529bd4b8b8b580f5cad6a41ec_19">
              <w:r>
                <w:rPr>
                  <w:rStyle w:val="InternetLink"/>
                  <w:rFonts w:ascii="Times New Roman;serif" w:hAnsi="Times New Roman;serif"/>
                  <w:b w:val="false"/>
                  <w:color w:val="000080"/>
                  <w:sz w:val="20"/>
                  <w:u w:val="single"/>
                </w:rPr>
                <w:t>June 30</w:t>
              </w:r>
            </w:hyperlink>
            <w:hyperlink w:anchor="i61e5533529bd4b8b8b580f5cad6a41ec_19">
              <w:r>
                <w:rPr>
                  <w:rStyle w:val="InternetLink"/>
                  <w:rFonts w:ascii="Times New Roman;serif" w:hAnsi="Times New Roman;serif"/>
                  <w:b w:val="false"/>
                  <w:color w:val="000080"/>
                  <w:sz w:val="20"/>
                  <w:u w:val="single"/>
                </w:rPr>
                <w:t>,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9">
              <w:r>
                <w:rPr>
                  <w:rStyle w:val="InternetLink"/>
                  <w:rFonts w:ascii="Times New Roman;serif" w:hAnsi="Times New Roman;serif"/>
                  <w:b w:val="false"/>
                  <w:color w:val="0000FF"/>
                  <w:sz w:val="20"/>
                  <w:u w:val="single"/>
                </w:rPr>
                <w:t>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22">
              <w:r>
                <w:rPr>
                  <w:rStyle w:val="InternetLink"/>
                  <w:rFonts w:ascii="Times New Roman;serif" w:hAnsi="Times New Roman;serif"/>
                  <w:b w:val="false"/>
                  <w:color w:val="000080"/>
                  <w:sz w:val="20"/>
                  <w:u w:val="single"/>
                </w:rPr>
                <w:t xml:space="preserve">Condensed Consolidated Statements of Comprehensive </w:t>
              </w:r>
            </w:hyperlink>
            <w:hyperlink w:anchor="i61e5533529bd4b8b8b580f5cad6a41ec_22">
              <w:r>
                <w:rPr>
                  <w:rStyle w:val="InternetLink"/>
                  <w:rFonts w:ascii="Times New Roman;serif" w:hAnsi="Times New Roman;serif"/>
                  <w:b w:val="false"/>
                  <w:color w:val="000080"/>
                  <w:sz w:val="20"/>
                  <w:u w:val="single"/>
                </w:rPr>
                <w:t xml:space="preserve">(Loss) </w:t>
              </w:r>
            </w:hyperlink>
            <w:hyperlink w:anchor="i61e5533529bd4b8b8b580f5cad6a41ec_22">
              <w:r>
                <w:rPr>
                  <w:rStyle w:val="InternetLink"/>
                  <w:rFonts w:ascii="Times New Roman;serif" w:hAnsi="Times New Roman;serif"/>
                  <w:b w:val="false"/>
                  <w:color w:val="000080"/>
                  <w:sz w:val="20"/>
                  <w:u w:val="single"/>
                </w:rPr>
                <w:t>Earnings</w:t>
              </w:r>
            </w:hyperlink>
            <w:hyperlink w:anchor="i61e5533529bd4b8b8b580f5cad6a41ec_22">
              <w:r>
                <w:rPr>
                  <w:rStyle w:val="InternetLink"/>
                  <w:rFonts w:ascii="Times New Roman;serif" w:hAnsi="Times New Roman;serif"/>
                  <w:b w:val="false"/>
                  <w:color w:val="000080"/>
                  <w:sz w:val="20"/>
                  <w:u w:val="single"/>
                </w:rPr>
                <w:t xml:space="preserve"> </w:t>
              </w:r>
            </w:hyperlink>
            <w:hyperlink w:anchor="i61e5533529bd4b8b8b580f5cad6a41ec_22">
              <w:r>
                <w:rPr>
                  <w:rStyle w:val="InternetLink"/>
                  <w:rFonts w:ascii="Times New Roman;serif" w:hAnsi="Times New Roman;serif"/>
                  <w:b w:val="false"/>
                  <w:color w:val="000080"/>
                  <w:sz w:val="20"/>
                  <w:u w:val="single"/>
                </w:rPr>
                <w:t xml:space="preserve">— Three </w:t>
              </w:r>
            </w:hyperlink>
            <w:hyperlink w:anchor="i61e5533529bd4b8b8b580f5cad6a41ec_22">
              <w:r>
                <w:rPr>
                  <w:rStyle w:val="InternetLink"/>
                  <w:rFonts w:ascii="Times New Roman;serif" w:hAnsi="Times New Roman;serif"/>
                  <w:b w:val="false"/>
                  <w:color w:val="000080"/>
                  <w:sz w:val="20"/>
                  <w:u w:val="single"/>
                </w:rPr>
                <w:t>and Si</w:t>
              </w:r>
            </w:hyperlink>
            <w:hyperlink w:anchor="i61e5533529bd4b8b8b580f5cad6a41ec_22">
              <w:r>
                <w:rPr>
                  <w:rStyle w:val="InternetLink"/>
                  <w:rFonts w:ascii="Times New Roman;serif" w:hAnsi="Times New Roman;serif"/>
                  <w:b w:val="false"/>
                  <w:color w:val="000080"/>
                  <w:sz w:val="20"/>
                  <w:u w:val="single"/>
                </w:rPr>
                <w:t xml:space="preserve">x </w:t>
              </w:r>
            </w:hyperlink>
            <w:hyperlink w:anchor="i61e5533529bd4b8b8b580f5cad6a41ec_22">
              <w:r>
                <w:rPr>
                  <w:rStyle w:val="InternetLink"/>
                  <w:rFonts w:ascii="Times New Roman;serif" w:hAnsi="Times New Roman;serif"/>
                  <w:b w:val="false"/>
                  <w:color w:val="000080"/>
                  <w:sz w:val="20"/>
                  <w:u w:val="single"/>
                </w:rPr>
                <w:t xml:space="preserve">Months Ended </w:t>
              </w:r>
            </w:hyperlink>
            <w:hyperlink w:anchor="i61e5533529bd4b8b8b580f5cad6a41ec_22">
              <w:r>
                <w:rPr>
                  <w:rStyle w:val="InternetLink"/>
                  <w:rFonts w:ascii="Times New Roman;serif" w:hAnsi="Times New Roman;serif"/>
                  <w:b w:val="false"/>
                  <w:color w:val="000080"/>
                  <w:sz w:val="20"/>
                  <w:u w:val="single"/>
                </w:rPr>
                <w:t>June 30,</w:t>
              </w:r>
            </w:hyperlink>
            <w:hyperlink w:anchor="i61e5533529bd4b8b8b580f5cad6a41ec_22">
              <w:r>
                <w:rPr>
                  <w:rStyle w:val="InternetLink"/>
                  <w:rFonts w:ascii="Times New Roman;serif" w:hAnsi="Times New Roman;serif"/>
                  <w:b w:val="false"/>
                  <w:color w:val="000080"/>
                  <w:sz w:val="20"/>
                  <w:u w:val="single"/>
                </w:rPr>
                <w:t xml:space="preserve">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22">
              <w:r>
                <w:rPr>
                  <w:rStyle w:val="InternetLink"/>
                  <w:rFonts w:ascii="Times New Roman;serif" w:hAnsi="Times New Roman;serif"/>
                  <w:b w:val="false"/>
                  <w:color w:val="0000FF"/>
                  <w:sz w:val="20"/>
                  <w:u w:val="single"/>
                </w:rPr>
                <w:t>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25">
              <w:r>
                <w:rPr>
                  <w:rStyle w:val="InternetLink"/>
                  <w:rFonts w:ascii="Times New Roman;serif" w:hAnsi="Times New Roman;serif"/>
                  <w:b w:val="false"/>
                  <w:color w:val="000080"/>
                  <w:sz w:val="20"/>
                  <w:u w:val="single"/>
                </w:rPr>
                <w:t xml:space="preserve">Condensed Consolidated Balance Sheets — </w:t>
              </w:r>
            </w:hyperlink>
            <w:hyperlink w:anchor="i61e5533529bd4b8b8b580f5cad6a41ec_25">
              <w:r>
                <w:rPr>
                  <w:rStyle w:val="InternetLink"/>
                  <w:rFonts w:ascii="Times New Roman;serif" w:hAnsi="Times New Roman;serif"/>
                  <w:b w:val="false"/>
                  <w:color w:val="000080"/>
                  <w:sz w:val="20"/>
                  <w:u w:val="single"/>
                </w:rPr>
                <w:t xml:space="preserve">June 30, </w:t>
              </w:r>
            </w:hyperlink>
            <w:hyperlink w:anchor="i61e5533529bd4b8b8b580f5cad6a41ec_25">
              <w:r>
                <w:rPr>
                  <w:rStyle w:val="InternetLink"/>
                  <w:rFonts w:ascii="Times New Roman;serif" w:hAnsi="Times New Roman;serif"/>
                  <w:b w:val="false"/>
                  <w:color w:val="000080"/>
                  <w:sz w:val="20"/>
                  <w:u w:val="single"/>
                </w:rPr>
                <w:t>2026 and December 31,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25">
              <w:r>
                <w:rPr>
                  <w:rStyle w:val="InternetLink"/>
                  <w:rFonts w:ascii="Times New Roman;serif" w:hAnsi="Times New Roman;serif"/>
                  <w:b w:val="false"/>
                  <w:color w:val="0000FF"/>
                  <w:sz w:val="20"/>
                  <w:u w:val="single"/>
                </w:rPr>
                <w:t>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31">
              <w:r>
                <w:rPr>
                  <w:rStyle w:val="InternetLink"/>
                  <w:rFonts w:ascii="Times New Roman;serif" w:hAnsi="Times New Roman;serif"/>
                  <w:b w:val="false"/>
                  <w:color w:val="000080"/>
                  <w:sz w:val="20"/>
                  <w:u w:val="single"/>
                </w:rPr>
                <w:t xml:space="preserve">Condensed Consolidated Statements of Equity — Three and Six Months Ended </w:t>
              </w:r>
            </w:hyperlink>
            <w:hyperlink w:anchor="i61e5533529bd4b8b8b580f5cad6a41ec_31">
              <w:r>
                <w:rPr>
                  <w:rStyle w:val="InternetLink"/>
                  <w:rFonts w:ascii="Times New Roman;serif" w:hAnsi="Times New Roman;serif"/>
                  <w:b w:val="false"/>
                  <w:color w:val="000080"/>
                  <w:sz w:val="20"/>
                  <w:u w:val="single"/>
                </w:rPr>
                <w:t>June 30,</w:t>
              </w:r>
            </w:hyperlink>
            <w:hyperlink w:anchor="i61e5533529bd4b8b8b580f5cad6a41ec_31">
              <w:r>
                <w:rPr>
                  <w:rStyle w:val="InternetLink"/>
                  <w:rFonts w:ascii="Times New Roman;serif" w:hAnsi="Times New Roman;serif"/>
                  <w:b w:val="false"/>
                  <w:color w:val="000080"/>
                  <w:sz w:val="20"/>
                  <w:u w:val="single"/>
                </w:rPr>
                <w:t xml:space="preserve">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31">
              <w:r>
                <w:rPr>
                  <w:rStyle w:val="InternetLink"/>
                  <w:rFonts w:ascii="Times New Roman;serif" w:hAnsi="Times New Roman;serif"/>
                  <w:b w:val="false"/>
                  <w:color w:val="0000FF"/>
                  <w:sz w:val="20"/>
                  <w:u w:val="single"/>
                </w:rPr>
                <w:t>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34">
              <w:r>
                <w:rPr>
                  <w:rStyle w:val="InternetLink"/>
                  <w:rFonts w:ascii="Times New Roman;serif" w:hAnsi="Times New Roman;serif"/>
                  <w:b w:val="false"/>
                  <w:color w:val="000080"/>
                  <w:sz w:val="20"/>
                  <w:u w:val="single"/>
                </w:rPr>
                <w:t xml:space="preserve">Condensed Consolidated Statements of Cash Flows — </w:t>
              </w:r>
            </w:hyperlink>
            <w:hyperlink w:anchor="i61e5533529bd4b8b8b580f5cad6a41ec_34">
              <w:r>
                <w:rPr>
                  <w:rStyle w:val="InternetLink"/>
                  <w:rFonts w:ascii="Times New Roman;serif" w:hAnsi="Times New Roman;serif"/>
                  <w:b w:val="false"/>
                  <w:color w:val="000080"/>
                  <w:sz w:val="20"/>
                  <w:u w:val="single"/>
                </w:rPr>
                <w:t>Six</w:t>
              </w:r>
            </w:hyperlink>
            <w:hyperlink w:anchor="i61e5533529bd4b8b8b580f5cad6a41ec_34">
              <w:r>
                <w:rPr>
                  <w:rStyle w:val="InternetLink"/>
                  <w:rFonts w:ascii="Times New Roman;serif" w:hAnsi="Times New Roman;serif"/>
                  <w:b w:val="false"/>
                  <w:color w:val="000080"/>
                  <w:sz w:val="20"/>
                  <w:u w:val="single"/>
                </w:rPr>
                <w:t xml:space="preserve"> Months Ended </w:t>
              </w:r>
            </w:hyperlink>
            <w:hyperlink w:anchor="i61e5533529bd4b8b8b580f5cad6a41ec_34">
              <w:r>
                <w:rPr>
                  <w:rStyle w:val="InternetLink"/>
                  <w:rFonts w:ascii="Times New Roman;serif" w:hAnsi="Times New Roman;serif"/>
                  <w:b w:val="false"/>
                  <w:color w:val="000080"/>
                  <w:sz w:val="20"/>
                  <w:u w:val="single"/>
                </w:rPr>
                <w:t>June 30</w:t>
              </w:r>
            </w:hyperlink>
            <w:hyperlink w:anchor="i61e5533529bd4b8b8b580f5cad6a41ec_34">
              <w:r>
                <w:rPr>
                  <w:rStyle w:val="InternetLink"/>
                  <w:rFonts w:ascii="Times New Roman;serif" w:hAnsi="Times New Roman;serif"/>
                  <w:b w:val="false"/>
                  <w:color w:val="000080"/>
                  <w:sz w:val="20"/>
                  <w:u w:val="single"/>
                </w:rPr>
                <w:t>,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34">
              <w:r>
                <w:rPr>
                  <w:rStyle w:val="InternetLink"/>
                  <w:rFonts w:ascii="Times New Roman;serif" w:hAnsi="Times New Roman;serif"/>
                  <w:b w:val="false"/>
                  <w:color w:val="0000FF"/>
                  <w:sz w:val="20"/>
                  <w:u w:val="single"/>
                </w:rPr>
                <w:t>11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37">
              <w:r>
                <w:rPr>
                  <w:rStyle w:val="InternetLink"/>
                  <w:rFonts w:ascii="Times New Roman;serif" w:hAnsi="Times New Roman;serif"/>
                  <w:b w:val="false"/>
                  <w:color w:val="0000FF"/>
                  <w:sz w:val="20"/>
                  <w:u w:val="single"/>
                </w:rPr>
                <w:t>Notes to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37">
              <w:r>
                <w:rPr>
                  <w:rStyle w:val="InternetLink"/>
                  <w:rFonts w:ascii="Times New Roman;serif" w:hAnsi="Times New Roman;serif"/>
                  <w:b w:val="false"/>
                  <w:color w:val="0000FF"/>
                  <w:sz w:val="20"/>
                  <w:u w:val="single"/>
                </w:rPr>
                <w:t>12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3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33">
              <w:r>
                <w:rPr>
                  <w:rStyle w:val="InternetLink"/>
                  <w:rFonts w:ascii="Times New Roman;serif" w:hAnsi="Times New Roman;serif"/>
                  <w:b w:val="false"/>
                  <w:color w:val="0000FF"/>
                  <w:sz w:val="20"/>
                  <w:u w:val="single"/>
                </w:rPr>
                <w:t>51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63">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63">
              <w:r>
                <w:rPr>
                  <w:rStyle w:val="InternetLink"/>
                  <w:rFonts w:ascii="Times New Roman;serif" w:hAnsi="Times New Roman;serif"/>
                  <w:b w:val="false"/>
                  <w:color w:val="0000FF"/>
                  <w:sz w:val="20"/>
                  <w:u w:val="single"/>
                </w:rPr>
                <w:t>73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66">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66">
              <w:r>
                <w:rPr>
                  <w:rStyle w:val="InternetLink"/>
                  <w:rFonts w:ascii="Times New Roman;serif" w:hAnsi="Times New Roman;serif"/>
                  <w:b w:val="false"/>
                  <w:color w:val="0000FF"/>
                  <w:sz w:val="20"/>
                  <w:u w:val="single"/>
                </w:rPr>
                <w:t>73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72">
              <w:r>
                <w:rPr>
                  <w:rStyle w:val="InternetLink"/>
                  <w:rFonts w:ascii="Times New Roman;serif" w:hAnsi="Times New Roman;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72">
              <w:r>
                <w:rPr>
                  <w:rStyle w:val="InternetLink"/>
                  <w:rFonts w:ascii="Times New Roman;serif" w:hAnsi="Times New Roman;serif"/>
                  <w:b w:val="false"/>
                  <w:color w:val="0000FF"/>
                  <w:sz w:val="20"/>
                  <w:u w:val="single"/>
                </w:rPr>
                <w:t>73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75">
              <w:r>
                <w:rPr>
                  <w:rStyle w:val="InternetLink"/>
                  <w:rFonts w:ascii="Times New Roman;serif" w:hAnsi="Times New Roman;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75">
              <w:r>
                <w:rPr>
                  <w:rStyle w:val="InternetLink"/>
                  <w:rFonts w:ascii="Times New Roman;serif" w:hAnsi="Times New Roman;serif"/>
                  <w:b w:val="false"/>
                  <w:color w:val="0000FF"/>
                  <w:sz w:val="20"/>
                  <w:u w:val="single"/>
                </w:rPr>
                <w:t>73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78">
              <w:r>
                <w:rPr>
                  <w:rStyle w:val="InternetLink"/>
                  <w:rFonts w:ascii="Times New Roman;serif" w:hAnsi="Times New Roman;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78">
              <w:r>
                <w:rPr>
                  <w:rStyle w:val="InternetLink"/>
                  <w:rFonts w:ascii="Times New Roman;serif" w:hAnsi="Times New Roman;serif"/>
                  <w:b w:val="false"/>
                  <w:color w:val="0000FF"/>
                  <w:sz w:val="20"/>
                  <w:u w:val="single"/>
                </w:rPr>
                <w:t>73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84">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84">
              <w:r>
                <w:rPr>
                  <w:rStyle w:val="InternetLink"/>
                  <w:rFonts w:ascii="Times New Roman;serif" w:hAnsi="Times New Roman;serif"/>
                  <w:b w:val="false"/>
                  <w:color w:val="0000FF"/>
                  <w:sz w:val="20"/>
                  <w:u w:val="single"/>
                </w:rPr>
                <w:t>73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90">
              <w:r>
                <w:rPr>
                  <w:rStyle w:val="InternetLink"/>
                  <w:rFonts w:ascii="Times New Roman;serif" w:hAnsi="Times New Roman;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90">
              <w:r>
                <w:rPr>
                  <w:rStyle w:val="InternetLink"/>
                  <w:rFonts w:ascii="Times New Roman;serif" w:hAnsi="Times New Roman;serif"/>
                  <w:b w:val="false"/>
                  <w:color w:val="0000FF"/>
                  <w:sz w:val="20"/>
                  <w:u w:val="single"/>
                </w:rPr>
                <w:t>74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e5533529bd4b8b8b580f5cad6a41ec_193">
              <w:r>
                <w:rPr>
                  <w:rStyle w:val="InternetLink"/>
                  <w:rFonts w:ascii="Times New Roman;serif" w:hAnsi="Times New Roman;serif"/>
                  <w:b w:val="false"/>
                  <w:color w:val="0000FF"/>
                  <w:sz w:val="20"/>
                  <w:u w:val="single"/>
                </w:rPr>
                <w:t>SIGNATURES</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e5533529bd4b8b8b580f5cad6a41ec_193">
              <w:r>
                <w:rPr>
                  <w:rStyle w:val="InternetLink"/>
                  <w:rFonts w:ascii="Times New Roman;serif" w:hAnsi="Times New Roman;serif"/>
                  <w:b w:val="false"/>
                  <w:color w:val="0000FF"/>
                  <w:sz w:val="20"/>
                  <w:u w:val="single"/>
                </w:rPr>
                <w:t>75</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7"/>
        <w:gridCol w:w="449"/>
        <w:gridCol w:w="370"/>
        <w:gridCol w:w="2880"/>
        <w:gridCol w:w="2378"/>
        <w:gridCol w:w="3371"/>
      </w:tblGrid>
      <w:tr>
        <w:trPr/>
        <w:tc>
          <w:tcPr>
            <w:tcW w:w="7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2003 LTIP</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Amended and Restated 2003 Long-Term Incentive Plan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Incentive Plan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2020 Stock Incentive Plan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2025 Form 10-K </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annual report on Form 10-K for the fiscal year ended December 31, 2025</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Revolving Facility</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$3.5 billion revolving facility dated as of September 27, 2024, by and among Viatris, certain lenders and issuing banks from time to time party thereto and Bank of America, N.A., as administrative agent</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Euro Senior Notes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4.250% Senior Notes due 2033 issued by Viatris Inc., which are fully and unconditionally guaranteed on a senior unsecured basis by Mylan Inc., Mylan II B.V. and Utah Acquisition Sub Inc.</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gain (loss) on divestitures of businesses, impairment of long-lived assets and goodwill, restructuring, acquisition and divestitures-related and other special items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earnings per diluted share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Abbreviated New Drug Application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AOCE</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Active pharmaceutical ingredients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ARV</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Antiretroviral medicines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Limited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 Limited, a majority owned subsidiary of Biocon</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 dated as of July 29, 2019, as amended from time to time, among Viatris, Mylan, Pfizer and certain of their affiliates</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Compulsory convertible preferred shares</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U.S. Internal Revenue Code of 1986, as amended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Combination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Mylan combining with Pfizer's Upjohn Business in a Reverse Morris Trust transaction to form Viatris on November 16, 2020</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Program</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Markets segment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North America and Europe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Pfizer's distribution to Pfizer stockholders of all the issued and outstanding shares of Upjohn Inc.</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U.S. GAAP net earnings (loss) adjusted for income tax provision (benefit), interest expense and depreciation and amortization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Eastern District of Pennsylvania</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 segment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EWSR</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Enterprise-wide strategic review</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5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6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68"/>
        <w:gridCol w:w="424"/>
        <w:gridCol w:w="432"/>
        <w:gridCol w:w="2625"/>
        <w:gridCol w:w="2502"/>
        <w:gridCol w:w="3554"/>
      </w:tblGrid>
      <w:tr>
        <w:trPr/>
        <w:tc>
          <w:tcPr>
            <w:tcW w:w="66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quarterly period ended June 30, 2026</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 Depot</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Long-acting glatiramer acetate depot product</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Systemically Important Banks</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institutions that are considered systemically important by the Financial Stability Board</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 segment</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mainland China, Taiwan and Hong Kong</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Idorsia</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Pharmaceuticals Ltd.</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Transaction</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between Viatris and Idorsia pursuant to which Viatris acquired the development programs and certain personnel related to selatogrel and cenerimod from Idorsia in exchange for an upfront payment to Idorsia of $350 million, potential development and regulatory milestone payments, certain contingent payments of tiered sales milestones, as well as potential contingent tiered sales royalties</w:t>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8681"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Internal Revenue Service</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 segment</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in the following markets: Japan, Australia and New Zealand</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 Pharma Ltd.</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Leverage Ratio</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MDL</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Multidistrict litigation</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and its subsidiaries</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Inc. U.S. Dollar Notes</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OTC</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Over-the-counter</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OTC Business</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OTC business that the Company divested to Cooper Consumer Health SAS in July 2024, including two manufacturing sites located in Merignac, France, and Confienza, Italy, and an R&amp;D site in Monza, Italy. This excludes the Company’s rights for Viagra®, Dymista® (which, in certain limited markets, are sold as OTC products), and select OTC products in certain markets.</w:t>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8681"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 Pharma, Inc.</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 Inc.</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Facility</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accounts receivable facility for up to an aggregate amount of $600 million entered into in May 2025 and expiring in April 2028</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Notes</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The 2033 Euro Senior Notes, the Registered Upjohn Notes, the Utah U.S. Dollar Notes and the Mylan Inc. U.S. Dollar Notes, collectively.</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Upjohn Notes</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Respiratory Delivery Platform</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proprietary dry powder inhaler delivery platform</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nonvested restricted stock and restricted stock unit awards, including PSUs</w:t>
            </w:r>
          </w:p>
        </w:tc>
      </w:tr>
      <w:tr>
        <w:trPr/>
        <w:tc>
          <w:tcPr>
            <w:tcW w:w="15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RICO</w:t>
            </w:r>
          </w:p>
        </w:tc>
        <w:tc>
          <w:tcPr>
            <w:tcW w:w="86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Racketeer Influenced and Corrupt Organizations Act</w:t>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8681"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SDNY</w:t>
            </w:r>
          </w:p>
        </w:tc>
        <w:tc>
          <w:tcPr>
            <w:tcW w:w="86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Southern District of New York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6"/>
        <w:gridCol w:w="467"/>
        <w:gridCol w:w="472"/>
        <w:gridCol w:w="2666"/>
        <w:gridCol w:w="2436"/>
        <w:gridCol w:w="3448"/>
      </w:tblGrid>
      <w:tr>
        <w:trPr/>
        <w:tc>
          <w:tcPr>
            <w:tcW w:w="71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Upjohn U.S. Dollar Notes, the Utah U.S. Dollar Notes and the Mylan Inc. U.S. Dollar Notes, collectively</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 between Viatris and Pfizer, dated as of July 29, 2019, as amended from time to time</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8550"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 Industries Ltd.</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Transition services agreements, including related distribution services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Upjohn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Inc., a wholly owned subsidiary of Pfizer prior to the Distribution, that combined with Mylan and was renamed Viatris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Business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off-patent branded and generic established medicines business that, in connection with the Combination, was separated from Pfizer and combined with Mylan to form Viatris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Distributor Markets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Select geographic markets that were part of the Combination that are smaller in nature and in which we had no established infrastructure prior to or following the Combination and that the Company has divested or intends to divest</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 Inc., a Delaware corporation and an indirect wholly owned subsidiary of Viatris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5.250% Senior Notes due 2046 issued by Utah Acquisition Sub Inc., which are fully and unconditionally guaranteed on a senior unsecured basis by Mylan Inc., Viatris Inc. and Mylan II B.V.</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formerly known as Upjohn Inc. prior to the completion of the Combination</w:t>
            </w:r>
          </w:p>
        </w:tc>
      </w:tr>
      <w:tr>
        <w:trPr/>
        <w:tc>
          <w:tcPr>
            <w:tcW w:w="1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85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¥40 billion term loan agreement dated as of July 1, 2026,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1761"/>
        <w:gridCol w:w="1498"/>
        <w:gridCol w:w="1507"/>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832"/>
        <w:gridCol w:w="157"/>
      </w:tblGrid>
      <w:tr>
        <w:trPr/>
        <w:tc>
          <w:tcPr>
            <w:tcW w:w="176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IPR&amp;D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attributable to Viatris Inc. shareholders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62660"/>
                <wp:effectExtent l="0" t="0" r="0" b="0"/>
                <wp:wrapNone/>
                <wp:docPr id="6" name="Frame6"/>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Earnings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10205" w:type="dxa"/>
        <w:jc w:val="left"/>
        <w:tblInd w:w="0" w:type="dxa"/>
        <w:tblLayout w:type="fixed"/>
        <w:tblCellMar>
          <w:top w:w="28" w:type="dxa"/>
          <w:left w:w="28" w:type="dxa"/>
          <w:bottom w:w="28" w:type="dxa"/>
          <w:right w:w="28" w:type="dxa"/>
        </w:tblCellMar>
      </w:tblPr>
      <w:tblGrid>
        <w:gridCol w:w="1969"/>
        <w:gridCol w:w="1676"/>
        <w:gridCol w:w="1584"/>
        <w:gridCol w:w="211"/>
        <w:gridCol w:w="669"/>
        <w:gridCol w:w="109"/>
        <w:gridCol w:w="109"/>
        <w:gridCol w:w="109"/>
        <w:gridCol w:w="109"/>
        <w:gridCol w:w="211"/>
        <w:gridCol w:w="616"/>
        <w:gridCol w:w="109"/>
        <w:gridCol w:w="109"/>
        <w:gridCol w:w="109"/>
        <w:gridCol w:w="109"/>
        <w:gridCol w:w="211"/>
        <w:gridCol w:w="564"/>
        <w:gridCol w:w="109"/>
        <w:gridCol w:w="109"/>
        <w:gridCol w:w="109"/>
        <w:gridCol w:w="109"/>
        <w:gridCol w:w="211"/>
        <w:gridCol w:w="819"/>
        <w:gridCol w:w="156"/>
      </w:tblGrid>
      <w:tr>
        <w:trPr/>
        <w:tc>
          <w:tcPr>
            <w:tcW w:w="196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tax:</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unrecognized (loss) gain and prior service cost related to defined benefit plans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(loss) on derivatives in cash flow hedging relationships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(loss) on derivatives in net investment hedging relationships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gain on available-for-sale fixed income securities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tax</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net of tax</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earnings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962660"/>
                <wp:effectExtent l="0" t="0" r="0" b="0"/>
                <wp:wrapNone/>
                <wp:docPr id="7" name="Frame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2812"/>
        <w:gridCol w:w="2335"/>
        <w:gridCol w:w="2303"/>
        <w:gridCol w:w="211"/>
        <w:gridCol w:w="871"/>
        <w:gridCol w:w="109"/>
        <w:gridCol w:w="109"/>
        <w:gridCol w:w="109"/>
        <w:gridCol w:w="109"/>
        <w:gridCol w:w="211"/>
        <w:gridCol w:w="871"/>
        <w:gridCol w:w="155"/>
      </w:tblGrid>
      <w:tr>
        <w:trPr/>
        <w:tc>
          <w:tcPr>
            <w:tcW w:w="2812"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3,000,000,000 shares authorized; shares issued: 1,258,784,090 and 1,245,391,929 as of June 30, 2026 and December 31,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stock — at cost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shares: 103,547,908 and 94,176,848 as of June 30, 2026 and December 31,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37,193.1 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962660"/>
                <wp:effectExtent l="0" t="0" r="0" b="0"/>
                <wp:wrapNone/>
                <wp:docPr id="8" name="Frame8"/>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tbl>
      <w:tblPr>
        <w:tblW w:w="13516" w:type="dxa"/>
        <w:jc w:val="center"/>
        <w:tblInd w:w="0" w:type="dxa"/>
        <w:tblLayout w:type="fixed"/>
        <w:tblCellMar>
          <w:top w:w="28" w:type="dxa"/>
          <w:left w:w="28" w:type="dxa"/>
          <w:bottom w:w="28" w:type="dxa"/>
          <w:right w:w="28" w:type="dxa"/>
        </w:tblCellMar>
      </w:tblPr>
      <w:tblGrid>
        <w:gridCol w:w="837"/>
        <w:gridCol w:w="264"/>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631"/>
        <w:gridCol w:w="109"/>
        <w:gridCol w:w="109"/>
        <w:gridCol w:w="109"/>
        <w:gridCol w:w="109"/>
        <w:gridCol w:w="592"/>
        <w:gridCol w:w="594"/>
        <w:gridCol w:w="196"/>
        <w:gridCol w:w="109"/>
        <w:gridCol w:w="109"/>
        <w:gridCol w:w="109"/>
        <w:gridCol w:w="211"/>
        <w:gridCol w:w="78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1,258,606,697 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94,176,848 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9,371,060 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$0.12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1,258,784,090 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103,547,908 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1,245,391,929 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94,176,848 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13,313,157 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9,371,060 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$0.24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1,258,784,090 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103,547,908 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962660"/>
                <wp:effectExtent l="0" t="0" r="0" b="0"/>
                <wp:wrapNone/>
                <wp:docPr id="9" name="Frame9"/>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tbl>
      <w:tblPr>
        <w:tblW w:w="13396" w:type="dxa"/>
        <w:jc w:val="center"/>
        <w:tblInd w:w="0" w:type="dxa"/>
        <w:tblLayout w:type="fixed"/>
        <w:tblCellMar>
          <w:top w:w="28" w:type="dxa"/>
          <w:left w:w="28" w:type="dxa"/>
          <w:bottom w:w="28" w:type="dxa"/>
          <w:right w:w="28" w:type="dxa"/>
        </w:tblCellMar>
      </w:tblPr>
      <w:tblGrid>
        <w:gridCol w:w="837"/>
        <w:gridCol w:w="264"/>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1,244,908,128 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59,091,265 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20,243,542 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declared, $0.12 per common share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1,245,047,557 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79,334,807 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1,234,131,491 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10,771,051 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38,851,144 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declared, $0.24 per common share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1,245,047,557 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79,334,807 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962660"/>
                <wp:effectExtent l="0" t="0" r="0" b="0"/>
                <wp:wrapNone/>
                <wp:docPr id="10" name="Frame10"/>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7881" w:type="dxa"/>
        <w:jc w:val="center"/>
        <w:tblInd w:w="0" w:type="dxa"/>
        <w:tblLayout w:type="fixed"/>
        <w:tblCellMar>
          <w:top w:w="28" w:type="dxa"/>
          <w:left w:w="28" w:type="dxa"/>
          <w:bottom w:w="28" w:type="dxa"/>
          <w:right w:w="28" w:type="dxa"/>
        </w:tblCellMar>
      </w:tblPr>
      <w:tblGrid>
        <w:gridCol w:w="2016"/>
        <w:gridCol w:w="1767"/>
        <w:gridCol w:w="1781"/>
        <w:gridCol w:w="199"/>
        <w:gridCol w:w="566"/>
        <w:gridCol w:w="109"/>
        <w:gridCol w:w="109"/>
        <w:gridCol w:w="109"/>
        <w:gridCol w:w="109"/>
        <w:gridCol w:w="196"/>
        <w:gridCol w:w="766"/>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 of business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Acquired IPR&amp;D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other contingencies,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sale of investments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marketable securities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product rights and other,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IPR&amp;D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sale of property, plant and equipment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short-term borrowings,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financing fees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on cash of changes in exchange rates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962660"/>
                <wp:effectExtent l="0" t="0" r="0" b="0"/>
                <wp:wrapNone/>
                <wp:docPr id="11" name="Frame11"/>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(loss) earnings, financial position, equity and cash flows for the periods presented.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interim financial statements should be read in conjunction with the consolidated financial statements and notes thereto in Viatris’ 2025 Form 10-K. The December 31, 2025 condensed consolidated balance sheet was derived from audited financial statements.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interim results of operations and comprehensive (loss) earnings for the three and six months ended June 30, 2026, and cash flows for the six months ended June 30, 2026, are not necessarily indicative of the results to be expected for the full fiscal year or any other future period.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2.Revenue Recognition and Accounts Receivable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Company recognizes revenues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sales by product category for each of our reportable segments for the three and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7" w:type="dxa"/>
        <w:jc w:val="left"/>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6"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616"/>
        <w:gridCol w:w="109"/>
        <w:gridCol w:w="109"/>
        <w:gridCol w:w="109"/>
        <w:gridCol w:w="109"/>
        <w:gridCol w:w="282"/>
        <w:gridCol w:w="1026"/>
        <w:gridCol w:w="146"/>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998" w:type="dxa"/>
            <w:gridSpan w:val="24"/>
            <w:tcBorders/>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8847" w:type="dxa"/>
        <w:jc w:val="left"/>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6"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616"/>
        <w:gridCol w:w="109"/>
        <w:gridCol w:w="109"/>
        <w:gridCol w:w="109"/>
        <w:gridCol w:w="109"/>
        <w:gridCol w:w="282"/>
        <w:gridCol w:w="1026"/>
        <w:gridCol w:w="146"/>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998" w:type="dxa"/>
            <w:gridSpan w:val="24"/>
            <w:tcBorders/>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Amounts include the impact of foreign currency fluctuations.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sales on a consolidated basis for select key products for the three and six months ended June 30, 2026 and 2025, respectively: </w:t>
      </w:r>
    </w:p>
    <w:tbl>
      <w:tblPr>
        <w:tblW w:w="7724" w:type="dxa"/>
        <w:jc w:val="center"/>
        <w:tblInd w:w="0" w:type="dxa"/>
        <w:tblLayout w:type="fixed"/>
        <w:tblCellMar>
          <w:top w:w="28" w:type="dxa"/>
          <w:left w:w="28" w:type="dxa"/>
          <w:bottom w:w="28" w:type="dxa"/>
          <w:right w:w="28" w:type="dxa"/>
        </w:tblCellMar>
      </w:tblPr>
      <w:tblGrid>
        <w:gridCol w:w="930"/>
        <w:gridCol w:w="816"/>
        <w:gridCol w:w="818"/>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Global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Lipitor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Norvasc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EpiPen® Auto-Injectors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Viagra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Celebrex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Zoloft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Effexor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Xalabrands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Segment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Yupelri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Dymista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Amitiza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Xanax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The Company does not disclose net sales for any products considered competitively sensitive.</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Products disclosed may change in future periods, including as a result of seasonality, competition or new product launches.</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Amounts include the impact of foreign currency fluctuations compared to the prior year period.</w:t>
      </w:r>
    </w:p>
    <w:p>
      <w:pPr>
        <w:pStyle w:val="TextBody"/>
        <w:bidi w:val="0"/>
        <w:spacing w:lineRule="auto" w:line="288" w:before="0" w:after="24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 xml:space="preserve">Refer to intellectual property matters included in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for additional information regarding Amitiza®.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 and Accounts Receivable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sales to net sales by each significant category of variable consideration during the three and six months ended June 30, 2026 and 2025, respectively:</w:t>
      </w:r>
    </w:p>
    <w:tbl>
      <w:tblPr>
        <w:tblW w:w="10205" w:type="dxa"/>
        <w:jc w:val="center"/>
        <w:tblInd w:w="0" w:type="dxa"/>
        <w:tblLayout w:type="fixed"/>
        <w:tblCellMar>
          <w:top w:w="28" w:type="dxa"/>
          <w:left w:w="28" w:type="dxa"/>
          <w:bottom w:w="28" w:type="dxa"/>
          <w:right w:w="28" w:type="dxa"/>
        </w:tblCellMar>
      </w:tblPr>
      <w:tblGrid>
        <w:gridCol w:w="1635"/>
        <w:gridCol w:w="1419"/>
        <w:gridCol w:w="1431"/>
        <w:gridCol w:w="211"/>
        <w:gridCol w:w="834"/>
        <w:gridCol w:w="109"/>
        <w:gridCol w:w="109"/>
        <w:gridCol w:w="109"/>
        <w:gridCol w:w="109"/>
        <w:gridCol w:w="211"/>
        <w:gridCol w:w="834"/>
        <w:gridCol w:w="109"/>
        <w:gridCol w:w="109"/>
        <w:gridCol w:w="109"/>
        <w:gridCol w:w="109"/>
        <w:gridCol w:w="211"/>
        <w:gridCol w:w="871"/>
        <w:gridCol w:w="109"/>
        <w:gridCol w:w="109"/>
        <w:gridCol w:w="109"/>
        <w:gridCol w:w="109"/>
        <w:gridCol w:w="211"/>
        <w:gridCol w:w="871"/>
        <w:gridCol w:w="158"/>
      </w:tblGrid>
      <w:tr>
        <w:trPr/>
        <w:tc>
          <w:tcPr>
            <w:tcW w:w="163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to net 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promotional programs and other sales allowances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Governmental rebate programs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to net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Amounts include the impact of foreign currency fluctuations.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significant revisions were made to the methodology used in determining these provisions or the nature of the provisions during the three and six months ended June 30, 2026. Such allowances were comprised of the following at June 30, 2026 and December 31, 2025, respectively:</w:t>
      </w:r>
    </w:p>
    <w:tbl>
      <w:tblPr>
        <w:tblW w:w="4666" w:type="dxa"/>
        <w:jc w:val="center"/>
        <w:tblInd w:w="0" w:type="dxa"/>
        <w:tblLayout w:type="fixed"/>
        <w:tblCellMar>
          <w:top w:w="28" w:type="dxa"/>
          <w:left w:w="28" w:type="dxa"/>
          <w:bottom w:w="28" w:type="dxa"/>
          <w:right w:w="28" w:type="dxa"/>
        </w:tblCellMar>
      </w:tblPr>
      <w:tblGrid>
        <w:gridCol w:w="765"/>
        <w:gridCol w:w="670"/>
        <w:gridCol w:w="679"/>
        <w:gridCol w:w="211"/>
        <w:gridCol w:w="766"/>
        <w:gridCol w:w="109"/>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was comprised of the following at June 30, 2026 and December 31, 2025, respectively:</w:t>
      </w:r>
    </w:p>
    <w:tbl>
      <w:tblPr>
        <w:tblW w:w="4712" w:type="dxa"/>
        <w:jc w:val="center"/>
        <w:tblInd w:w="0" w:type="dxa"/>
        <w:tblLayout w:type="fixed"/>
        <w:tblCellMar>
          <w:top w:w="28" w:type="dxa"/>
          <w:left w:w="28" w:type="dxa"/>
          <w:bottom w:w="28" w:type="dxa"/>
          <w:right w:w="28" w:type="dxa"/>
        </w:tblCellMar>
      </w:tblPr>
      <w:tblGrid>
        <w:gridCol w:w="780"/>
        <w:gridCol w:w="686"/>
        <w:gridCol w:w="694"/>
        <w:gridCol w:w="211"/>
        <w:gridCol w:w="766"/>
        <w:gridCol w:w="109"/>
        <w:gridCol w:w="109"/>
        <w:gridCol w:w="109"/>
        <w:gridCol w:w="109"/>
        <w:gridCol w:w="212"/>
        <w:gridCol w:w="772"/>
        <w:gridCol w:w="15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Accounts Receivable Factoring Arrangements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$250.6 million and $301.9 million of accounts receivable as of June 30, 2026 and December 31, 2025, respectively, under these factoring arrangements. Additionally, we have a similar arrangement for certain European countries. As of June 30, 2026, we assigned and derecognized approximately $84.0 million of </w:t>
      </w:r>
      <w:r>
        <w:rPr>
          <w:rFonts w:ascii="Times New Roman;serif" w:hAnsi="Times New Roman;serif"/>
          <w:b w:val="false"/>
          <w:i/>
          <w:color w:val="000000"/>
          <w:sz w:val="20"/>
        </w:rPr>
        <w:t xml:space="preserve">Trade Receivables, Net, </w:t>
      </w:r>
      <w:r>
        <w:rPr>
          <w:rFonts w:ascii="Times New Roman;serif" w:hAnsi="Times New Roman;serif"/>
          <w:b w:val="false"/>
          <w:color w:val="000000"/>
          <w:sz w:val="20"/>
        </w:rPr>
        <w:t xml:space="preserve">which were included in </w:t>
      </w:r>
      <w:r>
        <w:rPr>
          <w:rFonts w:ascii="Times New Roman;serif" w:hAnsi="Times New Roman;serif"/>
          <w:b w:val="false"/>
          <w:i/>
          <w:color w:val="000000"/>
          <w:sz w:val="20"/>
        </w:rPr>
        <w:t>Other Receivable</w:t>
      </w:r>
      <w:r>
        <w:rPr>
          <w:rFonts w:ascii="Times New Roman;serif" w:hAnsi="Times New Roman;serif"/>
          <w:b w:val="false"/>
          <w:color w:val="000000"/>
          <w:sz w:val="20"/>
        </w:rPr>
        <w:t>s. As of December 31, 2025, no amounts were assigned and derecognized.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3.Recent Accounting Pronouncements</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Adoption of New Accounting Standards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permitting an entity to assume that conditions as of the balance sheet date remain unchanged over the life of the asset when estimating expected credit losses for current accounts receivable and current contract assets. ASU 2025-05 is effective for annual reporting periods beginning after December 15, 2025, and interim reporting periods within those annual reporting periods, with early adoption permitted. Entities should apply the new guidance prospectively. We adopted this guidance beginning January 1, 2026. The adoption of this ASU did not have a material impact on the Company’s condensed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other significant changes in new accounting standards from those disclosed in Viatris’ 2025 Form 10-K. Refer to Viatris’ 2025 Form 10-K for additional information.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4.Divestitures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By the end of 2024, the Company had substantially completed the previously announced divestitures of its OTC Business, its women’s healthcare business primarily related to oral and injectable contraceptives, its API business in India, its rights to two women’s healthcare products in certain countries, and commercialization rights in the majority of the Upjohn Distributor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six months ended June 30, 2026, the Company recorded additional pre-tax charges of approximately $13.9 million, and during the three and six months ended June 30, 2025, the Company recorded pre-tax charges of approximately $43.8 million and $80.7 million, respectively, primarily related to the divestitures of the OTC and API businesses. The additional charges were recorded as a component of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 xml:space="preserve">in the condensed consolidated statements of operations, and were primarily due to an increase in estimated transaction related costs, including the assumption of additional contractual obligations, as well as the impact of working capital and other transaction-related adjustments.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some of which include various on-going financial obligations. The transition services and distribution agreements were substantially concluded as of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 of Tyrvaya® Product Rights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August 3, 2026, the Company entered into a definitive agreement to sell the product rights for Tyrvaya® for upfront cash consideration of $30 million and potential contingent sales milestones of up to $70 million. During the second quarter of 2026, the Company determined that the intangible asset related to Tyrvaya® should be classified as held for sale. Upon classification as held for sale, the Company recognized a charge of $177.8 million to write down the intangible asset to fair value, less cost to sell. The charge is included in </w:t>
      </w:r>
      <w:r>
        <w:rPr>
          <w:rFonts w:ascii="Times New Roman;serif" w:hAnsi="Times New Roman;serif"/>
          <w:b w:val="false"/>
          <w:i/>
          <w:color w:val="000000"/>
          <w:sz w:val="20"/>
        </w:rPr>
        <w:t>SG&amp;A</w:t>
      </w:r>
      <w:r>
        <w:rPr>
          <w:color w:val="000000"/>
        </w:rPr>
        <w:t xml:space="preserve"> </w:t>
      </w:r>
      <w:r>
        <w:rPr>
          <w:rFonts w:ascii="Times New Roman;serif" w:hAnsi="Times New Roman;serif"/>
          <w:b w:val="false"/>
          <w:color w:val="000000"/>
          <w:sz w:val="20"/>
        </w:rPr>
        <w:t xml:space="preserve">on the condensed consolidated statements of operations. The assets reclassified as held for sale are included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in the condensed consolidated balance sheet.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5.Share-Based Incentive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Prior to the Distribution, Viatris adopted and Pfizer, in the capacity as Viatris’ sole stockholder at such time, approved the 2020 Incentive Plan (the </w:t>
      </w:r>
      <w:r>
        <w:rPr>
          <w:rFonts w:ascii="Times New Roman;serif" w:hAnsi="Times New Roman;serif"/>
          <w:b w:val="false"/>
          <w:i/>
          <w:color w:val="000000"/>
          <w:sz w:val="20"/>
        </w:rPr>
        <w:t>Viatris Inc.</w:t>
      </w:r>
      <w:r>
        <w:rPr>
          <w:color w:val="000000"/>
        </w:rPr>
        <w:t xml:space="preserve"> </w:t>
      </w:r>
      <w:r>
        <w:rPr>
          <w:rFonts w:ascii="Times New Roman;serif" w:hAnsi="Times New Roman;serif"/>
          <w:b w:val="false"/>
          <w:i/>
          <w:color w:val="000000"/>
          <w:sz w:val="20"/>
        </w:rPr>
        <w:t>2020 Stock Incentive Plan</w:t>
      </w:r>
      <w:r>
        <w:rPr>
          <w:rFonts w:ascii="Times New Roman;serif" w:hAnsi="Times New Roman;serif"/>
          <w:b w:val="false"/>
          <w:color w:val="000000"/>
          <w:sz w:val="20"/>
        </w:rPr>
        <w:t>) which became effective as of the Distribution. In connection with the Combination, as of November 16, 2020, the Company assumed the 2003 LTIP (</w:t>
      </w:r>
      <w:r>
        <w:rPr>
          <w:rFonts w:ascii="Times New Roman;serif" w:hAnsi="Times New Roman;serif"/>
          <w:b w:val="false"/>
          <w:i/>
          <w:color w:val="000000"/>
          <w:sz w:val="20"/>
        </w:rPr>
        <w:t>Mylan N.V. Amended and Restated 2003 Long-Term Incentive Plan</w:t>
      </w:r>
      <w:r>
        <w:rPr>
          <w:rFonts w:ascii="Times New Roman;serif" w:hAnsi="Times New Roman;serif"/>
          <w:b w:val="false"/>
          <w:color w:val="000000"/>
          <w:sz w:val="20"/>
        </w:rPr>
        <w:t xml:space="preserve">),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approved an amendment to the 2020 Incentive Plan, which was approved by Viatris shareholders on December 6, 2024, to increase the maximum aggregate number of shares of Viatris common stock available for issuance under the 2020 Incentive Plan by 49,000,000.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2020 Incentive Plan, shares are reserved for issuance to key employees, consultants, independent contractors and non-employee directors of the Company through a variety of incentive awards, including: stock options, stock appreciation rights,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options activity:</w:t>
      </w:r>
    </w:p>
    <w:tbl>
      <w:tblPr>
        <w:tblW w:w="9357" w:type="dxa"/>
        <w:jc w:val="left"/>
        <w:tblInd w:w="0" w:type="dxa"/>
        <w:tblLayout w:type="fixed"/>
        <w:tblCellMar>
          <w:top w:w="28" w:type="dxa"/>
          <w:left w:w="28" w:type="dxa"/>
          <w:bottom w:w="28" w:type="dxa"/>
          <w:right w:w="28" w:type="dxa"/>
        </w:tblCellMar>
      </w:tblPr>
      <w:tblGrid>
        <w:gridCol w:w="1364"/>
        <w:gridCol w:w="1197"/>
        <w:gridCol w:w="1204"/>
        <w:gridCol w:w="649"/>
        <w:gridCol w:w="649"/>
        <w:gridCol w:w="652"/>
        <w:gridCol w:w="109"/>
        <w:gridCol w:w="109"/>
        <w:gridCol w:w="109"/>
        <w:gridCol w:w="713"/>
        <w:gridCol w:w="2082"/>
        <w:gridCol w:w="520"/>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2,460,805 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(553,691)</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1,886,602 </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2026</w:t>
            </w:r>
          </w:p>
        </w:tc>
        <w:tc>
          <w:tcPr>
            <w:tcW w:w="12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1,886,578 </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1,886,475 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stock options outstanding, stock options vested and expected to vest, and stock options exercisable each had average remaining contractual terms of 2.3 years, and each had aggregate intrinsic values of approximately $0.3 million.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changes in the Company’s nonvested Restricted Stock Awards (restricted stock and restricted stock unit awards, including PSUs) from December 31, 2025 to June 30, 2026 is presented below:</w:t>
      </w:r>
    </w:p>
    <w:tbl>
      <w:tblPr>
        <w:tblW w:w="9834" w:type="dxa"/>
        <w:jc w:val="left"/>
        <w:tblInd w:w="0" w:type="dxa"/>
        <w:tblLayout w:type="fixed"/>
        <w:tblCellMar>
          <w:top w:w="28" w:type="dxa"/>
          <w:left w:w="28" w:type="dxa"/>
          <w:bottom w:w="28" w:type="dxa"/>
          <w:right w:w="28" w:type="dxa"/>
        </w:tblCellMar>
      </w:tblPr>
      <w:tblGrid>
        <w:gridCol w:w="1016"/>
        <w:gridCol w:w="891"/>
        <w:gridCol w:w="897"/>
        <w:gridCol w:w="904"/>
        <w:gridCol w:w="904"/>
        <w:gridCol w:w="906"/>
        <w:gridCol w:w="109"/>
        <w:gridCol w:w="109"/>
        <w:gridCol w:w="109"/>
        <w:gridCol w:w="855"/>
        <w:gridCol w:w="2502"/>
        <w:gridCol w:w="632"/>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 Per Share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32,916,111 </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14,506,490 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(15,496,398)</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(2,256,695)</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29,669,508 </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$238.6 million of total unrecognized compensation expense, net of estimated forfeitures, related to all of its stock-based awards, which we expect to recognize over the remaining weighted average vesting period of 1.7 years. The total intrinsic value of Restricted Stock Awards released and stock options exercised during the six months ended June 30, 2026 and 2025 was $220.9 million and $118.8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6.Pensions and Other Postretirement Benefits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Defined Benefit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Net Periodic Benefit Cost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for the three and six months ended June 30, 2026 and 2025 were as follows:</w:t>
      </w:r>
    </w:p>
    <w:tbl>
      <w:tblPr>
        <w:tblW w:w="7050" w:type="dxa"/>
        <w:jc w:val="left"/>
        <w:tblInd w:w="0" w:type="dxa"/>
        <w:tblLayout w:type="fixed"/>
        <w:tblCellMar>
          <w:top w:w="28" w:type="dxa"/>
          <w:left w:w="28" w:type="dxa"/>
          <w:bottom w:w="28" w:type="dxa"/>
          <w:right w:w="28" w:type="dxa"/>
        </w:tblCellMar>
      </w:tblPr>
      <w:tblGrid>
        <w:gridCol w:w="1056"/>
        <w:gridCol w:w="926"/>
        <w:gridCol w:w="928"/>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 Benefits</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making the minimum mandatory contributions to its defined benefit pension plans in the U.S. and Puerto Rico for the 2026 plan year. The Company expects to make total benefit payments of approximately $170.0 million from pension and other postretirement benefit plans in 2026. The Company anticipates making contributions to pension and other postretirement benefit plans of approximately $60.9 million in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17, 2025, the Company approved an amendment to terminate one of its defined benefit plans in the United States (the “U.S. Plan”). The distribution of the U.S. Plan assets pursuant to the termination will not be made until the plan termination satisfies all regulatory requirements, which is expected to be completed by the end of 2026. U.S. Plan participants will receive their full accrued benefits from plan assets by electing either lump sum distributions or annuity contracts with a qualifying third-party annuity provider. The resulting settlement effect of the U.S. Plan termination will be determined based on prevailing market conditions, the lump sum offer participation rate of eligible participants, the actual lump sum distributions, and annuity purchase rates at the date of distribution. As a result, the Company is currently unable to reasonably estimate either the timing or the final amount of such settlement charges. Based on the valuation performed as of January 1, 2026, the U.S. Plan had an overfunded status of approximately $0.2 million.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7.Balance Sheet Components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Selected balance sheet components consist of the following:</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restricted cash</w:t>
      </w:r>
    </w:p>
    <w:tbl>
      <w:tblPr>
        <w:tblW w:w="9599" w:type="dxa"/>
        <w:jc w:val="left"/>
        <w:tblInd w:w="0" w:type="dxa"/>
        <w:tblLayout w:type="fixed"/>
        <w:tblCellMar>
          <w:top w:w="28" w:type="dxa"/>
          <w:left w:w="28" w:type="dxa"/>
          <w:bottom w:w="28" w:type="dxa"/>
          <w:right w:w="28" w:type="dxa"/>
        </w:tblCellMar>
      </w:tblPr>
      <w:tblGrid>
        <w:gridCol w:w="2081"/>
        <w:gridCol w:w="1827"/>
        <w:gridCol w:w="1837"/>
        <w:gridCol w:w="211"/>
        <w:gridCol w:w="616"/>
        <w:gridCol w:w="109"/>
        <w:gridCol w:w="109"/>
        <w:gridCol w:w="109"/>
        <w:gridCol w:w="109"/>
        <w:gridCol w:w="212"/>
        <w:gridCol w:w="773"/>
        <w:gridCol w:w="110"/>
        <w:gridCol w:w="109"/>
        <w:gridCol w:w="109"/>
        <w:gridCol w:w="109"/>
        <w:gridCol w:w="251"/>
        <w:gridCol w:w="735"/>
        <w:gridCol w:w="183"/>
      </w:tblGrid>
      <w:tr>
        <w:trPr/>
        <w:tc>
          <w:tcPr>
            <w:tcW w:w="208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w:t>
      </w:r>
    </w:p>
    <w:tbl>
      <w:tblPr>
        <w:tblW w:w="3976" w:type="dxa"/>
        <w:jc w:val="left"/>
        <w:tblInd w:w="0" w:type="dxa"/>
        <w:tblLayout w:type="fixed"/>
        <w:tblCellMar>
          <w:top w:w="28" w:type="dxa"/>
          <w:left w:w="28" w:type="dxa"/>
          <w:bottom w:w="28" w:type="dxa"/>
          <w:right w:w="28" w:type="dxa"/>
        </w:tblCellMar>
      </w:tblPr>
      <w:tblGrid>
        <w:gridCol w:w="517"/>
        <w:gridCol w:w="453"/>
        <w:gridCol w:w="454"/>
        <w:gridCol w:w="211"/>
        <w:gridCol w:w="766"/>
        <w:gridCol w:w="109"/>
        <w:gridCol w:w="109"/>
        <w:gridCol w:w="109"/>
        <w:gridCol w:w="109"/>
        <w:gridCol w:w="212"/>
        <w:gridCol w:w="772"/>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tbl>
      <w:tblPr>
        <w:tblW w:w="7008" w:type="dxa"/>
        <w:jc w:val="left"/>
        <w:tblInd w:w="0" w:type="dxa"/>
        <w:tblLayout w:type="fixed"/>
        <w:tblCellMar>
          <w:top w:w="28" w:type="dxa"/>
          <w:left w:w="28" w:type="dxa"/>
          <w:bottom w:w="28" w:type="dxa"/>
          <w:right w:w="28" w:type="dxa"/>
        </w:tblCellMar>
      </w:tblPr>
      <w:tblGrid>
        <w:gridCol w:w="1610"/>
        <w:gridCol w:w="1261"/>
        <w:gridCol w:w="1179"/>
        <w:gridCol w:w="211"/>
        <w:gridCol w:w="766"/>
        <w:gridCol w:w="109"/>
        <w:gridCol w:w="109"/>
        <w:gridCol w:w="109"/>
        <w:gridCol w:w="109"/>
        <w:gridCol w:w="288"/>
        <w:gridCol w:w="1047"/>
        <w:gridCol w:w="210"/>
      </w:tblGrid>
      <w:tr>
        <w:trPr/>
        <w:tc>
          <w:tcPr>
            <w:tcW w:w="161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securities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charge for taxes on intercompany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consist primarily of prepaid rent, insurance and other individually insignificant items.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tbl>
      <w:tblPr>
        <w:tblW w:w="6033" w:type="dxa"/>
        <w:jc w:val="left"/>
        <w:tblInd w:w="0" w:type="dxa"/>
        <w:tblLayout w:type="fixed"/>
        <w:tblCellMar>
          <w:top w:w="28" w:type="dxa"/>
          <w:left w:w="28" w:type="dxa"/>
          <w:bottom w:w="28" w:type="dxa"/>
          <w:right w:w="28" w:type="dxa"/>
        </w:tblCellMar>
      </w:tblPr>
      <w:tblGrid>
        <w:gridCol w:w="1112"/>
        <w:gridCol w:w="975"/>
        <w:gridCol w:w="988"/>
        <w:gridCol w:w="211"/>
        <w:gridCol w:w="766"/>
        <w:gridCol w:w="109"/>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assets</w:t>
      </w:r>
    </w:p>
    <w:tbl>
      <w:tblPr>
        <w:tblW w:w="5837" w:type="dxa"/>
        <w:jc w:val="center"/>
        <w:tblInd w:w="0" w:type="dxa"/>
        <w:tblLayout w:type="fixed"/>
        <w:tblCellMar>
          <w:top w:w="28" w:type="dxa"/>
          <w:left w:w="28" w:type="dxa"/>
          <w:bottom w:w="28" w:type="dxa"/>
          <w:right w:w="28" w:type="dxa"/>
        </w:tblCellMar>
      </w:tblPr>
      <w:tblGrid>
        <w:gridCol w:w="1044"/>
        <w:gridCol w:w="916"/>
        <w:gridCol w:w="919"/>
        <w:gridCol w:w="211"/>
        <w:gridCol w:w="766"/>
        <w:gridCol w:w="109"/>
        <w:gridCol w:w="109"/>
        <w:gridCol w:w="109"/>
        <w:gridCol w:w="109"/>
        <w:gridCol w:w="288"/>
        <w:gridCol w:w="1047"/>
        <w:gridCol w:w="210"/>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CCPS in Biocon Biologics </w:t>
            </w:r>
            <w:r>
              <w:rPr>
                <w:rFonts w:ascii="Times New Roman;serif" w:hAnsi="Times New Roman;serif"/>
                <w:b w:val="false"/>
                <w:color w:val="000000"/>
                <w:sz w:val="13"/>
              </w:rPr>
              <w:t>(1)</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payable</w:t>
      </w:r>
    </w:p>
    <w:tbl>
      <w:tblPr>
        <w:tblW w:w="4998" w:type="dxa"/>
        <w:jc w:val="center"/>
        <w:tblInd w:w="0" w:type="dxa"/>
        <w:tblLayout w:type="fixed"/>
        <w:tblCellMar>
          <w:top w:w="28" w:type="dxa"/>
          <w:left w:w="28" w:type="dxa"/>
          <w:bottom w:w="28" w:type="dxa"/>
          <w:right w:w="28" w:type="dxa"/>
        </w:tblCellMar>
      </w:tblPr>
      <w:tblGrid>
        <w:gridCol w:w="740"/>
        <w:gridCol w:w="649"/>
        <w:gridCol w:w="651"/>
        <w:gridCol w:w="211"/>
        <w:gridCol w:w="766"/>
        <w:gridCol w:w="109"/>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current liabilities</w:t>
      </w:r>
    </w:p>
    <w:tbl>
      <w:tblPr>
        <w:tblW w:w="8028" w:type="dxa"/>
        <w:jc w:val="left"/>
        <w:tblInd w:w="0" w:type="dxa"/>
        <w:tblLayout w:type="fixed"/>
        <w:tblCellMar>
          <w:top w:w="28" w:type="dxa"/>
          <w:left w:w="28" w:type="dxa"/>
          <w:bottom w:w="28" w:type="dxa"/>
          <w:right w:w="28" w:type="dxa"/>
        </w:tblCellMar>
      </w:tblPr>
      <w:tblGrid>
        <w:gridCol w:w="1838"/>
        <w:gridCol w:w="1609"/>
        <w:gridCol w:w="1623"/>
        <w:gridCol w:w="211"/>
        <w:gridCol w:w="766"/>
        <w:gridCol w:w="109"/>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allowances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employee benefit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professional accruals, including litigation accruals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long-term obligations</w:t>
      </w:r>
    </w:p>
    <w:tbl>
      <w:tblPr>
        <w:tblW w:w="6543" w:type="dxa"/>
        <w:jc w:val="left"/>
        <w:tblInd w:w="0" w:type="dxa"/>
        <w:tblLayout w:type="fixed"/>
        <w:tblCellMar>
          <w:top w:w="28" w:type="dxa"/>
          <w:left w:w="28" w:type="dxa"/>
          <w:bottom w:w="28" w:type="dxa"/>
          <w:right w:w="28" w:type="dxa"/>
        </w:tblCellMar>
      </w:tblPr>
      <w:tblGrid>
        <w:gridCol w:w="1300"/>
        <w:gridCol w:w="1141"/>
        <w:gridCol w:w="1144"/>
        <w:gridCol w:w="211"/>
        <w:gridCol w:w="766"/>
        <w:gridCol w:w="109"/>
        <w:gridCol w:w="109"/>
        <w:gridCol w:w="109"/>
        <w:gridCol w:w="109"/>
        <w:gridCol w:w="288"/>
        <w:gridCol w:w="1047"/>
        <w:gridCol w:w="210"/>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related items, including contingencies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8.(Loss) Earnings per Share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 is computed by dividing net (loss) earnings attributable to holders of Viatris Inc. common stock by the weighted average number of shares outstanding during the period. Diluted (loss) earnings per share is computed by dividing net (loss)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(loss) earnings per share attributable to Viatris Inc. are calculated as follows:</w:t>
      </w:r>
    </w:p>
    <w:tbl>
      <w:tblPr>
        <w:tblW w:w="10205" w:type="dxa"/>
        <w:jc w:val="left"/>
        <w:tblInd w:w="0" w:type="dxa"/>
        <w:tblLayout w:type="fixed"/>
        <w:tblCellMar>
          <w:top w:w="28" w:type="dxa"/>
          <w:left w:w="28" w:type="dxa"/>
          <w:bottom w:w="28" w:type="dxa"/>
          <w:right w:w="28" w:type="dxa"/>
        </w:tblCellMar>
      </w:tblPr>
      <w:tblGrid>
        <w:gridCol w:w="1786"/>
        <w:gridCol w:w="1438"/>
        <w:gridCol w:w="1449"/>
        <w:gridCol w:w="276"/>
        <w:gridCol w:w="892"/>
        <w:gridCol w:w="142"/>
        <w:gridCol w:w="142"/>
        <w:gridCol w:w="142"/>
        <w:gridCol w:w="142"/>
        <w:gridCol w:w="301"/>
        <w:gridCol w:w="627"/>
        <w:gridCol w:w="142"/>
        <w:gridCol w:w="109"/>
        <w:gridCol w:w="109"/>
        <w:gridCol w:w="109"/>
        <w:gridCol w:w="223"/>
        <w:gridCol w:w="543"/>
        <w:gridCol w:w="109"/>
        <w:gridCol w:w="109"/>
        <w:gridCol w:w="109"/>
        <w:gridCol w:w="109"/>
        <w:gridCol w:w="211"/>
        <w:gridCol w:w="824"/>
        <w:gridCol w:w="162"/>
      </w:tblGrid>
      <w:tr>
        <w:trPr/>
        <w:tc>
          <w:tcPr>
            <w:tcW w:w="178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3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79"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(loss) earnings attributable to Viatris Inc. common shareholders (numerator):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Viatris Inc. common shareholders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(denominator):</w:t>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 attributable to Viatris Inc. shareholders</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earnings attributable to Viatris Inc. common shareholders (numerator):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Viatris Inc. common shareholders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(denominator):</w:t>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shares outstanding</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 attributable to Viatris Inc. shareholders</w:t>
            </w:r>
          </w:p>
        </w:tc>
        <w:tc>
          <w:tcPr>
            <w:tcW w:w="2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stock options and Restricted Stock Awards were outstanding during the three and six months ended June 30, 2026 and 2025, but were not included in the computation of diluted (loss) earnings per share for each respective period because the effect would be anti-dilutive. Excluded shares also include certain PSUs whose performance conditions had not been fully met. Such excluded shares and anti-dilutive awards represented 19.9 million shares and 11.0 million shares for the three and six months ended June 30, 2026, respectively, and 27.6 million shares and 27.4 million shares for the three and six months ended June 30, 2025, respectively.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paid a quarterly cash dividend of $0.12 per share on the Company’s issued and outstanding common stock in March 2026 and June 2026. On August 3, 2026, the Company’s Board of Directors declared a quarterly cash dividend of $0.12 per share on the Company’s issued and outstanding common stock, which will be payable on September 16, 2026 to shareholders of record as of the close of business on August 21, 2026.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also paid quarterly cash dividends of $0.12 per share on the Company’s issued and outstanding common stock in each of the four quarters of 2025.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share repurchase program does not obligate the Company to acquire any particular amount of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repurchased approximately 9.4 million shares of common stock at a cost of approximately $150.0 million under the program. During the three and six months ended June 30, 2025, the Company repurchased approximately 20.2 million shares of common stock at a cost of approximately $175.0 million, and 38.9 million shares of common stock at a cost of approximately $350.4 million, respectively, under the program. As of June 30, 2026, the Company had repurchased a total of approximately 103.5 million shares of common stock at a cost of approximately $1.15 billion under the program. Additionally, subsequent to June 30, 2026, the Company repurchased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approximately 7.1 million shares of common stock at a cost of approximately $120.2 million under the program, bringing the total to approximately 110.6 million shares of common stock at a cost of approximately $1.27 billion under the program, in each case through and including August 4, 2026. </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9.Goodwill and Intangible Assets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six months ended June 30, 2026 are as follows:</w:t>
      </w:r>
    </w:p>
    <w:tbl>
      <w:tblPr>
        <w:tblW w:w="10205" w:type="dxa"/>
        <w:jc w:val="left"/>
        <w:tblInd w:w="0" w:type="dxa"/>
        <w:tblLayout w:type="fixed"/>
        <w:tblCellMar>
          <w:top w:w="28" w:type="dxa"/>
          <w:left w:w="28" w:type="dxa"/>
          <w:bottom w:w="28" w:type="dxa"/>
          <w:right w:w="28" w:type="dxa"/>
        </w:tblCellMar>
      </w:tblPr>
      <w:tblGrid>
        <w:gridCol w:w="951"/>
        <w:gridCol w:w="833"/>
        <w:gridCol w:w="834"/>
        <w:gridCol w:w="320"/>
        <w:gridCol w:w="1166"/>
        <w:gridCol w:w="165"/>
        <w:gridCol w:w="109"/>
        <w:gridCol w:w="109"/>
        <w:gridCol w:w="109"/>
        <w:gridCol w:w="261"/>
        <w:gridCol w:w="766"/>
        <w:gridCol w:w="135"/>
        <w:gridCol w:w="109"/>
        <w:gridCol w:w="109"/>
        <w:gridCol w:w="109"/>
        <w:gridCol w:w="211"/>
        <w:gridCol w:w="406"/>
        <w:gridCol w:w="109"/>
        <w:gridCol w:w="109"/>
        <w:gridCol w:w="109"/>
        <w:gridCol w:w="109"/>
        <w:gridCol w:w="361"/>
        <w:gridCol w:w="1056"/>
        <w:gridCol w:w="186"/>
        <w:gridCol w:w="109"/>
        <w:gridCol w:w="109"/>
        <w:gridCol w:w="109"/>
        <w:gridCol w:w="211"/>
        <w:gridCol w:w="766"/>
        <w:gridCol w:w="160"/>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Developed Markets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JANZ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Emerging Markets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Balances as of June 30, 2026 and December 31, 2025 include an accumulated impairment loss of $3.19 billion.</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Balances as of June 30, 2026 and December 31, 2025 include an accumulated impairment loss of $651.8 million.</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Balances as of June 30, 2026 and December 31, 2025 include an accumulated impairment loss of $499.0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on April 1st or more frequently if events or changes in circumstances indicate that the carrying value of goodwill may not be recoverable.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performed the annual goodwill impairment test as of April 1, 2026. The Company performed its annual goodwill impairment test on a quantitative basis for its four reporting units with remaining goodwill (North America, Europe, Emerging Markets,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 As of April 1, 2026, the Company’s North America and Emerging Markets reporting units each had fair values in excess of 10% of the respective unit’s carrying value, and the Company’s Europe and Greater China reporting units each had fair values in excess of 40% of the respective unit’s carrying value.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April 1, 2026, the allocation of the Company’s total goodwill was as follows: North America $2.40 billion, Europe $2.57 billion, Emerging Markets $0.80 billion, and Greater China $0.94 billion.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and recorded a non-cash goodwill impairment charge of $2.94 billion as a result of the interim goodwill impairment test performed. After the goodwill impairment charge recorded during the first quarter of 2025, there was no remaining goodwill allocated to the JANZ reporting unit.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components at June 30, 2026 and December 31, 2025:</w:t>
      </w:r>
    </w:p>
    <w:tbl>
      <w:tblPr>
        <w:tblW w:w="10205" w:type="dxa"/>
        <w:jc w:val="left"/>
        <w:tblInd w:w="0" w:type="dxa"/>
        <w:tblLayout w:type="fixed"/>
        <w:tblCellMar>
          <w:top w:w="28" w:type="dxa"/>
          <w:left w:w="28" w:type="dxa"/>
          <w:bottom w:w="28" w:type="dxa"/>
          <w:right w:w="28" w:type="dxa"/>
        </w:tblCellMar>
      </w:tblPr>
      <w:tblGrid>
        <w:gridCol w:w="1059"/>
        <w:gridCol w:w="846"/>
        <w:gridCol w:w="851"/>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5"/>
      </w:tblGrid>
      <w:tr>
        <w:trPr/>
        <w:tc>
          <w:tcPr>
            <w:tcW w:w="105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20,848.7 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Represents amortizable intangible assets. Other intangible assets consist principally of customer lists and contractual rights.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pPr>
      <w:r>
        <w:rPr>
          <w:rFonts w:ascii="Times New Roman;serif" w:hAnsi="Times New Roman;serif"/>
          <w:b w:val="false"/>
          <w:color w:val="000000"/>
          <w:sz w:val="20"/>
        </w:rPr>
        <w:t xml:space="preserve">Amortization expense, intangible impairment charges and IPR&amp;D intangible asset impairment charges (which are included as a component of amortization expense) are classified primarily within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in the condensed consolidated statements of operations and were as follows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857"/>
        <w:gridCol w:w="1629"/>
        <w:gridCol w:w="1647"/>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85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IPR&amp;D intangible asset impairment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 amortization expense (including impairment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 over the remainder of 2026 and for the years ending December 31, 2027 through 2030 is estimated to be as follows:</w:t>
      </w:r>
    </w:p>
    <w:tbl>
      <w:tblPr>
        <w:tblW w:w="1971" w:type="dxa"/>
        <w:jc w:val="left"/>
        <w:tblInd w:w="0" w:type="dxa"/>
        <w:tblLayout w:type="fixed"/>
        <w:tblCellMar>
          <w:top w:w="28" w:type="dxa"/>
          <w:left w:w="28" w:type="dxa"/>
          <w:bottom w:w="28" w:type="dxa"/>
          <w:right w:w="28" w:type="dxa"/>
        </w:tblCellMar>
      </w:tblPr>
      <w:tblGrid>
        <w:gridCol w:w="359"/>
        <w:gridCol w:w="315"/>
        <w:gridCol w:w="316"/>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10.Financial Instruments and Risk Management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primarily reported as current assets or current liabilities in the condensed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principal amounts of the Company’s outstanding Euro and Yen borrowings and the notional amounts of the Euro and Yen borrowings designated as net investment hedges: </w:t>
      </w:r>
    </w:p>
    <w:tbl>
      <w:tblPr>
        <w:tblW w:w="9559" w:type="dxa"/>
        <w:jc w:val="center"/>
        <w:tblInd w:w="0" w:type="dxa"/>
        <w:tblLayout w:type="fixed"/>
        <w:tblCellMar>
          <w:top w:w="28" w:type="dxa"/>
          <w:left w:w="28" w:type="dxa"/>
          <w:bottom w:w="28" w:type="dxa"/>
          <w:right w:w="28" w:type="dxa"/>
        </w:tblCellMar>
      </w:tblPr>
      <w:tblGrid>
        <w:gridCol w:w="1191"/>
        <w:gridCol w:w="1045"/>
        <w:gridCol w:w="1048"/>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Designated as a Net Investment Hedge</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Euro Senior Notes due 2028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1.908% Euro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Euro Senior Notes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Yen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 February 2026, the Company de-designated the €750.0 million 3.125% Euro Senior Notes due 2028 as net investment hedges.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 principal amount of the Company’s outstanding Yen borrowings and the notional amount of the Yen borrowings designated as net investment hedges was $246.1 million.</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2023, the Company executed fixed-rate cross-currency interest rate swaps with notional amounts totaling Japanese Yen 14.6 billion with settlement dates through 2026. During the third quarter of 2025, the Company terminated its Yen fixed-rate cross-currency interest rate swaps in exchange for $3.4 million in cash proceeds, net of fees. During the second quarter of 2024, the Company executed fixed-rate cross-currency interest rate swaps with notional amounts totaling €500 million with settlement dates through 2026. In March 2026, the Company made payments totaling $37.7 million in conjunction with the termination of its Euro fixed-rate cross-currency interest rate swaps. The transactions hedged a portion of the Company’s net investment in certain Yen- and Euro-functional currency subsidiaries. All changes in the fair value of these derivative instruments, which are designated as net investment hedges, were marked-to-market using the current spot exchange rate as of the end of the period. The portion of these changes related to the excluded component were amortized in interest expense over the life of the derivative while the remainder was recorded in AOCE until the sale or substantial liquidation of the underlying net investments. The semiannual net interest payment received related to the fixed-rate component of the cross-currency interest rate swaps were reflected in operating cash flows. </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executed foreign currency forward contracts with notional amounts totaling Chinese Renminbi 1.42 billion (approximately $200 million) maturing in December 2026 and Chinese Renminbi 695 million (approximately $100 million) maturing in December 2027. During the second quarter of 2026, the Company settled certain of these foreign currency forward contracts with notional amounts totaling $100 million that were maturing in December 2026 and entered into new contracts with notional amounts totaling $50 million maturing in December 2027 and $25 million maturing in December 2028. The transactions hedge a portion of the Company’s net investment in certain Chinese Renminbi functional currency subsidiaries. The contracts are designated as net investment hedges.</w:t>
      </w:r>
    </w:p>
    <w:p>
      <w:pPr>
        <w:pStyle w:val="TextBody"/>
        <w:bidi w:val="0"/>
        <w:spacing w:lineRule="auto" w:line="276"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 Hedging Relationships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and fair values of derivative instruments in our condensed consolidated balance sheets:</w:t>
      </w:r>
    </w:p>
    <w:tbl>
      <w:tblPr>
        <w:tblW w:w="10205" w:type="dxa"/>
        <w:jc w:val="left"/>
        <w:tblInd w:w="0" w:type="dxa"/>
        <w:tblLayout w:type="fixed"/>
        <w:tblCellMar>
          <w:top w:w="28" w:type="dxa"/>
          <w:left w:w="28" w:type="dxa"/>
          <w:bottom w:w="28" w:type="dxa"/>
          <w:right w:w="28" w:type="dxa"/>
        </w:tblCellMar>
      </w:tblPr>
      <w:tblGrid>
        <w:gridCol w:w="824"/>
        <w:gridCol w:w="497"/>
        <w:gridCol w:w="489"/>
        <w:gridCol w:w="557"/>
        <w:gridCol w:w="493"/>
        <w:gridCol w:w="495"/>
        <w:gridCol w:w="276"/>
        <w:gridCol w:w="808"/>
        <w:gridCol w:w="143"/>
        <w:gridCol w:w="320"/>
        <w:gridCol w:w="776"/>
        <w:gridCol w:w="165"/>
        <w:gridCol w:w="109"/>
        <w:gridCol w:w="109"/>
        <w:gridCol w:w="109"/>
        <w:gridCol w:w="608"/>
        <w:gridCol w:w="405"/>
        <w:gridCol w:w="406"/>
        <w:gridCol w:w="276"/>
        <w:gridCol w:w="808"/>
        <w:gridCol w:w="143"/>
        <w:gridCol w:w="296"/>
        <w:gridCol w:w="867"/>
        <w:gridCol w:w="226"/>
      </w:tblGrid>
      <w:tr>
        <w:trPr/>
        <w:tc>
          <w:tcPr>
            <w:tcW w:w="8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 Derivatives</w:t>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 Fair Value</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 Fair Value</w:t>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 Fair Value</w:t>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w:t>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not designated as hedges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derivatives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gains/(losses) incurred to hedge or offset operational foreign exchange or interest rate risk:</w:t>
      </w:r>
    </w:p>
    <w:tbl>
      <w:tblPr>
        <w:tblW w:w="10205" w:type="dxa"/>
        <w:jc w:val="left"/>
        <w:tblInd w:w="0" w:type="dxa"/>
        <w:tblLayout w:type="fixed"/>
        <w:tblCellMar>
          <w:top w:w="28" w:type="dxa"/>
          <w:left w:w="28" w:type="dxa"/>
          <w:bottom w:w="28" w:type="dxa"/>
          <w:right w:w="28" w:type="dxa"/>
        </w:tblCellMar>
      </w:tblPr>
      <w:tblGrid>
        <w:gridCol w:w="990"/>
        <w:gridCol w:w="390"/>
        <w:gridCol w:w="391"/>
        <w:gridCol w:w="416"/>
        <w:gridCol w:w="354"/>
        <w:gridCol w:w="356"/>
        <w:gridCol w:w="271"/>
        <w:gridCol w:w="568"/>
        <w:gridCol w:w="139"/>
        <w:gridCol w:w="248"/>
        <w:gridCol w:w="765"/>
        <w:gridCol w:w="128"/>
        <w:gridCol w:w="109"/>
        <w:gridCol w:w="109"/>
        <w:gridCol w:w="109"/>
        <w:gridCol w:w="284"/>
        <w:gridCol w:w="689"/>
        <w:gridCol w:w="147"/>
        <w:gridCol w:w="284"/>
        <w:gridCol w:w="882"/>
        <w:gridCol w:w="147"/>
        <w:gridCol w:w="109"/>
        <w:gridCol w:w="109"/>
        <w:gridCol w:w="109"/>
        <w:gridCol w:w="287"/>
        <w:gridCol w:w="606"/>
        <w:gridCol w:w="148"/>
        <w:gridCol w:w="287"/>
        <w:gridCol w:w="553"/>
        <w:gridCol w:w="221"/>
      </w:tblGrid>
      <w:tr>
        <w:trPr/>
        <w:tc>
          <w:tcPr>
            <w:tcW w:w="9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Gains/(Losses) Reclassified from AOCE into Earnings </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8"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75"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Derivative Financial Instruments in Cash Flow Hedging Relationships </w:t>
            </w:r>
            <w:r>
              <w:rPr>
                <w:rFonts w:ascii="Times New Roman;serif" w:hAnsi="Times New Roman;serif"/>
                <w:b/>
                <w:color w:val="000000"/>
                <w:sz w:val="12"/>
              </w:rPr>
              <w:t xml:space="preserve">(1) </w:t>
            </w:r>
            <w:r>
              <w:rPr>
                <w:rFonts w:ascii="Times New Roman;serif" w:hAnsi="Times New Roman;serif"/>
                <w:b/>
                <w:color w:val="000000"/>
                <w:sz w:val="18"/>
              </w:rPr>
              <w:t>:</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(3)</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8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(2)</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forward contracts </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(3)</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Non-derivative Financial Instruments in Net Investment Hedging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Not Designated as Hedging Instruments: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option and forward contracts</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(2)</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85"/>
        <w:gridCol w:w="378"/>
        <w:gridCol w:w="379"/>
        <w:gridCol w:w="410"/>
        <w:gridCol w:w="347"/>
        <w:gridCol w:w="349"/>
        <w:gridCol w:w="264"/>
        <w:gridCol w:w="641"/>
        <w:gridCol w:w="136"/>
        <w:gridCol w:w="245"/>
        <w:gridCol w:w="752"/>
        <w:gridCol w:w="126"/>
        <w:gridCol w:w="109"/>
        <w:gridCol w:w="109"/>
        <w:gridCol w:w="109"/>
        <w:gridCol w:w="279"/>
        <w:gridCol w:w="677"/>
        <w:gridCol w:w="144"/>
        <w:gridCol w:w="279"/>
        <w:gridCol w:w="865"/>
        <w:gridCol w:w="144"/>
        <w:gridCol w:w="109"/>
        <w:gridCol w:w="109"/>
        <w:gridCol w:w="109"/>
        <w:gridCol w:w="275"/>
        <w:gridCol w:w="578"/>
        <w:gridCol w:w="142"/>
        <w:gridCol w:w="275"/>
        <w:gridCol w:w="668"/>
        <w:gridCol w:w="213"/>
      </w:tblGrid>
      <w:tr>
        <w:trPr/>
        <w:tc>
          <w:tcPr>
            <w:tcW w:w="9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Gains/(Losses) Reclassified from AOCE into Earnings </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7"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88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Derivative Financial Instruments in Cash Flow Hedging Relationships </w:t>
            </w:r>
            <w:r>
              <w:rPr>
                <w:rFonts w:ascii="Times New Roman;serif" w:hAnsi="Times New Roman;serif"/>
                <w:b/>
                <w:color w:val="000000"/>
                <w:sz w:val="12"/>
              </w:rPr>
              <w:t xml:space="preserve">(1) </w:t>
            </w:r>
            <w:r>
              <w:rPr>
                <w:rFonts w:ascii="Times New Roman;serif" w:hAnsi="Times New Roman;serif"/>
                <w:b/>
                <w:color w:val="000000"/>
                <w:sz w:val="18"/>
              </w:rPr>
              <w:t>:</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(3)</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(3)</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38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(2)</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forward contracts </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(3)</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Non-derivative Financial Instruments in Net Investment Hedging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Not Designated as Hedging Instruments: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option and forward contracts</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(2)</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10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At June 30, 2026, the Company expects that approximately $7.0 million of pre-tax net losses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the location of the gain/(loss) reclassified from AOCE into earnings.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Level 1: </w:t>
      </w:r>
      <w:r>
        <w:rPr>
          <w:rFonts w:ascii="Times New Roman;serif" w:hAnsi="Times New Roman;serif"/>
          <w:b w:val="false"/>
          <w:color w:val="000000"/>
          <w:sz w:val="20"/>
        </w:rPr>
        <w:t>Quoted prices (unadjusted) in active markets that are accessible at the measurement date for identical assets or liabilities. The fair value hierarchy gives the highest priority to Level 1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Level 2: </w:t>
      </w:r>
      <w:r>
        <w:rPr>
          <w:rFonts w:ascii="Times New Roman;serif" w:hAnsi="Times New Roman;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Level 3: </w:t>
      </w:r>
      <w:r>
        <w:rPr>
          <w:rFonts w:ascii="Times New Roman;serif" w:hAnsi="Times New Roman;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039"/>
        <w:gridCol w:w="781"/>
        <w:gridCol w:w="788"/>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55"/>
      </w:tblGrid>
      <w:tr>
        <w:trPr/>
        <w:tc>
          <w:tcPr>
            <w:tcW w:w="103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equity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traded funds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 in Biocon Biologics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investments: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fixed income investments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recurring fair value measurement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Cash equivalents</w:t>
      </w:r>
      <w:r>
        <w:rPr>
          <w:color w:val="000000"/>
        </w:rPr>
        <w:t xml:space="preserve"> — </w:t>
      </w:r>
      <w:r>
        <w:rPr>
          <w:rFonts w:ascii="Times New Roman;serif" w:hAnsi="Times New Roman;serif"/>
          <w:b w:val="false"/>
          <w:color w:val="000000"/>
          <w:sz w:val="20"/>
        </w:rPr>
        <w:t>valued at observable net asset value prices.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exchange traded funds</w:t>
      </w:r>
      <w:r>
        <w:rPr>
          <w:color w:val="000000"/>
        </w:rPr>
        <w:t xml:space="preserve"> — </w:t>
      </w:r>
      <w:r>
        <w:rPr>
          <w:rFonts w:ascii="Times New Roman;serif" w:hAnsi="Times New Roman;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marketable securities and Biocon equity shares</w:t>
      </w:r>
      <w:r>
        <w:rPr>
          <w:color w:val="000000"/>
        </w:rPr>
        <w:t xml:space="preserve"> — </w:t>
      </w:r>
      <w:r>
        <w:rPr>
          <w:rFonts w:ascii="Times New Roman;serif" w:hAnsi="Times New Roman;serif"/>
          <w:b w:val="false"/>
          <w:color w:val="000000"/>
          <w:sz w:val="20"/>
        </w:rPr>
        <w:t xml:space="preserve">valued using quoted stock prices from public exchanges at the reporting date. Unrealized gains and losses attributable to changes in fair value are included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CCPS in Biocon Biologics</w:t>
      </w:r>
      <w:r>
        <w:rPr>
          <w:color w:val="000000"/>
        </w:rPr>
        <w:t xml:space="preserve"> — </w:t>
      </w:r>
      <w:r>
        <w:rPr>
          <w:rFonts w:ascii="Times New Roman;serif" w:hAnsi="Times New Roman;serif"/>
          <w:b w:val="false"/>
          <w:color w:val="000000"/>
          <w:sz w:val="20"/>
        </w:rPr>
        <w:t xml:space="preserve">In December 2025, the Company entered into definitive agreements with Biocon for the sale of the Company’s equity stake in Biocon Biologics. Under the terms of the definitive agreements, Biocon acquired all of Viatris’ CCPS in Biocon Biologics for total consideration of $815.0 million, consisting of $400.0 million in cash and $415.0 million in newly issued equity shares of Biocon, which are listed and traded on the National Stock Exchange of India. The transaction closed during the first quarter of 2026 and the equity shares of Biocon were subject to a six-month lock up period. The Company completed the sale of its equity position in Biocon on July 14, 2026 for pre-tax total consideration of approximately $380 million, and recorded a pre-tax loss of $27.4 million in the third quarter of 2026. The pre-tax sale proceeds include the impacts of an approximate 2.7% block sale discount to market, transaction fees, and the strengthening of the U.S. dollar since the Company obtained the equity in January 2026.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expired immediately at the time of close for all ex-U.S. markets and will expire in November 2026 for the U.S. market. During the three and six months ended June 30, 2026, the Company recognized a (gain)/loss of approximately $(56.3) million and $8.6 million, respectively, as a result of changes in the fair value of the Biocon equity shares. During the three and six months ended June 30, 2025, the Company recorded a loss of $284.0 million and $399.8 million, respectively, as a result of remeasuring the CCPS in Biocon Biologics to fair value. The Company’s CCPS in Biocon Biologics were classified as equity securities and were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in the condensed consolidated balance sheets. The Biocon equity shares are included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in the condensed consolidated balance sheets.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Available-for-sale fixed income investments</w:t>
      </w:r>
      <w:r>
        <w:rPr>
          <w:color w:val="000000"/>
        </w:rPr>
        <w:t xml:space="preserve"> — </w:t>
      </w:r>
      <w:r>
        <w:rPr>
          <w:rFonts w:ascii="Times New Roman;serif" w:hAnsi="Times New Roman;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Interest rate swaps and foreign exchange derivative assets and liabilities</w:t>
      </w:r>
      <w:r>
        <w:rPr>
          <w:color w:val="000000"/>
        </w:rPr>
        <w:t xml:space="preserve"> — </w:t>
      </w:r>
      <w:r>
        <w:rPr>
          <w:rFonts w:ascii="Times New Roman;serif" w:hAnsi="Times New Roman;serif"/>
          <w:b w:val="false"/>
          <w:color w:val="000000"/>
          <w:sz w:val="20"/>
        </w:rPr>
        <w:t>valued using interest yield curves, quoted forward foreign exchange prices and spot rates at the reporting date. Counterparties to these contracts are highly rated financial institutions.</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a contingent consideration liability of $421.0 million and $307.0 million, respectively, related to the Idorsia Transaction. For the six months ended June 30, 2026, the change in fair value was primarily driven by a change in probabilities on both development programs as a result of the progress of the clinical trials. As of June 30, 2026 and December 31, 2025, the Company had a contingent consideration liability of $42.6 million and $64.6 million, respectively, related to the Respiratory Delivery Platform.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measurement of these contingent consideration liabilities is calculated using unobservable Level 3 inputs based on the Company’s own assumptions primarily related to the probability and timing of future events, including the timing of additional potential competition, and payments which are discounted using a market rate of return. At June 30, 2026, discount rates ranging from 9.0% to 17.0%, and at December 31, 2025, discount rates ranging from 8.5% and 19.0% were utilized in the valuations. Significant changes in unobservable inputs could result in material changes to the contingent consideration liabilities.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activity in the Company’s fair value of contingent consideration from December 31, 2025 to June 30, 2026 is as follows:</w:t>
      </w:r>
    </w:p>
    <w:tbl>
      <w:tblPr>
        <w:tblW w:w="8962" w:type="dxa"/>
        <w:jc w:val="left"/>
        <w:tblInd w:w="0" w:type="dxa"/>
        <w:tblLayout w:type="fixed"/>
        <w:tblCellMar>
          <w:top w:w="28" w:type="dxa"/>
          <w:left w:w="28" w:type="dxa"/>
          <w:bottom w:w="28" w:type="dxa"/>
          <w:right w:w="28" w:type="dxa"/>
        </w:tblCellMar>
      </w:tblPr>
      <w:tblGrid>
        <w:gridCol w:w="974"/>
        <w:gridCol w:w="854"/>
        <w:gridCol w:w="857"/>
        <w:gridCol w:w="373"/>
        <w:gridCol w:w="904"/>
        <w:gridCol w:w="192"/>
        <w:gridCol w:w="109"/>
        <w:gridCol w:w="109"/>
        <w:gridCol w:w="109"/>
        <w:gridCol w:w="382"/>
        <w:gridCol w:w="1116"/>
        <w:gridCol w:w="197"/>
        <w:gridCol w:w="109"/>
        <w:gridCol w:w="109"/>
        <w:gridCol w:w="109"/>
        <w:gridCol w:w="527"/>
        <w:gridCol w:w="1544"/>
        <w:gridCol w:w="388"/>
      </w:tblGrid>
      <w:tr>
        <w:trPr/>
        <w:tc>
          <w:tcPr>
            <w:tcW w:w="97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Current Portion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Long-Term Portion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Contingent Consideration</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loss </w:t>
            </w:r>
            <w:r>
              <w:rPr>
                <w:rFonts w:ascii="Times New Roman;serif" w:hAnsi="Times New Roman;serif"/>
                <w:b w:val="false"/>
                <w:color w:val="000000"/>
                <w:sz w:val="13"/>
              </w:rPr>
              <w:t>(3)</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other current liabilities in the condensed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long-term obligations in the condensed consolidated balance sheets.</w:t>
      </w:r>
    </w:p>
    <w:p>
      <w:pPr>
        <w:pStyle w:val="TextBody"/>
        <w:bidi w:val="0"/>
        <w:spacing w:lineRule="auto" w:line="288" w:before="0" w:after="24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litigation settlements and other contingencies, net in the condensed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has not elected the fair value option for financial assets and liabilities, any future transacted financial asset or liability will be evaluated for the fair value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11.Debt</w:t>
      </w:r>
    </w:p>
    <w:p>
      <w:pPr>
        <w:pStyle w:val="TextBody"/>
        <w:bidi w:val="0"/>
        <w:spacing w:lineRule="auto" w:line="240" w:before="0" w:after="240"/>
        <w:ind w:left="0" w:right="0" w:firstLine="720"/>
        <w:jc w:val="left"/>
        <w:rPr/>
      </w:pPr>
      <w:r>
        <w:rPr>
          <w:rFonts w:ascii="Times New Roman;serif" w:hAnsi="Times New Roman;serif"/>
          <w:b w:val="false"/>
          <w:color w:val="000000"/>
          <w:sz w:val="20"/>
        </w:rPr>
        <w:t xml:space="preserve">For additional information, see Note 10 </w:t>
      </w:r>
      <w:r>
        <w:rPr>
          <w:rFonts w:ascii="Times New Roman;serif" w:hAnsi="Times New Roman;serif"/>
          <w:b w:val="false"/>
          <w:i/>
          <w:color w:val="000000"/>
          <w:sz w:val="20"/>
        </w:rPr>
        <w:t xml:space="preserve">Debt </w:t>
      </w:r>
      <w:r>
        <w:rPr>
          <w:rFonts w:ascii="Times New Roman;serif" w:hAnsi="Times New Roman;serif"/>
          <w:b w:val="false"/>
          <w:color w:val="000000"/>
          <w:sz w:val="20"/>
        </w:rPr>
        <w:t>in Viatris’ 2025 Form 10-K.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Receivables Facility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Receivables Facility for up to an aggregate amount of $600 million which expires in April 2028.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are included as a component of short-term borrowings, while the accounts receivable securing these obligations remain as a component of accounts receivable, net, in our condensed consolidated balance sheets.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40"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long-term debt is as follows:</w:t>
      </w:r>
    </w:p>
    <w:tbl>
      <w:tblPr>
        <w:tblW w:w="8976" w:type="dxa"/>
        <w:jc w:val="left"/>
        <w:tblInd w:w="0" w:type="dxa"/>
        <w:tblLayout w:type="fixed"/>
        <w:tblCellMar>
          <w:top w:w="28" w:type="dxa"/>
          <w:left w:w="28" w:type="dxa"/>
          <w:bottom w:w="28" w:type="dxa"/>
          <w:right w:w="28" w:type="dxa"/>
        </w:tblCellMar>
      </w:tblPr>
      <w:tblGrid>
        <w:gridCol w:w="1229"/>
        <w:gridCol w:w="1079"/>
        <w:gridCol w:w="1082"/>
        <w:gridCol w:w="557"/>
        <w:gridCol w:w="557"/>
        <w:gridCol w:w="1391"/>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Senior Notes </w:t>
            </w:r>
            <w:r>
              <w:rPr>
                <w:rFonts w:ascii="Times New Roman;serif" w:hAnsi="Times New Roman;serif"/>
                <w:b w:val="false"/>
                <w:color w:val="000000"/>
                <w:sz w:val="13"/>
              </w:rPr>
              <w:t>(a) **</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Euro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long-term debt:</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Euro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Euro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2030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2032 Euro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2033 Euro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2040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2043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2046 Senior Notes</w:t>
            </w:r>
            <w:r>
              <w:rPr>
                <w:color w:val="000000"/>
              </w:rPr>
              <w:t xml:space="preserve">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2048 Senior Notes</w:t>
            </w:r>
            <w:r>
              <w:rPr>
                <w:color w:val="000000"/>
              </w:rPr>
              <w:t xml:space="preserve">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2050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6"/>
        </w:rPr>
        <w:t>(a)</w:t>
      </w:r>
      <w:r>
        <w:rPr>
          <w:color w:val="000000"/>
        </w:rPr>
        <w:t>    </w:t>
      </w:r>
      <w:r>
        <w:rPr>
          <w:rFonts w:ascii="Times New Roman;serif" w:hAnsi="Times New Roman;serif"/>
          <w:b w:val="false"/>
          <w:color w:val="000000"/>
          <w:sz w:val="20"/>
        </w:rPr>
        <w:t>The 2026 Senior Notes were repaid at maturity in the second quarter of 2026.</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Mylan Inc.</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originally issued by Mylan N.V.; now held by Utah Acquisition Sub Inc.</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Viatris Inc.</w:t>
      </w:r>
    </w:p>
    <w:p>
      <w:pPr>
        <w:pStyle w:val="TextBody"/>
        <w:bidi w:val="0"/>
        <w:spacing w:lineRule="auto" w:line="288" w:before="0" w:after="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Upjohn Finance B.V.</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2033 Euro Senior Notes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2026, Viatris Inc. completed a public offering of €650 million aggregate principal amount of its 4.250% Senior Notes due 2033 (the “2033 Euro Senior Notes”). The 2033 Euro Senior Notes are senior unsecured obligations of Viatris Inc. The 2033 Euro Senior Notes are guaranteed on a senior unsecured basis by Mylan Inc., Mylan II B.V. and Utah Acquisition Sub Inc. (the “Guarantors”).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Proceeds from the offering were used (i) to fund the repayment of amounts borrowed under the 2024 Revolving Facility in June 2026 in connection with the repayment at maturity of the entire $1.675 billion of outstanding principal amount of the 3.950% Senior Notes due 2026 (the “2026 Senior Notes”) and (ii) to replenish cash utilized in connection with the repayment of the 2026 Senior Notes, with such cash to be used for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2033 Euro Senior Notes were issued pursuant to an Indenture (the “Base Indenture”), dated June 17, 2026, among Viatris Inc., the Guarantors and The Bank of New York Mellon, as trustee (the “Trustee”), as supplemented by the First Supplemental Indenture (together with the Base Indenture, the “Indenture”), dated June 17, 2026, among Viatris Inc., the Guarantors and the Trustee. The 2033 Euro Senior Notes accrue interest at a rate of 4.250% per annum, accruing from June 17, 2026, payable annually beginning June 17, 2027, and will mature on June 17, 2033, subject to earlier repurchase or redemption in accordance with the terms of the Indenture. The Indenture contains customary affirmative covenants for facilities of this type. The 2033 Euro Senior Notes may be redeemed by Viatris as set forth in the Indenture.</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YEN Term Loan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 2026 (the “Closing Date”), Viatris entered into an amended and restated term loan credit agreement (the “Amended and Restated Term Loan Credit Agreement”), among Viatris, the guarantors from time to time party thereto, the lenders from time to time party thereto and Mizuho Bank, Ltd., as administrative agent. The Amended and Restated Term Loan Credit Agreement provides for a ¥40 billion principal amount senior unsecured term loan facility (the “Term Loan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Proceeds from the Term Loan Credit Facility will be used for general lawful corporate purposes of Viatris and its subsidiaries, including, without limitation, to repay outstanding obligations under Viatris’ prior ¥40 billion unsecured term loan facility, dated as of July 1, 2021.</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Credit Facility will initially bear interest at the TIBO Rate (determined in accordance with the Amended and Restated Term Loan Credit Agreement) plus 1.10% per annum. The applicable margin over the TIBO Rate for the Term Loan Credit Facility can fluctuate based on the long-term unsecured senior, non-credit enhanced debt rating of Viatris by S&amp;P Global Ratings, Moody’s Investors Service, Inc. and Fitch Ratings,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Amended and Restated Term Loan Credit Agreement contains customary affirmative covenants for facilities of this type. The Amended and Restated Term Loan Credit Agreement also contains a financial covenant requiring maintenance of a leverage ratio no greater than 3.75 to 1.00 as of the last day of each fiscal quarter ending after the Closing Date. The Amended and Restated Term Loan Credit Agreement contains default provisions customary for facilities of this type, which are subject to customary grace periods and materiality thresholds.</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the aggregate fair value of the Company’s outstanding notes was approximately $11.11 billion and $11.99 billion, respectively. The fair values of the outstanding notes were valued at quoted market prices from broker or dealer quotations and were classified as Level 2 in the fair value hierarchy. </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Mandatory minimum repayments remaining on the notional amount of outstanding long-term debt at June 30, 2026 were as follows for each of the years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12.Comprehensive (Loss) Earnings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as reflected in the condensed consolidated balance sheets, is comprised of the following:</w:t>
      </w:r>
    </w:p>
    <w:tbl>
      <w:tblPr>
        <w:tblW w:w="10029" w:type="dxa"/>
        <w:jc w:val="center"/>
        <w:tblInd w:w="0" w:type="dxa"/>
        <w:tblLayout w:type="fixed"/>
        <w:tblCellMar>
          <w:top w:w="28" w:type="dxa"/>
          <w:left w:w="28" w:type="dxa"/>
          <w:bottom w:w="28" w:type="dxa"/>
          <w:right w:w="28" w:type="dxa"/>
        </w:tblCellMar>
      </w:tblPr>
      <w:tblGrid>
        <w:gridCol w:w="2655"/>
        <w:gridCol w:w="2329"/>
        <w:gridCol w:w="2351"/>
        <w:gridCol w:w="211"/>
        <w:gridCol w:w="841"/>
        <w:gridCol w:w="109"/>
        <w:gridCol w:w="109"/>
        <w:gridCol w:w="109"/>
        <w:gridCol w:w="109"/>
        <w:gridCol w:w="211"/>
        <w:gridCol w:w="841"/>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fixed income securities,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and prior service cost related to defined benefit plans,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(loss) on derivatives in cash flow hedging relationships,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on derivatives in net investment hedging relationships,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accumulated other comprehensive loss, before tax, consist of the following,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533" w:type="dxa"/>
        <w:jc w:val="left"/>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72"/>
        <w:gridCol w:w="272"/>
        <w:gridCol w:w="117"/>
        <w:gridCol w:w="109"/>
        <w:gridCol w:w="109"/>
        <w:gridCol w:w="109"/>
        <w:gridCol w:w="211"/>
        <w:gridCol w:w="406"/>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8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included in other (income) expense, net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593"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62"/>
        <w:gridCol w:w="262"/>
        <w:gridCol w:w="137"/>
        <w:gridCol w:w="109"/>
        <w:gridCol w:w="109"/>
        <w:gridCol w:w="109"/>
        <w:gridCol w:w="211"/>
        <w:gridCol w:w="421"/>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296" w:type="dxa"/>
            <w:gridSpan w:val="42"/>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7" w:type="dxa"/>
            <w:gridSpan w:val="15"/>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included in other (income) expense, net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 included in SG&amp;A</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53" w:type="dxa"/>
        <w:jc w:val="left"/>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9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401" w:type="dxa"/>
            <w:gridSpan w:val="42"/>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7" w:type="dxa"/>
            <w:gridSpan w:val="15"/>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13.Segment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who evaluates the performance of its segments and allocates resources based on total revenues and our measure of segment profit or loss, segment profitability. These financial metrics are used to review operating trends, perform comparisons between periods, and monitor budget and forecast-to-actual variances on a regular basis. Net sales of our business segments exclude intersegment sales as these activities are not regularly reviewed by the CODM and are eliminated in consolidation.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costs and gains are not included in the measurement of segment profitability, or in segment cost of sales, and segment SG&amp;A, as management excludes these costs in assessing segment financial performance. Such costs and gains include: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Intangible asset amortization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Asset impairments (including of goodwill, intangible assets (including IPR&amp;D), and long-lived assets);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Net charges or net gains for litigation settlements and other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Certain costs related to transactions and events such as: (i) purchase accounting adjustments, where we incur expenses associated with the amortization of fair value adjustments to inventory and property, plant and equipment; (ii) share-based compensation expense; (iii) acquisition-related costs, where we incur costs for executing the transaction, integrating the acquired operations and restructuring the combined company; and (iv) other significant items, which are substantive and/or unusual, and in some cases recurring, items (such as restructuring, including costs associated with facilities to be closed or divested, employee separation costs, impairment charges, accelerated depreciation, incremental manufacturing variances, equipment relocation costs, decommissioning and other restructuring related costs, and certain remediation costs)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costs, as well as gains and losses, related to disposals of assets or businesses, including those related to divestitures, and, as applicable, any associated transition activities;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Corporate and other unallocated costs associated with global functions (such as IT, facilities, legal, finance, human resources, insurance, public affairs, compliance, and procurement), patient advocacy activities and certain compensation and other corporate costs (such as certain expenses associated with our manufacturing, including manufacturing variances associated with production) and operations that are not directly assessed to an operating segment as business unit (segment) management does not manage these costs;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Other (Income) Expense, Net (including interest and dividend income, gains and losses from investments, business divestitures, and foreign exchange); and</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report depreciation expense, total assets and capital expenditures by segment, as such information is not used by the CODM.</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accounting policies of the segments are the same as those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included in the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Layout w:type="fixed"/>
        <w:tblCellMar>
          <w:top w:w="28" w:type="dxa"/>
          <w:left w:w="28" w:type="dxa"/>
          <w:bottom w:w="28" w:type="dxa"/>
          <w:right w:w="28" w:type="dxa"/>
        </w:tblCellMar>
      </w:tblPr>
      <w:tblGrid>
        <w:gridCol w:w="925"/>
        <w:gridCol w:w="796"/>
        <w:gridCol w:w="781"/>
        <w:gridCol w:w="109"/>
        <w:gridCol w:w="109"/>
        <w:gridCol w:w="109"/>
        <w:gridCol w:w="243"/>
        <w:gridCol w:w="883"/>
        <w:gridCol w:w="125"/>
        <w:gridCol w:w="109"/>
        <w:gridCol w:w="109"/>
        <w:gridCol w:w="109"/>
        <w:gridCol w:w="217"/>
        <w:gridCol w:w="790"/>
        <w:gridCol w:w="112"/>
        <w:gridCol w:w="109"/>
        <w:gridCol w:w="109"/>
        <w:gridCol w:w="109"/>
        <w:gridCol w:w="211"/>
        <w:gridCol w:w="616"/>
        <w:gridCol w:w="109"/>
        <w:gridCol w:w="109"/>
        <w:gridCol w:w="109"/>
        <w:gridCol w:w="109"/>
        <w:gridCol w:w="239"/>
        <w:gridCol w:w="870"/>
        <w:gridCol w:w="123"/>
        <w:gridCol w:w="109"/>
        <w:gridCol w:w="109"/>
        <w:gridCol w:w="109"/>
        <w:gridCol w:w="284"/>
        <w:gridCol w:w="1033"/>
        <w:gridCol w:w="213"/>
      </w:tblGrid>
      <w:tr>
        <w:trPr/>
        <w:tc>
          <w:tcPr>
            <w:tcW w:w="9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5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&amp; other contingencies,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0205" w:type="dxa"/>
        <w:jc w:val="left"/>
        <w:tblInd w:w="0" w:type="dxa"/>
        <w:tblLayout w:type="fixed"/>
        <w:tblCellMar>
          <w:top w:w="28" w:type="dxa"/>
          <w:left w:w="28" w:type="dxa"/>
          <w:bottom w:w="28" w:type="dxa"/>
          <w:right w:w="28" w:type="dxa"/>
        </w:tblCellMar>
      </w:tblPr>
      <w:tblGrid>
        <w:gridCol w:w="923"/>
        <w:gridCol w:w="794"/>
        <w:gridCol w:w="779"/>
        <w:gridCol w:w="109"/>
        <w:gridCol w:w="109"/>
        <w:gridCol w:w="109"/>
        <w:gridCol w:w="242"/>
        <w:gridCol w:w="882"/>
        <w:gridCol w:w="125"/>
        <w:gridCol w:w="109"/>
        <w:gridCol w:w="109"/>
        <w:gridCol w:w="109"/>
        <w:gridCol w:w="217"/>
        <w:gridCol w:w="789"/>
        <w:gridCol w:w="112"/>
        <w:gridCol w:w="109"/>
        <w:gridCol w:w="109"/>
        <w:gridCol w:w="109"/>
        <w:gridCol w:w="211"/>
        <w:gridCol w:w="616"/>
        <w:gridCol w:w="109"/>
        <w:gridCol w:w="109"/>
        <w:gridCol w:w="109"/>
        <w:gridCol w:w="109"/>
        <w:gridCol w:w="239"/>
        <w:gridCol w:w="870"/>
        <w:gridCol w:w="123"/>
        <w:gridCol w:w="109"/>
        <w:gridCol w:w="109"/>
        <w:gridCol w:w="109"/>
        <w:gridCol w:w="274"/>
        <w:gridCol w:w="1058"/>
        <w:gridCol w:w="207"/>
      </w:tblGrid>
      <w:tr>
        <w:trPr/>
        <w:tc>
          <w:tcPr>
            <w:tcW w:w="92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4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&amp; other contingencies,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14.Restructuring and Other</w:t>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2026 Restructuring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Company initiated an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record charges for costs associated with the restructuring activities of the EWSR. For the committed restructuring activities, the Company expects to incur total pre-tax charges ranging between $700 million and $850 million.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Charges for restructuring and ongoing cost reduction initiatives are recorded in the period the Company commits to a restructuring or cost reduction plan, or executes specific actions contemplated by the plan and all criteria for liability recognition have been met. These charges are recognized in </w:t>
      </w:r>
      <w:r>
        <w:rPr>
          <w:rFonts w:ascii="Times New Roman;serif" w:hAnsi="Times New Roman;serif"/>
          <w:b w:val="false"/>
          <w:i/>
          <w:color w:val="000000"/>
          <w:sz w:val="20"/>
        </w:rPr>
        <w:t>Cost of Sales</w:t>
      </w:r>
      <w:r>
        <w:rPr>
          <w:rFonts w:ascii="Times New Roman;serif" w:hAnsi="Times New Roman;serif"/>
          <w:b w:val="false"/>
          <w:color w:val="000000"/>
          <w:sz w:val="20"/>
        </w:rPr>
        <w:t xml:space="preserve">, </w:t>
      </w:r>
      <w:r>
        <w:rPr>
          <w:rFonts w:ascii="Times New Roman;serif" w:hAnsi="Times New Roman;serif"/>
          <w:b w:val="false"/>
          <w:i/>
          <w:color w:val="000000"/>
          <w:sz w:val="20"/>
        </w:rPr>
        <w:t>R&amp;D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SG&amp;A</w:t>
      </w:r>
      <w:r>
        <w:rPr>
          <w:color w:val="000000"/>
        </w:rPr>
        <w:t xml:space="preserve"> </w:t>
      </w:r>
      <w:r>
        <w:rPr>
          <w:rFonts w:ascii="Times New Roman;serif" w:hAnsi="Times New Roman;serif"/>
          <w:b w:val="false"/>
          <w:color w:val="000000"/>
          <w:sz w:val="20"/>
        </w:rPr>
        <w:t>in the condensed consolidated statements of operations based on the classification of the affected employees or the related operations.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charges and the reserve activity for the 2026 restructuring program from December 31, 2025 to June 30, 2026:</w:t>
      </w:r>
    </w:p>
    <w:tbl>
      <w:tblPr>
        <w:tblW w:w="7108" w:type="dxa"/>
        <w:jc w:val="left"/>
        <w:tblInd w:w="0" w:type="dxa"/>
        <w:tblLayout w:type="fixed"/>
        <w:tblCellMar>
          <w:top w:w="28" w:type="dxa"/>
          <w:left w:w="28" w:type="dxa"/>
          <w:bottom w:w="28" w:type="dxa"/>
          <w:right w:w="28" w:type="dxa"/>
        </w:tblCellMar>
      </w:tblPr>
      <w:tblGrid>
        <w:gridCol w:w="875"/>
        <w:gridCol w:w="768"/>
        <w:gridCol w:w="771"/>
        <w:gridCol w:w="468"/>
        <w:gridCol w:w="1135"/>
        <w:gridCol w:w="242"/>
        <w:gridCol w:w="109"/>
        <w:gridCol w:w="109"/>
        <w:gridCol w:w="109"/>
        <w:gridCol w:w="383"/>
        <w:gridCol w:w="738"/>
        <w:gridCol w:w="198"/>
        <w:gridCol w:w="109"/>
        <w:gridCol w:w="109"/>
        <w:gridCol w:w="109"/>
        <w:gridCol w:w="211"/>
        <w:gridCol w:w="51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6"/>
              </w:rPr>
            </w:pPr>
            <w:r>
              <w:rPr>
                <w:rFonts w:ascii="Times New Roman;serif" w:hAnsi="Times New Roman;serif"/>
                <w:b/>
                <w:i/>
                <w:color w:val="000000"/>
                <w:sz w:val="16"/>
              </w:rPr>
              <w:t>(In millions)</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Charges </w:t>
            </w:r>
            <w:r>
              <w:rPr>
                <w:rFonts w:ascii="Times New Roman;serif" w:hAnsi="Times New Roman;serif"/>
                <w:b w:val="false"/>
                <w:color w:val="000000"/>
                <w:sz w:val="13"/>
              </w:rPr>
              <w:t>(1)</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Charges </w:t>
            </w:r>
            <w:r>
              <w:rPr>
                <w:rFonts w:ascii="Times New Roman;serif" w:hAnsi="Times New Roman;serif"/>
                <w:b w:val="false"/>
                <w:color w:val="000000"/>
                <w:sz w:val="13"/>
              </w:rPr>
              <w:t>(1)</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months ended June 30, 2026, total restructuring charges in Developed Markets, Emerging Markets, Greater China, and Corporate/Other were approximately $19.5 million, $3.5 million, $0.8 million, and $3.5 million. For the six months ended June 30, 2026, total restructuring charges in Developed Markets, Emerging Markets, Greater China, and Corporate/Other were approximately $87.0 million, $9.2 million, $1.3 million, and $7.7 million, respectively.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restructuring charges, primarily for facilities to be closed or disposed of that are not a component of the 2026 restructuring program, were also incurred during the three and six months ended June 30, 2026. At June 30, 2026 and December 31, 2025, accrued liabilities for restructuring and other cost reduction programs were primarily included in other current liabilities and other long-term obligations in the condensed consolidated balance sheets.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Nashik Manufacturing Facility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February 2026, a fire occurred in a service area at the Company’s oral solid dose manufacturing facility in Nashik, India. Manufacturing at the facility was temporarily suspended.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the FDA inspected the facility and issued Form 483 observations. The Company responded to the Form 483 observations and promptly initiated a comprehensive remediation plan. The Company has also engaged independent third-party subject matter experts to support its remediation plan. Activities under the remediation plan are ongoing and have led to intermittent disruptions at the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production at the facility has resumed, the temporary manufacturing suspension due to the fire at the facility in February along with these intermittent disruptions are expected to impact product supply in the second half of the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three and six months ended June 30, 2026, the Company recognized total charges of $14.9 million and $86.8 million, respectively, within </w:t>
      </w: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in the condensed consolidated statements of operations primarily related to the write off of inventory and fixed assets damaged in the fire and incremental manufacturing variances. The Company believes it has certain insurance coverages for these losses, including for assets and business interruption. In the event the plant cannot be returned to sustained normal operations or the Company’s insurance coverage is unavailable or inadequate, this event could have a negative impact on our financial position, results of operations and cash flows.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15.Commitments, Including Licensing and Other Partner Agreements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acquisition-related contingent consideration, including those related to the Idorsia Transaction. 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further discussion of contingent consideration.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Our potential maximum development milestones not accrued for at June 30, 2026 totaled approximately $408 million</w:t>
      </w:r>
      <w:r>
        <w:rPr>
          <w:rFonts w:ascii="Times New Roman;serif" w:hAnsi="Times New Roman;serif"/>
          <w:b w:val="false"/>
          <w:i/>
          <w:color w:val="000000"/>
          <w:sz w:val="20"/>
        </w:rPr>
        <w:t xml:space="preserve">. </w:t>
      </w:r>
      <w:r>
        <w:rPr>
          <w:rFonts w:ascii="Times New Roman;serif" w:hAnsi="Times New Roman;serif"/>
          <w:b w:val="false"/>
          <w:color w:val="000000"/>
          <w:sz w:val="20"/>
        </w:rPr>
        <w:t>We estimate that the amounts that may be paid through the end of 2026 to be approximately $124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Mapi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2018, the Company entered into an exclusive license and commercialization agreement with Mapi for the development and commercialization on a world-wide basis of GA Depot. In 2024, the Company was informed that Mapi received a Complete Response Letter regarding the NDA for GA Depot 40 mg from the FDA.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entered into a letter agreement, as amended, with Mapi for the development and commercialization of certain additional products. The Company made an initial upfront payment of $75.0 million during the year ended December 31, 2023 as part of the letter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and Mapi agreed to immediately terminate the license and commercialization agreement for GA Depot and the December 2023 letter agreement.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holds an investment in preferred shares of Mapi that are accounted for at cost, less impairment, adjusted for observable price changes, in accordance with ASC 321,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In 2024, the Company fully impaired its investment in the Mapi preferred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significant changes to our licensing and other partner agreements as disclosed in our 2025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Viatris periodically enters into acquisition, divestiture, collaboration, employment, legal settlement and other agreements which include indemnification provisions. The maximum amount to which Viatris may be exposed under such agreements cannot be reasonably estimated due to the conditional nature of the Company’s obligations and the unique facts and circumstances involved in each particular agreement. Historically, we have not paid material amounts under these indemnification provisions. Further, for certain agreements, the Company maintains insurance coverage which management believes will effectively mitigate the Company’s obligations under these indemnification provisions.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matters—including certain specified competition law matters—to the extent they arise from conduct during the pre-Distribution period and has agreed to indemnify the Company for liabilities arising out of such matters. If Pfizer were to successfully dispute its retention of these matters, or if there is an adverse outcome in the matters that Pfizer has agreed to retain, this could have an adverse impact on Viatris. In addition, Viatris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In June 2026, the Company received a letter from Pfizer inquiring about the Company’s plan for payment to Pfizer under the foregoing agreement. The Company disagrees that the payment Pfizer requests is owed. Any loss to the Company as a result of the foregoing disagreement could have an adverse impact on Viatris.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16.Income Taxes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Tax Examinations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ongoing IRS examinations. The years 2020 through 2024 are open years, with 2020 and 2021 under examination. For 2020, there is one open item for which the Company disagrees with the IRS’ conclusion and initiated a mediation process with the IRS through its Fast Track appeal process.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France, the tax authorities issued notices of assessments to the Company for the years ended December 2013 to December 2015 concerning our tax position with respect to whether income earned by a Company entity not domiciled in France should be subject to French tax. We commenced litigation before the French tax courts where the tax authorities are seeking unpaid taxes, penalties, and interest. In February 2026, the first instance tax court upheld the Company’s tax position and fully cancelled the notices of assessment. In June 2026, the tax authorities filed an appeal.</w:t>
      </w:r>
    </w:p>
    <w:p>
      <w:pPr>
        <w:pStyle w:val="TextBody"/>
        <w:bidi w:val="0"/>
        <w:spacing w:lineRule="auto" w:line="288" w:before="0" w:after="0"/>
        <w:ind w:left="0" w:right="0" w:firstLine="720"/>
        <w:jc w:val="left"/>
        <w:rPr/>
      </w:pPr>
      <w:r>
        <w:rPr>
          <w:rFonts w:ascii="Times New Roman;serif" w:hAnsi="Times New Roman;serif"/>
          <w:b w:val="false"/>
          <w:color w:val="000000"/>
          <w:sz w:val="20"/>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w:t>
      </w:r>
      <w:r>
        <w:rPr>
          <w:color w:val="000000"/>
        </w:rPr>
        <w:t xml:space="preserve"> </w:t>
      </w:r>
      <w:r>
        <w:rPr>
          <w:rFonts w:ascii="Times New Roman;serif" w:hAnsi="Times New Roman;serif"/>
          <w:b w:val="false"/>
          <w:color w:val="000000"/>
          <w:sz w:val="20"/>
        </w:rPr>
        <w:t>The Company recorded tax expense of approximately $22.3 million during the year ended December 31, 2023 due to the terms of this agreement. The remaining issues are in the audit phase or are being challenged in the Indian tax courts.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Italy, the tax authorities have issued notices of assessments to the Company for the years ended December 2016 to December 2019, seeking unpaid taxes, penalties, and interest, concerning our tax position with respect to certain intercompany transactions. We have commenced litigation before the Italian tax courts challenging those assessments and, to date, the Company’s position has been upheld, subject to further appeal by the tax authorities.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net reserve for uncertain tax positions of $264.2 million and $293.6 million, including interest and penalties, in connection with its international audits at June 30, 2026 and December 31, 2025, respectively. In connection with our international tax audits, it is possible that we will incur material losses above the amounts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major U.S. state taxing jurisdictions remain open from fiscal year 2015 through 2024, with several state audits currently in progress. The Company’s major international taxing jurisdictions remain open from 2013 through 2025.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for Uncertainty in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17.Litigation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or repurchase shares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Legal costs are recorded as incurred and are classified in SG&amp;A in the Company’s condensed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EpiPen® Auto-Injector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the Company received a civil subpoena from the Attorney General of the State of Mississippi seeking information relating to the sales and/or marketing of EpiPen® Auto-Injector. The Company was subsequently contacted by certain other State Attorneys General regarding similar issues, including those that generally relate to issues from EpiPen litigations and/or investigations that have been previously resolved and disclosed. The Company has reached settlements with Mississippi and all of those certain other State Attorneys General. These matters are now closed.</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Drug Pricing Matters </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Civil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2016, the Company, along with other manufacturers, has been named as a defendant in lawsuits filed in the United States and Canada generally alleging anticompetitive conduct with respect to generic drugs. The lawsuits have been filed by plaintiffs that include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Plaintiffs assert that the Company engaged in individual drug conspiracies with respect to certain products sold by the Company, and in certain lawsuits, plaintiffs assert that the Company engaged in an “overarching conspiracy” with numerous other defendants and seek to impose liability on the Company and the other defendants with respect to all of the alleged products, including products that the individual defendants did not sell. Some of the United States lawsuits also name as defendants the Company’s former President, including allegations against him with respect to a single drug product, and one of the Company’s former sales employees, including allegations against him with respect to certain generic drugs. The vast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majority of the United States lawsuits have been consolidated in an MDL proceeding in the Eastern District of Pennsylvania (“EDPA”). Plaintiffs generally seek monetary damages, restitution, declaratory and injunctive relief, attorneys’ fees and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EDPA Court ordered the Clomipramine and Clobetasol direct and indirect purchaser cases to proceed as bellwethers. The Company is named only in the Clomipramine bellwether cases, wherein the EDPA Court certified both direct and indirect purchaser classes. Defendants filed petitions for permission to appeal those class certification decisions, which were granted by the U.S. Court of Appeals for the Third Circuit. These cases have been stayed pending a decision on the defendants’ class certification appeals. Defendants’ summary judgment motions in the direct purchaser case was denied and was largely denied with some narrowing of claims, and potentially reducing claimed damages, in the indirect purchaser case. Plaintiffs are asserting damages of approximately $350 million in each of the Clomipramine bellwether cases, which are subject to trebling under federal law in the direct purchaser case or multipliers under certain state laws in the indirect purchaser case.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EDPA Court has selected additional cases to proceed as bellwethers. The Company is named in three of the cases scheduled for trial, which consist of non-class cases filed by direct and indirect purchasers against the Company and other defendants. The first trial is scheduled to begin in September 2026, with subsequent trials scheduled to begin in August 2027 and January 2028. In the case scheduled for trial in September 2026, defendants’ motions for summary judgment are pending. Plaintiff is asserting damages of approximately $1 billion in that case against defendants, which is subject to trebling under federal law with respect to Plaintiff’s direct purchases and multipliers under certain state laws in connection with its indirect purchases. Plaintiff’s asserted damages, which includes those based on an “overarching conspiracy” claim, are being challenged as part of defendants’ motions for summary judgment.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Canadian lawsuit, in February 2026, the Federal Court in Canada denied Plaintiff’s motion for class certification and the case has been dismissed. This matter is now closed.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acted lawfully, is continuing to defend itself vigorously, and intends to vigorously contest all aspects of the cases, including the asserted damages.</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Attorneys General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and was subsequently transferred back to the U.S. District Court for the District of Connecticut. The operative complaint includes attorneys general of forty-two states, the District of Columbia and the Commonwealth of Puerto Rico. The Company is alleged to have engaged in anticompetitive conduct with respect to four generic drug products sold by the Company as well as an “overarching conspiracy” with respect to the various products asserted in the operative complaint against the Defendants. The amended complaint also includes claims asserted by attorneys general of thirty-two states and the Commonwealth of Puerto Rico against certain individuals, including the Company’s former President, with respect to a single drug product.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former sales employees, alleging anticompetitive conduct with respect to additional generic drugs sold by the Company as well as an “overarching conspiracy” with respect to the various products asserted in the operative complaint against the Defendants. The complaint was subsequently amended, including on November 22, 2024, to add states as plaintiffs. The operative complaint is brought by attorneys general of forty-four states, certain territories and the District of Columbia. The amended complaint also includes claims asserted by attorneys general of forty states and certain territories against several individuals, including a former Company sales employee. The operative complaint seeks declaratory and injunctive relief, disgorgement, attorneys’ fees and costs, and certain states seek monetary damages, civil penalties, restitution, and other equitable monetary relief. This lawsuit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was transferred to the aforementioned MDL proceeding in the EDPA and was subsequently transferred back to the U.S. District Court for the District of Connecticut.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sold by the Company as well as an “overarching conspiracy” with respect to the various products asserted in the operative complaint against the Defendants. On September 9, 2021, the complaint was amended, adding an additional state as a plaintiff. The operative complaint is brought by attorneys general of forty-two states, certain territories and the District of Columbia. The states’ claim for disgorgement and restitution under federal law, and certain state law claims brought by certain states, have been dismissed. This lawsuit was transferred to the aforementioned MDL proceeding in the EDPA and was ordered to proceed as a bellwether and was subsequently transferred back to the U.S. District Court for the District of Connecticut. The Company’s motions for summary judgment were largely denied with some of the States’ claims for monetary relief being reduced. Trial is scheduled to begin in February 2027. The states currently seek disgorgement, civil penalties, injunctive relief, and damages under certain state laws, which includes damages against all defendants, based on an “overarching conspiracy” claim, that exceeds $1 billion and would be subject to multipliers under certain state laws, but the precise scope of the trial remains to be determined.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accrued approximately $50.0 million in connection with these matters at June 30, 2026, which is included in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Securities Related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14, 2020, the Abu Dhabi Investment Authority (“ADIA”) filed a complaint against Mylan N.V. and Mylan Inc. (collectively for purposes of this paragraph, “Mylan”) in the United States District Court for the Southern District of New York (“SDNY”) alleging that Mylan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and allegedly anticompetitive conduct with respect to EpiPen® Auto-Injector and certain generic drugs. ADIA sought monetary damages as well as fees and costs. The Company has resolved this matter and the case has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26, 2020, a putative class action complaint was filed by the Public Employees Retirement System of Mississippi, which was subsequently amended on November 13, 2020, against Mylan N.V., certain of Mylan N.V.’s former directors and officers, and a former officer/director of the Company (collectively for the purposes of this paragraph, the “defendants”) in the U.S. District Court for the Western District of Pennsylvania (“WDPA”) on behalf of certain purchasers of securities of Mylan N.V. (“WDPA Mylan N.V. Class Action Litigation”). The amended complaint included allegations that defendants engaged in a scheme and made false or misleading statements and omissions of purportedly material fact, in violation of federal securities laws, in connection with disclosures relating to the Nashik and Morgantown manufacturing plants and inspections at the plants by the FDA. Plaintiff sought certification of a class of purchasers of Mylan N.V. securities between February 16, 2016 and May 7, 2019. In July 2025, the Court held that Plaintiffs’ misstatements claim as to 1 of the 46 challenged statements, and their scheme claim, may proceed to discovery. The complaint sought monetary damages, as well as the plaintiff’s fees and costs. In February 2026, the Company reached an agreement to pay $60 million to fully resolve this matter, which has been approved by the court. This matter is now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May 2023, putative class action complaints were filed against the Company and certain of the Company’s former officers, directors, and employees in the WDPA on behalf of certain purchasers of securities of the Company. These actions were consolidated and, on October 23, 2023, a consolidated amended putative class action complaint was filed in the WDPA against the Company, and former officers and directors (“WDPA Viatris Class Action Litigation”). The operative complaint alleged that defendants made false or misleading statements and omissions of material fact, in violation of federal securities laws, in connection with disclosures relating to the Company’s projected financial performance and biosimilars business. Plaintiffs sought certification of a class of purchasers of Company securities between March 1, 2021 and February 25, 2022. Plaintiffs sought monetary damages, reasonable costs and expenses, and certain other relief. On September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 2024, the Court granted Defendants’ motion to dismiss all of Plaintiffs’ claims. Plaintiffs’ appeals were denied and this case is now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was named as a nominal defendant in these derivative actions. Certain of the complaints also asserted claims for corporate waste and unjust enrichment. Plaintiffs sought various forms of relief, including damages, disgorgement, restitution, costs and fees. Following the consolidation of their complaints, in April 2026, Plaintiffs dismissed their complaint. These matters are now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a putative class action complaint, which was subsequently amended in September 2025 and March 2026, was filed against the Company and certain of the Company’s current and former officers, in the WDPA on behalf of certain purchasers of the Company’s securities (“WDPA Indore Class Action Litigation”). The amended complaint alleges that defendants made false or misleading statements or omissions of material fact, in violation of federal securities laws, in connection with disclosures relating to regulatory issues and actions concerning the Company’s Indore manufacturing facility. Plaintiffs seek certification of a class of purchasers of Company securities between February 28, 2024 and February 26, 2025. Plaintiffs seek various forms of relief, including damages, costs and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November 2025, stockholder derivative actions purportedly on behalf of Viatris have been filed in the WDPA and the U.S. District Court for the District of Delaware against certain of the Company’s current and former officers and directors alleging that the defendants failed to ensure that the Company was making truthful and accurate statements in connection with the disclosures alleged in the WDPA Indore Class Action Litigation. Viatris is also named as a nominal defendant in these derivative actions. The complaints assert various claims, including, violations of federal securities laws, as well as claims for breach of fiduciary duty, waste of corporate assets, and unjust enrichment. Plaintiffs seek various forms of relief, including damages, disgorgement, restitution, equitable relief, and costs and fees.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 total accrual of approximately $60.0 million related to these matters at June 30, 2026, which is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maintains insurance coverage with respect to these matters. Management has determined that the majority of the losses associated with the WDPA Mylan N.V. Class Action Litigation are covered under existing insurance policies. Accordingly, the Company has recognized an insurance receivable of $58.0 million within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in the condensed consolidated balance sheets. The recognition of this receivable is based on management’s assessment that recovery of these costs is probable.</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Opioids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other manufacturers, distributors, pharmacies, pharmacy benefit managers, and individual healthcare providers, is a defendant in cases in the United States and Canada filed by various plaintiffs, including counties, cities and other local governmental entities, asserting civil claims related to sales, marketing and/or distribution practices with respect to prescription opioid products.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were consolidated in an MDL in the U.S. District Court for the Northern District Court of Ohio.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reached a nationwide settlement framework to resolve opioid-related claims by States, local governments, and Native American tribes against the Company and certain of its subsidiaries. Under the agreed upon framework, the Company would pay up to a maximum of $335 million, consisting of annual payments over a nine-year period of between approximately $27.5 million and $40 million each, to help support state and local efforts to address opioid-related issues. Following a sign-on period, the settlement framework achieved high levels of participation, including all States and Territories, all litigating Native American Tribes, and the vast majority of litigating local governments. Accordingly, the settlement was finalized, and the cases covered by the settlement have either been dismissed or are in the process of being dismissed. The settlement contains no admission of wrongdoing or liability.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cases not covered by the settlement remain pending, including a small number of actions brought by local governments, actions brought by private hospitals, third party payors, personal injury plaintiffs, and actions brought on behalf of children with Neonatal Abstinence Syndrome due to alleged exposure to opioids. Some of the pending actions are putative class action lawsuits.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accrued approximately $281.3 million in connection with these matters at June 30, 2026, which is included in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Other Long-term Obligations </w:t>
      </w:r>
      <w:r>
        <w:rPr>
          <w:rFonts w:ascii="Times New Roman;serif" w:hAnsi="Times New Roman;serif"/>
          <w:b w:val="false"/>
          <w:color w:val="000000"/>
          <w:sz w:val="20"/>
        </w:rPr>
        <w:t>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Citalopram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filed a case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€12.1 million as of June 30, 2026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Perindopril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Bodies of national health authorities in England, Wales, Scotland, and Northern Ireland filed a case in the English High Court against Servier, seeking monetary damages, plus interest, purportedly arising from the settlement agreements. Servier has joined the generic companies, including the Company, as defendants in this litigation. The case has been transferred to the U.K. Competition Appeals Tribunal.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December 2024, health insurance funds located in the EU filed a case in the Amsterdam District Court against Servier and the generic companies, including the Company, seeking monetary damages, plus interest, purportedly arising from the settlement agreements.</w:t>
      </w:r>
      <w:r>
        <w:rPr>
          <w:color w:val="000000"/>
        </w:rPr>
        <w:t xml:space="preserve"> </w:t>
      </w:r>
      <w:r>
        <w:rPr>
          <w:rFonts w:ascii="Times New Roman;serif" w:hAnsi="Times New Roman;serif"/>
          <w:b w:val="false"/>
          <w:color w:val="000000"/>
          <w:sz w:val="20"/>
        </w:rPr>
        <w:t xml:space="preserve">In April 2026, the Court dismissed the case against the Company for lack of jurisdiction. Plaintiffs have filed an appeal.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2026, Servier filed a case in the Amsterdam District Court against all of the generic companies, including the Company, seeking contribution from the generic companies in the event Servier pays any damages amounts to Plaintiffs.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$35.7 million as of June 30, 2026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Nitrosamines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A similar lawsuit pertaining to valsartan is pending in Israel. Third party payor, consumer and medical monitoring classes were certified in the valsartan MDL. The Company has also received requests to indemnify purchasers of the Company’s API and/or finished dose forms of these products. The Company has reached an agreement in principle to resolve the valsartan personal injury lawsuits in the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original master complaints concerning ranitidine were dismissed on December 31, 2020. The end-payor plaintiff immediately appealed to the U.S. Court of Appeals for the 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Lipitor</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While state court cases remain pending in Missouri and New York, those cases are inactive.</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Depo-Provera</w:t>
      </w:r>
    </w:p>
    <w:p>
      <w:pPr>
        <w:pStyle w:val="TextBody"/>
        <w:bidi w:val="0"/>
        <w:spacing w:lineRule="auto" w:line="288" w:before="0" w:after="0"/>
        <w:ind w:left="0" w:right="0" w:firstLine="720"/>
        <w:jc w:val="left"/>
        <w:rPr/>
      </w:pPr>
      <w:r>
        <w:rPr>
          <w:rFonts w:ascii="Times New Roman;serif" w:hAnsi="Times New Roman;serif"/>
          <w:b w:val="false"/>
          <w:color w:val="000000"/>
          <w:sz w:val="20"/>
        </w:rPr>
        <w:t>Beginning in October 2024, the Company (including Greenstone LLC), Pfizer and certain entities related to Pfizer, and Prasco Labs were named in a number of lawsuits filed in federal and state courts related to claims pertaining to Depo-Provera. Certain of these lawsuits include allegations that individual plaintiffs developed meningiomas purportedly as a result of the ingestion of Depo-Provera or its authorized generic equivalent and seek compensatory and punitive damages. Putative class complaints seeking relief in the form of medical monitoring for individuals from certain states who have taken Depo-Provera or its authorized generic equivalent, but have not developed meningiomas, were also filed. In February 2025, the federal lawsuits were transferred for co</w:t>
      </w:r>
      <w:r>
        <w:rPr>
          <w:rFonts w:ascii="Times New Roman;serif" w:hAnsi="Times New Roman;serif"/>
          <w:b w:val="false"/>
          <w:color w:val="000000"/>
          <w:sz w:val="20"/>
          <w:shd w:fill="FFFFFF" w:val="clear"/>
        </w:rPr>
        <w:t xml:space="preserve">nsolidated pre-trial proceedings to an MDL in the U.S. District Court for the Northern District of Florida. Pfizer is the new drug application holder of Depo-Provera and markets and sells the branded version of the product. Greenstone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pPr>
      <w:r>
        <w:rPr>
          <w:rFonts w:ascii="Times New Roman;serif" w:hAnsi="Times New Roman;serif"/>
          <w:b w:val="false"/>
          <w:color w:val="000000"/>
          <w:sz w:val="20"/>
          <w:shd w:fill="FFFFFF" w:val="clear"/>
        </w:rPr>
        <w:t>LLC was a subsidiary of Pfizer until the closing of the Combination and sold the authorized generic of Depo-Provera until the closing of the Combination. Concurrently with the closing of the Combination, Pfizer divested the authorized generic of Depo-Provera to Prasco Labs. In June 2025, the MDL court implemented a process whereby, with respect to current and future cases filed against the Company in this MDL, Plaintiffs must show why claims against the Company are appropriate. As a result of this process, the Company has been dismissed without prejudice from all cases originally pending in this MDL. The Company has also been dismissed without prejudice in certain state court cases. The Company has sought to tender its defense and is seeking indemnification for these claims from Pfizer pursuant to the Separation and Distribution Agreement and Pfizer is seeking cross-indemnification from the Company pursuant to the Separation and Distribution Agreement with respect to the authorized generic product previously sold by Greens</w:t>
      </w:r>
      <w:r>
        <w:rPr>
          <w:rFonts w:ascii="Times New Roman;serif" w:hAnsi="Times New Roman;serif"/>
          <w:b w:val="false"/>
          <w:color w:val="000000"/>
          <w:sz w:val="20"/>
        </w:rPr>
        <w:t>tone LLC.</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number of patent litigation lawsuits involving the validity and/or infringement of patents held by branded pharmaceutical manufacturers.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or repurchase shares and/or stock price.</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Dimethyl Fumarate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launched its generic dimethyl fumarate (“DMF”) product in Europe starting in July 2022 after the European Commission concluded that Biogen Netherlands B.V. (“Biogen”) was not entitled to regulatory data exclusivity for Tecfidera®. In December 2023, based on its interpretation of an intervening ruling from the Court of Justice of the European Union (“CJEU”), the European Commission revoked certain generic marketing authorizations for DMF, including the Company’s. The Company challenged the European Commission’s revocation decision before the General Court of the European Union (“GCEU”) and, in February 2026, the GCEU denied the Company’s challenge. The Company has filed an appeal to the CJEU.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October 2023, Biogen and certain Biogen affiliated entities filed damages actions in commercial courts of Spain, Belgium, France, Netherlands, Portugal, Germany, Italy, Estonia, Finland and Croatia claiming that the Company’s sales of generic DMF violated Tecfidera’s purportedly restored regulatory exclusivity and these actions are in various stages. Biogen’s purported regulatory exclusivity for Tecfidera expired in February 2024, its patent covering DMF has been revoked, and the Company has secured a new marketing authorization for DMF. Thus, the Company has resumed commercializing DMF in Europe.</w:t>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Yupelri</w:t>
      </w:r>
    </w:p>
    <w:p>
      <w:pPr>
        <w:pStyle w:val="TextBody"/>
        <w:bidi w:val="0"/>
        <w:spacing w:before="0" w:after="0"/>
        <w:ind w:left="0" w:right="0" w:firstLine="27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Beginning in January 2023, certain generic companies notified us that they had filed ANDAs with the FDA seeking approval to market generic versions of Yupelri® with associated Paragraph IV certifications. Beginning in February 2023, we brought patent infringement actions against the generic filers. The Company has entered into settlement agreements with all</w:t>
      </w:r>
      <w:r>
        <w:rPr>
          <w:color w:val="000000"/>
        </w:rPr>
        <w:t xml:space="preserve"> </w:t>
      </w:r>
      <w:r>
        <w:rPr>
          <w:rFonts w:ascii="Times New Roman;serif" w:hAnsi="Times New Roman;serif"/>
          <w:b w:val="false"/>
          <w:color w:val="000000"/>
          <w:sz w:val="20"/>
        </w:rPr>
        <w:t>of the generic filers, granting them licenses to commercialize their generic versions of Yupelri® in April 2039 or earlier depending on certain circumstances. This matter is now closed.</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Tyrvaya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June 2023, two generic companies notified Oyster Point that they had filed ANDAs with the FDA seeking approval to market generic versions of Tyrvaya® with associated Paragraph IV certifications. Beginning in July 2023, Oyster Point brought patent infringement actions against the generic filers. The Company has entered into settlement agreements with both of the generic filers, granting them licenses to commercialize their generic versions of Tyrvaya® in October 2034 or earlier depending on certain circumstances. This matter is now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Amitiza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September 2023, Sawai Pharmaceutical Co. (“Sawai”) and Towa Pharmaceutical Co. Ltd. (“Towa”) filed challenges with the Japanese Patent Office (“JPO”) asserting invalidity of JP ’4332353 (“the ’353 patent”) and its patent term extensions (“PTE”) relevant to Amitiza®, which the Company commercializes in Japan in 24µg and 12µg dosages as a licensee of the relevant patents. The remaining PTE for the ‘353 patent, which was granted based on the approval of the 12µg product, expires in April 2027. In April 2025 and June 2025, the JPO upheld the validity of the ‘353 patent and its PTE. Sawai filed appeals against these JPO decisions with the Intellectual Property High Court which, in April and June 2026, were denied. Sawai has appealed the decision on the validity of the ‘353 patent to the Supreme Court of Japan.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Beginning in April 2024, Sawai filed challenges with the JPO with respect to the 12µg strength, asserting invalidity of PTE of five patents expiring in October 2025, September 2026, August 2027, November 2027, and December 2028, and challenged the validity of the August 2027 patent itself. In January 2026, the JPO upheld the validity of the August 2027 patent. In May 2026, the JPO upheld the validity of the five challenged PTEs.</w:t>
      </w:r>
      <w:r>
        <w:rPr>
          <w:color w:val="000000"/>
        </w:rPr>
        <w:t xml:space="preserve"> </w:t>
      </w:r>
      <w:r>
        <w:rPr>
          <w:rFonts w:ascii="Times New Roman;serif" w:hAnsi="Times New Roman;serif"/>
          <w:b w:val="false"/>
          <w:color w:val="000000"/>
          <w:sz w:val="20"/>
        </w:rPr>
        <w:t>Sawai has appealed the decision on the validity of the PTEs to the Intellectual Property High Court.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February 2026, Sawai and Towa received regulatory approval for their proposed 24µg products.</w:t>
      </w:r>
      <w:r>
        <w:rPr>
          <w:color w:val="000000"/>
        </w:rPr>
        <w:t xml:space="preserve"> </w:t>
      </w:r>
      <w:r>
        <w:rPr>
          <w:rFonts w:ascii="Times New Roman;serif" w:hAnsi="Times New Roman;serif"/>
          <w:b w:val="false"/>
          <w:color w:val="000000"/>
          <w:sz w:val="20"/>
        </w:rPr>
        <w:t xml:space="preserve">The Company, beginning in October 2025, commenced actions asserting that Sawai and Towa’s proposed 24ug generic products would infringe the PTEs of four patents. The PTEs, which were granted in connection with the approval of the 12 µg product, expire in September 2026, April 2027, August 2027, and December 2028. Two of the four patents have been asserted against Sawai in Osaka District Court while the remaining two patents have been asserted against Sawai in Tokyo District Court. All four patents have been asserted against Towa in Tokyo District Court. The Company is seeking a finding of infringement and an order prohibiting Sawai and Towa from commercializing their proposed 24µg products until PTE expiration.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the Osaka District Court denied the Company’s request for a preliminary injunction against Sawai and, in March 2026, denied the Company’s infringement action against Sawai relating to the two asserted patents. The Company has appealed the infringement decision to the Intellectual Property High Court. The infringement cases against Sawai and Towa at the Tokyo District Court are pending.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following hearings before the Intellectual Property High Court in the Sawai infringement appeal proceedings, both Sawai and Towa agreed to suspend certain steps required to commercialize their 24 µg products, pending further developments in the legal proceedings. In the event the Company’s infringement position is ultimately unsuccessful, Sawai and Towa maintained their rights to seek to recover damages against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Ryzumvi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a generic company notified the Company that it had filed an ANDA with the FDA seeking approval to market a generic version of Ryzumvi® with associated Paragraph IV certifications. The generic company asserts the invalidity and/or non-infringement of Orange Book listed patents that have an expiration date of January 31, 2034, and October 25, 2039. In March 2025, the Company brought a patent infringement action against the generic filer in the U.S. District Court for the District of New Jersey. Trial is scheduled for February 2027. This lawsuit automatically stays FDA approval of the generic company’s ANDA until August 3, 2027, or until an adverse court decision, if any, whichever may occur earlier.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approximately $3.4 million accrued related to its intellectual property matters at June 30, 2026. It is reasonably possible that we may incur additional losses and fees but we cannot estimate a range of such reasonably possible losses or legal fees related to these claims at this time.</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other legal proceedings including commercial, contractual, employment, or other similar matters that are considered normal to its business. The Company has approximately $9 million accrued related to these various other legal proceedings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should be read in conjunction with the Consolidated Financial Statements, the related Notes to Consolidated Financial Statements and Management’s Discussion and Analysis of Financial Condition and Results of Operations included in Viatris’ 2025 Form 10-K, the unaudited interim financial statements and related Notes included in Part I — Item 1 of this Form 10-Q and our other SEC filings and public disclosures. The interim results of operations and comprehensive (loss) earnings for the three and six months ended June 30, 2026, and cash flows for the six months ended June 30, 2026 are not necessarily indicative of the results to be expected for the full fiscal year or any other future period. </w:t>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This Form 10-Q contains “forward-looking statements”. These statements are made pursuant to the safe harbor provisions of the Private Securities Litigation Reform Act of 1995. Such forward-looking statements may include, without limitation, statements about </w:t>
      </w:r>
      <w:r>
        <w:rPr>
          <w:rFonts w:ascii="Times New Roman;serif" w:hAnsi="Times New Roman;serif"/>
          <w:b w:val="false"/>
          <w:color w:val="000000"/>
          <w:sz w:val="20"/>
          <w:shd w:fill="FFFFFF" w:val="clear"/>
        </w:rPr>
        <w:t>the goals or outlooks with respect to the Company’s strategic initiatives and priorities, including but not limited to divestitures, acquisitions, strategic alliances, collaborations, or other potential transactions;</w:t>
      </w:r>
      <w:r>
        <w:rPr>
          <w:color w:val="000000"/>
        </w:rPr>
        <w:t xml:space="preserve"> </w:t>
      </w:r>
      <w:r>
        <w:rPr>
          <w:rFonts w:ascii="Times New Roman;serif" w:hAnsi="Times New Roman;serif"/>
          <w:b w:val="false"/>
          <w:color w:val="000000"/>
          <w:sz w:val="20"/>
        </w:rPr>
        <w:t>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possibility that the Company may not realize the intended benefits of, or achieve the intended goals or outlooks with respect to, its strategic initiatives and priorities;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possibility that the Company may be unable to achieve the intended or expected benefits of its enterprise-wide strategic review and related cost-saving and restructuring activities within the expected timeframe or at all;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possibility that the Company may be unable to achieve intended or expected benefits in connection with divestitures, acquisitions, strategic alliances, collaborations, or other transactions, or restructuring programs, within the expected timeframes or at all;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goodwill or impairment charges or other losses;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success of clinical trials and the Company’s or its partners’ ability to execute on new product opportunities and develop, manufacture and commercialize products;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any changes in or difficulties with the Company’s manufacturing facilities, including with respect to short- or long-term shutdowns, inspections, remediation and restructuring activities, supply chain continuity, inventory management, or the ability to meet anticipated demand;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Company’s failure to achieve expected or targeted future financial and operating performance and results;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potential impact of natural or man-made disasters, public health outbreaks, fires, accidents, weather, unrest or other emergencies in regions where we or our partners or suppliers operate;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actions and decisions of healthcare and pharmaceutical regulators;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relevant laws, regulations and policies and/or the application or implementation thereof, including but not limited to tax, healthcare and pharmaceutical laws, regulations and policies globally;</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attract, motivate and retain key personnel;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any regulatory, legal or other impediments to the Company’s ability to bring new products to market;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products in development that receive regulatory approval may not achieve expected levels of market acceptance, efficacy or safety;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longer review, response and approval times as a result of evolving regulatory priorities and reductions in personnel at health agencies;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any significant breach of data security or data privacy or disruptions to our IT systems;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risks associated with having significant operations globally;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protect intellectual property and preserve intellectual property rights;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third-party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regarding future demand, pricing and reimbursement for the Company’s products;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and matters beyond the control of management, including but not limited to general political and economic conditions, wars or other conflicts, potential for adverse impacts from future tariffs and trade restrictions, inflation rates and global exchange rates;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detailed information on the risks and uncertainties associated with Viatris, see the risks described in Part I, Item 1A in the 2025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30,000 employees. The Company has 27 manufacturing, packaging, and distribution sites worldwide, approximately 1,300 approved molecules, and what we believe is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Market and Industry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regulatory approval to manufacture and market new branded and generic pharmaceutical products is rigorous, time consuming, costly, and inherently unpredictable. Complex generic products are often more difficult, costly and time-consuming to receive regulatory approval and bring to market compared with commodity generic pharmaceutical products. Any delay in regulatory approval could impact the commercial or financial success of a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approval, if and when obtained, may be limited in scope. Even if regulatory approvals for new products are obtained, the success of those products is dependent upon market acceptance.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 In addition, U.S. governmental agencies provide funding for certain products in our Emerging Markets region. We expect that any reduction in that funding will have a negative impact on our financial condition, results of operations or cash flows.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generic entry for Amitiza® 24 μg may occur in Japan in December 2026 depending on the outcome of patent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lower pricing in order to win the tender. Sales continue to be negatively affected by the impact of tender systems in certain countries.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disruptions and staffing challenges and other economic considerations, longer review, response and approval times as a result of evolving regulatory priorities and reductions in personnel at health agencies, the potential for adverse impacts from future tariffs and trade restrictions, foreign currency exchange fluctuations, public health epidemics, changes in intellectual property legal protections and other regulatory changes.</w:t>
      </w:r>
    </w:p>
    <w:p>
      <w:pPr>
        <w:pStyle w:val="TextBody"/>
        <w:bidi w:val="0"/>
        <w:spacing w:before="0" w:after="0"/>
        <w:ind w:left="0" w:right="0" w:firstLine="720"/>
        <w:jc w:val="left"/>
        <w:rPr/>
      </w:pPr>
      <w:r>
        <w:rPr/>
      </w:r>
    </w:p>
    <w:p>
      <w:pPr>
        <w:pStyle w:val="TextBody"/>
        <w:bidi w:val="0"/>
        <w:spacing w:lineRule="auto" w:line="276" w:before="0" w:after="240"/>
        <w:ind w:left="0" w:right="0" w:firstLine="36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2026 Restructuring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Company initiated an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record charges for costs associated with the restructuring activities of the EWSR. For the committed restructuring activities, the Company expects to incur total pre-tax charges ranging between $700 million and $850 million. Such charges are expected to include between $50 million and $100 million of non-cash charges mainly related to accelerated depreciation and asset impairment charges, including inventory write-offs. The remaining estimated cash costs of between $650 million and $750 million are expected to be primarily related to severance and employee benefits expense, as well as other costs, including those related to contract terminations, vendor consolidations, product transfer costs and network related simplification and modernization costs. In addition, management believes the potential savings related to these committed restructuring activities will be between $600 million and $700 million once fully implemented, with most of these savings expected to improve operating cash flow. During the three and six months ended June 30, 2026, the Company recognized total charges of $27.3 million and $105.2 million, respectively, in the condensed consolidated statements of operations related to this restructuring program.</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CCPS in Biocon Biologics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entered into definitive agreements with Biocon for the sale of the Company’s equity stake in Biocon Biologics. Under the terms of the definitive agreements, Biocon acquired all of Viatris’ CCPS in Biocon Biologics for total consideration of $815.0 million, consisting of $400.0 million in cash and $415.0 million in newly issued equity shares of Biocon, which are listed and traded on the National Stock Exchange of India. The transaction closed during the first quarter of 2026 and the equity shares of Biocon were subject to a six-month lock up period. The Company completed the sale of its equity position in Biocon on July 14, 2026 for pre-tax total consideration of approximately $380 million, and recorded a pre-tax loss of $27.4 million in the third quarter of 2026. The pre-tax sale proceeds include the impacts of an approximate 2.7% block sale discount to market, transaction fees, and the strengthening of the U.S. dollar since the Company obtained the equity in January 2026.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expired immediately at the time of close for all ex-U.S. markets and will expire in November 2026 for the U.S. market. During the three and six months ended June 30, 2026, the Company recognized a (gain)/loss of approximately $(56.3) million and $8.6 million, respectively, as a result of changes in the fair value of the Biocon equity shares. </w: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Manufacturing Facilities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an inspection by the FDA at our oral finished dose manufacturing facility in Indore, India in 2024, the FDA issued a warning letter and an import alert related to this facility. The import alert affects 11 products that will no longer be accepted into the U.S. until the warning letter is lifted.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substance of FDA’s original inspection observations, the Company immediately implemented a comprehensive remediation plan at the site. During 2025, we made substantial progress on our remediation activities at the facility, including but not limited to related personnel actions. Additionally, we have engaged independent third-party subject matter experts to support the remediation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product continues to be shipped from the Indore facility to markets outside the U.S., as expected, we have also experienced a negative impact in other markets, including the ARV business in Emerging Markets and select generic products in Europe.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in regular communication with the FDA during this process and will continue working to satisfy the FDA that the steps we have taken have resolved all the points raised. Our responses were submitted within the required time periods. The facility will be subject to a reinspection by the FDA. The timing of the reinspection will be determined by the FDA; however, we anticipate that the facility will be ready for reinspection in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February 2026, a fire occurred in a service area at the Company’s oral solid dose manufacturing facility in Nashik, India. Manufacturing at the facility was temporarily suspended.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the FDA inspected the facility and issued Form 483 observations. The Company responded to the Form 483 observations and promptly initiated a comprehensive remediation plan. The Company has also engaged independent third-party subject matter experts to support its remediation plan. Activities under the remediation plan are ongoing and have led to intermittent disruptions at the facility.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production at the facility has resumed, the temporary manufacturing suspension due to the fire at the facility in February along with these intermittent disruptions are expected to impact product supply in the second half of the year. The Company currently anticipates the impact of product supply disruptions to be between $100 million and $150 million to total revenues in the second half of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three and six months ended June 30, 2026, the Company recognized total charges of $14.9 million and $86.8 million, respectively, within </w:t>
      </w: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in the condensed consolidated statements of operations primarily related to the write off of inventory and fixed assets damaged in the fire and incremental manufacturing variances. The Company believes it has certain insurance coverages for these losses, including for assets and business interruption. In the event the plant cannot be returned to sustained normal operations or the Company’s insurance coverage is unavailable or inadequate, this event could have a negative impact on our financial position,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been impacted by and continues to face potential risks associated with the manufacture and supply of its products (including at its Indore and Nashik manufacturing facilities as discussed above), including temporary facility shutdowns, regulatory inspections, the issuance of observations by government authorities, enforcement actions, including warning letters and import alerts, quality control or compliance issues, and operational disruptions affecting the Company or its third-party contract manufacturers and suppliers. These events have resulted in and may in the future result in delays in production, product launches, interruptions in product supply, increased operating costs, or reduced product availability, which could have a material adverse effect on the Company’s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take oversight of our manufacturing network very seriously. Patient safety is our primary and unwavering focus. We will continue to work closely with our customers to mitigate the effects of potential supply disruptions to meet the needs of the patients we serve.</w:t>
      </w:r>
    </w:p>
    <w:p>
      <w:pPr>
        <w:pStyle w:val="TextBody"/>
        <w:bidi w:val="0"/>
        <w:spacing w:before="0" w:after="0"/>
        <w:ind w:left="0" w:right="0" w:firstLine="720"/>
        <w:jc w:val="left"/>
        <w:rPr/>
      </w:pPr>
      <w:r>
        <w:rPr/>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share repurchase program does not obligate the Company to acquire any particular amount of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repurchased approximately 9.4 million shares of common stock at a cost of approximately $150.0 million under the program. During the three and six months ended June 30, 2025, the Company repurchased approximately 20.2 million shares of common stock at a cost of approximately $175.0 million, and 38.9 million shares of common stock at a cost of approximately $350.4 million, respectively, under the program. As of June 30, 2026, the Company had repurchased a total of approximately 103.5 million shares of common stock at a cost of approximately $1.15 billion under the program. Additionally, subsequent to June 30, 2026, the Company repurchased approximately 7.1 million shares of common stock at a cost of approximately $120.2 million under the program, bringing the total to approximately 110.6 million shares of common stock at a cost of approximately $1.27 billion under the program, in each case through and including August 4, 2026. </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Summary</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is a summary of the Company’s financial results for the three and six months ended June 30, 2026 compared to the prior year period:</w:t>
      </w:r>
    </w:p>
    <w:tbl>
      <w:tblPr>
        <w:tblW w:w="6890" w:type="dxa"/>
        <w:jc w:val="left"/>
        <w:tblInd w:w="0" w:type="dxa"/>
        <w:tblLayout w:type="fixed"/>
        <w:tblCellMar>
          <w:top w:w="28" w:type="dxa"/>
          <w:left w:w="28" w:type="dxa"/>
          <w:bottom w:w="28" w:type="dxa"/>
          <w:right w:w="28" w:type="dxa"/>
        </w:tblCellMar>
      </w:tblPr>
      <w:tblGrid>
        <w:gridCol w:w="1037"/>
        <w:gridCol w:w="910"/>
        <w:gridCol w:w="918"/>
        <w:gridCol w:w="211"/>
        <w:gridCol w:w="766"/>
        <w:gridCol w:w="109"/>
        <w:gridCol w:w="109"/>
        <w:gridCol w:w="109"/>
        <w:gridCol w:w="109"/>
        <w:gridCol w:w="211"/>
        <w:gridCol w:w="766"/>
        <w:gridCol w:w="109"/>
        <w:gridCol w:w="109"/>
        <w:gridCol w:w="109"/>
        <w:gridCol w:w="109"/>
        <w:gridCol w:w="211"/>
        <w:gridCol w:w="616"/>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loss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these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Results of Operations - Use of Non-GAAP Financial Measures.</w:t>
      </w:r>
      <w:r>
        <w:rPr>
          <w:color w:val="000000"/>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tbl>
      <w:tblPr>
        <w:tblW w:w="10205" w:type="dxa"/>
        <w:jc w:val="left"/>
        <w:tblInd w:w="0" w:type="dxa"/>
        <w:tblLayout w:type="fixed"/>
        <w:tblCellMar>
          <w:top w:w="28" w:type="dxa"/>
          <w:left w:w="28" w:type="dxa"/>
          <w:bottom w:w="28" w:type="dxa"/>
          <w:right w:w="28" w:type="dxa"/>
        </w:tblCellMar>
      </w:tblPr>
      <w:tblGrid>
        <w:gridCol w:w="718"/>
        <w:gridCol w:w="468"/>
        <w:gridCol w:w="386"/>
        <w:gridCol w:w="211"/>
        <w:gridCol w:w="766"/>
        <w:gridCol w:w="109"/>
        <w:gridCol w:w="109"/>
        <w:gridCol w:w="109"/>
        <w:gridCol w:w="109"/>
        <w:gridCol w:w="211"/>
        <w:gridCol w:w="766"/>
        <w:gridCol w:w="109"/>
        <w:gridCol w:w="109"/>
        <w:gridCol w:w="109"/>
        <w:gridCol w:w="109"/>
        <w:gridCol w:w="194"/>
        <w:gridCol w:w="194"/>
        <w:gridCol w:w="483"/>
        <w:gridCol w:w="109"/>
        <w:gridCol w:w="109"/>
        <w:gridCol w:w="109"/>
        <w:gridCol w:w="271"/>
        <w:gridCol w:w="709"/>
        <w:gridCol w:w="140"/>
        <w:gridCol w:w="109"/>
        <w:gridCol w:w="109"/>
        <w:gridCol w:w="109"/>
        <w:gridCol w:w="287"/>
        <w:gridCol w:w="1044"/>
        <w:gridCol w:w="148"/>
        <w:gridCol w:w="109"/>
        <w:gridCol w:w="109"/>
        <w:gridCol w:w="109"/>
        <w:gridCol w:w="294"/>
        <w:gridCol w:w="269"/>
        <w:gridCol w:w="793"/>
      </w:tblGrid>
      <w:tr>
        <w:trPr/>
        <w:tc>
          <w:tcPr>
            <w:tcW w:w="71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2026 Currency Impact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 Change </w:t>
            </w:r>
            <w:r>
              <w:rPr>
                <w:rFonts w:ascii="Times New Roman;serif" w:hAnsi="Times New Roman;serif"/>
                <w:b/>
                <w:color w:val="000000"/>
                <w:sz w:val="10"/>
              </w:rPr>
              <w:t>(2)</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Markets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Markets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total revenues </w:t>
            </w:r>
            <w:r>
              <w:rPr>
                <w:rFonts w:ascii="Times New Roman;serif" w:hAnsi="Times New Roman;serif"/>
                <w:b w:val="false"/>
                <w:color w:val="000000"/>
                <w:sz w:val="13"/>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constant currency percentage change is derived by translating net sales or revenues for the current period at prior year comparative period exchange rates, and in doing so shows the percentage change from 2026 constant currency net sales or revenues to the corresponding amount in the prior year.</w:t>
      </w:r>
    </w:p>
    <w:p>
      <w:pPr>
        <w:pStyle w:val="TextBody"/>
        <w:bidi w:val="0"/>
        <w:spacing w:lineRule="auto" w:line="288" w:before="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For the three months ended June 30, 2026, other revenues in Developed Markets, JANZ, and Emerging Markets were approximately $9.3 million, $0.1 million, and $1.5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Amounts exclude intersegment revenue which eliminates on a consolidated basis.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Viatris reported total revenues of $3.76 billion, compared to $3.58 billion for the comparable prior year period, representing an increase of $174.7 million, or 5%. Total revenues include both net sales and other revenues from third parties. Net sales for the current quarter were $3.75 billion, compared to $3.57 billion for the comparable prior year period, representing an increase of $176.9 million, or 5%. Other revenues for the current quarter were $10.9 million, compared to $13.1 million for the comparable prior year period.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favorable impact of foreign currency translation was approximately $49.2 million, or 1%, primarily reflecting changes in the U.S. Dollar as compared to the currencies of subsidiaries in the EU and China. On a constant currency basis, net sales increased by approximately $127.7 million, or 4%, for the three months ended June 30, 2026 compared to the prior year period. The increase was the result of new product sales, primarily in Developed Markets, of approximately $101.0 million, and net base business growth of approximately $26.7 million, driven by strong net sales in Greater China. New product sales include new products launched in 2026 and the carryover impact of new products, including business development, launched within the last twelve months.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38% and 37% for the three months ended June 30, 2026 and 2025,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are derived from our four reporting segments: Developed Markets, Greater China, JANZ, and Emerging Markets.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Developed Markets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Developed Markets increased by $74.4 million, or 4%, for the three months ended June 30, 2026 when compared to the prior year period. The favorable impact of foreign currency translation was approximately $30.8 million,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Constant currency net sales increased by approximately $43.6 million, or 2%, when compared to the prior year period, driven primarily by new product sales, primarily octreotide acetate in North America, and strong sales of estradiol transdermal systems. This was partially offset by lower net sales of certain existing products, primarily as a result of certain supply constraints in Europe. Net sales within North America totaled approximately $882.7 million and net sales within Europe totaled approximately $1.31 billion.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Greater China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Greater China increased by $124.9 million, or 21%, for the three months ended June 30, 2026 when compared to the prior year period. The favorable impact of foreign currency translation was approximately $28.6 million, or 5%. Constant currency net sales increased by approximately $96.3 million, or 16%, when compared to the prior year period, primarily driven by strong growth across multiple channels, including e-commerce and retail, driven primarily by increased marketing and selling efforts.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JANZ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JANZ decreased by $9.6 million, or 3%, for the three months ended June 30, 2026 when compared to the prior year period. The decrease was primarily driven by the unfavorable impact of foreign currency translation of approximately $8.1 million, or 3%. Constant currency net sales decreased by approximately $1.5 million, or essentially flat, when compared to the prior year period.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Emerging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Emerging Markets decreased by $12.8 million, or 2%, for the three months ended June 30, 2026 when compared to the prior year period. The unfavorable impact of foreign currency translation was approximately $2.1 million, or less than 1%. Constant currency net sales decreased by $10.7 million, or 2%, when compared to the prior year period, primarily driven by lower ARV volumes related to continued supply constraints. This decrease was partially offset by higher pricing and volumes of existing products in certain Middle Eastern and Asian countries.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Cost of sales increased from $2.25 billion for the three months ended June 30, 2025 to $2.30 billion for the three months ended June 30, 2026. The increase in cost of sales was largely driven by the increase in net sales. Refer to Note 4 </w:t>
      </w:r>
      <w:r>
        <w:rPr>
          <w:rFonts w:ascii="Times New Roman;serif" w:hAnsi="Times New Roman;serif"/>
          <w:b w:val="false"/>
          <w:i/>
          <w:color w:val="000000"/>
          <w:sz w:val="20"/>
        </w:rPr>
        <w:t>Divestitures</w:t>
      </w:r>
      <w:r>
        <w:rPr>
          <w:color w:val="000000"/>
        </w:rPr>
        <w:t xml:space="preserve"> </w:t>
      </w:r>
      <w:r>
        <w:rPr>
          <w:rFonts w:ascii="Times New Roman;serif" w:hAnsi="Times New Roman;serif"/>
          <w:b w:val="false"/>
          <w:color w:val="000000"/>
          <w:sz w:val="20"/>
        </w:rPr>
        <w:t>in Part I, Item 1 of this Form 10-Q for more information</w:t>
      </w:r>
      <w:r>
        <w:rPr>
          <w:rFonts w:ascii="Times New Roman;serif" w:hAnsi="Times New Roman;serif"/>
          <w:b w:val="false"/>
          <w:i/>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three months ended June 30, 2026 was $1.46 billion and gross margins were 39%. For the three months ended June 30, 2025, gross profit was $1.33 billion and gross margins were 37%. The changes in gross profit and gross margins are primarily driven by product mix. Adjusted gross margins were approximately 57% for the three months ended June 30, 2026, compared to approximately 57% for the three months ended June 30, 2025.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cost of sales, as reported under U.S. GAAP, and adjusted cost of sales and adjusted gross margin for the three months ended June 30, 2026 compared to the three months ended June 30, 2025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including 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profit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w:t>
            </w:r>
            <w:r>
              <w:rPr>
                <w:rFonts w:ascii="Times New Roman;serif" w:hAnsi="Times New Roman;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 for the three months ended June 30, 2026 was $248.3 million, compared to $218.8 million for the comparable prior year period, an increase of $29.5 million. This increase was primarily the result of higher expenses for the selatogrel and cenerimod development programs.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SG&amp;A expense for the current quarter was $1.13 billion, compared to $928.7 million for the comparable prior year period, an increase of $205.8 million. The increase was primarily driven by a charge of $177.8 million related to the planned sale of the product rights for Tyrvaya® (refer to Note 4 </w:t>
      </w:r>
      <w:r>
        <w:rPr>
          <w:rFonts w:ascii="Times New Roman;serif" w:hAnsi="Times New Roman;serif"/>
          <w:b w:val="false"/>
          <w:i/>
          <w:color w:val="000000"/>
          <w:sz w:val="20"/>
        </w:rPr>
        <w:t>Divestitures</w:t>
      </w:r>
      <w:r>
        <w:rPr>
          <w:color w:val="000000"/>
        </w:rPr>
        <w:t xml:space="preserve"> </w:t>
      </w:r>
      <w:r>
        <w:rPr>
          <w:rFonts w:ascii="Times New Roman;serif" w:hAnsi="Times New Roman;serif"/>
          <w:b w:val="false"/>
          <w:color w:val="000000"/>
          <w:sz w:val="20"/>
        </w:rPr>
        <w:t>in Part I, Item 1 of this Form 10-Q for more information), and higher non-income related taxes and certain other items.</w:t>
      </w:r>
    </w:p>
    <w:p>
      <w:pPr>
        <w:pStyle w:val="TextBody"/>
        <w:bidi w:val="0"/>
        <w:spacing w:before="0" w:after="0"/>
        <w:ind w:left="0" w:right="0" w:firstLine="720"/>
        <w:jc w:val="left"/>
        <w:rPr/>
      </w:pPr>
      <w:r>
        <w:rPr/>
      </w:r>
    </w:p>
    <w:p>
      <w:pPr>
        <w:pStyle w:val="TextBody"/>
        <w:bidi w:val="0"/>
        <w:spacing w:lineRule="auto" w:line="26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losses/(gains) recognized in litigation settlements and other contingencies, net during the three months ended June 30, 2026 and 2025, respectively:</w:t>
      </w:r>
    </w:p>
    <w:tbl>
      <w:tblPr>
        <w:tblW w:w="6879" w:type="dxa"/>
        <w:jc w:val="left"/>
        <w:tblInd w:w="0" w:type="dxa"/>
        <w:tblLayout w:type="fixed"/>
        <w:tblCellMar>
          <w:top w:w="28" w:type="dxa"/>
          <w:left w:w="28" w:type="dxa"/>
          <w:bottom w:w="28" w:type="dxa"/>
          <w:right w:w="28" w:type="dxa"/>
        </w:tblCellMar>
      </w:tblPr>
      <w:tblGrid>
        <w:gridCol w:w="1728"/>
        <w:gridCol w:w="1515"/>
        <w:gridCol w:w="1527"/>
        <w:gridCol w:w="211"/>
        <w:gridCol w:w="511"/>
        <w:gridCol w:w="109"/>
        <w:gridCol w:w="109"/>
        <w:gridCol w:w="109"/>
        <w:gridCol w:w="109"/>
        <w:gridCol w:w="211"/>
        <w:gridCol w:w="58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and Note 17 </w:t>
      </w:r>
      <w:r>
        <w:rPr>
          <w:rFonts w:ascii="Times New Roman;serif" w:hAnsi="Times New Roman;serif"/>
          <w:b w:val="false"/>
          <w:i/>
          <w:color w:val="000000"/>
          <w:sz w:val="20"/>
        </w:rPr>
        <w:t xml:space="preserve">Litigation </w:t>
      </w:r>
      <w:r>
        <w:rPr>
          <w:rFonts w:ascii="Times New Roman;serif" w:hAnsi="Times New Roman;serif"/>
          <w:b w:val="false"/>
          <w:color w:val="000000"/>
          <w:sz w:val="20"/>
        </w:rPr>
        <w:t>included in Part I, Item 1 of this Form 10-Q for more information with respect to the contingent consideration adjustment and litigation settlements, net, respectively.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months ended June 30, 2026 totaled $120.7 million, compared to $116.6 million for the three months ended June 30, 2025. </w:t>
      </w:r>
    </w:p>
    <w:p>
      <w:pPr>
        <w:pStyle w:val="TextBody"/>
        <w:bidi w:val="0"/>
        <w:spacing w:lineRule="auto" w:line="288" w:before="0" w:after="240"/>
        <w:jc w:val="left"/>
        <w:rPr/>
      </w:pPr>
      <w:r>
        <w:rPr>
          <w:rFonts w:ascii="Times New Roman;serif" w:hAnsi="Times New Roman;serif"/>
          <w:b/>
          <w:i/>
          <w:color w:val="000000"/>
          <w:sz w:val="20"/>
        </w:rPr>
        <w:t>Other (Income) Expense, Net</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includes gains and losses from divestitures of businesses, changes in the fair value of equity securities, foreign exchange, expense (income) related to post-employment benefit plans, TSA income, and interest and dividend income. Other (income) expense, net for the three months ended June 30, 2026 totaled $50.4 million of income, compared to $333.5 million of expense for the three months ended June 30, 2025, a change of $383.9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change was primarily driven by a loss in the prior year period of $284.0 million as a result of changes in the fair value of the CCPS in Biocon Biologics while the Company recorded a gain of $56.3 million in the current year period as a result of changes in the fair value of equity shares of Biocon, and a decrease in the loss on divestitures of $43.8 million. 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Biocon equity shares.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Provision (Benefit)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recognized an income tax provision of $54.8 million, compared to an income tax benefit of $(212.5) million for the comparable prior year period, a change of $267.3 million. The current quarter was negatively impacted by losses in jurisdictions for which minimal benefit can be recognized and accruals for certain international tax matters, partially offset by the release of reserves for uncertain tax positions due to statute of limitations expirations. The benefit in the prior year period was primarily driven by the loss before income taxes. The current quarter and prior quarter provisions were impacted by the levels of income and the changing mix at which it is earned in jurisdictions with differing tax rates.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i/>
          <w:color w:val="000000"/>
          <w:sz w:val="18"/>
        </w:rPr>
        <w:t>Six Months Ended</w:t>
      </w:r>
      <w:r>
        <w:rPr>
          <w:color w:val="000000"/>
        </w:rPr>
        <w:t xml:space="preserve"> </w:t>
      </w:r>
      <w:r>
        <w:rPr>
          <w:rFonts w:ascii="Times New Roman;serif" w:hAnsi="Times New Roman;serif"/>
          <w:b/>
          <w:i/>
          <w:color w:val="000000"/>
          <w:sz w:val="20"/>
        </w:rPr>
        <w:t xml:space="preserve">June 30, 2026 Compared to </w:t>
      </w:r>
      <w:r>
        <w:rPr>
          <w:rFonts w:ascii="Times New Roman;serif" w:hAnsi="Times New Roman;serif"/>
          <w:b/>
          <w:i/>
          <w:color w:val="000000"/>
          <w:sz w:val="18"/>
        </w:rPr>
        <w:t>Six Months Ended</w:t>
      </w:r>
      <w:r>
        <w:rPr>
          <w:color w:val="000000"/>
        </w:rPr>
        <w:t xml:space="preserve"> </w:t>
      </w:r>
      <w:r>
        <w:rPr>
          <w:rFonts w:ascii="Times New Roman;serif" w:hAnsi="Times New Roman;serif"/>
          <w:b/>
          <w:i/>
          <w:color w:val="000000"/>
          <w:sz w:val="20"/>
        </w:rPr>
        <w:t>June 30, 2025</w:t>
      </w:r>
    </w:p>
    <w:tbl>
      <w:tblPr>
        <w:tblW w:w="10205" w:type="dxa"/>
        <w:jc w:val="left"/>
        <w:tblInd w:w="0" w:type="dxa"/>
        <w:tblLayout w:type="fixed"/>
        <w:tblCellMar>
          <w:top w:w="28" w:type="dxa"/>
          <w:left w:w="28" w:type="dxa"/>
          <w:bottom w:w="28" w:type="dxa"/>
          <w:right w:w="28" w:type="dxa"/>
        </w:tblCellMar>
      </w:tblPr>
      <w:tblGrid>
        <w:gridCol w:w="715"/>
        <w:gridCol w:w="462"/>
        <w:gridCol w:w="378"/>
        <w:gridCol w:w="211"/>
        <w:gridCol w:w="766"/>
        <w:gridCol w:w="109"/>
        <w:gridCol w:w="109"/>
        <w:gridCol w:w="109"/>
        <w:gridCol w:w="109"/>
        <w:gridCol w:w="211"/>
        <w:gridCol w:w="766"/>
        <w:gridCol w:w="109"/>
        <w:gridCol w:w="109"/>
        <w:gridCol w:w="109"/>
        <w:gridCol w:w="109"/>
        <w:gridCol w:w="203"/>
        <w:gridCol w:w="203"/>
        <w:gridCol w:w="483"/>
        <w:gridCol w:w="109"/>
        <w:gridCol w:w="109"/>
        <w:gridCol w:w="109"/>
        <w:gridCol w:w="257"/>
        <w:gridCol w:w="796"/>
        <w:gridCol w:w="132"/>
        <w:gridCol w:w="109"/>
        <w:gridCol w:w="109"/>
        <w:gridCol w:w="109"/>
        <w:gridCol w:w="283"/>
        <w:gridCol w:w="1030"/>
        <w:gridCol w:w="146"/>
        <w:gridCol w:w="109"/>
        <w:gridCol w:w="109"/>
        <w:gridCol w:w="109"/>
        <w:gridCol w:w="265"/>
        <w:gridCol w:w="265"/>
        <w:gridCol w:w="780"/>
      </w:tblGrid>
      <w:tr>
        <w:trPr/>
        <w:tc>
          <w:tcPr>
            <w:tcW w:w="71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2026 Currency Impact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 Change </w:t>
            </w:r>
            <w:r>
              <w:rPr>
                <w:rFonts w:ascii="Times New Roman;serif" w:hAnsi="Times New Roman;serif"/>
                <w:b/>
                <w:color w:val="000000"/>
                <w:sz w:val="10"/>
              </w:rPr>
              <w:t>(2)</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Developed Markets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Markets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total revenues </w:t>
            </w:r>
            <w:r>
              <w:rPr>
                <w:rFonts w:ascii="Times New Roman;serif" w:hAnsi="Times New Roman;serif"/>
                <w:b w:val="false"/>
                <w:color w:val="000000"/>
                <w:sz w:val="13"/>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constant currency percentage change is derived by translating net sales or revenues for the current period at prior year comparative period exchange rates, and in doing so shows the percentage change from 2026 constant currency net sales or revenues to the corresponding amount in the prior year.</w:t>
      </w:r>
    </w:p>
    <w:p>
      <w:pPr>
        <w:pStyle w:val="TextBody"/>
        <w:bidi w:val="0"/>
        <w:spacing w:lineRule="auto" w:line="288" w:before="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For the six months ended June 30, 2026, other revenues in Developed Markets, JANZ, and Emerging Markets were approximately $14.5 million, $0.2 million, and $3.5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Amounts exclude intersegment revenue which eliminates on a consolidated basis.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Total Revenues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Viatris reported total revenues of $7.27 billion, compared to $6.84 billion for the comparable prior year period, representing an increase of $437.4 million, or 6%. Total revenues include both net sales and other revenues from third parties. Net sales for the six months ended June 30, 2026 were $7.26 billion, compared to $6.81 billion for the comparable prior year period, representing an increase of $443.4 million, or 7%. Other revenues for the six months ended June 30, 2026 were $18.2 million, compared to $24.2 million for the comparable prior year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favorable impact of foreign currency translation was approximately $210.9 million, or 3%, primarily reflecting changes in the U.S. Dollar as compared to the currencies of subsidiaries in the EU and China. On a constant currency basis, net sales increased by approximately $232.5 million, or 3%, for the six months ended June 30, 2026 compared to the prior year period. The increase was the result of new product sales, primarily in Developed Markets, of approximately $171.8 million, and net base business growth of approximately $60.7 million, driven by strong net sales in Greater China. New product sales include new products launched in 2026 and the carryover impact of new products, including business development, launched within the last twelve months.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39% and 37% for the six months ended June 30, 2026 and 2025, respectively.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are derived from our four reporting segments: Developed Markets, Greater China, JANZ, and Emerging Markets.</w:t>
      </w:r>
    </w:p>
    <w:p>
      <w:pPr>
        <w:pStyle w:val="TextBody"/>
        <w:bidi w:val="0"/>
        <w:spacing w:before="0" w:after="0"/>
        <w:jc w:val="center"/>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Developed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Developed Markets increased by $203.5 million, or 5%, for the six months ended June 30, 2026 when compared to the prior year period. The favorable impact of foreign currency translation was approximately $148.5 million, or 4%. Constant currency net sales increased by approximately $55.0 million, or 1%, when compared to the prior year period, driven by new product sales, primarily octreotide acetate in North America, and strong sales of estradiol transdermal systems. This was partially offset by lower net sales of certain existing products, primarily as a result of certain supply constraints in Europe. Net sales within North America totaled approximately $1.71 billion and net sales within Europe totaled approximately $2.50 billion.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Greater China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Greater China increased by $249.5 million, or 22%, for the six months ended June 30, 2026 when compared to the prior year period. The favorable impact of foreign currency translation was approximately $54.2 million, or 5%. Constant currency net sales increased by approximately $195.3 million, or 17%, when compared to the prior year period, primarily the result of strong growth across multiple channels, including e-commerce and retail, driven primarily by increased marketing and selling efforts.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JANZ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JANZ decreased by $12.3 million, or 2%, for the six months ended June 30, 2026 when compared to the prior year period. The unfavorable impact of foreign currency translation was approximately $4.3 million, or 1%. Constant currency net sales decreased by approximately $8.0 million, or 1%, when compared to the prior year period, driven primarily by lower net sales of existing products in Australia due to additional competition, partially offset by new product sales.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Emerging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Emerging Markets increased by $2.7 million, or essentially flat, for the six months ended June 30, 2026 when compared to the prior year period. The favorable impact of foreign currency translation was approximately $12.5 million, or 1%. Constant currency net sales decreased by approximately $9.8 million, or 1%, when compared to the prior year period, primarily driven by lower ARV volumes related to continued supply constraints. This decrease was partially offset by higher pricing and volumes of existing products in certain Middle Eastern and Asian countries.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0" w:after="0"/>
        <w:ind w:left="0" w:right="0" w:firstLine="720"/>
        <w:jc w:val="left"/>
        <w:rPr/>
      </w:pPr>
      <w:r>
        <w:rPr>
          <w:rFonts w:ascii="Times New Roman;serif" w:hAnsi="Times New Roman;serif"/>
          <w:b w:val="false"/>
          <w:color w:val="000000"/>
          <w:sz w:val="20"/>
        </w:rPr>
        <w:t>Cost of sales increased from $4.34 billion for the six months ended June 30, 2025 to $4.66 billion for the six months ended June 30, 2026. The increase in cost of sales was largely driven by the increase in net sales, higher restructuring costs, and higher costs associated with other special items, which include certain costs for plants slated for sale or closure or undergoing remediation activities, including $86.8 million related to the write off of inventory and fixed assets damaged in the fire at the Nashik manufacturing facility and incremental manufacturing variances</w:t>
      </w:r>
      <w:r>
        <w:rPr>
          <w:rFonts w:ascii="Times New Roman;serif" w:hAnsi="Times New Roman;serif"/>
          <w:b w:val="false"/>
          <w:i/>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six months ended June 30, 2026 was $2.61 billion and gross margins were 36%. For the six months ended June 30, 2025, gross profit was $2.49 billion and gross margins were 36%. The changes in gross profit and gross margins are primarily related to the increase in net sales and cost of sales discussed above. Adjusted gross margins were approximately 57% for the six months ended June 30, 2026, compared to approximately 56% for the six months ended June 30, 2025.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cost of sales, as reported under U.S. GAAP, and adjusted cost of sales and adjusted gross margin for the six months ended June 30, 2026 compared to the six months ended June 30, 2025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including 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profit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w:t>
            </w:r>
            <w:r>
              <w:rPr>
                <w:rFonts w:ascii="Times New Roman;serif" w:hAnsi="Times New Roman;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 for the six months ended June 30, 2026 was $496.9 million, compared to $440.8 million for the comparable prior year period, an increase of $56.1 million. This increase was primarily the result of higher expenses for the selatogrel and cenerimod development programs.</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Acquired IPR&amp;D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IPR&amp;D expense for the six months ended June 30, 2026 was $0.2 million, compared to $10.0 million for the comparable prior year period, a decrease of $9.8 million. The current period expense was related to an upfront payment for a licensing deal, and the prior period expense was related to an upfront licensing payment for rights to cenerimod in Japan, South Korea and certain countries in the Asia-Pacific region.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SG&amp;A expense for the six months ended June 30, 2026 was $2.06 billion, compared to $1.88 billion for the comparable prior year period, an increase of $186.5 million. The increase was primarily driven by a charge of $177.8 million related to the planned sale of the product rights for Tyrvaya®. Refer to Note 4 </w:t>
      </w:r>
      <w:r>
        <w:rPr>
          <w:rFonts w:ascii="Times New Roman;serif" w:hAnsi="Times New Roman;serif"/>
          <w:b w:val="false"/>
          <w:i/>
          <w:color w:val="000000"/>
          <w:sz w:val="20"/>
        </w:rPr>
        <w:t>Divestitures</w:t>
      </w:r>
      <w:r>
        <w:rPr>
          <w:color w:val="000000"/>
        </w:rPr>
        <w:t xml:space="preserve"> </w:t>
      </w:r>
      <w:r>
        <w:rPr>
          <w:rFonts w:ascii="Times New Roman;serif" w:hAnsi="Times New Roman;serif"/>
          <w:b w:val="false"/>
          <w:color w:val="000000"/>
          <w:sz w:val="20"/>
        </w:rPr>
        <w:t>in Part I, Item 1 of this Form 10-Q for more information</w:t>
      </w:r>
      <w:r>
        <w:rPr>
          <w:rFonts w:ascii="Times New Roman;serif" w:hAnsi="Times New Roman;serif"/>
          <w:b w:val="false"/>
          <w:i/>
          <w:color w:val="000000"/>
          <w:sz w:val="20"/>
        </w:rPr>
        <w:t>.</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prior year period, the Company recorded a goodwill impairment charge of $2.94 billion in conjunction with its interim goodwill impairment test performed as of March 31, 2025.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Litigation Settlements and Other Contingencies,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losses/(gains) recognized in litigation settlements and other contingencies, net during the six months ended June 30, 2026 and 2025, respectively:</w:t>
      </w:r>
    </w:p>
    <w:tbl>
      <w:tblPr>
        <w:tblW w:w="7089" w:type="dxa"/>
        <w:jc w:val="left"/>
        <w:tblInd w:w="0" w:type="dxa"/>
        <w:tblLayout w:type="fixed"/>
        <w:tblCellMar>
          <w:top w:w="28" w:type="dxa"/>
          <w:left w:w="28" w:type="dxa"/>
          <w:bottom w:w="28" w:type="dxa"/>
          <w:right w:w="28" w:type="dxa"/>
        </w:tblCellMar>
      </w:tblPr>
      <w:tblGrid>
        <w:gridCol w:w="1728"/>
        <w:gridCol w:w="1515"/>
        <w:gridCol w:w="1527"/>
        <w:gridCol w:w="211"/>
        <w:gridCol w:w="616"/>
        <w:gridCol w:w="109"/>
        <w:gridCol w:w="109"/>
        <w:gridCol w:w="109"/>
        <w:gridCol w:w="109"/>
        <w:gridCol w:w="211"/>
        <w:gridCol w:w="691"/>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and Note 17 </w:t>
      </w:r>
      <w:r>
        <w:rPr>
          <w:rFonts w:ascii="Times New Roman;serif" w:hAnsi="Times New Roman;serif"/>
          <w:b w:val="false"/>
          <w:i/>
          <w:color w:val="000000"/>
          <w:sz w:val="20"/>
        </w:rPr>
        <w:t xml:space="preserve">Litigation </w:t>
      </w:r>
      <w:r>
        <w:rPr>
          <w:rFonts w:ascii="Times New Roman;serif" w:hAnsi="Times New Roman;serif"/>
          <w:b w:val="false"/>
          <w:color w:val="000000"/>
          <w:sz w:val="20"/>
        </w:rPr>
        <w:t>included in Part I, Item 1 of this Form 10-Q for more information with respect to the contingent consideration adjustment and litigation settlements, net, respectively.</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2026 totaled $240.8 million, compared to $232.1 million for the six months ended June 30,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includes gains and losses from divestitures of businesses, changes in the fair value of equity securities, foreign exchange, expense (income) related to post-employment benefit plans, TSA income, and interest and dividend income. Other (income) expense, net for the six months ended June 30, 2026 totaled $2.9 million of income, compared to $432.8 million of expense for the six months ended June 30, 2025, a change of $435.7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change was primarily driven by a loss in the prior year period of $399.8 million as a result of changes in the fair value of the CCPS in Biocon Biologics, and a decrease in the loss on divestitures of $66.8 million. This was partially offset by a loss of $8.6 million recorded in the current year period as a result of changes in the fair value of equity shares of Biocon. 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Biocon equity shares.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recognized an income tax benefit of $368.9 million, compared to an income tax benefit of $267.5 million for the comparable prior year period, a change of $101.4 million. The benefit in the current year period is primarily driven by the loss before income taxes, the tax benefit of certain internal restructurings undertaken, and the release of reserves for uncertain tax positions due to statute of limitations expirations. This benefit was partially offset by losses in jurisdictions for which minimal benefit can be recognized and accruals for certain international tax matters. The benefit in the prior year period is primarily driven by the loss before income taxes, partially offset by the negative impact of the goodwill impairment charge, for which minimal tax benefit was realized, and a $17.7 million accrual related to the resolution of the previously disclosed Swedish tax matter. The current year and prior year provisions were impacted by the levels of income and the changing mix at which it is earned in jurisdictions with differing tax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Cost of Sales and Adjusted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Net Earnings and Adjusted EPS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EBITDA and Adjusted EBITDA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(loss) on divestitures of businesses, impairment of long-lived assets and goodwill, restructuring, acquisition and divestiture-related and other special items to determine adjusted EBITDA. These adjustments are generally permitted under our credit agreement in calculating adjusted EBITDA for determining compliance with our debt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items excluded from adjusted cost of sales, adjusted EBITDA, adjusted net earnings, and adjusted EPS include:</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serif" w:hAnsi="Times New Roman;serif"/>
          <w:b w:val="false"/>
          <w:i/>
          <w:color w:val="000000"/>
          <w:sz w:val="20"/>
        </w:rPr>
        <w:t>ASC 805, Business Combinations</w:t>
      </w:r>
      <w:r>
        <w:rPr>
          <w:rFonts w:ascii="Times New Roman;serif" w:hAnsi="Times New Roman;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Restructuring, Acquisition and Divestiture-Related Costs and Other Special Items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Costs related to restructuring, acquisition and divestiture-related activities and other actions are excluded from adjusted cost of sales, adjusted EBITDA, adjusted net earnings, and adjusted EPS,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Certain acquisition and divestiture costs, including costs relating to integration and planning, contractual obligations, including under supply agreements,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Other costs, incurred from time to time, related to certain special events or activities that lead to gains or losses, including, but not limited to, incremental manufacturing variances, contractual termination costs, certain remediation activities, asset write-downs, including other-than-temporary impairments of investments in equity or debt instruments, or liability adjustments;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Gains or losses from divestitures, including impairments of held for sale assets;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Litigation Settlements, Net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Charges and gains related to legal matters, such as those discussed in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 Item 1 of this Form 10-Q are generally excluded from adjusted EBITDA, adjusted net earnings, and adjusted EPS. Normal, ongoing defense costs of the Company made in the normal course of our business are not excluded.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1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(Loss) Earnings to Adjusted Net Earnings and U.S. GAAP (Loss) Earnings Per Share to Adjusted EPS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net (loss) earnings and diluted (loss) earnings per share as reported under U.S. GAAP, and adjusted net earnings and adjusted EPS for the periods shown follows:</w:t>
      </w:r>
    </w:p>
    <w:tbl>
      <w:tblPr>
        <w:tblW w:w="11368" w:type="dxa"/>
        <w:jc w:val="center"/>
        <w:tblInd w:w="0" w:type="dxa"/>
        <w:tblLayout w:type="fixed"/>
        <w:tblCellMar>
          <w:top w:w="28" w:type="dxa"/>
          <w:left w:w="28" w:type="dxa"/>
          <w:bottom w:w="28" w:type="dxa"/>
          <w:right w:w="28" w:type="dxa"/>
        </w:tblCellMar>
      </w:tblPr>
      <w:tblGrid>
        <w:gridCol w:w="1146"/>
        <w:gridCol w:w="229"/>
        <w:gridCol w:w="231"/>
        <w:gridCol w:w="211"/>
        <w:gridCol w:w="631"/>
        <w:gridCol w:w="109"/>
        <w:gridCol w:w="109"/>
        <w:gridCol w:w="109"/>
        <w:gridCol w:w="109"/>
        <w:gridCol w:w="211"/>
        <w:gridCol w:w="526"/>
        <w:gridCol w:w="109"/>
        <w:gridCol w:w="109"/>
        <w:gridCol w:w="109"/>
        <w:gridCol w:w="109"/>
        <w:gridCol w:w="211"/>
        <w:gridCol w:w="616"/>
        <w:gridCol w:w="109"/>
        <w:gridCol w:w="109"/>
        <w:gridCol w:w="109"/>
        <w:gridCol w:w="109"/>
        <w:gridCol w:w="211"/>
        <w:gridCol w:w="511"/>
        <w:gridCol w:w="109"/>
        <w:gridCol w:w="109"/>
        <w:gridCol w:w="109"/>
        <w:gridCol w:w="109"/>
        <w:gridCol w:w="211"/>
        <w:gridCol w:w="766"/>
        <w:gridCol w:w="109"/>
        <w:gridCol w:w="109"/>
        <w:gridCol w:w="109"/>
        <w:gridCol w:w="109"/>
        <w:gridCol w:w="211"/>
        <w:gridCol w:w="511"/>
        <w:gridCol w:w="109"/>
        <w:gridCol w:w="109"/>
        <w:gridCol w:w="109"/>
        <w:gridCol w:w="109"/>
        <w:gridCol w:w="211"/>
        <w:gridCol w:w="781"/>
        <w:gridCol w:w="109"/>
        <w:gridCol w:w="109"/>
        <w:gridCol w:w="109"/>
        <w:gridCol w:w="109"/>
        <w:gridCol w:w="211"/>
        <w:gridCol w:w="5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(loss) earnings and U.S. GAAP diluted (loss)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accounting amortization (primarily included in cost of sales)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of goodwill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amortization of premiums and discounts on long 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divestitures of businesses (included in other (income) expense,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divestiture-related costs (primarily included in cost of sales and SG&amp;A) </w:t>
            </w: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costs </w:t>
            </w:r>
            <w:r>
              <w:rPr>
                <w:rFonts w:ascii="Times New Roman;serif" w:hAnsi="Times New Roman;serif"/>
                <w:b w:val="false"/>
                <w:color w:val="000000"/>
                <w:sz w:val="13"/>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included in: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3"/>
              </w:rPr>
              <w:t>(c)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Selling, general and administrative expense </w:t>
            </w:r>
            <w:r>
              <w:rPr>
                <w:rFonts w:ascii="Times New Roman;serif" w:hAnsi="Times New Roman;serif"/>
                <w:b w:val="false"/>
                <w:color w:val="000000"/>
                <w:sz w:val="13"/>
              </w:rPr>
              <w:t>(d)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the above items and other income tax related items</w:t>
            </w:r>
            <w:r>
              <w:rPr>
                <w:color w:val="000000"/>
              </w:rPr>
              <w:t xml:space="preserve"> </w:t>
            </w:r>
            <w:r>
              <w:rPr>
                <w:rFonts w:ascii="Times New Roman;serif" w:hAnsi="Times New Roman;serif"/>
                <w:b w:val="false"/>
                <w:color w:val="000000"/>
                <w:sz w:val="13"/>
              </w:rPr>
              <w:t>(f)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Significant items include the following:</w:t>
      </w:r>
    </w:p>
    <w:p>
      <w:pPr>
        <w:pStyle w:val="TextBody"/>
        <w:bidi w:val="0"/>
        <w:spacing w:lineRule="auto" w:line="288" w:before="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Acquisition and divestiture-related costs consist primarily of contractual obligations related to divestitures, transaction costs including legal and consulting fees, and integration activities.</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For the three and six months ended June 30, 2026, charges include approximately $26.9 million and $76.7 million in cost of sales,</w:t>
      </w:r>
      <w:r>
        <w:rPr>
          <w:color w:val="000000"/>
        </w:rPr>
        <w:t xml:space="preserve"> </w:t>
      </w:r>
      <w:r>
        <w:rPr>
          <w:rFonts w:ascii="Times New Roman;serif" w:hAnsi="Times New Roman;serif"/>
          <w:b w:val="false"/>
          <w:color w:val="000000"/>
          <w:sz w:val="20"/>
        </w:rPr>
        <w:t>approximately $2.0 million and $2.6 million in R&amp;D, and approximately $19.0 million and $61.0 million in SG&amp;A, primarily relating to the 2026 restructuring program.</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For the three and six months ended June 30, 2026, includes certain asset impairments, contractual termination costs, and incremental manufacturing variances and certain remediation costs at plants slated for sale or closure or undergoing remediation activities of approximately $44.2 million and $174.9 million, respectively, including charges of $14.9 million and $86.8 million, respectively, primarily related to the write off of inventory and fixed assets damaged in the fire at the Nashik manufacturing facility and incremental manufacturing variances.</w:t>
      </w:r>
    </w:p>
    <w:p>
      <w:pPr>
        <w:pStyle w:val="TextBody"/>
        <w:bidi w:val="0"/>
        <w:spacing w:lineRule="auto" w:line="288" w:before="0" w:after="6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For the three and six months ended June 30, 2026, includes a charge of $177.8 million related to the planned sale of the product rights for Tyrvaya®.</w:t>
      </w:r>
    </w:p>
    <w:p>
      <w:pPr>
        <w:pStyle w:val="TextBody"/>
        <w:bidi w:val="0"/>
        <w:spacing w:lineRule="auto" w:line="288" w:before="0" w:after="6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For the three and six months ended June 30, 2026, charges include a (gain)/loss of approximately $(56.3) million and $8.6 million, respectively, as a result of changes in the fair value of the Biocon equity shares.</w:t>
      </w:r>
    </w:p>
    <w:p>
      <w:pPr>
        <w:pStyle w:val="TextBody"/>
        <w:bidi w:val="0"/>
        <w:spacing w:lineRule="auto" w:line="288" w:before="0" w:after="240"/>
        <w:ind w:left="0" w:right="0" w:hanging="360"/>
        <w:jc w:val="left"/>
        <w:rPr/>
      </w:pPr>
      <w:r>
        <w:rPr>
          <w:rFonts w:ascii="Times New Roman;serif" w:hAnsi="Times New Roman;serif"/>
          <w:b w:val="false"/>
          <w:color w:val="000000"/>
          <w:sz w:val="13"/>
        </w:rPr>
        <w:t>(f)</w:t>
      </w:r>
      <w:r>
        <w:rPr>
          <w:rFonts w:ascii="Times New Roman;serif" w:hAnsi="Times New Roman;serif"/>
          <w:b w:val="false"/>
          <w:color w:val="000000"/>
          <w:sz w:val="20"/>
        </w:rPr>
        <w:t xml:space="preserve">Adjusted for changes for uncertain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1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(Loss) Earnings to EBITDA and Adjusted EBITDA</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is a reconciliation of U.S. GAAP net (loss) earnings to EBITDA and adjusted EBITDA for the three and six months ended June 30, 2026 compared to the prior year period:</w:t>
      </w:r>
    </w:p>
    <w:tbl>
      <w:tblPr>
        <w:tblW w:w="10205" w:type="dxa"/>
        <w:jc w:val="left"/>
        <w:tblInd w:w="0" w:type="dxa"/>
        <w:tblLayout w:type="fixed"/>
        <w:tblCellMar>
          <w:top w:w="28" w:type="dxa"/>
          <w:left w:w="28" w:type="dxa"/>
          <w:bottom w:w="28" w:type="dxa"/>
          <w:right w:w="28" w:type="dxa"/>
        </w:tblCellMar>
      </w:tblPr>
      <w:tblGrid>
        <w:gridCol w:w="1917"/>
        <w:gridCol w:w="1427"/>
        <w:gridCol w:w="143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822"/>
        <w:gridCol w:w="156"/>
      </w:tblGrid>
      <w:tr>
        <w:trPr/>
        <w:tc>
          <w:tcPr>
            <w:tcW w:w="19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 of businesses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acquisition and divestiture-related and other special items </w:t>
            </w:r>
            <w:r>
              <w:rPr>
                <w:rFonts w:ascii="Times New Roman;serif" w:hAnsi="Times New Roman;serif"/>
                <w:b w:val="false"/>
                <w:color w:val="000000"/>
                <w:sz w:val="13"/>
              </w:rPr>
              <w:t>(c)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erif" w:hAnsi="Times New Roman;serif"/>
          <w:b w:val="false"/>
          <w:color w:val="000000"/>
          <w:sz w:val="13"/>
        </w:rPr>
        <w:t>(b)    </w:t>
      </w:r>
      <w:r>
        <w:rPr>
          <w:rFonts w:ascii="Times New Roman;serif" w:hAnsi="Times New Roman;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erif" w:hAnsi="Times New Roman;serif"/>
          <w:b w:val="false"/>
          <w:color w:val="000000"/>
          <w:sz w:val="13"/>
        </w:rPr>
        <w:t>(c)    </w:t>
      </w:r>
      <w:r>
        <w:rPr>
          <w:rFonts w:ascii="Times New Roman;serif" w:hAnsi="Times New Roman;serif"/>
          <w:b w:val="false"/>
          <w:color w:val="000000"/>
          <w:sz w:val="20"/>
        </w:rPr>
        <w:t>See items detailed in the Reconciliation of U.S. GAAP Net (Loss) Earnings to Adjusted Net Earnings.</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source of liquidity is net cash provided by operating activities, which was $770.1 million for the six months ended June 30, 2026.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$14.9 million to $770.1 million for the six months ended June 30, 2026, as compared to net cash provided by operating activities of $755.2 million for the six months ended June 30, 2025. Net cash provided by operating activities is derived from net (loss) earnings adjusted for non-cash operating items, including changes in the fair value of the Biocon equity shares,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net cash provided by operating activities was principally due to higher operating earnings.</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from investing activities was $225.8 million for the six months ended June 30, 2026, as compared to net cash used in investing activities of $117.6 million for the six months ended June 30, 2025, an increase of $343.4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2026,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proceeds from the CCPS settlement of $400.0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$92.7 million. While there can be no assurance that current expectations will be realized, capital expenditures for the 2026 calendar year are expected to be approximately $350 million to $450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2025,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$95.5 million.</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$1.45 billion for the six months ended June 30, 2026, as compared to $829.4 million for the six months ended June 30, 2025, an increase of $617.0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2026,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repayment of the 3.950% Senior Notes due 2026 at maturity of approximately $1.675 billion;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borrowings and repayments under the 2024 Revolving Facility of $550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proceeds from issuance of 4.250% Euro Senior Notes due 2033 of approximately $752.8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share repurchases of $150.0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cash dividends paid of $279.4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2025,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share repurchases of $350.4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$283.1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net cash of $153.7 million paid on behalf of other partners, which is included in Other items, net.</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totaled $886.5 million at June 30, 2026. The majority of our cash is invested in U.S. government money market funds and in bank deposits. In order to support our global operations, we maintain significant cash and cash equivalents within the global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access to $3.5 billion under the 2024 Revolving Facility which matures in September 2029. Up to $1.65 billion of the 2024 Revolving Facility may be used to support borrowings under our Commercial Paper Program. As of June 30, 2026, the Company did not have any borrowings outstanding under the Commercial Paper Program or the 2024 Revolving Facility.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Receivables Facility for up to an aggregate amount of $600 million which expires in April 2028. As of June 30, 2026, the Company did not have any borrowings outstanding under the Receivables Facility.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rates plus applicable margins and are included as a component of short-term borrowings, while the accounts receivable securing these obligations remain as a component of accounts receivable, net,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balance sheets. In addition, the agreement governing the Receivables Facility contains various customary affirmative and negative covenants, and customary default and termination provisions.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$250.6 million and $301.9 million of accounts receivable as of June 30, 2026 and December 31, 2025, respectively, under these factoring arrangements. Additionally, we have a similar arrangement for certain European countries. As of June 30, 2026, we assigned and derecognized approximately $84.0 million of </w:t>
      </w:r>
      <w:r>
        <w:rPr>
          <w:rFonts w:ascii="Times New Roman;serif" w:hAnsi="Times New Roman;serif"/>
          <w:b w:val="false"/>
          <w:i/>
          <w:color w:val="000000"/>
          <w:sz w:val="20"/>
        </w:rPr>
        <w:t>Trade Receivables, Net</w:t>
      </w:r>
      <w:r>
        <w:rPr>
          <w:rFonts w:ascii="Times New Roman;serif" w:hAnsi="Times New Roman;serif"/>
          <w:b w:val="false"/>
          <w:color w:val="000000"/>
          <w:sz w:val="20"/>
        </w:rPr>
        <w:t xml:space="preserve">, which were included in </w:t>
      </w:r>
      <w:r>
        <w:rPr>
          <w:rFonts w:ascii="Times New Roman;serif" w:hAnsi="Times New Roman;serif"/>
          <w:b w:val="false"/>
          <w:i/>
          <w:color w:val="000000"/>
          <w:sz w:val="20"/>
        </w:rPr>
        <w:t>Other Receivables</w:t>
      </w:r>
      <w:r>
        <w:rPr>
          <w:rFonts w:ascii="Times New Roman;serif" w:hAnsi="Times New Roman;serif"/>
          <w:b w:val="false"/>
          <w:color w:val="000000"/>
          <w:sz w:val="20"/>
        </w:rPr>
        <w:t>. As of December 31, 2025, no amounts were assigned and derecognized.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unlock the value of the Company’s unique global platform in order to create shareholder value.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information regarding our dividends paid and declared and share repurchase program, refer to Note 8 </w:t>
      </w:r>
      <w:r>
        <w:rPr>
          <w:rFonts w:ascii="Times New Roman;serif" w:hAnsi="Times New Roman;serif"/>
          <w:b w:val="false"/>
          <w:i/>
          <w:color w:val="000000"/>
          <w:sz w:val="20"/>
        </w:rPr>
        <w:t xml:space="preserve">(Loss) Earnings per Share </w:t>
      </w:r>
      <w:r>
        <w:rPr>
          <w:rFonts w:ascii="Times New Roman;serif" w:hAnsi="Times New Roman;serif"/>
          <w:b w:val="false"/>
          <w:color w:val="000000"/>
          <w:sz w:val="20"/>
        </w:rPr>
        <w:t>included</w:t>
      </w:r>
      <w:r>
        <w:rPr>
          <w:color w:val="000000"/>
        </w:rPr>
        <w:t xml:space="preserve"> </w:t>
      </w:r>
      <w:r>
        <w:rPr>
          <w:rFonts w:ascii="Times New Roman;serif" w:hAnsi="Times New Roman;serif"/>
          <w:b w:val="false"/>
          <w:color w:val="000000"/>
          <w:sz w:val="20"/>
        </w:rPr>
        <w:t>in Part I, Item 1 of this Form 10-Q.</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Long-term Debt Maturity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information regarding our debt agreements and mandatory minimum repayments remaining on the outstanding notional amount of long-term debt at June 30, 2026, refer to Note 11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included in Part I, Item 1 of this Form 10-Q.</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compliance with its covenants at June 30, 2026 and expects to remain in compliance for the next twelve months.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 </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Supplemental Guarantor Financial Information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Inc. is the issuer of the Registered Upjohn Notes and the 2033 Euro Senior Notes, which are fully and unconditionally guaranteed on a senior unsecured basis by Mylan Inc., Mylan II B.V. and Utah Acquisition Sub Inc.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respective obligations of Viatris Inc., Mylan Inc., Utah Acquisition Sub Inc., and Mylan II B.V. as guarantors of the applicable series of Registered Notes are senior unsecured obligations of the applicable guarantor and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in right of payment with all of such guarantor’s existing and future senior unsecured obligations that are not expressly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subordinated to such guarantor’s guarantee of the applicable series of Registered Notes, rank senior in right of payment to any future obligations of such guarantor that are expressly subordinated to such guarantor’s guarantee of the applicable series of Registered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Registered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guarantees by Mylan Inc., Mylan II B.V. and Utah Acquisition Sub Inc. under the applicable series of Registered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Registered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and the 2033 Euro Senior Notes, (a) upon the applicable guarantor no longer being an issuer or guarantor in respect of (i) Mylan Notes (as defined in the applicable indenture)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applicable indenture.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guarantee obligations of Viatris Inc., Mylan Inc., Utah Acquisition Sub Inc., and Mylan II B.V. under the Registered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unaudited summarized financial information of Viatris Inc., Mylan Inc., Utah Acquisition Sub Inc., and Mylan II B.V. on a combined basis as of and for the six months ended June 30, 2026 and as of and for the year ended December 31, 2025. All intercompany balances have been eliminated in consolidation. This unaudited combined summarized financial information is presented utilizing the equity method of accounting.</w:t>
      </w:r>
    </w:p>
    <w:tbl>
      <w:tblPr>
        <w:tblW w:w="10205" w:type="dxa"/>
        <w:jc w:val="left"/>
        <w:tblInd w:w="0" w:type="dxa"/>
        <w:tblLayout w:type="fixed"/>
        <w:tblCellMar>
          <w:top w:w="28" w:type="dxa"/>
          <w:left w:w="28" w:type="dxa"/>
          <w:bottom w:w="28" w:type="dxa"/>
          <w:right w:w="28" w:type="dxa"/>
        </w:tblCellMar>
      </w:tblPr>
      <w:tblGrid>
        <w:gridCol w:w="874"/>
        <w:gridCol w:w="766"/>
        <w:gridCol w:w="720"/>
        <w:gridCol w:w="650"/>
        <w:gridCol w:w="2362"/>
        <w:gridCol w:w="336"/>
        <w:gridCol w:w="336"/>
        <w:gridCol w:w="336"/>
        <w:gridCol w:w="336"/>
        <w:gridCol w:w="650"/>
        <w:gridCol w:w="2362"/>
        <w:gridCol w:w="477"/>
      </w:tblGrid>
      <w:tr>
        <w:trPr/>
        <w:tc>
          <w:tcPr>
            <w:tcW w:w="8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Balance Sheet Information of Viatris Inc., Mylan Inc., Utah Acquisition Sub Inc. and Mylan II B.V. </w:t>
            </w:r>
          </w:p>
        </w:tc>
      </w:tr>
      <w:tr>
        <w:trPr/>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57,235.2 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59,413.4 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35,024.2 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5"/>
        <w:gridCol w:w="549"/>
        <w:gridCol w:w="539"/>
        <w:gridCol w:w="978"/>
        <w:gridCol w:w="1880"/>
        <w:gridCol w:w="504"/>
        <w:gridCol w:w="504"/>
        <w:gridCol w:w="504"/>
        <w:gridCol w:w="504"/>
        <w:gridCol w:w="1021"/>
        <w:gridCol w:w="1880"/>
        <w:gridCol w:w="71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Income Statement Information of Viatris Inc., Mylan Inc., Utah Acquisition Sub Inc. and Mylan II B.V. </w:t>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Commitments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$453 million accrued for legal contingencies at June 30,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divestitures, Viatris and the respective buyers currently have manufacturing and supply agreements pursuant to which the Company is providing services to the respective purchasers, substantially the same as we previously provided to the related businesses, generally for periods between one to 10 years depending on the geographic market and the products subject to such agreement, subject to potential extensions in certain circumstances. In connection with the API business divestiture, we currently have a manufacturing and supply agreement pursuant to which we are purchasing a significant amount of API from the purchaser in that transaction. Some of these agreements include various ongoing financial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Viatris periodically enters into acquisition, divestiture, collaboration, employment, legal settlement and other agreements which include indemnification provisions. The maximum amount to which Viatris may be exposed under such agreements cannot be reasonably estimated due to the conditional nature of the Company’s obligations and the unique facts and circumstances involved in each particular agreement. Historically, we have not paid material amounts under these indemnification provisions. Further, for certain agreements, the Company maintains insurance coverage which management believes will effectively mitigate the Company’s obligations under these indemnification provisions.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matters—including certain specified competition law matters—to the extent they arise from conduct during the pre-Distribution period and has agreed to indemnify the Company for liabilities arising out of such matters. If Pfizer were to successfully dispute its retention of these matters, or if there is an adverse outcome in the matters that Pfizer has agreed to retain, this could have an adverse impact on Viatris. In addition, Viatris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In June 2026, the Company received a letter from Pfizer inquiring about the Company’s plan for payment to Pfizer under the foregoing agreement. The Company disagrees that the payment Pfizer requests is owed. Any loss to the Company as a result of the foregoing disagreement could have an adverse impact on Viatris.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the Company’s market risk, see “Item 7A. Quantitative and Qualitative Disclosures about Market Risk” in Viatris’ 2025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June 30, 2026. Based upon that evaluation, the Principal Executive Officer and the Principal Financial Officer concluded that the Company’s disclosure controls and procedures were effective.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has not identified any changes in the Company’s internal control over financial reporting (“ICFR”) that occurred during the second quarter of 2026 that have materially affected, or are reasonably likely to materially affect, the Company’s ICFR. </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 information regarding legal proceedings, refer to Note 17 </w:t>
      </w:r>
      <w:r>
        <w:rPr>
          <w:rFonts w:ascii="Times New Roman;serif" w:hAnsi="Times New Roman;serif"/>
          <w:b w:val="false"/>
          <w:i/>
          <w:color w:val="000000"/>
          <w:sz w:val="20"/>
        </w:rPr>
        <w:t>Litigation</w:t>
      </w:r>
      <w:r>
        <w:rPr>
          <w:rFonts w:ascii="Times New Roman;serif" w:hAnsi="Times New Roman;serif"/>
          <w:b w:val="false"/>
          <w:color w:val="000000"/>
          <w:sz w:val="20"/>
        </w:rPr>
        <w:t>, in the accompanying Notes to interim financial statements in this Form 10-Q.</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risk factors from those disclosed in Viatris’ 2025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Viatris Inc.</w:t>
      </w: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35"/>
        <w:gridCol w:w="295"/>
        <w:gridCol w:w="299"/>
        <w:gridCol w:w="109"/>
        <w:gridCol w:w="109"/>
        <w:gridCol w:w="109"/>
        <w:gridCol w:w="752"/>
        <w:gridCol w:w="430"/>
        <w:gridCol w:w="432"/>
        <w:gridCol w:w="109"/>
        <w:gridCol w:w="109"/>
        <w:gridCol w:w="109"/>
        <w:gridCol w:w="279"/>
        <w:gridCol w:w="817"/>
        <w:gridCol w:w="144"/>
        <w:gridCol w:w="109"/>
        <w:gridCol w:w="109"/>
        <w:gridCol w:w="109"/>
        <w:gridCol w:w="988"/>
        <w:gridCol w:w="697"/>
        <w:gridCol w:w="700"/>
        <w:gridCol w:w="109"/>
        <w:gridCol w:w="109"/>
        <w:gridCol w:w="109"/>
        <w:gridCol w:w="370"/>
        <w:gridCol w:w="2080"/>
        <w:gridCol w:w="279"/>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color w:val="000000"/>
              </w:rPr>
              <w:t xml:space="preserve"> </w:t>
            </w:r>
            <w:r>
              <w:rPr>
                <w:rFonts w:ascii="Times New Roman;serif" w:hAnsi="Times New Roman;serif"/>
                <w:b/>
                <w:color w:val="000000"/>
                <w:sz w:val="10"/>
              </w:rPr>
              <w:t>(a)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(a)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color w:val="000000"/>
              </w:rPr>
              <w:t xml:space="preserve"> </w:t>
            </w:r>
            <w:r>
              <w:rPr>
                <w:rFonts w:ascii="Times New Roman;serif" w:hAnsi="Times New Roman;serif"/>
                <w:b/>
                <w:color w:val="000000"/>
                <w:sz w:val="10"/>
              </w:rPr>
              <w:t>(a)</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9,371,060 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9,371,060 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849,532,384 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9,371,060 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9,371,060 </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849,532,384 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Refer to Note 8 </w:t>
      </w:r>
      <w:r>
        <w:rPr>
          <w:rFonts w:ascii="Times New Roman;serif" w:hAnsi="Times New Roman;serif"/>
          <w:b w:val="false"/>
          <w:i/>
          <w:color w:val="000000"/>
          <w:sz w:val="20"/>
        </w:rPr>
        <w:t xml:space="preserve">(Loss) Earnings per Share </w:t>
      </w:r>
      <w:r>
        <w:rPr>
          <w:rFonts w:ascii="Times New Roman;serif" w:hAnsi="Times New Roman;serif"/>
          <w:b w:val="false"/>
          <w:color w:val="000000"/>
          <w:sz w:val="20"/>
        </w:rPr>
        <w:t>included</w:t>
      </w:r>
      <w:r>
        <w:rPr>
          <w:color w:val="000000"/>
        </w:rPr>
        <w:t xml:space="preserve"> </w:t>
      </w:r>
      <w:r>
        <w:rPr>
          <w:rFonts w:ascii="Times New Roman;serif" w:hAnsi="Times New Roman;serif"/>
          <w:b w:val="false"/>
          <w:color w:val="000000"/>
          <w:sz w:val="20"/>
        </w:rPr>
        <w:t xml:space="preserve">in Part I, Item 1 of this Form 10-Q for additional information regarding the Company’s authorized share repurchase program. During the three months ended June 30, 2026, the Company repurchased approximately 9.4 million shares of common stock at a cost of approximately $150.0 million under this program. </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The number of shares purchased is based on the purchase date and not the settlement date. </w:t>
      </w:r>
    </w:p>
    <w:p>
      <w:pPr>
        <w:pStyle w:val="TextBody"/>
        <w:bidi w:val="0"/>
        <w:spacing w:lineRule="auto" w:line="288" w:before="0" w:after="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Average price per share includes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0" w:after="240"/>
        <w:jc w:val="left"/>
        <w:rPr/>
      </w:pPr>
      <w:r>
        <w:rPr>
          <w:color w:val="404040"/>
        </w:rPr>
        <w:t>    </w:t>
      </w:r>
      <w:r>
        <w:rPr>
          <w:rFonts w:ascii="Times New Roman;serif" w:hAnsi="Times New Roman;serif"/>
          <w:b w:val="false"/>
          <w:i/>
          <w:color w:val="000000"/>
          <w:sz w:val="20"/>
        </w:rPr>
        <w:t>Trading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17"/>
        <w:gridCol w:w="191"/>
        <w:gridCol w:w="191"/>
        <w:gridCol w:w="2936"/>
        <w:gridCol w:w="2746"/>
        <w:gridCol w:w="392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4.1</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June 17, 2026, among Viatris Inc., as issuer, Utah Acquisition Sub Inc., Mylan II B.V., and Mylan Inc., as guarantors, and The Bank of New York Mellon, as trustee, filed as Exhibit 4.1 to the Report on Form 8-K filed by Viatris Inc. with the SEC on June 18, 2026, and incorporated herein by reference.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4.2</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June 17, 2026, by and among Viatris Inc., Utah Acquisition Sub Inc., Mylan II B.V., Mylan Inc., and The Bank of New York Mellon, as trustee, to the Indenture, dated June 17, 2026, among Viatris Inc., as issuer, Utah Acquisition Sub Inc., Mylan II B.V., and Mylan Inc., as guarantors, and The Bank of New York Mellon, as trustee, filed as Exhibit 4.2 to the Report on Form 8-K filed by Viatris Inc. with the SEC on June 18, 2026, and incorporated herein by reference.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1xvtrsx20260630.htm">
              <w:r>
                <w:rPr>
                  <w:rStyle w:val="InternetLink"/>
                  <w:rFonts w:ascii="Times New Roman;serif" w:hAnsi="Times New Roman;serif"/>
                  <w:b w:val="false"/>
                  <w:color w:val="0000FF"/>
                  <w:sz w:val="20"/>
                  <w:u w:val="single"/>
                </w:rPr>
                <w:t>10.1</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Separation Agreement and Release with Theodora (Doretta) Mistras, dated May 1, 2026.*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2xvtrsx20260630.htm">
              <w:r>
                <w:rPr>
                  <w:rStyle w:val="InternetLink"/>
                  <w:rFonts w:ascii="Times New Roman;serif" w:hAnsi="Times New Roman;serif"/>
                  <w:b w:val="false"/>
                  <w:color w:val="0000FF"/>
                  <w:sz w:val="20"/>
                  <w:u w:val="single"/>
                </w:rPr>
                <w:t>10.2</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with Andrew Enrietti, dated August 15, 2025.*</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3xvtrsx20260630.htm">
              <w:r>
                <w:rPr>
                  <w:rStyle w:val="InternetLink"/>
                  <w:rFonts w:ascii="Times New Roman;serif" w:hAnsi="Times New Roman;serif"/>
                  <w:b w:val="false"/>
                  <w:color w:val="0000FF"/>
                  <w:sz w:val="20"/>
                  <w:u w:val="single"/>
                </w:rPr>
                <w:t>10.3</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Non-Employee Director Deferral Election Form.*</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4xvtrsx06302026.htm">
              <w:r>
                <w:rPr>
                  <w:rStyle w:val="InternetLink"/>
                  <w:rFonts w:ascii="Times New Roman;serif" w:hAnsi="Times New Roman;serif"/>
                  <w:b w:val="false"/>
                  <w:color w:val="0000FF"/>
                  <w:sz w:val="20"/>
                  <w:u w:val="single"/>
                </w:rPr>
                <w:t>10.4</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Director Deferred Stock Unit Award Agreement under the Viatris Inc. 2020 Stock Incentive Plan for non-employee directors for awards granted on or after June 30, 2026.*</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2xvtrsx20260630.htm">
              <w:r>
                <w:rPr>
                  <w:rStyle w:val="InternetLink"/>
                  <w:rFonts w:ascii="Times New Roman;serif" w:hAnsi="Times New Roman;serif"/>
                  <w:b w:val="false"/>
                  <w:color w:val="0000FF"/>
                  <w:sz w:val="20"/>
                  <w:u w:val="single"/>
                </w:rPr>
                <w:t>22</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 of subsidiary guarantors and issuers of guaranteed securities.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1xvtrsx20260630.htm">
              <w:r>
                <w:rPr>
                  <w:rStyle w:val="InternetLink"/>
                  <w:rFonts w:ascii="Times New Roman;serif" w:hAnsi="Times New Roman;serif"/>
                  <w:b w:val="false"/>
                  <w:color w:val="0000FF"/>
                  <w:sz w:val="20"/>
                  <w:u w:val="single"/>
                </w:rPr>
                <w:t>31.1</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2xvtrsx20260630.htm">
              <w:r>
                <w:rPr>
                  <w:rStyle w:val="InternetLink"/>
                  <w:rFonts w:ascii="Times New Roman;serif" w:hAnsi="Times New Roman;serif"/>
                  <w:b w:val="false"/>
                  <w:color w:val="0000FF"/>
                  <w:sz w:val="20"/>
                  <w:u w:val="single"/>
                </w:rPr>
                <w:t>31.2</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2xvtrsx20260630.htm">
              <w:r>
                <w:rPr>
                  <w:rStyle w:val="InternetLink"/>
                  <w:rFonts w:ascii="Times New Roman;serif" w:hAnsi="Times New Roman;serif"/>
                  <w:b w:val="false"/>
                  <w:color w:val="0000FF"/>
                  <w:sz w:val="20"/>
                  <w:u w:val="single"/>
                </w:rPr>
                <w:t>32</w:t>
              </w:r>
            </w:hyperlink>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Section 906 of the Sarbanes-Oxley Act of 2002.</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 the cover page interactive data file does not appear in the Interactive Data File because its XBRL tags are embedded within the Inline XBRL document (included in Exhibit 101).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Denotes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1e5533529bd4b8b8b580f5cad6a41ec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25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tbl>
      <w:tblPr>
        <w:tblW w:w="73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62"/>
        <w:gridCol w:w="1962"/>
        <w:gridCol w:w="2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CAMPBELL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Campbell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Chief Accounting Officer &amp; Corporate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SEPARATION AGREEMENT AND RELEASE</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Separation Agreement and Release (“Agreement”) is made by and between Theodora (Doretta) Mistras (“Executive”) and Viatris Inc. (together with its affiliates, the “Company”) (collectively referred to as the “Parties” or individually referred to as a “Party”).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Executive has voluntarily resigned as Chief Financial Officer of the Company, shall cease to serve in that position effective as of May 8, 2026 and shall separate from employment by the Company effective as of May 22, 2026 (the “Separation Date”); and</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and Executive wish to set forth the terms of such separation from employment by the Company.</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made herein and intending to be legally bound hereby, the Company and Executive hereby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COVENANTS</w:t>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Separation from Employment and Certain Company Positions.</w:t>
      </w:r>
      <w:r>
        <w:rPr>
          <w:color w:val="000000"/>
        </w:rPr>
        <w:t xml:space="preserve"> </w:t>
      </w:r>
      <w:r>
        <w:rPr>
          <w:rFonts w:ascii="Times New Roman;serif" w:hAnsi="Times New Roman;serif"/>
          <w:b w:val="false"/>
          <w:color w:val="000000"/>
          <w:sz w:val="24"/>
        </w:rPr>
        <w:t xml:space="preserve">Effective as May 8, 2026, Executive hereby resigns from all positions as an executive, officer or director of the Company or any of its affiliated entities. From May 8, 2026 through the Separation Date, Executive shall serve as an at-will employee of the Company and shall provide transitional services as reasonably requested by the Company. Executive acknowledges and agrees that her separation from the Company is not due to any disagreement with the Company on any matter relating to the operations, policies, controls, practices or any other activities of the Company. </w:t>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 and Benefits.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Pro Rata Annual Incentive Payment for 2026.</w:t>
      </w:r>
      <w:r>
        <w:rPr>
          <w:color w:val="000000"/>
        </w:rPr>
        <w:t xml:space="preserve"> </w:t>
      </w:r>
      <w:r>
        <w:rPr>
          <w:rFonts w:ascii="Times New Roman;serif" w:hAnsi="Times New Roman;serif"/>
          <w:b w:val="false"/>
          <w:color w:val="000000"/>
          <w:sz w:val="24"/>
        </w:rPr>
        <w:t>Provided that Executive executes this Agreement, complies with its terms and does not commit a material breach of this Agreement, as described in Section 13 below, Executive shall be entitled to a pro rata annual incentive payment for 2026 based on days of active service from January 1 up through and including the Separation Date, based on actual Company performance (as determined by the Compensation Committee of the Board of Directors of the Company and as applied to other executive officers of the Company, provided that Company performance for purposes of the calculation of Executive’s annual incentive payment shall not exceed target level performance and Executive shall not receive any amount(s) in excess of such target level performance), with such pro rata annual incentive payment, if any, to be determined and paid in the first quarter of 2027 pursuant to standard Company practices.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Treatment of Equity-Based Awards.</w:t>
      </w:r>
      <w:r>
        <w:rPr>
          <w:color w:val="000000"/>
        </w:rPr>
        <w:t xml:space="preserve"> </w:t>
      </w:r>
      <w:r>
        <w:rPr>
          <w:rFonts w:ascii="Times New Roman;serif" w:hAnsi="Times New Roman;serif"/>
          <w:b w:val="false"/>
          <w:color w:val="000000"/>
          <w:sz w:val="24"/>
        </w:rPr>
        <w:t>All time-based restricted stock units and performance-based restricted stock units shall be forfeited immediately upon the Separation Date.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401(k) Restoration Plan and Income Deferral Plan.</w:t>
      </w:r>
      <w:r>
        <w:rPr>
          <w:color w:val="000000"/>
        </w:rPr>
        <w:t xml:space="preserve"> </w:t>
      </w:r>
      <w:r>
        <w:rPr>
          <w:rFonts w:ascii="Times New Roman;serif" w:hAnsi="Times New Roman;serif"/>
          <w:b w:val="false"/>
          <w:color w:val="000000"/>
          <w:sz w:val="24"/>
        </w:rPr>
        <w:t xml:space="preserve">Executive shall be paid the accrued and vested benefit under the Company’s 401(k) Restoration Plan and Income Deferral Plan in a lump sum on the first regularly scheduled Company payroll date occurring after the six-month anniversary of the Separation Date. As of the Separation Date, none of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Executive’s balance in such plans will be vested under the terms of the plans and, therefore, any balances shall be forfeited.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Vacation Pay.</w:t>
      </w:r>
      <w:r>
        <w:rPr>
          <w:color w:val="000000"/>
        </w:rPr>
        <w:t xml:space="preserve"> </w:t>
      </w:r>
      <w:r>
        <w:rPr>
          <w:rFonts w:ascii="Times New Roman;serif" w:hAnsi="Times New Roman;serif"/>
          <w:b w:val="false"/>
          <w:color w:val="000000"/>
          <w:sz w:val="24"/>
        </w:rPr>
        <w:t>The Company shall pay Executive for all unused and accrued vacation time as of the Separation Date, less applicable deductions and withholdings required by applicable law. This payment shall be made in a lump sum and shall be paid on the Company’s next regularly scheduled payroll date after the Separation Date.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Other Benefits.</w:t>
      </w:r>
      <w:r>
        <w:rPr>
          <w:color w:val="000000"/>
        </w:rPr>
        <w:t xml:space="preserve"> </w:t>
      </w:r>
      <w:r>
        <w:rPr>
          <w:rFonts w:ascii="Times New Roman;serif" w:hAnsi="Times New Roman;serif"/>
          <w:b w:val="false"/>
          <w:color w:val="000000"/>
          <w:sz w:val="24"/>
        </w:rPr>
        <w:t>Executive’s participation in all other benefits and incidents of employment, including, but not limited to, the accrual of bonuses, vacation and paid time off, and any additional 401(k) plan contributions, shall cease as of the Separation Date. Vested amounts payable to Executive under the Company’s 401(k) and other retirement plans or agreements shall be paid in accordance with the terms of such plans and agreements and applicable law. All payments hereunder shall be subject to applicable deductions and withholdings as required by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Payment of Salary and Receipt of All Benefits.</w:t>
      </w:r>
      <w:r>
        <w:rPr>
          <w:color w:val="000000"/>
        </w:rPr>
        <w:t xml:space="preserve"> </w:t>
      </w:r>
      <w:r>
        <w:rPr>
          <w:rFonts w:ascii="Times New Roman;serif" w:hAnsi="Times New Roman;serif"/>
          <w:b w:val="false"/>
          <w:color w:val="000000"/>
          <w:sz w:val="24"/>
        </w:rPr>
        <w:t>Executive acknowledges and represents that, other than the consideration to be paid pursuant to this Agreement, Executive’s final regular pay on the Company’s next regularly scheduled payroll date after the Separation Date and payment for all unused and accrued vacation time as of the Separation Date (which shall be included in Executive’s final regular pay on the Company’s next regularly scheduled payroll date after the Separation Date, subject to applicable deductions and withholding), the Company has paid or provided all salary, wages, bonuses, accrued vacation/paid time off, premiums, leaves, reimbursable expenses, stock, vesting, shares pursuant to vested restricted stock units, and any and all other benefits and compensation due to Executive by the Company and its affiliates. To receive reimbursement for any final Company-related travel expenses, Executive must submit a final report of all such outstanding expenses within thirty (30) calendar days after the Separation Date, accompanied by receipts and otherwise subject to the Company’s expense reimbursement policy.</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General Release of Claims.</w:t>
      </w:r>
      <w:r>
        <w:rPr>
          <w:color w:val="000000"/>
        </w:rPr>
        <w:t xml:space="preserve"> </w:t>
      </w:r>
      <w:r>
        <w:rPr>
          <w:rFonts w:ascii="Times New Roman;serif" w:hAnsi="Times New Roman;serif"/>
          <w:b w:val="false"/>
          <w:color w:val="000000"/>
          <w:sz w:val="24"/>
        </w:rPr>
        <w:t>In consideration of the pro rata bonus payment eligibility and potential payment granted to Executive under Section 2(a) of this Agreement, which Executive acknowledges she would not otherwise be entitled to receive, Executive agrees that the foregoing consideration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Agreement, including, without limitation: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any and all claims relating to or arising from Executive’s employment relationship with the Company and/or any of the Releasees and the termination of that relationship;</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any and all claims relating to, or arising from, Executive’s right to purchase, or actual purchase of shares of stock of the Company and/or any of the Releasees, including, without limitation, any claims for fraud, misrepresentation, breach of fiduciary duty,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77"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breach of duty under applicable state corporate law, and securities fraud under any state or federal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any and all claims under any policy, agreement, understanding or promise, written or oral, formal or informal, between any Releasee and Executive existing as of the date hereof (whether or not known or arising before, on or after the date Executive executes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any and all claims for violation of the federal or any state constitution; </w:t>
      </w:r>
    </w:p>
    <w:p>
      <w:pPr>
        <w:pStyle w:val="TextBody"/>
        <w:bidi w:val="0"/>
        <w:spacing w:lineRule="auto" w:line="240"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rPr>
        <w:t>any and all claims arising out of any other laws and regulations relating to employment or employment discrimination;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rPr>
        <w:t>any claim for any loss, cost, damage, or expense arising out of any dispute over the non-withholding or other tax treatment of any of the proceeds received by Executive as a result of this Agreement;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 xml:space="preserve">any and all claims for attorneys’ fees and costs; and </w:t>
      </w:r>
    </w:p>
    <w:p>
      <w:pPr>
        <w:pStyle w:val="TextBody"/>
        <w:bidi w:val="0"/>
        <w:spacing w:lineRule="auto" w:line="240" w:before="0" w:after="240"/>
        <w:ind w:left="0" w:right="0" w:firstLine="1440"/>
        <w:jc w:val="left"/>
        <w:rPr/>
      </w:pPr>
      <w:r>
        <w:rPr>
          <w:rFonts w:ascii="Times New Roman;serif" w:hAnsi="Times New Roman;serif"/>
          <w:b w:val="false"/>
          <w:color w:val="000000"/>
          <w:sz w:val="24"/>
        </w:rPr>
        <w:t>j.</w:t>
      </w:r>
      <w:r>
        <w:rPr>
          <w:rFonts w:ascii="Times New Roman;serif" w:hAnsi="Times New Roman;serif"/>
          <w:b w:val="false"/>
          <w:color w:val="000000"/>
          <w:sz w:val="24"/>
        </w:rPr>
        <w:t>any other claims whatsoever.</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Executive agrees that the Release set forth in this section shall be and remain in effect in all respects as a complete general release as to the matters released. This Release does not extend to any obligations incurred under this Agreement or any indemnification agreement between Executive and the Company or other indemnification rights of Executive, any claims accruing after the execution of this Agreement, or any rights Executive may have under any D&amp;O insurance policy maintained by the Company and/or any of the Releasees. This Release does not release claims to enforce the terms of this Agreement (including but not limited to the payments and benefits set forth in Section 2 of this Agreement), and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Section 4.</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Executive agrees that the consideration set forth in this Agreement is subject to Executive’s execution, not later than 21 days following the Separation Date, of this Release, and the non-revocation of the Release during the period specified therein. If Executive fails to execute and deliver the Release within 21 days following the Separation Date, or if Executive revokes the Release as provided therein, Executive shall forfeit her right to receive the benefit provided under Section 2(a) of this Agreement. In the event Executive signs this Agreement prior to the Separation Date, she will be required to execute an affirmation of the Release upon her Separation Date in the form attached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Acknowledgment that Waiver of Claims is Knowing and Voluntary.</w:t>
      </w:r>
      <w:r>
        <w:rPr>
          <w:color w:val="000000"/>
        </w:rPr>
        <w:t xml:space="preserve"> </w:t>
      </w:r>
      <w:r>
        <w:rPr>
          <w:rFonts w:ascii="Times New Roman;serif" w:hAnsi="Times New Roman;serif"/>
          <w:b w:val="false"/>
          <w:color w:val="000000"/>
          <w:sz w:val="24"/>
        </w:rPr>
        <w:t xml:space="preserve">Executive acknowledges that Executive is waiving and releasing any rights Executive may have under the ADEA and that the waiver and release is knowing and voluntary. Executive agrees that this waiver and release does not apply to any rights or claims that may arise under the ADEA after the date Executive executes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serif" w:hAnsi="Times New Roman;serif"/>
          <w:b w:val="false"/>
          <w:color w:val="000000"/>
          <w:sz w:val="24"/>
          <w:u w:val="single"/>
        </w:rPr>
        <w:t>prior</w:t>
      </w:r>
      <w:r>
        <w:rPr>
          <w:color w:val="000000"/>
        </w:rPr>
        <w:t xml:space="preserve"> </w:t>
      </w:r>
      <w:r>
        <w:rPr>
          <w:rFonts w:ascii="Times New Roman;serif" w:hAnsi="Times New Roman;serif"/>
          <w:b w:val="false"/>
          <w:color w:val="000000"/>
          <w:sz w:val="24"/>
        </w:rPr>
        <w:t>to executing this Agreement; (b)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(c) Executive has seven (7) days following the execution of this Release to revoke this Release and may do so by writing to the Company’s Chief Legal Officer; (d) this Release shall not be effective until after the revocation period has expired without revocation;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21-day period identified above, Executive hereby acknowledges that Executive has freely and voluntarily chosen to waive the time period allotted for considering this Release.</w:t>
      </w:r>
    </w:p>
    <w:p>
      <w:pPr>
        <w:pStyle w:val="TextBody"/>
        <w:bidi w:val="0"/>
        <w:spacing w:lineRule="auto" w:line="240"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Unknown Claims.</w:t>
      </w:r>
      <w:r>
        <w:rPr>
          <w:color w:val="000000"/>
        </w:rPr>
        <w:t xml:space="preserve"> </w:t>
      </w:r>
      <w:r>
        <w:rPr>
          <w:rFonts w:ascii="Times New Roman;serif" w:hAnsi="Times New Roman;serif"/>
          <w:b w:val="false"/>
          <w:color w:val="000000"/>
          <w:sz w:val="24"/>
        </w:rPr>
        <w:t>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lineRule="auto" w:line="240"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No Pending or Future Lawsuits.</w:t>
      </w:r>
      <w:r>
        <w:rPr>
          <w:color w:val="000000"/>
        </w:rPr>
        <w:t xml:space="preserve"> </w:t>
      </w:r>
      <w:r>
        <w:rPr>
          <w:rFonts w:ascii="Times New Roman;serif" w:hAnsi="Times New Roman;serif"/>
          <w:b w:val="false"/>
          <w:color w:val="000000"/>
          <w:sz w:val="24"/>
        </w:rPr>
        <w:t>Executive represents that Executive has no lawsuits, claims, or actions pending (directly or indirectly) in Executive’s name, or on behalf of any other person or entity, against the Company or any of the other Releasees. Executive also represents that Executive does not intend to bring any claims (directly or indirectly) on Executive’s own behalf or on behalf of any other person or entity against the Company or any of the other Releasees.</w:t>
      </w:r>
    </w:p>
    <w:p>
      <w:pPr>
        <w:pStyle w:val="TextBody"/>
        <w:bidi w:val="0"/>
        <w:spacing w:lineRule="auto" w:line="240"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Confidentiality.</w:t>
      </w:r>
      <w:r>
        <w:rPr>
          <w:color w:val="000000"/>
        </w:rPr>
        <w:t xml:space="preserve"> </w:t>
      </w:r>
      <w:r>
        <w:rPr>
          <w:rFonts w:ascii="Times New Roman;serif" w:hAnsi="Times New Roman;serif"/>
          <w:b w:val="false"/>
          <w:color w:val="000000"/>
          <w:sz w:val="24"/>
        </w:rPr>
        <w:t xml:space="preserve">Executive reaffirms and agrees to observe and abide by the “Agreement Relating to Patents, Copyrights, Inventions, Confidentiality and Proprietary Information” entered into between Executive and the Company and any and all amendments and supplements thereto (the “Confidentiality Agreement”). For the avoidance of doubt,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79"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Confidential Information thereunder includes, without limitation, information or materials regarding the Company’s plans, strategies, governance or operations, deliberations, including any discussions or deliberations relating thereto.</w:t>
      </w:r>
    </w:p>
    <w:p>
      <w:pPr>
        <w:pStyle w:val="TextBody"/>
        <w:bidi w:val="0"/>
        <w:spacing w:lineRule="auto" w:line="240"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Non-Competition and Non-Solicitation</w:t>
      </w:r>
      <w:r>
        <w:rPr>
          <w:rFonts w:ascii="Times New Roman;serif" w:hAnsi="Times New Roman;serif"/>
          <w:b w:val="false"/>
          <w:color w:val="000000"/>
          <w:sz w:val="24"/>
        </w:rPr>
        <w:t>. Executive agrees that for a period ending one (1) year after the Separation Date: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Executive shall not, directly or indirectly, whether for herself or for any other person, company, corporation or other entity be or become associated in any way (including but not limited to the association set forth in (i)-(vii) of this subsection) with any business or organization which is directly or indirectly engaged in the research, development, manufacture, production, marketing, promotion or sale of any product the same as or similar to those of the Company, or which competes or intends to compete in any line of business with the Company. Notwithstanding the foregoing, Executive may during the period in which this paragraph is in effect own stock or other interests in corporations or other entities that engage in businesses the same or substantially similar to those engaged in by the Company; </w:t>
      </w:r>
      <w:r>
        <w:rPr>
          <w:rFonts w:ascii="Times New Roman;serif" w:hAnsi="Times New Roman;serif"/>
          <w:b w:val="false"/>
          <w:color w:val="000000"/>
          <w:sz w:val="24"/>
          <w:u w:val="single"/>
        </w:rPr>
        <w:t>provided</w:t>
      </w:r>
      <w:r>
        <w:rPr>
          <w:color w:val="000000"/>
        </w:rPr>
        <w:t> </w:t>
      </w:r>
      <w:r>
        <w:rPr>
          <w:rFonts w:ascii="Times New Roman;serif" w:hAnsi="Times New Roman;serif"/>
          <w:b w:val="false"/>
          <w:color w:val="000000"/>
          <w:sz w:val="24"/>
        </w:rPr>
        <w:t>that Executive does not, directly or indirectly (including without limitation as the result of ownership or control of another corporation or other entity), individually or as part of a group (as that term is defined in Section 13(d) of the Securities Exchange Act of 1934, as amended, and the rules and regulations promulgated thereunder) (i) control or have the ability to control the corporation or other entity; (ii) provide to the corporation or entity, whether as an executive, consultant or otherwise, advice or consultation; (iii) provide to the corporation or entity any confidential or proprietary information regarding the Company or its businesses or regarding the conduct of businesses similar to those of the Company; (iv) hold or have the right by contract or arrangement or understanding with other parties to hold a position on the board of directors or other governing body of the corporation or entity or have the right by contract or arrangement or understanding with other parties to elect one or more persons to any such position; (v) hold a position as an officer of the corporation or entity; (vi) have the purpose to change or influence the control of the corporation or entity (other than solely by the voting of her shares or ownership interest); or (vii) have a business or other relationship, by contract or otherwise, with the corporation or entity other than as a passive investor in it; </w:t>
      </w:r>
      <w:r>
        <w:rPr>
          <w:rFonts w:ascii="Times New Roman;serif" w:hAnsi="Times New Roman;serif"/>
          <w:b w:val="false"/>
          <w:color w:val="000000"/>
          <w:sz w:val="24"/>
          <w:u w:val="single"/>
        </w:rPr>
        <w:t>provided</w:t>
      </w:r>
      <w:r>
        <w:rPr>
          <w:rFonts w:ascii="Times New Roman;serif" w:hAnsi="Times New Roman;serif"/>
          <w:b w:val="false"/>
          <w:color w:val="000000"/>
          <w:sz w:val="24"/>
        </w:rPr>
        <w:t>, </w:t>
      </w:r>
      <w:r>
        <w:rPr>
          <w:rFonts w:ascii="Times New Roman;serif" w:hAnsi="Times New Roman;serif"/>
          <w:b w:val="false"/>
          <w:color w:val="000000"/>
          <w:sz w:val="24"/>
          <w:u w:val="single"/>
        </w:rPr>
        <w:t>however</w:t>
      </w:r>
      <w:r>
        <w:rPr>
          <w:rFonts w:ascii="Times New Roman;serif" w:hAnsi="Times New Roman;serif"/>
          <w:b w:val="false"/>
          <w:color w:val="000000"/>
          <w:sz w:val="24"/>
        </w:rPr>
        <w:t>, that Executive may vote her shares or ownership interest in such manner as she chooses provided that such action does not otherwise violate the prohibitions set forth in this sentence.</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Executive will not, either directly or indirectly, either for herself or for any other person, partnership, firm, company, corporation or other entity, contact, solicit, divert or take away any of the customers or suppliers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Executive will not solicit, entice or otherwise induce any employee of the Company to leave the employ of the Company for any reason whatsoever; nor will Executive directly or indirectly aid, assist or abet any other person or entity in soliciting or hiring any employee of the Company, nor will Executive otherwise interfere with any contractual or other business relationships between the Company and its employees.</w:t>
      </w:r>
    </w:p>
    <w:p>
      <w:pPr>
        <w:pStyle w:val="TextBody"/>
        <w:bidi w:val="0"/>
        <w:spacing w:lineRule="auto" w:line="240"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 xml:space="preserve">Trade Secrets and Confidential Information/Company Property/Inquiries. </w:t>
      </w:r>
      <w:r>
        <w:rPr>
          <w:rFonts w:ascii="Times New Roman;serif" w:hAnsi="Times New Roman;serif"/>
          <w:b w:val="false"/>
          <w:color w:val="000000"/>
          <w:sz w:val="24"/>
        </w:rPr>
        <w:t xml:space="preserve">Executive’s signature below constitutes Executive’s representation that as of the Separation Date, Executive shall (a) remove from any and all devices, records, files, folders, cameras, media, internet sites, electronic or digital devices, and any and all other sources, all documents, tapes, photographs, recordings, images, reproductions, electronic files and other items provided to Executive by the Company and/or any of the Releasees, developed or obtained by Executive in connection with Executive’s employment with the Company, or otherwise belonging to the Company and/or any of the Releasees, and (b) return all documents, tapes, photographs, recordings, images, reproductions, electronic files and other items provided to Executive by the Company, developed or obtained by Executive in connection with Executive’s employment with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or otherwise belonging to the Company, including but not limited to any personal computer(s), BlackBerry, iPhone, iPad, tapes, photographs, recordings, images, reproductions, electronic files and other items. Executive further represents that Executive shall not misuse or disclose any of the Company’s and/or any of the Releasees’ confidential, proprietary or trade secret information to any third party other than good faith disclosure to a law enforcement or authorized regulatory agency of the United States Government or any state or local government. In addition, Executive shall abide by the Company’s external communication policy, such that in the event Executive receives any media, financial community or other third-party inquiries regarding the Company, except as provided in this Section 10, Section 11 and Section 12 of this Agreement, Executive shall not respond (nor shall Executive initiate any such contact) and shall promptly notify the Company’s Global Public Affairs Department at 724.514.1968 or gpa@viatris.com, or any successor department. Pursuant to the Defend Trade Secrets Act of 2016, Executive is hereby notified that an individual may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lineRule="auto" w:line="240"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Limits on Cooperation; Compliance.</w:t>
      </w:r>
      <w:r>
        <w:rPr>
          <w:color w:val="000000"/>
        </w:rPr>
        <w:t xml:space="preserve"> </w:t>
      </w:r>
      <w:r>
        <w:rPr>
          <w:rFonts w:ascii="Times New Roman;serif" w:hAnsi="Times New Roman;serif"/>
          <w:b w:val="false"/>
          <w:color w:val="000000"/>
          <w:sz w:val="24"/>
        </w:rPr>
        <w:t xml:space="preserve">Executive agrees that Executive shall not knowingly encourage, counsel or assist any attorneys or their clients in the presentation or prosecution of any disputes, differences, grievances, claims, charges or complaints by any third party, against the Company, other than good faith assistance to a law enforcement or authorized regulatory agency of the United States Government or any state or local government. Executive may, however, respond to a lawful subpoena or other court order to do so or as related directly to the ADEA waiver in this Agreement or as otherwise required by law. Executive agrees both to promptly notify the Company upon receipt of any such subpoena or court order, and to furnish, within three (3) business days of its receipt, a copy of such subpoena or other court order. If approached by anyone, other than a law enforcement or authorized regulatory agency of the United States Government or any state or local government, for counsel or assistance in the presentation or prosecution of any disputes, differences, grievances, claims, charges or complaints against the Company, Executive shall state no more than that Executive cannot provide counsel or assistance. If approached for counsel or assistance as aforementioned, whether by private parties or law enforcement or regulatory agencies, subject to and as limited by applicable rules governing attorney professional conduct, Executive shall promptly notify the Company of such an occurrence, and provide information to the Company regarding any such communication. While Executive may respond in good faith to lawful inquiries by law enforcement or regulatory agencies, Executive shall notify any such agencies of Executive’s obligations with respect to confidentiality under this Agreement, the Confidentiality Agreement, and any other applicable agreements, and Executive shall continue to honor such obligations in the course of responding to law enforcement or regulatory agency inquiries, as lawfully permitted. Executive understands that nothing contained in this Agreement limits Executive’s ability to file a charge or complaint with the Securities and Exchange Commission (the “SEC”) pursuant to Section 21F of the Securities Exchange Act of 1934, as amended, limits Executive’s ability to communicate with the SEC pursuant to such provision or limits Executive’s right to receive an award for information provided to the SEC pursuant to such provision. Furthermore, Executive hereby represents that Executive is not aware of any violation of any law, Company policy or the Company’s Code of Conduct in any event which could cause harm (financial or otherwise) to the Company or any of its subsidiaries, parents or affiliates or their respective properties, shareholders, employees or prospects, other than matters which Executive has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1"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previously reported to the Office of Global Compliance, the Viatris Legal Department or any successor department. Executive shall use Executive’s reasonable best efforts to consult with the Company and respond at reasonable times or intervals to the Company’s reasonable requests for information or follow-up assistance pertaining to work Executive performed, directed or oversaw on behalf of the Company and/or any subsidiary or affiliate, or other matters in which Executive was involved or of which Executive was otherwise aware. Executive’s obligations hereunder shall include without limitation Executive’s response to requests of legal counsel for the Company and/or any subsidiary or affiliate regarding any legal matters or proceedings of any kind currently pending or which may arise after the Separation Date. The Company will reimburse Executive for any expenses incurred by Executive in connection with such requests or assistance if approved by the Company’s Legal Department and supported by required documentation. No payment made to Executive hereunder is intended to be or shall be interpreted as a payment for testimony in any legal matter. Executive understands that Executive is to provide Executive’s good faith assistance, and agrees to provide truthful responses to any requests for information or testimony. For the avoidance of doubt, Executive shall remain entitled to indemnification from the Company pursuant to any indemnification agreement between Executive and the Company or charter or by-law provision, in each case, pursuant to the terms thereof. </w:t>
      </w:r>
    </w:p>
    <w:p>
      <w:pPr>
        <w:pStyle w:val="TextBody"/>
        <w:bidi w:val="0"/>
        <w:spacing w:lineRule="auto" w:line="240"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Mutual Non-Disparagement.</w:t>
      </w:r>
      <w:r>
        <w:rPr>
          <w:color w:val="000000"/>
        </w:rPr>
        <w:t xml:space="preserve"> </w:t>
      </w:r>
      <w:r>
        <w:rPr>
          <w:rFonts w:ascii="Times New Roman;serif" w:hAnsi="Times New Roman;serif"/>
          <w:b w:val="false"/>
          <w:color w:val="000000"/>
          <w:sz w:val="24"/>
        </w:rPr>
        <w:t>Executive agrees to refrain from any disparaging statements, including but not limited to statements that amount to libel or slander, about the Company, its direct and indirect parents, subsidiaries or affiliated companies, and/or any of its or their current or former employees, officers or directors, and/or any of the other Releasees including, without limitation, the business, products, governance, intellectual property, financial standing, future prospects or other employment, compensation, benefit or personnel practices of the Company and/or any of the Releasees. Executive further agrees to refrain from any disparaging statements, including but not limited to libel or slander, about any of the Releasees that pertain to any personal or confidential matters that may cause embarrassment to any of the Releasees or may result in any adverse effect on the professional or personal reputation of any of the Releasees. The foregoing restrictions shall not apply to any testimony that Executive is compelled by law to give (whether written or verbal). The Company agrees to instruct its executive officers to refrain from any disparaging statements, including but not limited to libel or slander, about Executive that pertain to any personal or confidential matters that may cause embarrassment to Executive or may result in any adverse effect on the professional or personal reputation of Executive. The foregoing restrictions shall not apply to any testimony that any executive officer of the Company is compelled to give by law (whether written or verbal).</w:t>
      </w:r>
    </w:p>
    <w:p>
      <w:pPr>
        <w:pStyle w:val="TextBody"/>
        <w:bidi w:val="0"/>
        <w:spacing w:lineRule="auto" w:line="240"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Material Breach of Agreement.</w:t>
      </w:r>
      <w:r>
        <w:rPr>
          <w:color w:val="000000"/>
        </w:rPr>
        <w:t xml:space="preserve"> </w:t>
      </w:r>
      <w:r>
        <w:rPr>
          <w:rFonts w:ascii="Times New Roman;serif" w:hAnsi="Times New Roman;serif"/>
          <w:b w:val="false"/>
          <w:color w:val="000000"/>
          <w:sz w:val="24"/>
        </w:rPr>
        <w:t>If Executive commits a material breach of this Agreement, which shall include, without limitation, any material breach of Sections 8, 9, 10, 11 and 12 of this Agreement and any material breach of the Confidentiality Agreement, the Company shall be entitled to immediately recover and/or decline to provide the pro rata annual incentive payment described in Section 2(a) and to obtain damages or other remedies available by law, except as provided by law.</w:t>
      </w:r>
    </w:p>
    <w:p>
      <w:pPr>
        <w:pStyle w:val="TextBody"/>
        <w:bidi w:val="0"/>
        <w:spacing w:lineRule="auto" w:line="240"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No Admission of Liability/Compromise.</w:t>
      </w:r>
      <w:r>
        <w:rPr>
          <w:color w:val="000000"/>
        </w:rPr>
        <w:t xml:space="preserve"> </w:t>
      </w:r>
      <w:r>
        <w:rPr>
          <w:rFonts w:ascii="Times New Roman;serif" w:hAnsi="Times New Roman;serif"/>
          <w:b w:val="false"/>
          <w:color w:val="000000"/>
          <w:sz w:val="24"/>
        </w:rPr>
        <w:t>No action taken by the Company and/or any of the Releasees, either previously or in connection with this Agreement, shall be deemed or construed to be (a) an admission of the truth or falsity of any actual or potential claims or (b) an acknowledgment or admission by the Company and/or any of the Releasees of any fault or liability.</w:t>
      </w:r>
    </w:p>
    <w:p>
      <w:pPr>
        <w:pStyle w:val="TextBody"/>
        <w:bidi w:val="0"/>
        <w:spacing w:lineRule="auto" w:line="240" w:before="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Costs.</w:t>
      </w:r>
      <w:r>
        <w:rPr>
          <w:color w:val="000000"/>
        </w:rPr>
        <w:t xml:space="preserve"> </w:t>
      </w:r>
      <w:r>
        <w:rPr>
          <w:rFonts w:ascii="Times New Roman;serif" w:hAnsi="Times New Roman;serif"/>
          <w:b w:val="false"/>
          <w:color w:val="000000"/>
          <w:sz w:val="24"/>
        </w:rPr>
        <w:t>The Parties shall each bear their own costs, attorneys’ fees and other fees incurred in connection with the preparation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Choice of Law and Forum.</w:t>
      </w:r>
      <w:r>
        <w:rPr>
          <w:color w:val="000000"/>
        </w:rPr>
        <w:t xml:space="preserve"> </w:t>
      </w:r>
      <w:r>
        <w:rPr>
          <w:rFonts w:ascii="Times New Roman;serif" w:hAnsi="Times New Roman;serif"/>
          <w:b w:val="false"/>
          <w:color w:val="000000"/>
          <w:sz w:val="24"/>
        </w:rPr>
        <w:t xml:space="preserve">This Agreement shall be construed and enforced according to, and the rights and obligations of the parties shall be governed in all respects by, the laws of the Commonwealth of Pennsylvania without reference to the principles of conflicts of law thereof. Any controversy, dispute or claim arising out of or relating to this Agreement, or the breach hereof, including a claim for injunctive relief, or any claim which in any way arises out of or relates to Executive’s employment with the Company or separation from said employment (whether such dispute arises under any federal, state or local statute or regulation, or at common law), including but not limited to statutory claims for discrimination, shall be resolved by arbitration in accordance with the then-current rules of the American Arbitration Association respecting employment disputes pertaining at the time the dispute arises;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that either party may seek an injunction in aid of arbitration with respect to enforcement of Sections 8, 9, 10, 11 and/or 12 of this Agreement from any court of competent jurisdiction. The Parties agree that the hearing of any such dispute shall be held in Pennsylvania. The decision of the arbitrator(s) shall be final and binding on all parties and any award rendered shall be enforceable upon confirmation by a court of competent jurisdiction. Any arbitration proceedings, decision or award rendered hereunder, and the validity, effect and interpretation of this arbitration provision shall be governed by the Federal Arbitration Act, 9 U.S.C. § 1 </w:t>
      </w:r>
      <w:r>
        <w:rPr>
          <w:rFonts w:ascii="Times New Roman;serif" w:hAnsi="Times New Roman;serif"/>
          <w:b w:val="false"/>
          <w:i/>
          <w:color w:val="000000"/>
          <w:sz w:val="24"/>
        </w:rPr>
        <w:t>et seq</w:t>
      </w:r>
      <w:r>
        <w:rPr>
          <w:rFonts w:ascii="Times New Roman;serif" w:hAnsi="Times New Roman;serif"/>
          <w:b w:val="false"/>
          <w:color w:val="000000"/>
          <w:sz w:val="24"/>
        </w:rPr>
        <w:t>. Executive and the Company expressly consent to the jurisdiction of any such arbitrator over them.</w:t>
      </w:r>
    </w:p>
    <w:p>
      <w:pPr>
        <w:pStyle w:val="TextBody"/>
        <w:bidi w:val="0"/>
        <w:spacing w:lineRule="auto" w:line="240" w:before="0" w:after="240"/>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Tax Consequences.</w:t>
      </w:r>
      <w:r>
        <w:rPr>
          <w:color w:val="000000"/>
        </w:rPr>
        <w:t xml:space="preserve"> </w:t>
      </w:r>
      <w:r>
        <w:rPr>
          <w:rFonts w:ascii="Times New Roman;serif" w:hAnsi="Times New Roman;serif"/>
          <w:b w:val="false"/>
          <w:color w:val="000000"/>
          <w:sz w:val="24"/>
        </w:rPr>
        <w:t xml:space="preserve">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The intent of the parties is that payments and benefits under this Agreement comply with Section 409A of the Internal Revenue Code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2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2 that are due within the “short term deferral period” as defined in 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in a lump sum on the first regularly scheduled Company payroll date occurring after the six-month anniversary of the Separation Date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Authority.</w:t>
      </w:r>
      <w:r>
        <w:rPr>
          <w:color w:val="000000"/>
        </w:rPr>
        <w:t xml:space="preserve"> </w:t>
      </w:r>
      <w:r>
        <w:rPr>
          <w:rFonts w:ascii="Times New Roman;serif" w:hAnsi="Times New Roman;serif"/>
          <w:b w:val="false"/>
          <w:color w:val="000000"/>
          <w:sz w:val="24"/>
        </w:rPr>
        <w:t>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lineRule="auto" w:line="240" w:before="0" w:after="240"/>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No Representations.</w:t>
      </w:r>
      <w:r>
        <w:rPr>
          <w:color w:val="000000"/>
        </w:rPr>
        <w:t xml:space="preserve"> </w:t>
      </w:r>
      <w:r>
        <w:rPr>
          <w:rFonts w:ascii="Times New Roman;serif" w:hAnsi="Times New Roman;serif"/>
          <w:b w:val="false"/>
          <w:color w:val="000000"/>
          <w:sz w:val="24"/>
        </w:rPr>
        <w:t>Executive represents that Executive has had an opportunity to consult with an attorney and has carefully read and understands the scope and effect of the provisions of this Agreement. Executive has not relied upon any representations or statements made by the Company that are not specifically set forth in this Agreement.</w:t>
      </w:r>
    </w:p>
    <w:p>
      <w:pPr>
        <w:pStyle w:val="TextBody"/>
        <w:bidi w:val="0"/>
        <w:spacing w:lineRule="auto" w:line="240" w:before="0" w:after="240"/>
        <w:ind w:left="0" w:right="0" w:firstLine="720"/>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Severability.</w:t>
      </w:r>
      <w:r>
        <w:rPr>
          <w:color w:val="000000"/>
        </w:rPr>
        <w:t xml:space="preserve"> </w:t>
      </w:r>
      <w:r>
        <w:rPr>
          <w:rFonts w:ascii="Times New Roman;serif" w:hAnsi="Times New Roman;serif"/>
          <w:b w:val="false"/>
          <w:color w:val="000000"/>
          <w:sz w:val="24"/>
        </w:rPr>
        <w:t>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Attorneys’ Fees.</w:t>
      </w:r>
      <w:r>
        <w:rPr>
          <w:color w:val="000000"/>
        </w:rPr>
        <w:t xml:space="preserve"> </w:t>
      </w:r>
      <w:r>
        <w:rPr>
          <w:rFonts w:ascii="Times New Roman;serif" w:hAnsi="Times New Roman;serif"/>
          <w:b w:val="false"/>
          <w:color w:val="000000"/>
          <w:sz w:val="24"/>
        </w:rPr>
        <w:t>Except with regard to a legal action challenging or seeking a determination in good faith of the validity of the waiver herein under the ADEA or otherwise prohibited by law,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Such costs and expenses shall be paid to the prevailing party as soon as practicable after the legal action is resolved and in no event later than March 15 of the year following resolution of the legal action.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Entire Agreement.</w:t>
      </w:r>
      <w:r>
        <w:rPr>
          <w:color w:val="000000"/>
        </w:rPr>
        <w:t xml:space="preserve"> </w:t>
      </w:r>
      <w:r>
        <w:rPr>
          <w:rFonts w:ascii="Times New Roman;serif" w:hAnsi="Times New Roman;serif"/>
          <w:b w:val="false"/>
          <w:color w:val="000000"/>
          <w:sz w:val="24"/>
        </w:rPr>
        <w:t>This Agreement and the Confidentiality Agreement (as amended by this Agreement) represent the entire agreement and understanding between the Company and Executive concerning the subject matter of this Agreement and Executive’s employment with and separation from the Company and the events leading thereto and associated therewith, and supersede and replace any and all prior negotiations, representations, agreements and understandings concerning the subject matter of such agreements, Executive’s relationship with the Company and the parties’ obligations following Executive’s employment by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No Oral Modification.</w:t>
      </w:r>
      <w:r>
        <w:rPr>
          <w:color w:val="000000"/>
        </w:rPr>
        <w:t xml:space="preserve"> </w:t>
      </w:r>
      <w:r>
        <w:rPr>
          <w:rFonts w:ascii="Times New Roman;serif" w:hAnsi="Times New Roman;serif"/>
          <w:b w:val="false"/>
          <w:color w:val="000000"/>
          <w:sz w:val="24"/>
        </w:rPr>
        <w:t>This Agreement may only be amended in a writing signed by Executive and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24.</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The laws of the Commonwealth of Pennsylvania govern this Agreement, without regard for choice-of-law provisions. Executive consents to personal and exclusive jurisdiction and venue in the Commonwealth of Pennsylvania.</w:t>
      </w:r>
    </w:p>
    <w:p>
      <w:pPr>
        <w:pStyle w:val="TextBody"/>
        <w:bidi w:val="0"/>
        <w:spacing w:lineRule="auto" w:line="240" w:before="0" w:after="240"/>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 xml:space="preserve">This Agreement shall become immediately effective upon Executive’s execution and delivery of this Agreement to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Executive fails to comply with this Agreement (including the execution and non-revocation of the Release pursuant to Sections 4 and 5), Executive shall not receive any amounts set forth in Section 2(a). </w:t>
      </w:r>
    </w:p>
    <w:p>
      <w:pPr>
        <w:pStyle w:val="TextBody"/>
        <w:bidi w:val="0"/>
        <w:spacing w:lineRule="auto" w:line="240" w:before="0" w:after="240"/>
        <w:ind w:left="0" w:right="0" w:firstLine="720"/>
        <w:jc w:val="left"/>
        <w:rPr/>
      </w:pPr>
      <w:r>
        <w:rPr>
          <w:rFonts w:ascii="Times New Roman;serif" w:hAnsi="Times New Roman;serif"/>
          <w:b w:val="false"/>
          <w:color w:val="000000"/>
          <w:sz w:val="24"/>
        </w:rPr>
        <w:t>26.</w:t>
      </w:r>
      <w:r>
        <w:rPr>
          <w:rFonts w:ascii="Times New Roman;serif" w:hAnsi="Times New Roman;serif"/>
          <w:b w:val="false"/>
          <w:color w:val="000000"/>
          <w:sz w:val="24"/>
          <w:u w:val="single"/>
        </w:rPr>
        <w:t>Counterparts.</w:t>
      </w:r>
      <w:r>
        <w:rPr>
          <w:color w:val="000000"/>
        </w:rPr>
        <w:t xml:space="preserve"> </w:t>
      </w:r>
      <w:r>
        <w:rPr>
          <w:rFonts w:ascii="Times New Roman;serif" w:hAnsi="Times New Roman;serif"/>
          <w:b w:val="false"/>
          <w:color w:val="000000"/>
          <w:sz w:val="24"/>
        </w:rPr>
        <w:t>This Agreement may be executed in counterparts and by facsimile, and each counterpart and facsimile shall have the same force and effect as an original and shall constitute an effective, binding agreement on the part of each of the undersigned.</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jc w:val="left"/>
        <w:rPr/>
      </w:pPr>
      <w:r>
        <w:rPr>
          <w:rFonts w:ascii="Times New Roman;serif" w:hAnsi="Times New Roman;serif"/>
          <w:b w:val="false"/>
          <w:color w:val="000000"/>
          <w:sz w:val="24"/>
        </w:rPr>
        <w:t>27.</w:t>
      </w:r>
      <w:r>
        <w:rPr>
          <w:rFonts w:ascii="Times New Roman;serif" w:hAnsi="Times New Roman;serif"/>
          <w:b w:val="false"/>
          <w:color w:val="000000"/>
          <w:sz w:val="24"/>
          <w:u w:val="single"/>
        </w:rPr>
        <w:t>Voluntary Execution of Agreement.</w:t>
      </w:r>
      <w:r>
        <w:rPr>
          <w:color w:val="000000"/>
        </w:rPr>
        <w:t xml:space="preserve"> </w:t>
      </w:r>
      <w:r>
        <w:rPr>
          <w:rFonts w:ascii="Times New Roman;serif" w:hAnsi="Times New Roman;serif"/>
          <w:b w:val="false"/>
          <w:color w:val="000000"/>
          <w:sz w:val="24"/>
        </w:rPr>
        <w:t>Executive understands and agrees that Executive executed this Agreement voluntarily, without any duress or undue influence on the part or behalf of the Company and/or any of the Releasees or any third party, with the full intent of releasing all of Executive’s claims against the Company and any of the other Releasees. Executive acknowledges that: (a) Executive has read this Agreement; (b) Executive has been represented in the preparation, negotiation and execution of this Agreement by legal counsel of Executive’s own choice or has elected not to retain legal counsel; (c) Executive understands the terms and consequences of this Agreement and of the releases it contains; (d) Executive is fully aware of the legal and binding effect of this Agreement and (e) Executive has been given the toll-free telephone number of the Pennsylvania Bar Association to help Executive identify a qualified lawyer (800-692-7375).</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on the respective dates set forth below.</w:t>
      </w:r>
    </w:p>
    <w:tbl>
      <w:tblPr>
        <w:tblW w:w="5144" w:type="dxa"/>
        <w:jc w:val="left"/>
        <w:tblInd w:w="0" w:type="dxa"/>
        <w:tblLayout w:type="fixed"/>
        <w:tblCellMar>
          <w:top w:w="28" w:type="dxa"/>
          <w:left w:w="28" w:type="dxa"/>
          <w:bottom w:w="28" w:type="dxa"/>
          <w:right w:w="28" w:type="dxa"/>
        </w:tblCellMar>
      </w:tblPr>
      <w:tblGrid>
        <w:gridCol w:w="733"/>
        <w:gridCol w:w="644"/>
        <w:gridCol w:w="647"/>
        <w:gridCol w:w="130"/>
        <w:gridCol w:w="130"/>
        <w:gridCol w:w="131"/>
        <w:gridCol w:w="798"/>
        <w:gridCol w:w="798"/>
        <w:gridCol w:w="1133"/>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Dated: May 1, 2026</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 Theodora Mistras</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Theodora (Doretta) Mistras</w:t>
            </w:r>
          </w:p>
        </w:tc>
      </w:tr>
    </w:tbl>
    <w:p>
      <w:pPr>
        <w:pStyle w:val="TextBody"/>
        <w:bidi w:val="0"/>
        <w:spacing w:before="0" w:after="240"/>
        <w:jc w:val="left"/>
        <w:rPr/>
      </w:pPr>
      <w:r>
        <w:rPr/>
      </w:r>
    </w:p>
    <w:tbl>
      <w:tblPr>
        <w:tblW w:w="8260" w:type="dxa"/>
        <w:jc w:val="left"/>
        <w:tblInd w:w="0" w:type="dxa"/>
        <w:tblLayout w:type="fixed"/>
        <w:tblCellMar>
          <w:top w:w="28" w:type="dxa"/>
          <w:left w:w="28" w:type="dxa"/>
          <w:bottom w:w="28" w:type="dxa"/>
          <w:right w:w="28" w:type="dxa"/>
        </w:tblCellMar>
      </w:tblPr>
      <w:tblGrid>
        <w:gridCol w:w="733"/>
        <w:gridCol w:w="644"/>
        <w:gridCol w:w="647"/>
        <w:gridCol w:w="181"/>
        <w:gridCol w:w="181"/>
        <w:gridCol w:w="181"/>
        <w:gridCol w:w="303"/>
        <w:gridCol w:w="303"/>
        <w:gridCol w:w="303"/>
        <w:gridCol w:w="1398"/>
        <w:gridCol w:w="1398"/>
        <w:gridCol w:w="1988"/>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9"/>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VIATRIS INC.:</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Dated: May 1, 2026</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693"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 Andrew Enrietti</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Andrew Enrietti</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Chief Administrative and Transformation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Second Release</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release (this “Second Release”) is delivered by THEODORA MISTRAS (“Executive”) as of the date set forth below in connection with the Separation Agreement and Release between Executive and Viatris Inc. (together with its affiliates, the “Company”), dated as of [●] (the “Separation Agreement and Release”), and in connection with Executive’s separation from employment with the Company. Capitalized terms used but not defined herein shall have the meaning ascribed to them in the Separation Agreement and Release.</w:t>
      </w:r>
    </w:p>
    <w:p>
      <w:pPr>
        <w:pStyle w:val="TextBody"/>
        <w:bidi w:val="0"/>
        <w:spacing w:before="0" w:after="0"/>
        <w:ind w:left="0" w:right="0" w:firstLine="72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rPr>
        <w:t>In consideration of the pro rata bonus payment eligibility and potential payment granted to Executive under Section 2(a) of the Separation Agreement and Release, which Executive acknowledges Executive would not otherwise be entitled to receive, Executive agrees that the consideration provided under the Separation Agreement and Release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Second Release, including, without limitation: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any and all claims relating to or arising from Executive’s employment relationship with the Company and/or any of the Releasees and the termination of that relationship;</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any and all claims under any policy, agreement, understanding or promise, written or oral, formal or informal, between any Releasee and Executive existing as of the date hereof (whether or not known or arising before, on or after the date Executive executes this Second Release);</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any and all claims for violation of the federal or any state constitution; </w:t>
      </w:r>
    </w:p>
    <w:p>
      <w:pPr>
        <w:pStyle w:val="TextBody"/>
        <w:bidi w:val="0"/>
        <w:spacing w:lineRule="auto" w:line="240"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rPr>
        <w:t>any and all claims arising out of any other laws and regulations relating to employment or employment discrimination;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rPr>
        <w:t>any claim for any loss, cost, damage, or expense arising out of any dispute over the non-withholding or other tax treatment of any of the proceeds received by Executive as a result of the Separation Agreement and Release;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 xml:space="preserve">any and all claims for attorneys’ fees and costs; and </w:t>
      </w:r>
    </w:p>
    <w:p>
      <w:pPr>
        <w:pStyle w:val="TextBody"/>
        <w:bidi w:val="0"/>
        <w:spacing w:lineRule="auto" w:line="240" w:before="0" w:after="240"/>
        <w:ind w:left="0" w:right="0" w:firstLine="1440"/>
        <w:jc w:val="left"/>
        <w:rPr/>
      </w:pPr>
      <w:r>
        <w:rPr>
          <w:rFonts w:ascii="Times New Roman;serif" w:hAnsi="Times New Roman;serif"/>
          <w:b w:val="false"/>
          <w:color w:val="000000"/>
          <w:sz w:val="24"/>
        </w:rPr>
        <w:t>j.</w:t>
      </w:r>
      <w:r>
        <w:rPr>
          <w:rFonts w:ascii="Times New Roman;serif" w:hAnsi="Times New Roman;serif"/>
          <w:b w:val="false"/>
          <w:color w:val="000000"/>
          <w:sz w:val="24"/>
        </w:rPr>
        <w:t>any other claims whatsoever.</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Executive agrees that this Second Release shall be and remain in effect in all respects as a complete general release as to the matters released. This Second Release does not extend to any obligations incurred under the Separation Agreement and Release, any claims accruing after the execution of the Separation Agreement and Release, any rights Executive may have under any indemnification agreements or policies of the Company, or any D&amp;O insurance policy maintained by the Company and/or any of the Releasees. This Second Release does not release claims under the Separation Agreement and Release (including the payments and benefits set forth in Section 2(a) thereof), and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Second Release.</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rPr>
        <w:t xml:space="preserve">Executive acknowledges that Executive is waiving and releasing any rights Executive may have under the Age Discrimination in Employment Act of 1967 (“ADEA”) and that this Second Release is knowing and voluntary. Executive agrees that this Second Release does not apply to any rights or claims that may arise under the ADEA after the date Executive executes this Second Release. Executive acknowledges that the consideration given for this Second Release is in addition to anything of value to which Executive was already entitled. Executive further acknowledges that Executive has been advised by this writing that: (a) Executive should consult with an attorney </w:t>
      </w:r>
      <w:r>
        <w:rPr>
          <w:rFonts w:ascii="Times New Roman;serif" w:hAnsi="Times New Roman;serif"/>
          <w:b w:val="false"/>
          <w:color w:val="000000"/>
          <w:sz w:val="24"/>
          <w:u w:val="single"/>
        </w:rPr>
        <w:t>prior</w:t>
      </w:r>
      <w:r>
        <w:rPr>
          <w:color w:val="000000"/>
        </w:rPr>
        <w:t xml:space="preserve"> </w:t>
      </w:r>
      <w:r>
        <w:rPr>
          <w:rFonts w:ascii="Times New Roman;serif" w:hAnsi="Times New Roman;serif"/>
          <w:b w:val="false"/>
          <w:color w:val="000000"/>
          <w:sz w:val="24"/>
        </w:rPr>
        <w:t xml:space="preserve">to executing this Second Release; (b) Executive has twenty-one (21) days within which to consider this Second Release; (c) Executive has seven (7) days following the execution of this Second Release to revoke this Second Release and may do so by writing to the Company’s General Counsel; (d) this Second Release shall not be effective until after the revocation period has expired without revocation; and (e) nothing in this Second Release prevents or precludes Executive from challenging or seeking a determination in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good faith of the validity of this waiver under the ADEA, nor does it impose any condition precedent, penalties, or costs for doing so, unless specifically authorized by federal law. In the event Executive signs this Second Release and returns it to the Company in less than the 21-day period identified above, Executive hereby acknowledges that Executive has freely and voluntarily chosen to waive the time period allotted for considering this Second Release.</w:t>
      </w:r>
    </w:p>
    <w:p>
      <w:pPr>
        <w:pStyle w:val="TextBody"/>
        <w:bidi w:val="0"/>
        <w:spacing w:lineRule="auto" w:line="240"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rPr>
        <w:t>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lineRule="auto" w:line="240"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rPr>
        <w:t>Executive hereby acknowledges and agrees that the covenant with respect to pending or future lawsuits set forth in Section 7 of the Separation Agreement and Release applies to all claims released pursuant to this Second Release.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 HAVE READ, UNDERSTAND, AND VOLUNTARILY AGREE TO THE TERMS OF THIS RELEASE.</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____________________________         DATE: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Theodora (Doretta) Mistras</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88" w:before="0" w:after="160"/>
        <w:jc w:val="center"/>
        <w:rPr>
          <w:rFonts w:ascii="Times New Roman;serif" w:hAnsi="Times New Roman;serif"/>
          <w:b w:val="false"/>
          <w:color w:val="000000"/>
          <w:sz w:val="24"/>
        </w:rPr>
      </w:pPr>
      <w:r>
        <w:rPr>
          <w:rFonts w:ascii="Times New Roman;serif" w:hAnsi="Times New Roman;serif"/>
          <w:b w:val="false"/>
          <w:color w:val="000000"/>
          <w:sz w:val="24"/>
        </w:rPr>
        <w:t>[Viatris Letterhead]</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August 15, 2025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Andrew B. Enrietti</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c/o last address on file with the Company</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Dear Andrew:</w:t>
      </w:r>
    </w:p>
    <w:p>
      <w:pPr>
        <w:pStyle w:val="TextBody"/>
        <w:bidi w:val="0"/>
        <w:spacing w:lineRule="auto" w:line="288" w:before="0" w:after="160"/>
        <w:jc w:val="left"/>
        <w:rPr/>
      </w:pPr>
      <w:r>
        <w:rPr>
          <w:rFonts w:ascii="Times New Roman;serif" w:hAnsi="Times New Roman;serif"/>
          <w:b w:val="false"/>
          <w:color w:val="000000"/>
          <w:sz w:val="24"/>
        </w:rPr>
        <w:t>On behalf of Viatris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 am pleased to confirm the terms of employment offered to you by the Company in connection with your promotion to the role of Chief Administrative and Transformation Officer effective as of August 15,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16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Position</w:t>
      </w:r>
      <w:r>
        <w:rPr>
          <w:rFonts w:ascii="Times New Roman;serif" w:hAnsi="Times New Roman;serif"/>
          <w:b w:val="false"/>
          <w:color w:val="000000"/>
          <w:sz w:val="24"/>
        </w:rPr>
        <w:t>. Your position shall be Chief Administrative and Transformation Officer, and you shall devote your full business time and attention to such position. You shall report to the Chief Executive Officer of the Company and you shall perform such duties as reasonably requested by the Chief Executive Officer.</w:t>
      </w:r>
    </w:p>
    <w:p>
      <w:pPr>
        <w:pStyle w:val="TextBody"/>
        <w:bidi w:val="0"/>
        <w:spacing w:lineRule="auto" w:line="288" w:before="0" w:after="16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Work Location</w:t>
      </w:r>
      <w:r>
        <w:rPr>
          <w:rFonts w:ascii="Times New Roman;serif" w:hAnsi="Times New Roman;serif"/>
          <w:b w:val="false"/>
          <w:color w:val="000000"/>
          <w:sz w:val="24"/>
        </w:rPr>
        <w:t>. Your principal work location shall be in Pittsburgh, Pennsylvania. You will also be required to travel as dictated by the business needs of the Company.</w:t>
      </w:r>
    </w:p>
    <w:p>
      <w:pPr>
        <w:pStyle w:val="TextBody"/>
        <w:bidi w:val="0"/>
        <w:spacing w:lineRule="auto" w:line="288" w:before="0" w:after="16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Base Salary</w:t>
      </w:r>
      <w:r>
        <w:rPr>
          <w:rFonts w:ascii="Times New Roman;serif" w:hAnsi="Times New Roman;serif"/>
          <w:b w:val="false"/>
          <w:color w:val="000000"/>
          <w:sz w:val="24"/>
        </w:rPr>
        <w:t>. Your annual base salary shall be $800,000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payable on the Company’s standard payroll dates and subject to deductions and withholdings as required by applicable law.</w:t>
      </w:r>
    </w:p>
    <w:p>
      <w:pPr>
        <w:pStyle w:val="TextBody"/>
        <w:bidi w:val="0"/>
        <w:spacing w:lineRule="auto" w:line="288" w:before="0" w:after="16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Annual Incentive Bonus</w:t>
      </w:r>
      <w:r>
        <w:rPr>
          <w:rFonts w:ascii="Times New Roman;serif" w:hAnsi="Times New Roman;serif"/>
          <w:b w:val="false"/>
          <w:color w:val="000000"/>
          <w:sz w:val="24"/>
        </w:rPr>
        <w:t>. Your target bonus opportunity shall be 100% of Base Salary. For 2025, your annual bonus shall be calculated based on the Company’s standard practice for a mid-year promotion. The terms and conditions of the annual incentive plan applicable to the Company’s officers, including the applicable performance goals, will be subject to the determination of the Board (or its applicable designee) each year.</w:t>
      </w:r>
    </w:p>
    <w:p>
      <w:pPr>
        <w:pStyle w:val="TextBody"/>
        <w:bidi w:val="0"/>
        <w:spacing w:lineRule="auto" w:line="288" w:before="0" w:after="16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Long-Term Incentive Awards</w:t>
      </w:r>
      <w:r>
        <w:rPr>
          <w:rFonts w:ascii="Times New Roman;serif" w:hAnsi="Times New Roman;serif"/>
          <w:b w:val="false"/>
          <w:color w:val="000000"/>
          <w:sz w:val="24"/>
        </w:rPr>
        <w:t>. You shall be eligible to receive annual grants of long- term incentive awards as determined by the Board (or its applicable designee). It is intended that the grant date value of such awards shall equal 300% of Base Salary. The terms and conditions of the long-term incentive plan applicable to the Company’s officers, including the applicable performance goals, the mix of long-term incentive vehicles and the timing of applicable grants, shall be subject to the determination of the Board (or its applicable designee) each year.</w:t>
      </w:r>
    </w:p>
    <w:p>
      <w:pPr>
        <w:pStyle w:val="TextBody"/>
        <w:bidi w:val="0"/>
        <w:spacing w:lineRule="auto" w:line="288" w:before="0" w:after="16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Promotion Award</w:t>
      </w:r>
      <w:r>
        <w:rPr>
          <w:rFonts w:ascii="Times New Roman;serif" w:hAnsi="Times New Roman;serif"/>
          <w:b w:val="false"/>
          <w:color w:val="000000"/>
          <w:sz w:val="24"/>
        </w:rPr>
        <w:t>. In connection with your promotion and the increase in your role and responsibilities, you shall be granted an award of restricted stock units (RSUs) with grant date value equal to $800,000. The award will vest in equal annual installments on each of the first, second and third anniversaries of the Effective Date, subject to your continued active employment on each such vesting date.</w:t>
      </w:r>
    </w:p>
    <w:p>
      <w:pPr>
        <w:pStyle w:val="TextBody"/>
        <w:bidi w:val="0"/>
        <w:spacing w:lineRule="auto" w:line="288" w:before="0" w:after="16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Severance</w:t>
      </w:r>
      <w:r>
        <w:rPr>
          <w:rFonts w:ascii="Times New Roman;serif" w:hAnsi="Times New Roman;serif"/>
          <w:b w:val="false"/>
          <w:color w:val="000000"/>
          <w:sz w:val="24"/>
        </w:rPr>
        <w:t xml:space="preserve">. Consistent with your letter agreement with the Company dated as of March 6, 2023, in the event you are terminated by the Company without Cause or you resign for Good </w:t>
      </w:r>
    </w:p>
    <w:p>
      <w:pPr>
        <w:pStyle w:val="TextBody"/>
        <w:bidi w:val="0"/>
        <w:spacing w:before="0" w:after="16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Reason (as such terms are defined on Appendix A), (i) the Company shall pay you an amount in cash equal to two times the sum of your Base Salary and target annual bonus (each as then in effect and without giving effect to any change that would constitute Good Reason), paid in a lump sum no later than sixty (60) days following your termination date, and (ii) you and your eligible dependents shall be provided continued group healthcare benefits coverages at the Company’s expense in accordance with the terms and conditions of Title X of the Consolidated Omnibus Budget Reconciliation Act of 1985, as amended (“COBRA”), for twenty-four (24) months following your termination date. The group healthcare benefits eligible for continuation coverage are medical, prescription drug, vision, dental, Employee Assistance Program (EAP) and coaching and disease management, but you are limited to those healthcare benefits in which you or your eligible dependents participated as of your termination date. Your entitlements pursuant to this Section 7 are subject to your execution and non- revocation of the Company’s standard form release of claims.</w:t>
      </w:r>
    </w:p>
    <w:p>
      <w:pPr>
        <w:pStyle w:val="TextBody"/>
        <w:bidi w:val="0"/>
        <w:spacing w:lineRule="auto" w:line="288" w:before="0" w:after="16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Benefits</w:t>
      </w:r>
      <w:r>
        <w:rPr>
          <w:rFonts w:ascii="Times New Roman;serif" w:hAnsi="Times New Roman;serif"/>
          <w:b w:val="false"/>
          <w:color w:val="000000"/>
          <w:sz w:val="24"/>
        </w:rPr>
        <w:t>. During your employment with the Company, you shall be eligible to participate in all of the various employee benefit plans and programs which are made available to similarly situated officers of the Company, in accordance with the eligibility provisions and other terms and conditions of such plans and programs.</w:t>
      </w:r>
    </w:p>
    <w:p>
      <w:pPr>
        <w:pStyle w:val="TextBody"/>
        <w:bidi w:val="0"/>
        <w:spacing w:lineRule="auto" w:line="288" w:before="0" w:after="160"/>
        <w:jc w:val="left"/>
        <w:rPr/>
      </w:pPr>
      <w:r>
        <w:rPr>
          <w:rFonts w:ascii="Times New Roman;serif" w:hAnsi="Times New Roman;serif"/>
          <w:b w:val="false"/>
          <w:color w:val="000000"/>
          <w:sz w:val="24"/>
        </w:rPr>
        <w:t>9.    </w:t>
      </w:r>
      <w:r>
        <w:rPr>
          <w:rFonts w:ascii="Times New Roman;serif" w:hAnsi="Times New Roman;serif"/>
          <w:b w:val="false"/>
          <w:color w:val="000000"/>
          <w:sz w:val="24"/>
          <w:u w:val="single"/>
        </w:rPr>
        <w:t>Miscellaneous</w:t>
      </w:r>
      <w:r>
        <w:rPr>
          <w:rFonts w:ascii="Times New Roman;serif" w:hAnsi="Times New Roman;serif"/>
          <w:b w:val="false"/>
          <w:color w:val="000000"/>
          <w:sz w:val="24"/>
        </w:rPr>
        <w:t>. The Company may deduct and withhold from any amount payable under this offer letter or otherwise such Federal, state, local, foreign or other taxes as are required to be withheld. The validity, interpretation, construction and performance of this offer letter will be governed by the laws of the Commonwealth of Pennsylvania (without giving effect to its conflicts of law).</w:t>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offer is also contingent upon execution by you of any applicable agreements relating to your employment with the Company (or an affiliate of the Company) (including any applicable confidentiality agreement), in each case, in a form consistent with such agreement to be entered into with similarly situated Company officers, which may be provided to you at a later date.</w:t>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 confirm your acceptance of this offer, please sign and return the original to me.</w:t>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Your passion and commitment give us every reason to believe that together we will set new standards in healthcare and provide access to high quality medicine for the world’s 8 billion people.</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/s/ Scott A. Smith</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Scott A. Smith</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before="0" w:after="160"/>
        <w:jc w:val="left"/>
        <w:rPr/>
      </w:pPr>
      <w:r>
        <w:rPr/>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Accepted:</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/s/ Andew Enrietti </w:t>
      </w:r>
    </w:p>
    <w:p>
      <w:pPr>
        <w:pStyle w:val="TextBody"/>
        <w:bidi w:val="0"/>
        <w:spacing w:lineRule="auto" w:line="321"/>
        <w:jc w:val="left"/>
        <w:rPr>
          <w:rFonts w:ascii="Times New Roman;serif" w:hAnsi="Times New Roman;serif"/>
          <w:b w:val="false"/>
          <w:color w:val="000000"/>
          <w:sz w:val="24"/>
        </w:rPr>
      </w:pPr>
      <w:r>
        <w:rPr>
          <w:rFonts w:ascii="Times New Roman;serif" w:hAnsi="Times New Roman;serif"/>
          <w:b w:val="false"/>
          <w:color w:val="000000"/>
          <w:sz w:val="24"/>
        </w:rPr>
        <w:t xml:space="preserve">Date    August 15, 2025 </w:t>
      </w:r>
    </w:p>
    <w:p>
      <w:pPr>
        <w:pStyle w:val="TextBody"/>
        <w:bidi w:val="0"/>
        <w:spacing w:before="0" w:after="16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lineRule="auto" w:line="288" w:before="0" w:after="16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(i) a willful breach of duty in the course of job performance, (ii) a felony conviction under the laws of any country or any state or locality thereof, (iii) the failure to substantially perform your duties (other than any such failure resulting from your incapacity due to physical or mental illness), (iv) misconduct in connection with your duties or any other act or omission by you, which is injurious to the Company or its direct or indirect subsidiaries, affiliates or related entities monetarily or otherwise or (v) a material violation of any established policy of the Company or any of its direct or indirect subsidiaries, affiliates or related entities.</w:t>
      </w:r>
    </w:p>
    <w:p>
      <w:pPr>
        <w:pStyle w:val="TextBody"/>
        <w:bidi w:val="0"/>
        <w:spacing w:lineRule="auto" w:line="288" w:before="0" w:after="160"/>
        <w:ind w:left="0" w:right="0" w:firstLine="720"/>
        <w:jc w:val="left"/>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mean each of the following without your express written consent: (i) a reduction of base salary or target bonus opportunity (excluding any special or one-time awards), (ii) a material diminution in the duties or responsibilities of your position (including status, offices, titles and reporting requirements) or any other action effecting a material reduction in your role or responsibilities (including, without limitation, a requirement to report to any person other than the Chief Executive Officer) or (iii) a relocation of your principal work location by more than thirty (30) miles, provided, however, that, in each case, you will not be deemed to have Good Reason unless (1) you first provide the Company with written notice of the condition giving rise to Good Reason within 30 days of its initial occurrence, (2) the Company or the successor company fails to cure such condition within 30 days after receiving such written notice and (3) your resignation based on such Good Reason is effective within 30 days after the expiration of such cure period.</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VIATRIS INC.</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NON-EMPLOYEE DIRECTOR DEFERRAL ELECTION</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I.    Overview</w:t>
      </w:r>
    </w:p>
    <w:p>
      <w:pPr>
        <w:pStyle w:val="TextBody"/>
        <w:bidi w:val="0"/>
        <w:spacing w:lineRule="auto" w:line="321" w:before="0" w:after="160"/>
        <w:ind w:left="0" w:right="0" w:firstLine="720"/>
        <w:jc w:val="left"/>
        <w:rPr/>
      </w:pPr>
      <w:r>
        <w:rPr>
          <w:rFonts w:ascii="Times New Roman;serif" w:hAnsi="Times New Roman;serif"/>
          <w:b w:val="false"/>
          <w:color w:val="000000"/>
          <w:sz w:val="24"/>
        </w:rPr>
        <w:t>If you would like to defer payment of your cash retainer or settlement of any restricted stock units (“RSUs”) that may be paid or granted to you by Viatris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calendar year         , please complete and return this deferral form (the “</w:t>
      </w:r>
      <w:r>
        <w:rPr>
          <w:rFonts w:ascii="Times New Roman;serif" w:hAnsi="Times New Roman;serif"/>
          <w:b w:val="false"/>
          <w:color w:val="000000"/>
          <w:sz w:val="24"/>
          <w:u w:val="single"/>
        </w:rPr>
        <w:t>Election Form</w:t>
      </w:r>
      <w:r>
        <w:rPr>
          <w:color w:val="000000"/>
        </w:rPr>
        <w:t>”</w:t>
      </w:r>
      <w:r>
        <w:rPr>
          <w:rFonts w:ascii="Times New Roman;serif" w:hAnsi="Times New Roman;serif"/>
          <w:b w:val="false"/>
          <w:color w:val="000000"/>
          <w:sz w:val="24"/>
        </w:rPr>
        <w:t>) to     , no later than      .</w:t>
      </w:r>
    </w:p>
    <w:p>
      <w:pPr>
        <w:pStyle w:val="TextBody"/>
        <w:bidi w:val="0"/>
        <w:spacing w:lineRule="auto" w:line="321" w:before="0" w:after="160"/>
        <w:ind w:left="0" w:right="0" w:firstLine="720"/>
        <w:jc w:val="left"/>
        <w:rPr/>
      </w:pPr>
      <w:r>
        <w:rPr>
          <w:rFonts w:ascii="Times New Roman;serif" w:hAnsi="Times New Roman;serif"/>
          <w:b w:val="false"/>
          <w:i/>
          <w:color w:val="000000"/>
          <w:sz w:val="24"/>
        </w:rPr>
        <w:t>Permitted Deferral Dates</w:t>
      </w:r>
      <w:r>
        <w:rPr>
          <w:rFonts w:ascii="Times New Roman;serif" w:hAnsi="Times New Roman;serif"/>
          <w:b w:val="false"/>
          <w:color w:val="000000"/>
          <w:sz w:val="24"/>
        </w:rPr>
        <w:t>. If you elect to defer receipt of your cash retainer, the cash amount otherwise payable to you will be deemed invested in Viatris shares in the form of deferred stock units (“</w:t>
      </w:r>
      <w:r>
        <w:rPr>
          <w:rFonts w:ascii="Times New Roman;serif" w:hAnsi="Times New Roman;serif"/>
          <w:b w:val="false"/>
          <w:color w:val="000000"/>
          <w:sz w:val="24"/>
          <w:u w:val="single"/>
        </w:rPr>
        <w:t>DSUs</w:t>
      </w:r>
      <w:r>
        <w:rPr>
          <w:color w:val="000000"/>
        </w:rPr>
        <w:t>”</w:t>
      </w:r>
      <w:r>
        <w:rPr>
          <w:rFonts w:ascii="Times New Roman;serif" w:hAnsi="Times New Roman;serif"/>
          <w:b w:val="false"/>
          <w:color w:val="000000"/>
          <w:sz w:val="24"/>
        </w:rPr>
        <w:t>). If you elect to defer receipt of your RSUs, you will be electing to defer the settlement of the RSUs beyond their otherwise applicable vesting date.</w:t>
      </w:r>
    </w:p>
    <w:p>
      <w:pPr>
        <w:pStyle w:val="TextBody"/>
        <w:bidi w:val="0"/>
        <w:spacing w:lineRule="auto" w:line="321" w:before="0" w:after="160"/>
        <w:ind w:left="0" w:right="0" w:firstLine="720"/>
        <w:jc w:val="left"/>
        <w:rPr/>
      </w:pPr>
      <w:r>
        <w:rPr>
          <w:rFonts w:ascii="Times New Roman;serif" w:hAnsi="Times New Roman;serif"/>
          <w:b w:val="false"/>
          <w:color w:val="000000"/>
          <w:sz w:val="24"/>
        </w:rPr>
        <w:t>You may elect to defer settlement of the DSUs and RSUs to the earliest of the following dates (such earliest date, the “</w:t>
      </w:r>
      <w:r>
        <w:rPr>
          <w:rFonts w:ascii="Times New Roman;serif" w:hAnsi="Times New Roman;serif"/>
          <w:b w:val="false"/>
          <w:color w:val="000000"/>
          <w:sz w:val="24"/>
          <w:u w:val="single"/>
        </w:rPr>
        <w:t>Distribution Date</w:t>
      </w:r>
      <w:r>
        <w:rPr>
          <w:color w:val="000000"/>
        </w:rPr>
        <w:t>”</w:t>
      </w:r>
      <w:r>
        <w:rPr>
          <w:rFonts w:ascii="Times New Roman;serif" w:hAnsi="Times New Roman;serif"/>
          <w:b w:val="false"/>
          <w:color w:val="000000"/>
          <w:sz w:val="24"/>
        </w:rPr>
        <w:t>):</w:t>
      </w:r>
    </w:p>
    <w:p>
      <w:pPr>
        <w:pStyle w:val="TextBody"/>
        <w:bidi w:val="0"/>
        <w:spacing w:lineRule="auto" w:line="321" w:before="0" w:after="160"/>
        <w:ind w:left="0" w:right="0" w:firstLine="720"/>
        <w:jc w:val="left"/>
        <w:rPr/>
      </w:pPr>
      <w:r>
        <w:rPr>
          <w:rFonts w:ascii="Times New Roman;serif" w:hAnsi="Times New Roman;serif"/>
          <w:b w:val="false"/>
          <w:color w:val="000000"/>
          <w:sz w:val="24"/>
        </w:rPr>
        <w:t>(A)    the date of your “separation from service” within the meaning of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 i.e., the date on which you cease to be a Non-Employee Director for any reason;</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 fixed payment date;</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    the date of your death or “disability” within the meaning of Section 409A of the Code; and</w:t>
      </w:r>
    </w:p>
    <w:p>
      <w:pPr>
        <w:pStyle w:val="TextBody"/>
        <w:bidi w:val="0"/>
        <w:spacing w:lineRule="auto" w:line="321" w:before="0" w:after="160"/>
        <w:jc w:val="left"/>
        <w:rPr/>
      </w:pPr>
      <w:r>
        <w:rPr>
          <w:rFonts w:ascii="Times New Roman;serif" w:hAnsi="Times New Roman;serif"/>
          <w:b w:val="false"/>
          <w:color w:val="000000"/>
          <w:sz w:val="24"/>
        </w:rPr>
        <w:t>(D)    the date of a Change in Control of the Company within the meaning of Section 409A of the Code (the “</w:t>
      </w:r>
      <w:r>
        <w:rPr>
          <w:rFonts w:ascii="Times New Roman;serif" w:hAnsi="Times New Roman;serif"/>
          <w:b w:val="false"/>
          <w:color w:val="000000"/>
          <w:sz w:val="24"/>
          <w:u w:val="single"/>
        </w:rPr>
        <w:t>Change in Control Date</w:t>
      </w:r>
      <w:r>
        <w:rPr>
          <w:color w:val="000000"/>
        </w:rPr>
        <w:t>”</w:t>
      </w:r>
      <w:r>
        <w:rPr>
          <w:rFonts w:ascii="Times New Roman;serif" w:hAnsi="Times New Roman;serif"/>
          <w:b w:val="false"/>
          <w:color w:val="000000"/>
          <w:sz w:val="24"/>
        </w:rPr>
        <w:t>).</w:t>
      </w:r>
    </w:p>
    <w:p>
      <w:pPr>
        <w:pStyle w:val="TextBody"/>
        <w:bidi w:val="0"/>
        <w:spacing w:lineRule="auto" w:line="321" w:before="0" w:after="160"/>
        <w:ind w:left="0" w:right="0" w:firstLine="720"/>
        <w:jc w:val="left"/>
        <w:rPr/>
      </w:pPr>
      <w:r>
        <w:rPr>
          <w:rFonts w:ascii="Times New Roman;serif" w:hAnsi="Times New Roman;serif"/>
          <w:b w:val="false"/>
          <w:i/>
          <w:color w:val="000000"/>
          <w:sz w:val="24"/>
        </w:rPr>
        <w:t>Deadline for Making Deferral Election</w:t>
      </w:r>
      <w:r>
        <w:rPr>
          <w:rFonts w:ascii="Times New Roman;serif" w:hAnsi="Times New Roman;serif"/>
          <w:b w:val="false"/>
          <w:color w:val="000000"/>
          <w:sz w:val="24"/>
        </w:rPr>
        <w:t xml:space="preserve">. If you make a deferral election, it will become irrevocable on     . If you do not return a properly completed Election Form on or prior to     , then any cash retainer or RSUs that are granted to you in connection with the Company’s calendar year will not be deferred and the underlying cash will be paid quarterly and shares of Company common stock (“Shares”) will be settled as provided under the applicable RSU award agreement. In future years, this deferral deadline will be December 31 prior to the applicable year. </w:t>
      </w:r>
      <w:r>
        <w:rPr>
          <w:rFonts w:ascii="Times New Roman;serif" w:hAnsi="Times New Roman;serif"/>
          <w:b/>
          <w:color w:val="000000"/>
          <w:sz w:val="24"/>
        </w:rPr>
        <w:t>You should be aware that once a deferral election is made with respect to cash retainers and RSUs, it is not possible to alter the timing of the settlement except in extremely limited circumstances</w:t>
      </w:r>
      <w:r>
        <w:rPr>
          <w:rFonts w:ascii="Times New Roman;serif" w:hAnsi="Times New Roman;serif"/>
          <w:b w:val="false"/>
          <w:color w:val="000000"/>
          <w:sz w:val="24"/>
        </w:rPr>
        <w:t>.</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II.    Deferral Election for Cash Retainers</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pPr>
      <w:r>
        <w:rPr/>
        <w:drawing>
          <wp:inline distT="0" distB="0" distL="0" distR="0">
            <wp:extent cx="133350" cy="152400"/>
            <wp:effectExtent l="0" t="0" r="0" b="0"/>
            <wp:docPr id="9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 descr=""/>
                    <pic:cNvPicPr>
                      <a:picLocks noChangeAspect="1" noChangeArrowheads="1"/>
                    </pic:cNvPicPr>
                  </pic:nvPicPr>
                  <pic:blipFill>
                    <a:blip r:embed="rId4"/>
                    <a:stretch>
                      <a:fillRect/>
                    </a:stretch>
                  </pic:blipFill>
                  <pic:spPr bwMode="auto">
                    <a:xfrm>
                      <a:off x="0" y="0"/>
                      <a:ext cx="133350" cy="152400"/>
                    </a:xfrm>
                    <a:prstGeom prst="rect">
                      <a:avLst/>
                    </a:prstGeom>
                  </pic:spPr>
                </pic:pic>
              </a:graphicData>
            </a:graphic>
          </wp:inline>
        </w:drawing>
      </w:r>
      <w:r>
        <w:rPr>
          <w:color w:val="000000"/>
        </w:rPr>
        <w:t xml:space="preserve"> </w:t>
      </w:r>
      <w:r>
        <w:rPr>
          <w:rFonts w:ascii="Times New Roman;serif" w:hAnsi="Times New Roman;serif"/>
          <w:b w:val="false"/>
          <w:color w:val="000000"/>
          <w:sz w:val="24"/>
        </w:rPr>
        <w:t>I hereby elect to defer 100% of any cash retainers payable to me past the otherwise- applicable payment date and until the earliest to occur of the following dates: (please check none, one or two of the boxes below and provide the requested information as applicable)</w:t>
      </w:r>
    </w:p>
    <w:p>
      <w:pPr>
        <w:pStyle w:val="TextBody"/>
        <w:bidi w:val="0"/>
        <w:spacing w:lineRule="auto" w:line="321" w:before="0" w:after="160"/>
        <w:ind w:left="0" w:right="0" w:firstLine="720"/>
        <w:jc w:val="left"/>
        <w:rPr/>
      </w:pPr>
      <w:r>
        <w:rPr/>
        <w:drawing>
          <wp:inline distT="0" distB="0" distL="0" distR="0">
            <wp:extent cx="133350" cy="152400"/>
            <wp:effectExtent l="0" t="0" r="0" b="0"/>
            <wp:docPr id="9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 descr=""/>
                    <pic:cNvPicPr>
                      <a:picLocks noChangeAspect="1" noChangeArrowheads="1"/>
                    </pic:cNvPicPr>
                  </pic:nvPicPr>
                  <pic:blipFill>
                    <a:blip r:embed="rId5"/>
                    <a:stretch>
                      <a:fillRect/>
                    </a:stretch>
                  </pic:blipFill>
                  <pic:spPr bwMode="auto">
                    <a:xfrm>
                      <a:off x="0" y="0"/>
                      <a:ext cx="133350" cy="152400"/>
                    </a:xfrm>
                    <a:prstGeom prst="rect">
                      <a:avLst/>
                    </a:prstGeom>
                  </pic:spPr>
                </pic:pic>
              </a:graphicData>
            </a:graphic>
          </wp:inline>
        </w:drawing>
      </w:r>
      <w:r>
        <w:rPr>
          <w:color w:val="000000"/>
        </w:rPr>
        <w:t xml:space="preserve"> </w:t>
      </w:r>
      <w:r>
        <w:rPr>
          <w:rFonts w:ascii="Times New Roman;serif" w:hAnsi="Times New Roman;serif"/>
          <w:b w:val="false"/>
          <w:color w:val="000000"/>
          <w:sz w:val="24"/>
        </w:rPr>
        <w:t>The following date:      .</w:t>
      </w:r>
    </w:p>
    <w:p>
      <w:pPr>
        <w:pStyle w:val="TextBody"/>
        <w:bidi w:val="0"/>
        <w:spacing w:lineRule="auto" w:line="321" w:before="0" w:after="160"/>
        <w:ind w:left="0" w:right="0" w:firstLine="720"/>
        <w:jc w:val="left"/>
        <w:rPr/>
      </w:pPr>
      <w:r>
        <w:rPr/>
        <w:drawing>
          <wp:inline distT="0" distB="0" distL="0" distR="0">
            <wp:extent cx="133350" cy="152400"/>
            <wp:effectExtent l="0" t="0" r="0" b="0"/>
            <wp:docPr id="9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 descr=""/>
                    <pic:cNvPicPr>
                      <a:picLocks noChangeAspect="1" noChangeArrowheads="1"/>
                    </pic:cNvPicPr>
                  </pic:nvPicPr>
                  <pic:blipFill>
                    <a:blip r:embed="rId6"/>
                    <a:stretch>
                      <a:fillRect/>
                    </a:stretch>
                  </pic:blipFill>
                  <pic:spPr bwMode="auto">
                    <a:xfrm>
                      <a:off x="0" y="0"/>
                      <a:ext cx="133350" cy="152400"/>
                    </a:xfrm>
                    <a:prstGeom prst="rect">
                      <a:avLst/>
                    </a:prstGeom>
                  </pic:spPr>
                </pic:pic>
              </a:graphicData>
            </a:graphic>
          </wp:inline>
        </w:drawing>
      </w:r>
      <w:r>
        <w:rPr>
          <w:color w:val="000000"/>
        </w:rPr>
        <w:t xml:space="preserve"> </w:t>
      </w:r>
      <w:r>
        <w:rPr>
          <w:rFonts w:ascii="Times New Roman;serif" w:hAnsi="Times New Roman;serif"/>
          <w:b w:val="false"/>
          <w:color w:val="000000"/>
          <w:sz w:val="24"/>
        </w:rPr>
        <w:t>The date on which I cease to be a Non-Employee Director for any reason pursuant to a “separation from service” within the meaning of Section 409A of the Code.</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date of your death or Disability and the Change in Control Date are automatic settlement events. Upon a Distribution Date (which includes any event you select in the boxes above), your DSUs will be settled in a single lump-sum.</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that a deferral election would result in the deferral of a number of DSUs that is not a whole number, the election shall be automatically rounded up to the nearest whole number of shares.</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Deferral of any cash retainers granted to you in future calendar years will require completion of a new Election Form.</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III.    Deferral Election for     RSUs</w:t>
      </w:r>
    </w:p>
    <w:p>
      <w:pPr>
        <w:pStyle w:val="TextBody"/>
        <w:bidi w:val="0"/>
        <w:spacing w:lineRule="auto" w:line="321" w:before="0" w:after="160"/>
        <w:ind w:left="0" w:right="0" w:firstLine="720"/>
        <w:jc w:val="left"/>
        <w:rPr/>
      </w:pPr>
      <w:r>
        <w:rPr/>
        <w:drawing>
          <wp:inline distT="0" distB="0" distL="0" distR="0">
            <wp:extent cx="133350" cy="152400"/>
            <wp:effectExtent l="0" t="0" r="0" b="0"/>
            <wp:docPr id="9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 descr=""/>
                    <pic:cNvPicPr>
                      <a:picLocks noChangeAspect="1" noChangeArrowheads="1"/>
                    </pic:cNvPicPr>
                  </pic:nvPicPr>
                  <pic:blipFill>
                    <a:blip r:embed="rId7"/>
                    <a:stretch>
                      <a:fillRect/>
                    </a:stretch>
                  </pic:blipFill>
                  <pic:spPr bwMode="auto">
                    <a:xfrm>
                      <a:off x="0" y="0"/>
                      <a:ext cx="133350" cy="152400"/>
                    </a:xfrm>
                    <a:prstGeom prst="rect">
                      <a:avLst/>
                    </a:prstGeom>
                  </pic:spPr>
                </pic:pic>
              </a:graphicData>
            </a:graphic>
          </wp:inline>
        </w:drawing>
      </w:r>
      <w:r>
        <w:rPr>
          <w:color w:val="000000"/>
        </w:rPr>
        <w:t xml:space="preserve"> </w:t>
      </w:r>
      <w:r>
        <w:rPr>
          <w:rFonts w:ascii="Times New Roman;serif" w:hAnsi="Times New Roman;serif"/>
          <w:b w:val="false"/>
          <w:color w:val="000000"/>
          <w:sz w:val="24"/>
        </w:rPr>
        <w:t>I hereby elect to defer 100% of any RSUs that may be granted to me by Viatris, Inc. in past the otherwise-applicable payment or vesting date and until the earliest to occur of the following dates: (</w:t>
      </w:r>
      <w:r>
        <w:rPr>
          <w:rFonts w:ascii="Times New Roman;serif" w:hAnsi="Times New Roman;serif"/>
          <w:b w:val="false"/>
          <w:i/>
          <w:color w:val="000000"/>
          <w:sz w:val="24"/>
        </w:rPr>
        <w:t>please check none, one or two of the boxes below and provide the requested information as applicable</w:t>
      </w:r>
      <w:r>
        <w:rPr>
          <w:rFonts w:ascii="Times New Roman;serif" w:hAnsi="Times New Roman;serif"/>
          <w:b w:val="false"/>
          <w:color w:val="000000"/>
          <w:sz w:val="24"/>
        </w:rPr>
        <w:t>)</w:t>
      </w:r>
    </w:p>
    <w:p>
      <w:pPr>
        <w:pStyle w:val="TextBody"/>
        <w:bidi w:val="0"/>
        <w:spacing w:lineRule="auto" w:line="321" w:before="0" w:after="160"/>
        <w:jc w:val="left"/>
        <w:rPr/>
      </w:pPr>
      <w:r>
        <w:rPr/>
        <w:drawing>
          <wp:inline distT="0" distB="0" distL="0" distR="0">
            <wp:extent cx="133350" cy="152400"/>
            <wp:effectExtent l="0" t="0" r="0" b="0"/>
            <wp:docPr id="9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 descr=""/>
                    <pic:cNvPicPr>
                      <a:picLocks noChangeAspect="1" noChangeArrowheads="1"/>
                    </pic:cNvPicPr>
                  </pic:nvPicPr>
                  <pic:blipFill>
                    <a:blip r:embed="rId8"/>
                    <a:stretch>
                      <a:fillRect/>
                    </a:stretch>
                  </pic:blipFill>
                  <pic:spPr bwMode="auto">
                    <a:xfrm>
                      <a:off x="0" y="0"/>
                      <a:ext cx="133350" cy="152400"/>
                    </a:xfrm>
                    <a:prstGeom prst="rect">
                      <a:avLst/>
                    </a:prstGeom>
                  </pic:spPr>
                </pic:pic>
              </a:graphicData>
            </a:graphic>
          </wp:inline>
        </w:drawing>
      </w:r>
      <w:r>
        <w:rPr>
          <w:color w:val="000000"/>
        </w:rPr>
        <w:t xml:space="preserve"> </w:t>
      </w:r>
      <w:r>
        <w:rPr>
          <w:rFonts w:ascii="Times New Roman;serif" w:hAnsi="Times New Roman;serif"/>
          <w:b w:val="false"/>
          <w:color w:val="000000"/>
          <w:sz w:val="24"/>
        </w:rPr>
        <w:t>The following date:     (please provide a date that is more than one year and a day following the grant date of the RSUs).</w:t>
      </w:r>
    </w:p>
    <w:p>
      <w:pPr>
        <w:pStyle w:val="TextBody"/>
        <w:bidi w:val="0"/>
        <w:spacing w:lineRule="auto" w:line="321" w:before="0" w:after="160"/>
        <w:jc w:val="left"/>
        <w:rPr/>
      </w:pPr>
      <w:r>
        <w:rPr/>
        <w:drawing>
          <wp:inline distT="0" distB="0" distL="0" distR="0">
            <wp:extent cx="133350" cy="152400"/>
            <wp:effectExtent l="0" t="0" r="0" b="0"/>
            <wp:docPr id="9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 descr=""/>
                    <pic:cNvPicPr>
                      <a:picLocks noChangeAspect="1" noChangeArrowheads="1"/>
                    </pic:cNvPicPr>
                  </pic:nvPicPr>
                  <pic:blipFill>
                    <a:blip r:embed="rId9"/>
                    <a:stretch>
                      <a:fillRect/>
                    </a:stretch>
                  </pic:blipFill>
                  <pic:spPr bwMode="auto">
                    <a:xfrm>
                      <a:off x="0" y="0"/>
                      <a:ext cx="133350" cy="152400"/>
                    </a:xfrm>
                    <a:prstGeom prst="rect">
                      <a:avLst/>
                    </a:prstGeom>
                  </pic:spPr>
                </pic:pic>
              </a:graphicData>
            </a:graphic>
          </wp:inline>
        </w:drawing>
      </w:r>
      <w:r>
        <w:rPr>
          <w:color w:val="000000"/>
        </w:rPr>
        <w:t xml:space="preserve"> </w:t>
      </w:r>
      <w:r>
        <w:rPr>
          <w:rFonts w:ascii="Times New Roman;serif" w:hAnsi="Times New Roman;serif"/>
          <w:b w:val="false"/>
          <w:color w:val="000000"/>
          <w:sz w:val="24"/>
        </w:rPr>
        <w:t>The date on which I cease to be a Non-Employee Director for any reason pursuant to a “separation from service” within the meaning of Section 409A of the Code.</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date of your death or Disability and the Change in Control Date are automatic settlement events under your award agreement. Upon a Distribution Date (which includes any event you select in the boxes above), your RSUs will be settled in a single lump-sum.</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event that a deferral election would result in the deferral of a number of RSUs that is not a whole number, the election shall be automatically rounded up to the nearest whole number of shares.</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Deferral of any RSUs granted to you in future calendar years will require completion of a new Election Form.</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IV.    Deferred Accounts</w:t>
      </w:r>
    </w:p>
    <w:p>
      <w:pPr>
        <w:pStyle w:val="TextBody"/>
        <w:bidi w:val="0"/>
        <w:spacing w:before="0" w:after="16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firstLine="720"/>
        <w:jc w:val="left"/>
        <w:rPr/>
      </w:pPr>
      <w:r>
        <w:rPr>
          <w:rFonts w:ascii="Times New Roman;serif" w:hAnsi="Times New Roman;serif"/>
          <w:b w:val="false"/>
          <w:color w:val="000000"/>
          <w:sz w:val="24"/>
        </w:rPr>
        <w:t>A deferred RSU or DSU account (a “</w:t>
      </w:r>
      <w:r>
        <w:rPr>
          <w:rFonts w:ascii="Times New Roman;serif" w:hAnsi="Times New Roman;serif"/>
          <w:b w:val="false"/>
          <w:color w:val="000000"/>
          <w:sz w:val="24"/>
          <w:u w:val="single"/>
        </w:rPr>
        <w:t>Deferral Account</w:t>
      </w:r>
      <w:r>
        <w:rPr>
          <w:color w:val="000000"/>
        </w:rPr>
        <w:t>”</w:t>
      </w:r>
      <w:r>
        <w:rPr>
          <w:rFonts w:ascii="Times New Roman;serif" w:hAnsi="Times New Roman;serif"/>
          <w:b w:val="false"/>
          <w:color w:val="000000"/>
          <w:sz w:val="24"/>
        </w:rPr>
        <w:t>) shall be established and maintained for each Non-Employee Director who has completed and submitted this Election Form in accordance with the terms and conditions set forth herein, subject to the following rules: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(A)    An RSU or DSU account shall be credited to the applicable Non-Employee Director’s Deferral Account. The RSUs shall remain subject to vesting and shall be subject to forfeiture in accordance with the award agreement governing the RSUs and any award shall be forfeited if the vesting requirement is not satisfied prior to the Distribution Date.</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    Any dividend equivalents relating to RSUs or DSUs shall also be deferred and credited to the Deferral Account, and shall be settled at the same time as the RSUs or DSUs to which such dividend equivalents relate.</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    The number of RSUs or DSUs and any related dividend equivalents shall be appropriately and equitably adjusted to reflect any change in the outstanding shares in the event of any dividend or other distribution, recapitalization, stock split, reverse stock split, reorganization, merger, consolidation, split-up, spin-off, combination, repurchase or exchange of shares or other securities of the Company, or other similar corporate transaction or event affecting the Shares.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    Non-Employee Directors who elect to defer RSUs or elect DSUs shall have no rights as shareholders of the Company (i.e., voting rights and rights to dividends) with respect to RSUs or DSUs (dividends will accumulate in additional RSUs or DSUs).</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(E)    The Deferral Account balance attributable to DSUs shall be settled within 30 days following the Distribution Date.</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    If the number of Shares (including any attributable to the value of any related dividend equivalents) deliverable with respect to the DSUs includes a fractional share it shall be automatically rounded up to the nearest whole number of shares.</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V.    Additional Terms</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deferred awards and any related dividend equivalents shall be hypothetical in nature and shall be maintained for bookkeeping purposes only. Each Deferral Account shall be unfunded for tax purposes and no provision shall be made at any time with respect to segregating assets of the Company for settlement of the awards and any related dividend equivalents. The obligation of the Company to make settlements pursuant to this Election Form constitutes an unsecured but legally enforceable promise of the Company to make such settlements.</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Election Form is intended to comply with section 409A of the Code. Any deferral election that is inconsistent with section 409A of the Code shall not be effective.</w:t>
      </w:r>
    </w:p>
    <w:p>
      <w:pPr>
        <w:pStyle w:val="TextBody"/>
        <w:bidi w:val="0"/>
        <w:spacing w:before="0" w:after="16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Attached to this Election Form is a written designation of the beneficiary or beneficiaries to whom settlement of the aggregate value of the RSUs and DSUs and any related dividend equivalents shall be made in the event of your death. Beneficiary designations shall become effective only when received by the Company. If no beneficiary designation form is on file with the Company on the date of your death, or if no beneficiary is living on the Distribution Date, the RSUs and DSUs and any related dividend equivalents shall be distributed to the representative of your estate. Settlement to your designated beneficiary shall be made in accordance with the provisions of this Election Form and the award agreement governing your RSUs and DSUs.</w:t>
      </w:r>
    </w:p>
    <w:p>
      <w:pPr>
        <w:pStyle w:val="TextBody"/>
        <w:bidi w:val="0"/>
        <w:spacing w:lineRule="auto" w:line="321" w:before="0" w:after="160"/>
        <w:jc w:val="left"/>
        <w:rPr>
          <w:rFonts w:ascii="Times New Roman;serif" w:hAnsi="Times New Roman;serif"/>
          <w:b/>
          <w:color w:val="000000"/>
          <w:sz w:val="24"/>
        </w:rPr>
      </w:pPr>
      <w:r>
        <w:rPr>
          <w:rFonts w:ascii="Times New Roman;serif" w:hAnsi="Times New Roman;serif"/>
          <w:b/>
          <w:color w:val="000000"/>
          <w:sz w:val="24"/>
        </w:rPr>
        <w:t>VI.    Director Signature</w:t>
      </w:r>
    </w:p>
    <w:p>
      <w:pPr>
        <w:pStyle w:val="TextBody"/>
        <w:bidi w:val="0"/>
        <w:spacing w:lineRule="auto" w:line="321" w:before="0" w:after="160"/>
        <w:ind w:left="0" w:right="0" w:firstLine="720"/>
        <w:jc w:val="left"/>
        <w:rPr>
          <w:rFonts w:ascii="Times New Roman;serif" w:hAnsi="Times New Roman;serif"/>
          <w:b/>
          <w:color w:val="000000"/>
          <w:sz w:val="24"/>
        </w:rPr>
      </w:pPr>
      <w:r>
        <w:rPr>
          <w:rFonts w:ascii="Times New Roman;serif" w:hAnsi="Times New Roman;serif"/>
          <w:b/>
          <w:color w:val="000000"/>
          <w:sz w:val="24"/>
        </w:rPr>
        <w:t>I understand that, as of     , the deferral elections that I have made on this Election Form shall be irrevocable and shall apply to all of the cash retainers and RSUs to be paid or granted to me during .</w:t>
      </w:r>
    </w:p>
    <w:p>
      <w:pPr>
        <w:pStyle w:val="TextBody"/>
        <w:bidi w:val="0"/>
        <w:spacing w:lineRule="auto" w:line="321" w:before="0" w:after="160"/>
        <w:ind w:left="0" w:right="0" w:firstLine="720"/>
        <w:jc w:val="left"/>
        <w:rPr>
          <w:rFonts w:ascii="Times New Roman;serif" w:hAnsi="Times New Roman;serif"/>
          <w:b/>
          <w:color w:val="000000"/>
          <w:sz w:val="24"/>
        </w:rPr>
      </w:pPr>
      <w:r>
        <w:rPr>
          <w:rFonts w:ascii="Times New Roman;serif" w:hAnsi="Times New Roman;serif"/>
          <w:b/>
          <w:color w:val="000000"/>
          <w:sz w:val="24"/>
        </w:rPr>
        <w:t>I understand that the amounts deferred shall generally be taxable as ordinary income in the year when settled.</w:t>
      </w:r>
    </w:p>
    <w:p>
      <w:pPr>
        <w:pStyle w:val="TextBody"/>
        <w:bidi w:val="0"/>
        <w:spacing w:lineRule="auto" w:line="321" w:before="0" w:after="160"/>
        <w:ind w:left="0" w:right="0" w:firstLine="720"/>
        <w:jc w:val="left"/>
        <w:rPr>
          <w:rFonts w:ascii="Times New Roman;serif" w:hAnsi="Times New Roman;serif"/>
          <w:b/>
          <w:color w:val="000000"/>
          <w:sz w:val="24"/>
        </w:rPr>
      </w:pPr>
      <w:r>
        <w:rPr>
          <w:rFonts w:ascii="Times New Roman;serif" w:hAnsi="Times New Roman;serif"/>
          <w:b/>
          <w:color w:val="000000"/>
          <w:sz w:val="24"/>
        </w:rPr>
        <w:t>I certify that the foregoing elections are not being made in reliance upon any financial or tax advice given by the Company. I understand that I should consult my own tax advisor as to the tax consequences of my deferral election.</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signing this Election Form, I hereby authorize implementation of the above instructions.</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Printed Name:</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 xml:space="preserve">Viatris Inc.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NON-EMPLOYEE DIRECTOR DEFERRED RESTRICTED STOCK UNIT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DESIGNATION OF BENEFICIARY </w:t>
      </w:r>
    </w:p>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(Please type or print)</w:t>
      </w:r>
    </w:p>
    <w:p>
      <w:pPr>
        <w:pStyle w:val="TextBody"/>
        <w:bidi w:val="0"/>
        <w:spacing w:before="0" w:after="160"/>
        <w:jc w:val="center"/>
        <w:rPr/>
      </w:pPr>
      <w:r>
        <w:rPr/>
      </w:r>
    </w:p>
    <w:tbl>
      <w:tblPr>
        <w:tblW w:w="7853" w:type="dxa"/>
        <w:jc w:val="left"/>
        <w:tblInd w:w="0" w:type="dxa"/>
        <w:tblLayout w:type="fixed"/>
        <w:tblCellMar>
          <w:top w:w="28" w:type="dxa"/>
          <w:left w:w="28" w:type="dxa"/>
          <w:bottom w:w="28" w:type="dxa"/>
          <w:right w:w="28" w:type="dxa"/>
        </w:tblCellMar>
      </w:tblPr>
      <w:tblGrid>
        <w:gridCol w:w="1198"/>
        <w:gridCol w:w="1054"/>
        <w:gridCol w:w="1057"/>
        <w:gridCol w:w="159"/>
        <w:gridCol w:w="159"/>
        <w:gridCol w:w="160"/>
        <w:gridCol w:w="562"/>
        <w:gridCol w:w="562"/>
        <w:gridCol w:w="564"/>
        <w:gridCol w:w="696"/>
        <w:gridCol w:w="696"/>
        <w:gridCol w:w="986"/>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ind w:left="0" w:right="0" w:firstLine="9"/>
              <w:jc w:val="left"/>
              <w:rPr>
                <w:sz w:val="4"/>
                <w:szCs w:val="4"/>
              </w:rPr>
            </w:pPr>
            <w:r>
              <w:rPr>
                <w:sz w:val="4"/>
                <w:szCs w:val="4"/>
              </w:rPr>
            </w:r>
          </w:p>
        </w:tc>
      </w:tr>
      <w:tr>
        <w:trPr/>
        <w:tc>
          <w:tcPr>
            <w:tcW w:w="33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ind w:left="0" w:right="0" w:firstLine="9"/>
              <w:jc w:val="left"/>
              <w:rPr>
                <w:rFonts w:ascii="Times New Roman;serif" w:hAnsi="Times New Roman;serif"/>
                <w:b w:val="false"/>
                <w:color w:val="000000"/>
                <w:sz w:val="22"/>
              </w:rPr>
            </w:pPr>
            <w:r>
              <w:rPr>
                <w:rFonts w:ascii="Times New Roman;serif" w:hAnsi="Times New Roman;serif"/>
                <w:b w:val="false"/>
                <w:color w:val="000000"/>
                <w:sz w:val="22"/>
              </w:rPr>
              <w:t>Name of Non- Employee Director</w:t>
            </w:r>
          </w:p>
        </w:tc>
        <w:tc>
          <w:tcPr>
            <w:tcW w:w="4544" w:type="dxa"/>
            <w:gridSpan w:val="9"/>
            <w:tcBorders>
              <w:top w:val="single" w:sz="8" w:space="0" w:color="000000"/>
              <w:right w:val="single" w:sz="8" w:space="0" w:color="000000"/>
            </w:tcBorders>
            <w:tcMar>
              <w:left w:w="0" w:type="dxa"/>
              <w:bottom w:w="0" w:type="dxa"/>
            </w:tcMar>
            <w:vAlign w:val="center"/>
          </w:tcPr>
          <w:p>
            <w:pPr>
              <w:pStyle w:val="TableContents"/>
              <w:bidi w:val="0"/>
              <w:spacing w:before="0" w:after="283"/>
              <w:ind w:left="0" w:right="0" w:firstLine="9"/>
              <w:jc w:val="left"/>
              <w:rPr>
                <w:sz w:val="4"/>
                <w:szCs w:val="4"/>
              </w:rPr>
            </w:pPr>
            <w:r>
              <w:rPr>
                <w:sz w:val="4"/>
                <w:szCs w:val="4"/>
              </w:rPr>
            </w:r>
          </w:p>
        </w:tc>
      </w:tr>
      <w:tr>
        <w:trPr/>
        <w:tc>
          <w:tcPr>
            <w:tcW w:w="33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ind w:left="0" w:right="0" w:firstLine="9"/>
              <w:jc w:val="left"/>
              <w:rPr>
                <w:rFonts w:ascii="Times New Roman;serif" w:hAnsi="Times New Roman;serif"/>
                <w:b w:val="false"/>
                <w:color w:val="000000"/>
                <w:sz w:val="22"/>
              </w:rPr>
            </w:pPr>
            <w:r>
              <w:rPr>
                <w:rFonts w:ascii="Times New Roman;serif" w:hAnsi="Times New Roman;serif"/>
                <w:b w:val="false"/>
                <w:color w:val="000000"/>
                <w:sz w:val="22"/>
              </w:rPr>
              <w:t>Social Security No.</w:t>
            </w:r>
          </w:p>
        </w:tc>
        <w:tc>
          <w:tcPr>
            <w:tcW w:w="47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ind w:left="0" w:right="0" w:firstLine="392"/>
              <w:jc w:val="left"/>
              <w:rPr>
                <w:sz w:val="4"/>
                <w:szCs w:val="4"/>
              </w:rPr>
            </w:pPr>
            <w:r>
              <w:rPr>
                <w:sz w:val="4"/>
                <w:szCs w:val="4"/>
              </w:rPr>
            </w:r>
          </w:p>
        </w:tc>
        <w:tc>
          <w:tcPr>
            <w:tcW w:w="16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ind w:left="0" w:right="0" w:firstLine="249"/>
              <w:jc w:val="left"/>
              <w:rPr>
                <w:rFonts w:ascii="Times New Roman;serif" w:hAnsi="Times New Roman;serif"/>
                <w:b w:val="false"/>
                <w:color w:val="000000"/>
                <w:sz w:val="22"/>
              </w:rPr>
            </w:pPr>
            <w:r>
              <w:rPr>
                <w:rFonts w:ascii="Times New Roman;serif" w:hAnsi="Times New Roman;serif"/>
                <w:b w:val="false"/>
                <w:color w:val="000000"/>
                <w:sz w:val="22"/>
              </w:rPr>
              <w:t>Marital Status:</w:t>
            </w:r>
          </w:p>
        </w:tc>
        <w:tc>
          <w:tcPr>
            <w:tcW w:w="237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160"/>
              <w:ind w:left="0" w:right="0" w:firstLine="249"/>
              <w:jc w:val="left"/>
              <w:rPr>
                <w:rFonts w:ascii="Times New Roman;serif" w:hAnsi="Times New Roman;serif"/>
                <w:b w:val="false"/>
                <w:color w:val="000000"/>
                <w:sz w:val="22"/>
              </w:rPr>
            </w:pPr>
            <w:r>
              <w:rPr>
                <w:rFonts w:ascii="Times New Roman;serif" w:hAnsi="Times New Roman;serif"/>
                <w:b w:val="false"/>
                <w:color w:val="000000"/>
                <w:sz w:val="22"/>
              </w:rPr>
              <w:t>__ Single __ Married</w:t>
            </w:r>
          </w:p>
        </w:tc>
      </w:tr>
    </w:tbl>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 hereby revoke any previous designation(s) of beneficiary made by me with respect to amounts noted below, and I hereby designate the following person(s) or entity/entities to receive, upon my death, any amounts due to be settled by Viatris, Inc. pursuant to my Restricted Stock Unit Deferral Election Form:</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Primary Beneficiary or Beneficiaries:</w:t>
      </w:r>
    </w:p>
    <w:p>
      <w:pPr>
        <w:pStyle w:val="TextBody"/>
        <w:bidi w:val="0"/>
        <w:spacing w:before="0" w:after="0"/>
        <w:jc w:val="left"/>
        <w:rPr/>
      </w:pPr>
      <w:r>
        <w:rPr/>
      </w:r>
    </w:p>
    <w:tbl>
      <w:tblPr>
        <w:tblW w:w="5002" w:type="dxa"/>
        <w:jc w:val="left"/>
        <w:tblInd w:w="0" w:type="dxa"/>
        <w:tblLayout w:type="fixed"/>
        <w:tblCellMar>
          <w:top w:w="28" w:type="dxa"/>
          <w:left w:w="28" w:type="dxa"/>
          <w:bottom w:w="28" w:type="dxa"/>
          <w:right w:w="28" w:type="dxa"/>
        </w:tblCellMar>
      </w:tblPr>
      <w:tblGrid>
        <w:gridCol w:w="1019"/>
        <w:gridCol w:w="896"/>
        <w:gridCol w:w="904"/>
        <w:gridCol w:w="109"/>
        <w:gridCol w:w="109"/>
        <w:gridCol w:w="109"/>
        <w:gridCol w:w="374"/>
        <w:gridCol w:w="374"/>
        <w:gridCol w:w="377"/>
        <w:gridCol w:w="214"/>
        <w:gridCol w:w="214"/>
        <w:gridCol w:w="303"/>
      </w:tblGrid>
      <w:tr>
        <w:trPr/>
        <w:tc>
          <w:tcPr>
            <w:tcW w:w="101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9" w:before="0" w:after="16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9" w:before="0" w:after="160"/>
              <w:ind w:left="0" w:right="0" w:firstLine="400"/>
              <w:jc w:val="left"/>
              <w:rPr>
                <w:rFonts w:ascii="Times New Roman;serif" w:hAnsi="Times New Roman;serif"/>
                <w:b w:val="false"/>
                <w:color w:val="000000"/>
                <w:sz w:val="22"/>
              </w:rPr>
            </w:pPr>
            <w:r>
              <w:rPr>
                <w:rFonts w:ascii="Times New Roman;serif" w:hAnsi="Times New Roman;serif"/>
                <w:b w:val="false"/>
                <w:color w:val="000000"/>
                <w:sz w:val="22"/>
              </w:rPr>
              <w:t>Share:</w:t>
            </w:r>
          </w:p>
        </w:tc>
        <w:tc>
          <w:tcPr>
            <w:tcW w:w="7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9" w:before="0" w:after="160"/>
              <w:ind w:left="0" w:right="0" w:firstLine="400"/>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8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Relationship:</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Birth Date:</w:t>
            </w:r>
          </w:p>
        </w:tc>
        <w:tc>
          <w:tcPr>
            <w:tcW w:w="73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Address and Phone Number:</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ind w:left="0" w:right="0" w:hanging="1"/>
              <w:jc w:val="left"/>
              <w:rPr>
                <w:sz w:val="4"/>
                <w:szCs w:val="4"/>
              </w:rPr>
            </w:pPr>
            <w:r>
              <w:rPr>
                <w:sz w:val="4"/>
                <w:szCs w:val="4"/>
              </w:rPr>
            </w:r>
          </w:p>
        </w:tc>
        <w:tc>
          <w:tcPr>
            <w:tcW w:w="11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ind w:left="0" w:right="0" w:hanging="1"/>
              <w:jc w:val="left"/>
              <w:rPr>
                <w:rFonts w:ascii="Times New Roman;serif" w:hAnsi="Times New Roman;serif"/>
                <w:b w:val="false"/>
                <w:color w:val="000000"/>
                <w:sz w:val="22"/>
              </w:rPr>
            </w:pPr>
            <w:r>
              <w:rPr>
                <w:rFonts w:ascii="Times New Roman;serif" w:hAnsi="Times New Roman;serif"/>
                <w:b w:val="false"/>
                <w:color w:val="000000"/>
                <w:sz w:val="22"/>
              </w:rPr>
              <w:t>SS #</w:t>
            </w:r>
          </w:p>
        </w:tc>
        <w:tc>
          <w:tcPr>
            <w:tcW w:w="73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lineRule="auto" w:line="268" w:before="0" w:after="0"/>
        <w:jc w:val="left"/>
        <w:rPr/>
      </w:pPr>
      <w:r>
        <w:rPr>
          <w:rFonts w:ascii="Times New Roman;serif" w:hAnsi="Times New Roman;serif"/>
          <w:b/>
          <w:color w:val="000000"/>
          <w:sz w:val="22"/>
        </w:rPr>
        <w:t xml:space="preserve">Contingent Beneficiary or Beneficiaries </w:t>
      </w:r>
      <w:r>
        <w:rPr>
          <w:rFonts w:ascii="Times New Roman;serif" w:hAnsi="Times New Roman;serif"/>
          <w:b w:val="false"/>
          <w:color w:val="000000"/>
          <w:sz w:val="22"/>
        </w:rPr>
        <w:t>(if your Primary Beneficiary(ies) all predecease you):</w:t>
      </w:r>
    </w:p>
    <w:p>
      <w:pPr>
        <w:pStyle w:val="TextBody"/>
        <w:bidi w:val="0"/>
        <w:spacing w:before="0" w:after="160"/>
        <w:jc w:val="left"/>
        <w:rPr/>
      </w:pPr>
      <w:r>
        <w:rPr/>
      </w:r>
    </w:p>
    <w:tbl>
      <w:tblPr>
        <w:tblW w:w="5002" w:type="dxa"/>
        <w:jc w:val="left"/>
        <w:tblInd w:w="0" w:type="dxa"/>
        <w:tblLayout w:type="fixed"/>
        <w:tblCellMar>
          <w:top w:w="28" w:type="dxa"/>
          <w:left w:w="28" w:type="dxa"/>
          <w:bottom w:w="28" w:type="dxa"/>
          <w:right w:w="28" w:type="dxa"/>
        </w:tblCellMar>
      </w:tblPr>
      <w:tblGrid>
        <w:gridCol w:w="1019"/>
        <w:gridCol w:w="896"/>
        <w:gridCol w:w="904"/>
        <w:gridCol w:w="109"/>
        <w:gridCol w:w="109"/>
        <w:gridCol w:w="109"/>
        <w:gridCol w:w="374"/>
        <w:gridCol w:w="374"/>
        <w:gridCol w:w="377"/>
        <w:gridCol w:w="214"/>
        <w:gridCol w:w="214"/>
        <w:gridCol w:w="303"/>
      </w:tblGrid>
      <w:tr>
        <w:trPr/>
        <w:tc>
          <w:tcPr>
            <w:tcW w:w="101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ind w:left="0" w:right="0" w:firstLine="400"/>
              <w:jc w:val="left"/>
              <w:rPr>
                <w:rFonts w:ascii="Times New Roman;serif" w:hAnsi="Times New Roman;serif"/>
                <w:b w:val="false"/>
                <w:color w:val="000000"/>
                <w:sz w:val="22"/>
              </w:rPr>
            </w:pPr>
            <w:r>
              <w:rPr>
                <w:rFonts w:ascii="Times New Roman;serif" w:hAnsi="Times New Roman;serif"/>
                <w:b w:val="false"/>
                <w:color w:val="000000"/>
                <w:sz w:val="22"/>
              </w:rPr>
              <w:t>Share:</w:t>
            </w:r>
          </w:p>
        </w:tc>
        <w:tc>
          <w:tcPr>
            <w:tcW w:w="7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160"/>
              <w:ind w:left="0" w:right="0" w:firstLine="400"/>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8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Relationship:</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Birth Date:</w:t>
            </w:r>
          </w:p>
        </w:tc>
        <w:tc>
          <w:tcPr>
            <w:tcW w:w="73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jc w:val="left"/>
              <w:rPr>
                <w:rFonts w:ascii="Times New Roman;serif" w:hAnsi="Times New Roman;serif"/>
                <w:b w:val="false"/>
                <w:color w:val="000000"/>
                <w:sz w:val="22"/>
              </w:rPr>
            </w:pPr>
            <w:r>
              <w:rPr>
                <w:rFonts w:ascii="Times New Roman;serif" w:hAnsi="Times New Roman;serif"/>
                <w:b w:val="false"/>
                <w:color w:val="000000"/>
                <w:sz w:val="22"/>
              </w:rPr>
              <w:t>Address and Phone Number:</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ind w:left="0" w:right="0" w:hanging="1"/>
              <w:jc w:val="left"/>
              <w:rPr>
                <w:sz w:val="4"/>
                <w:szCs w:val="4"/>
              </w:rPr>
            </w:pPr>
            <w:r>
              <w:rPr>
                <w:sz w:val="4"/>
                <w:szCs w:val="4"/>
              </w:rPr>
            </w:r>
          </w:p>
        </w:tc>
        <w:tc>
          <w:tcPr>
            <w:tcW w:w="11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160"/>
              <w:ind w:left="0" w:right="0" w:hanging="1"/>
              <w:jc w:val="left"/>
              <w:rPr>
                <w:rFonts w:ascii="Times New Roman;serif" w:hAnsi="Times New Roman;serif"/>
                <w:b w:val="false"/>
                <w:color w:val="000000"/>
                <w:sz w:val="22"/>
              </w:rPr>
            </w:pPr>
            <w:r>
              <w:rPr>
                <w:rFonts w:ascii="Times New Roman;serif" w:hAnsi="Times New Roman;serif"/>
                <w:b w:val="false"/>
                <w:color w:val="000000"/>
                <w:sz w:val="22"/>
              </w:rPr>
              <w:t>SS #</w:t>
            </w:r>
          </w:p>
        </w:tc>
        <w:tc>
          <w:tcPr>
            <w:tcW w:w="73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If none of my primary or contingent beneficiaries survive me, any such accounts shall be settled to my estate.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2"/>
        </w:rPr>
        <w:t xml:space="preserve">General Instructions for trusts or charities designated as beneficiaries. </w:t>
      </w:r>
      <w:r>
        <w:rPr>
          <w:rFonts w:ascii="Times New Roman;serif" w:hAnsi="Times New Roman;serif"/>
          <w:b w:val="false"/>
          <w:color w:val="000000"/>
          <w:sz w:val="22"/>
        </w:rPr>
        <w:t>If you are designating a trust as the beneficiary, please include the name of the trust, the name, address and phone number of the trustee, the Federal tax I.D. number of the trust, if available (in the “Social Security number” box), and in the “Relationship” box, write “Trustee”. If you are naming a charity, provide the name of the person to whom correspondence regarding the benefit may be addressed, the name, address, phone number and the Federal tax I.D. number of the charity (if available).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Date: Non-Employee</w:t>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Director’s Signature: </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VIATRIS INC.</w:t>
        <w:br/>
        <w:t xml:space="preserve">DIRECTOR DEFERRED STOCK UNIT </w:t>
        <w:br/>
        <w:t>AWARD AGREEMENT</w:t>
      </w:r>
    </w:p>
    <w:p>
      <w:pPr>
        <w:pStyle w:val="TextBody"/>
        <w:bidi w:val="0"/>
        <w:spacing w:lineRule="auto" w:line="288" w:before="0" w:after="240"/>
        <w:ind w:left="0" w:right="0" w:firstLine="1440"/>
        <w:jc w:val="left"/>
        <w:rPr/>
      </w:pPr>
      <w:r>
        <w:rPr>
          <w:rFonts w:ascii="Times New Roman;serif" w:hAnsi="Times New Roman;serif"/>
          <w:b/>
          <w:color w:val="000000"/>
          <w:sz w:val="24"/>
        </w:rPr>
        <w:t>THIS DIRECTOR DEFERRED STOCK UNIT AWARD AGREEMENT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[_____] (the “</w:t>
      </w:r>
      <w:r>
        <w:rPr>
          <w:rFonts w:ascii="Times New Roman;serif" w:hAnsi="Times New Roman;serif"/>
          <w:b w:val="false"/>
          <w:color w:val="000000"/>
          <w:sz w:val="24"/>
          <w:u w:val="single"/>
        </w:rPr>
        <w:t>Date of Grant</w:t>
      </w:r>
      <w:r>
        <w:rPr>
          <w:color w:val="000000"/>
        </w:rPr>
        <w:t>”</w:t>
      </w:r>
      <w:r>
        <w:rPr>
          <w:rFonts w:ascii="Times New Roman;serif" w:hAnsi="Times New Roman;serif"/>
          <w:b w:val="false"/>
          <w:color w:val="000000"/>
          <w:sz w:val="24"/>
        </w:rPr>
        <w:t>), is made by and between Viatris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[_____]</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in respect of Participant’s service as a member of the Board of Directors of the Company.</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1.Grant of Deferred Stock Units.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Grant</w:t>
      </w:r>
      <w:r>
        <w:rPr>
          <w:rFonts w:ascii="Times New Roman;serif" w:hAnsi="Times New Roman;serif"/>
          <w:b w:val="false"/>
          <w:color w:val="000000"/>
          <w:sz w:val="24"/>
        </w:rPr>
        <w:t>. The Company hereby grants to the Participant a total of [_____] Deferred Stock Units (“</w:t>
      </w:r>
      <w:r>
        <w:rPr>
          <w:rFonts w:ascii="Times New Roman;serif" w:hAnsi="Times New Roman;serif"/>
          <w:b w:val="false"/>
          <w:color w:val="000000"/>
          <w:sz w:val="24"/>
          <w:u w:val="single"/>
        </w:rPr>
        <w:t>DSUs</w:t>
      </w:r>
      <w:r>
        <w:rPr>
          <w:color w:val="000000"/>
        </w:rPr>
        <w:t>”</w:t>
      </w:r>
      <w:r>
        <w:rPr>
          <w:rFonts w:ascii="Times New Roman;serif" w:hAnsi="Times New Roman;serif"/>
          <w:b w:val="false"/>
          <w:color w:val="000000"/>
          <w:sz w:val="24"/>
        </w:rPr>
        <w:t>), on the terms and conditions set forth in this Agreement and as otherwise provided in the Viatris Inc. 2020 Stock Incentive Plan (as may be amended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and the Viatris Inc. Non-Employee Director Deferral Election entered into by the Participant for the applicable calendar year and provided to the Company prior to the Grant Date (the “</w:t>
      </w:r>
      <w:r>
        <w:rPr>
          <w:rFonts w:ascii="Times New Roman;serif" w:hAnsi="Times New Roman;serif"/>
          <w:b w:val="false"/>
          <w:color w:val="000000"/>
          <w:sz w:val="24"/>
          <w:u w:val="single"/>
        </w:rPr>
        <w:t>Deferral Election</w:t>
      </w:r>
      <w:r>
        <w:rPr>
          <w:color w:val="000000"/>
        </w:rPr>
        <w:t>”</w:t>
      </w:r>
      <w:r>
        <w:rPr>
          <w:rFonts w:ascii="Times New Roman;serif" w:hAnsi="Times New Roman;serif"/>
          <w:b w:val="false"/>
          <w:color w:val="000000"/>
          <w:sz w:val="24"/>
        </w:rPr>
        <w:t>). Each DSU represents the right to receive one share of the Company’s common stock, par value $0.01 per share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The DSUs shall be credited to a separate book-entry account maintained for the Participant on the books of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Incorporation by Reference, Etc.</w:t>
      </w:r>
      <w:r>
        <w:rPr>
          <w:color w:val="000000"/>
        </w:rPr>
        <w:t xml:space="preserve"> </w:t>
      </w:r>
      <w:r>
        <w:rPr>
          <w:rFonts w:ascii="Times New Roman;serif" w:hAnsi="Times New Roman;serif"/>
          <w:b w:val="false"/>
          <w:color w:val="000000"/>
          <w:sz w:val="24"/>
        </w:rPr>
        <w:t>The provisions of the Plan are hereby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 Without limiting the foregoing, the Participant acknowledges that the DSUs and any Shares acquired upon settlement of the DSUs are subject to provisions of the Plan under which, in certain circumstances, an adjustment</w:t>
      </w:r>
      <w:r>
        <w:rPr>
          <w:color w:val="000000"/>
        </w:rPr>
        <w:t xml:space="preserve"> </w:t>
      </w:r>
      <w:r>
        <w:rPr>
          <w:rFonts w:ascii="Times New Roman;serif" w:hAnsi="Times New Roman;serif"/>
          <w:b w:val="false"/>
          <w:color w:val="000000"/>
          <w:sz w:val="24"/>
        </w:rPr>
        <w:t>may be made to the number of the DSUs and any Shares acquired upon settlement of the DSUs.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2.</w:t>
      </w:r>
      <w:r>
        <w:rPr>
          <w:rFonts w:ascii="Times New Roman;serif" w:hAnsi="Times New Roman;serif"/>
          <w:b/>
          <w:color w:val="000000"/>
          <w:sz w:val="24"/>
        </w:rPr>
        <w:t xml:space="preserve">Vesting; Settlement.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The DSUs shall be fully vested on the Date of Grant, subject to the terms of the Plan and this Agreement. </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Settlement</w:t>
      </w:r>
      <w:r>
        <w:rPr>
          <w:rFonts w:ascii="Times New Roman;serif" w:hAnsi="Times New Roman;serif"/>
          <w:b w:val="false"/>
          <w:color w:val="000000"/>
          <w:sz w:val="24"/>
        </w:rPr>
        <w:t>. Except as otherwise provided herein, each vested DSU shall be settled in Shares in accordance with the Deferral Election.</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3.</w:t>
      </w:r>
      <w:r>
        <w:rPr>
          <w:rFonts w:ascii="Times New Roman;serif" w:hAnsi="Times New Roman;serif"/>
          <w:b/>
          <w:color w:val="000000"/>
          <w:sz w:val="24"/>
        </w:rPr>
        <w:t xml:space="preserve">Dividend Equivalents. </w:t>
      </w:r>
      <w:r>
        <w:rPr>
          <w:rFonts w:ascii="Times New Roman;serif" w:hAnsi="Times New Roman;serif"/>
          <w:b w:val="false"/>
          <w:color w:val="000000"/>
          <w:sz w:val="24"/>
        </w:rPr>
        <w:t>Each DSU shall be credited with Dividend Equivalents, which shall be withheld by the Company and credited to the Participant’s account (either in cash or additional DSUs in the discretion of the Committee). Dividend Equivalents credited to the Participant’s account and attributable to a DSU shall be distributed (without interest) to the Participant at the same time as the underlying Share is delivered upon settlement of such DSU and, if such DSU is forfeited, the Participant shall have no right to such Dividend Equivalents. Any adjustments for Dividend Equivalents shall be in the sole discretion of the Committee and Dividend Equivalents shall be paid either in cash or Shares in the discretion of the Committee. It is the current intention of the Company that Dividend Equivalents will accrue in additional DSUs.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4.</w:t>
      </w:r>
      <w:r>
        <w:rPr>
          <w:rFonts w:ascii="Times New Roman;serif" w:hAnsi="Times New Roman;serif"/>
          <w:b/>
          <w:color w:val="000000"/>
          <w:sz w:val="24"/>
        </w:rPr>
        <w:t xml:space="preserve">Tax Withholding. </w:t>
      </w:r>
      <w:r>
        <w:rPr>
          <w:rFonts w:ascii="Times New Roman;serif" w:hAnsi="Times New Roman;serif"/>
          <w:b w:val="false"/>
          <w:color w:val="000000"/>
          <w:sz w:val="24"/>
        </w:rPr>
        <w:t>Vesting and settlement of the DSUs shall be subject to the Participant satisfying any applicable U.S. Federal, state and local tax withholding obligations and non-U.S. tax withholding obligations. The Company shall be entitled, if the Committee deems it necessary or desirable, to withhold (or secure payment from the Participant in lieu of withholding) the maximum amount of any withholding or other tax permitted by law to be withheld. The Company shall have the right and is hereby authorized to withhold from any amounts payable to the Participant in connection with the DSUs or otherwise the amount of any required withholding taxes in respect of the DSUs, its settlement or any payment or transfer of the DSUs or under the Plan and to take any such other action as the Committee or the Company deem necessary to satisfy all obligations for the payment of such withholding taxes. The Participant may satisfy, in whole or in part, the tax obligations by authorizing the Company to withhold Shares that would otherwise be deliverable to the Participant upon settlement of the DSUs with a Fair Market Value equal to such withholding liability.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5.</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Notwithstanding anything to the contrary in the Plan, in the event of a Change in Control, the treatment of the DSUs shall be determined pursuant to the Deferral Election.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6.</w:t>
      </w:r>
      <w:r>
        <w:rPr>
          <w:rFonts w:ascii="Times New Roman;serif" w:hAnsi="Times New Roman;serif"/>
          <w:b/>
          <w:color w:val="000000"/>
          <w:sz w:val="24"/>
        </w:rPr>
        <w:t>Rights as a Stockholder.</w:t>
      </w:r>
      <w:r>
        <w:rPr>
          <w:color w:val="000000"/>
        </w:rPr>
        <w:t xml:space="preserve"> </w:t>
      </w:r>
      <w:r>
        <w:rPr>
          <w:rFonts w:ascii="Times New Roman;serif" w:hAnsi="Times New Roman;serif"/>
          <w:b w:val="false"/>
          <w:color w:val="000000"/>
          <w:sz w:val="24"/>
        </w:rPr>
        <w:t>The Participant shall not be deemed for any purpose, nor have any of the rights or privileges of, a stockholder of the Company in respect of any Shares underlying the DSUs unless, until and to the extent that (i) the Company shall have issued and delivered to the Participant the Shares underlying the vested DSUs and (ii) the Participant’s name shall have been entered as a stockholder of record with respect to such Shares on the books of the Company. The Company shall cause the actions described in clauses (i) and (ii) of the preceding sentence to occur promptly following settlement as contemplated by this Agreement, subject to compliance with applicable laws.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4"/>
        </w:rPr>
        <w:t>7.</w:t>
      </w:r>
      <w:r>
        <w:rPr>
          <w:rFonts w:ascii="Times New Roman;serif" w:hAnsi="Times New Roman;serif"/>
          <w:b/>
          <w:color w:val="000000"/>
          <w:sz w:val="24"/>
        </w:rPr>
        <w:t>Compliance with Legal Requirements.</w:t>
      </w:r>
      <w:r>
        <w:rPr>
          <w:color w:val="000000"/>
        </w:rPr>
        <w:t xml:space="preserve"> </w:t>
      </w:r>
      <w:r>
        <w:rPr>
          <w:rFonts w:ascii="Times New Roman;serif" w:hAnsi="Times New Roman;serif"/>
          <w:b w:val="false"/>
          <w:color w:val="000000"/>
          <w:sz w:val="24"/>
        </w:rPr>
        <w:t xml:space="preserve">The granting and settlement of the DSUs, and any other obligations of the Company under this Agreement, shall be subject to all applicable Federal, provincial, state, local and foreign laws, rules and regulations and to such approvals by any regulatory or governmental agency as may be required. The Committee shall have the right to impose such restrictions on the DSUs as it deems reasonably necessary or advisable under applicable Federal securities laws, the rules and regulations of any stock exchange or market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upon which Shares are then listed or traded, and/or any blue sky or state securities laws applicable to such Shares. It is expressly understood that the Committee is authorized to administer, construe, and make all determinations necessary or appropriate to the administration of the Plan and this Agreement, all of which shall be binding upon the Participant. The Participant agrees to take all steps the Committee or the Company determines are reasonably necessary to comply with all applicable provisions of Federal and state securities law in exercising his or her rights under this Agreement.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8.</w:t>
      </w:r>
      <w:r>
        <w:rPr>
          <w:rFonts w:ascii="Times New Roman;serif" w:hAnsi="Times New Roman;serif"/>
          <w:b/>
          <w:color w:val="000000"/>
          <w:sz w:val="24"/>
        </w:rPr>
        <w:t xml:space="preserve">Clawback. </w:t>
      </w:r>
      <w:r>
        <w:rPr>
          <w:rFonts w:ascii="Times New Roman;serif" w:hAnsi="Times New Roman;serif"/>
          <w:b w:val="false"/>
          <w:color w:val="000000"/>
          <w:sz w:val="24"/>
        </w:rPr>
        <w:t>The DSUs and/or the Shares acquired upon settlement of the DSUs shall be subject (including on a retroactive basis) to clawback, forfeiture or similar requirements (and such requirements shall be deemed incorporated by reference into this Agreement) to the extent required by applicable law (including, without limitation, Section 304 of the Sarbanes-Oxley Act and Section 954 of the Dodd-Frank Wall Street Reform and Consumer Protection Act) if such requirement is in effect at the relevant time, the rules and regulations of any applicable securities exchange or inter-dealer quotation system on which the Shares may be listed or quoted or if so required pursuant to a written policy adopted by the Company.</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9.Miscellaneous.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The DSUs may not be assigned, alienated, pledged, attached, sold or otherwise transferred or encumbered (a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xml:space="preserve">) by the Participant other than by will or by the laws of descent and distribution, pursuant to a qualified domestic relations order or as otherwise permitted under the Plan. Any attempted Transfer of the DSUs contrary to the provisions hereof, and the levy of any execution, attachment or similar process upon the DSUs, shall be null and void and without effect.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The Committee at any time, and from time to time, may amend the terms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rights of the Participant shall not be materially adversely affected without the Participant’s written consent. </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Waiver</w:t>
      </w:r>
      <w:r>
        <w:rPr>
          <w:rFonts w:ascii="Times New Roman;serif" w:hAnsi="Times New Roman;serif"/>
          <w:b w:val="false"/>
          <w:color w:val="000000"/>
          <w:sz w:val="24"/>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By accepting this grant of DSUs, the Participant hereby agrees that he or she shall be bound by, and shall comply with, (i) the Agreement Relating To Patents, Copyrights, Inventions, Confidentiality and Proprietary Information, in the form provided by the Company (if applicable) and (ii) all other agreements relating to confidentiality that the Participant has executed during the course of employment with the Company and its Affiliates as in effect from time to time (collectively, the “</w:t>
      </w:r>
      <w:r>
        <w:rPr>
          <w:rFonts w:ascii="Times New Roman;serif" w:hAnsi="Times New Roman;serif"/>
          <w:b w:val="false"/>
          <w:color w:val="000000"/>
          <w:sz w:val="24"/>
          <w:u w:val="single"/>
        </w:rPr>
        <w:t>Executed Confidentiality Agreements</w:t>
      </w:r>
      <w:r>
        <w:rPr>
          <w:color w:val="000000"/>
        </w:rPr>
        <w:t>”</w:t>
      </w:r>
      <w:r>
        <w:rPr>
          <w:rFonts w:ascii="Times New Roman;serif" w:hAnsi="Times New Roman;serif"/>
          <w:b w:val="false"/>
          <w:color w:val="000000"/>
          <w:sz w:val="24"/>
        </w:rPr>
        <w:t xml:space="preserve">). Participant also agrees that, in addition to any Executed Confidentiality Agreements, Participant shall not use and/or communicate or disclose, in any manner, any confidential, proprietary or privileged Viatris company information or knowledge, which he or she may have had access to while employed with a Viatris company, relating to intellectual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property, trade secrets, business plans and strategies, customer plans and strategies and relationships, pricing, research and development plans and strategies, personnel, organization, strategic plans, or the commercialization of the products of Viatris or any of its subsidiaries, consistent with applicable law, including investigations by government agencies.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Section 409A</w:t>
      </w:r>
      <w:r>
        <w:rPr>
          <w:rFonts w:ascii="Times New Roman;serif" w:hAnsi="Times New Roman;serif"/>
          <w:b w:val="false"/>
          <w:color w:val="000000"/>
          <w:sz w:val="24"/>
        </w:rPr>
        <w:t>. The DSUs are intended to be exempt from, or compliant with, Section 409A of the Code and shall be interpreted accordingly.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reasonable discretion and with the Participant’s consent, modify such provision to (i) comply with, or avoid being subject to, Section 409A of the Code, or to avoid the incurrence of taxes, interest and penalties under Section 409A of the Code, and (ii) maintain, to the maximum extent practicable, the original intent and economic benefit to the Participant of the applicable provision without materially increasing the cost to the Company or contravening the provisions of Section 409A of the Code. This Section 9(d) does not create an obligation on the part of the Company to modify the Plan or this Agreement and does not guarantee that the DSUs or the Shares underlying the DSUs will not be subject to interest and penalties under Section 409A of the Code.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General Assets</w:t>
      </w:r>
      <w:r>
        <w:rPr>
          <w:rFonts w:ascii="Times New Roman;serif" w:hAnsi="Times New Roman;serif"/>
          <w:b w:val="false"/>
          <w:color w:val="000000"/>
          <w:sz w:val="24"/>
        </w:rPr>
        <w:t>. All amounts credited in respect of the DSUs to the book-entry account under this Agreement shall continue for all purposes to be part of the general assets of the Company. The Participant’s interest in such account shall make the Participant only a general unsecured creditor of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consents and other communications to be given hereunder to any party shall be deemed to be sufficient if contained in a written instrument and shall be deemed to have been duly given when delivered in person, by telecopy, by nationally recognized overnight courier, or by first-class registered or certified mail, postage prepaid, addressed to such party at the address set forth below or such other address as may hereafter be designated in writing by the addressee to the addresser:</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(i)if to the Company,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Viatris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1000 Mylan Boulevard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Canonsburg, PA 15317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Facsimile: (724) 514-1533</w:t>
        <w:br/>
        <w:t>Attention: Chief People Officer</w:t>
      </w:r>
    </w:p>
    <w:p>
      <w:pPr>
        <w:pStyle w:val="TextBody"/>
        <w:bidi w:val="0"/>
        <w:spacing w:before="0" w:after="0"/>
        <w:jc w:val="left"/>
        <w:rPr/>
      </w:pPr>
      <w:r>
        <w:rPr/>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(ii)if to the Participant, to the Participant’s home address on file with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mailing, on the third business day following such mailing if sent by certified mail, return receipt requested.</w:t>
      </w:r>
    </w:p>
    <w:p>
      <w:pPr>
        <w:pStyle w:val="TextBody"/>
        <w:bidi w:val="0"/>
        <w:spacing w:lineRule="auto" w:line="288" w:before="0" w:after="0"/>
        <w:ind w:left="0" w:right="0" w:firstLine="72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The invalidity or unenforceability of any provision of this Agreement shall not affect the validity or enforceability of any other provision of this Agreement, and each other provision of this Agreement shall be severable and enforceable to the extent permitted by law.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No Rights to Service</w:t>
      </w:r>
      <w:r>
        <w:rPr>
          <w:rFonts w:ascii="Times New Roman;serif" w:hAnsi="Times New Roman;serif"/>
          <w:b w:val="false"/>
          <w:color w:val="000000"/>
          <w:sz w:val="24"/>
        </w:rPr>
        <w:t xml:space="preserve">. Nothing contained in this Agreement shall be construed as giving the Participant any right to be retained, in any position, as a director of the Company or its Affiliates or shall interfere with or restrict in any way the rights of the Company or its Affiliates, which are hereby expressly reserved, to remove, terminate or discharge the Participant at any time for any reason whatsoever.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xml:space="preserve">. In lieu of issuing a fraction of a Share resulting from an adjustment of the DSUs pursuant to Section 4(c) of the Plan or otherwise, the Company shall be entitled to pay to the Participant an amount equal to the Fair Market Value of such fractional share.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(j)</w:t>
      </w:r>
      <w:r>
        <w:rPr>
          <w:rFonts w:ascii="Times New Roman;serif" w:hAnsi="Times New Roman;serif"/>
          <w:b w:val="false"/>
          <w:color w:val="000000"/>
          <w:sz w:val="24"/>
          <w:u w:val="single"/>
        </w:rPr>
        <w:t>Beneficiary</w:t>
      </w:r>
      <w:r>
        <w:rPr>
          <w:rFonts w:ascii="Times New Roman;serif" w:hAnsi="Times New Roman;serif"/>
          <w:b w:val="false"/>
          <w:color w:val="000000"/>
          <w:sz w:val="24"/>
        </w:rPr>
        <w:t>. The Participant may file with the Committee a written designation of a beneficiary on such form as may be prescribed by the Committee and may, from time to time, amend or revoke such designation. If no beneficiary is designated, if the designation is ineffective, or if the beneficiary dies before the balance of a Participant’s benefit is paid, the balance shall be paid to the Participant’s estate. Notwithstanding the foregoing, however, a Participant’s beneficiary shall be determined under applicable state law if such state law does not recognize beneficiary designations under Awards of this type and is not preempted by laws which recognize the provisions of this Section 9(j).</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(k)</w:t>
      </w:r>
      <w:r>
        <w:rPr>
          <w:rFonts w:ascii="Times New Roman;serif" w:hAnsi="Times New Roman;serif"/>
          <w:b w:val="false"/>
          <w:color w:val="000000"/>
          <w:sz w:val="24"/>
          <w:u w:val="single"/>
        </w:rPr>
        <w:t>Successors</w:t>
      </w:r>
      <w:r>
        <w:rPr>
          <w:rFonts w:ascii="Times New Roman;serif" w:hAnsi="Times New Roman;serif"/>
          <w:b w:val="false"/>
          <w:color w:val="000000"/>
          <w:sz w:val="24"/>
        </w:rPr>
        <w:t xml:space="preserve">. The terms of this Agreement shall be binding upon and inure to the benefit of the Company and its successors and assigns, and of the Participant and the beneficiaries, executors, administrators, heirs and successors of the Participant.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(l)</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and the Plan contain the entire agreement and understanding of the parties hereto with respect to the subject matter contained herein and supersede all prior communications, representations and negotiations in respect thereto.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(m)</w:t>
      </w:r>
      <w:r>
        <w:rPr>
          <w:rFonts w:ascii="Times New Roman;serif" w:hAnsi="Times New Roman;serif"/>
          <w:b w:val="false"/>
          <w:color w:val="000000"/>
          <w:sz w:val="23"/>
          <w:u w:val="single"/>
        </w:rPr>
        <w:t>Limitation Of Liability</w:t>
      </w:r>
      <w:r>
        <w:rPr>
          <w:rFonts w:ascii="Times New Roman;serif" w:hAnsi="Times New Roman;serif"/>
          <w:b w:val="false"/>
          <w:color w:val="000000"/>
          <w:sz w:val="23"/>
        </w:rPr>
        <w:t>.</w:t>
      </w:r>
      <w:r>
        <w:rPr>
          <w:color w:val="000000"/>
        </w:rPr>
        <w:t xml:space="preserve"> </w:t>
      </w:r>
      <w:r>
        <w:rPr>
          <w:rFonts w:ascii="Times New Roman;serif" w:hAnsi="Times New Roman;serif"/>
          <w:b w:val="false"/>
          <w:color w:val="000000"/>
          <w:sz w:val="23"/>
        </w:rPr>
        <w:t>The Participant agrees that any liability of the officers, the Committee, and the Board of Directors of</w:t>
      </w:r>
      <w:r>
        <w:rPr>
          <w:color w:val="000000"/>
        </w:rPr>
        <w:t xml:space="preserve"> </w:t>
      </w:r>
      <w:r>
        <w:rPr>
          <w:rFonts w:ascii="Times New Roman;serif" w:hAnsi="Times New Roman;serif"/>
          <w:b w:val="false"/>
          <w:color w:val="000000"/>
          <w:sz w:val="23"/>
        </w:rPr>
        <w:t>the Company to the Participant under this Agreement shall be limited to those actions or failure to take actions which constitute self-dealing, willful misconduct or recklessness.</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erif" w:hAnsi="Times New Roman;serif"/>
          <w:b w:val="false"/>
          <w:color w:val="000000"/>
          <w:sz w:val="24"/>
        </w:rPr>
        <w:t>(n)</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shall be construed and interpreted in accordance with the laws of the Commonwealth of Pennsylvania without regard to principles of conflicts of law thereof, or principles of conflicts of laws of any other jurisdiction which could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cause the application of the laws of any jurisdiction other than the Commonwealth of Pennsylvania.</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(o)</w:t>
      </w:r>
      <w:r>
        <w:rPr>
          <w:rFonts w:ascii="Times New Roman;serif" w:hAnsi="Times New Roman;serif"/>
          <w:b w:val="false"/>
          <w:color w:val="000000"/>
          <w:sz w:val="24"/>
          <w:u w:val="single"/>
        </w:rPr>
        <w:t>Consent to Jurisdiction; Waiver of Jury Trial</w:t>
      </w:r>
      <w:r>
        <w:rPr>
          <w:rFonts w:ascii="Times New Roman;serif" w:hAnsi="Times New Roman;serif"/>
          <w:b w:val="false"/>
          <w:color w:val="000000"/>
          <w:sz w:val="24"/>
        </w:rPr>
        <w:t>. The Participant and the Company (on behalf of itself and its Affiliates) each consents to jurisdiction in the United States District Court for the Western District of Pennsylvania, or if that court is unable to exercise jurisdiction for any reason, the Court of Common Pleas of Washington County, Pennsylvania, and each waives any other requirement (whether imposed by statute, rule of court or otherwise) with respect to personal jurisdiction or service of process and waives any objection to jurisdiction based on improper venue or improper jurisdiction.</w:t>
      </w:r>
      <w:r>
        <w:rPr>
          <w:color w:val="000000"/>
        </w:rPr>
        <w:t xml:space="preserve"> </w:t>
      </w:r>
      <w:r>
        <w:rPr>
          <w:rFonts w:ascii="Times New Roman;serif" w:hAnsi="Times New Roman;serif"/>
          <w:b w:val="false"/>
          <w:color w:val="000000"/>
          <w:sz w:val="24"/>
        </w:rPr>
        <w:t>EACH OF THE PARTIES HERETO HEREBY IRREVOCABLY WAIVES ALL RIGHT TO TRIAL BY JURY, IN ANY ACTION, PROCEEDING OR COUNTERCLAIM ARISING OUT OF OR RELATING TO THE PLAN OR THIS AGREEMENT.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(p)</w:t>
      </w:r>
      <w:r>
        <w:rPr>
          <w:rFonts w:ascii="Times New Roman;serif" w:hAnsi="Times New Roman;serif"/>
          <w:b w:val="false"/>
          <w:color w:val="000000"/>
          <w:sz w:val="24"/>
          <w:u w:val="single"/>
        </w:rPr>
        <w:t>Headings</w:t>
      </w:r>
      <w:r>
        <w:rPr>
          <w:rFonts w:ascii="Times New Roman;serif" w:hAnsi="Times New Roman;serif"/>
          <w:b w:val="false"/>
          <w:color w:val="000000"/>
          <w:sz w:val="24"/>
        </w:rPr>
        <w:t xml:space="preserve">. The headings of the Sections hereof are provided for convenience only and are not to serve as a basis for interpretation or construction, and shall not constitute a part, of this Agreement.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(q)</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(including via facsimile, electronic image scan (pdf) and electronic signature on the Merrill Lynch intranet system), each of which shall be deemed to be an original, but all of which together shall constitute one and the same instrument and shall become effective when one or more counterparts have been signed by each of the parties and delivered to the other parties.</w:t>
      </w:r>
    </w:p>
    <w:p>
      <w:pPr>
        <w:pStyle w:val="TextBody"/>
        <w:bidi w:val="0"/>
        <w:spacing w:before="0" w:after="0"/>
        <w:ind w:left="0" w:right="0" w:firstLine="979"/>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this Agreement has been executed and delivered by the parties hereto as of the date first written above.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VIATRIS INC.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___________________</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[Participant Name]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22</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List of Subsidiary Guarantors and Issuers of Guaranteed Securities</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of June 30, 2026, Viatris Inc., a Delaware corporation (“Viatris”), Mylan Inc., a Pennsylvania corporation (“Mylan Inc.”), and Mylan II B.V., a company incorporated under the laws of the Netherlands (“Mylan II”), were the guarantors of the 5.250% Senior Notes due 2046 issued by Utah Acquisition Sub Inc., a Delaware corporation (“Utah”).</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of June 30, 2026, Viatris, Utah and Mylan II were the guarantors of the 4.550% Senior Notes due 2028, 5.400% Senior Notes due 2043 and 5.200% Senior Notes due 2048 issued by Mylan Inc.</w:t>
      </w:r>
    </w:p>
    <w:p>
      <w:pPr>
        <w:pStyle w:val="TextBody"/>
        <w:bidi w:val="0"/>
        <w:spacing w:lineRule="auto" w:line="321"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of June 30, 2026, Utah, Mylan Inc. and Mylan II were the guarantors of the 2.300% Senior Notes due 2027, 2.700% Senior Notes due 2030, 3.850% Senior Notes due 2040, 4.000% Senior Notes due 2050 and 4.250% Senior Notes due 2033 issued by Viatris.</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Smith, certify that: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46" w:type="dxa"/>
        <w:jc w:val="left"/>
        <w:tblInd w:w="0" w:type="dxa"/>
        <w:tblLayout w:type="fixed"/>
        <w:tblCellMar>
          <w:top w:w="28" w:type="dxa"/>
          <w:left w:w="28" w:type="dxa"/>
          <w:bottom w:w="28" w:type="dxa"/>
          <w:right w:w="28" w:type="dxa"/>
        </w:tblCellMar>
      </w:tblPr>
      <w:tblGrid>
        <w:gridCol w:w="124"/>
        <w:gridCol w:w="109"/>
        <w:gridCol w:w="109"/>
        <w:gridCol w:w="733"/>
        <w:gridCol w:w="733"/>
        <w:gridCol w:w="1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Paul Campbell, certify that: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7061" w:type="dxa"/>
        <w:jc w:val="left"/>
        <w:tblInd w:w="0" w:type="dxa"/>
        <w:tblLayout w:type="fixed"/>
        <w:tblCellMar>
          <w:top w:w="28" w:type="dxa"/>
          <w:left w:w="28" w:type="dxa"/>
          <w:bottom w:w="28" w:type="dxa"/>
          <w:right w:w="28" w:type="dxa"/>
        </w:tblCellMar>
      </w:tblPr>
      <w:tblGrid>
        <w:gridCol w:w="124"/>
        <w:gridCol w:w="109"/>
        <w:gridCol w:w="109"/>
        <w:gridCol w:w="1962"/>
        <w:gridCol w:w="1962"/>
        <w:gridCol w:w="2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CAMPBELL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Campbell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Chief Accounting Officer &amp; Corporate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Viatris Inc. (the “Company”) for the period ended June 30, 2026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333"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33" w:before="100" w:after="24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7062" w:type="dxa"/>
        <w:jc w:val="left"/>
        <w:tblInd w:w="0" w:type="dxa"/>
        <w:tblLayout w:type="fixed"/>
        <w:tblCellMar>
          <w:top w:w="28" w:type="dxa"/>
          <w:left w:w="28" w:type="dxa"/>
          <w:bottom w:w="28" w:type="dxa"/>
          <w:right w:w="28" w:type="dxa"/>
        </w:tblCellMar>
      </w:tblPr>
      <w:tblGrid>
        <w:gridCol w:w="124"/>
        <w:gridCol w:w="109"/>
        <w:gridCol w:w="109"/>
        <w:gridCol w:w="1967"/>
        <w:gridCol w:w="1967"/>
        <w:gridCol w:w="2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CAMPBELL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Campbell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 Chief Accounting Officer &amp; Corporate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in accordance with Securities and Exchange Commission Release No. 34-47551 and shall not be considered filed as part of the Form 10-Q.</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2044/000114036126025744/ef20076340_ex4-1.htm" TargetMode="External"/><Relationship Id="rId3" Type="http://schemas.openxmlformats.org/officeDocument/2006/relationships/hyperlink" Target="https://www.sec.gov/Archives/edgar/data/1792044/000114036126025744/ef20076340_ex4-2.htm"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50933</Words>
  <Characters>284505</Characters>
  <CharactersWithSpaces>332863</CharactersWithSpaces>
  <Paragraphs>4994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