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Ni Xiangyang (Sean)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1000 MYLAN BOULEVARD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CANONSBURG</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15317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Viatris Inc</w:t>
              </w:r>
            </w:hyperlink>
            <w:r>
              <w:rPr/>
              <w:t xml:space="preserve"> [ </w:t>
            </w:r>
            <w:r>
              <w:rPr>
                <w:rFonts w:ascii="Times;serif" w:hAnsi="Times;serif"/>
                <w:color w:val="0000FF"/>
                <w:sz w:val="24"/>
                <w:highlight w:val="white"/>
              </w:rPr>
              <w:t>VTRS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Greater China</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719" w:type="dxa"/>
        <w:jc w:val="left"/>
        <w:tblInd w:w="0" w:type="dxa"/>
        <w:tblCellMar>
          <w:top w:w="60" w:type="dxa"/>
          <w:left w:w="60" w:type="dxa"/>
          <w:bottom w:w="60" w:type="dxa"/>
          <w:right w:w="60" w:type="dxa"/>
        </w:tblCellMar>
      </w:tblPr>
      <w:tblGrid>
        <w:gridCol w:w="1055"/>
        <w:gridCol w:w="861"/>
        <w:gridCol w:w="891"/>
        <w:gridCol w:w="771"/>
        <w:gridCol w:w="591"/>
        <w:gridCol w:w="300"/>
        <w:gridCol w:w="921"/>
        <w:gridCol w:w="276"/>
        <w:gridCol w:w="906"/>
        <w:gridCol w:w="801"/>
        <w:gridCol w:w="891"/>
        <w:gridCol w:w="104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23.0816</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23.0816</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43.694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99.1247</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99.1247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187.6451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482.6017</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482.6017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913.5748</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174.6903</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0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174.6903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330.6923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dividend equivalent units ("DEUs") that accrued with respect to the 2,852 restricted stock units ("RSUs") previously granted on November 16,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DEUs that accrued with respect to the 12,248 RSUs previously granted on November 16,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DEUs that accrued with respect to RSUs previously granted on November 23,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Represents DEUs that accrued with respect to RSUs previously granted on March 2, 2021 and vest on the same schedule as the underlying RSUs.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Macikowski,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8812" TargetMode="External"/><Relationship Id="rId4" Type="http://schemas.openxmlformats.org/officeDocument/2006/relationships/hyperlink" Target="http://www.sec.gov/cgi-bin/browse-edgar?action=getcompany&amp;CIK=000179204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681</Words>
  <CharactersWithSpaces>4265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