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_______________</w:t>
      </w:r>
    </w:p>
    <w:p>
      <w:pPr>
        <w:spacing w:after="0" w:line="1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Date of Report (Date of earliest event reported): May 9, 2024</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20"/>
          </w:cols>
          <w:pgMar w:left="320" w:top="983" w:right="359" w:bottom="1440" w:gutter="0" w:footer="0" w:header="0"/>
        </w:sectPr>
      </w:pPr>
    </w:p>
    <w:p>
      <w:pPr>
        <w:spacing w:after="0" w:line="228"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6" w:lineRule="exact"/>
        <w:rPr>
          <w:sz w:val="24"/>
          <w:szCs w:val="24"/>
          <w:color w:val="auto"/>
        </w:rPr>
      </w:pPr>
    </w:p>
    <w:p>
      <w:pPr>
        <w:jc w:val="center"/>
        <w:ind w:left="2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21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6" w:lineRule="exact"/>
        <w:rPr>
          <w:sz w:val="24"/>
          <w:szCs w:val="24"/>
          <w:color w:val="auto"/>
        </w:rPr>
      </w:pPr>
    </w:p>
    <w:p>
      <w:pPr>
        <w:sectPr>
          <w:pgSz w:w="11900" w:h="16838" w:orient="portrait"/>
          <w:cols w:equalWidth="0" w:num="3">
            <w:col w:w="4380" w:space="720"/>
            <w:col w:w="1800" w:space="720"/>
            <w:col w:w="3600"/>
          </w:cols>
          <w:pgMar w:left="320" w:top="983" w:right="359" w:bottom="1440" w:gutter="0" w:footer="0" w:header="0"/>
          <w:type w:val="continuous"/>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(724) 514-1800</w:t>
      </w:r>
    </w:p>
    <w:p>
      <w:pPr>
        <w:spacing w:after="0" w:line="327" w:lineRule="exact"/>
        <w:rPr>
          <w:sz w:val="24"/>
          <w:szCs w:val="24"/>
          <w:color w:val="auto"/>
        </w:rPr>
      </w:pPr>
    </w:p>
    <w:p>
      <w:pPr>
        <w:ind w:right="340" w:firstLine="324"/>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103" w:lineRule="exact"/>
        <w:rPr>
          <w:rFonts w:ascii="MS PGothic" w:cs="MS PGothic" w:eastAsia="MS PGothic" w:hAnsi="MS PGothic"/>
          <w:sz w:val="18"/>
          <w:szCs w:val="18"/>
          <w:color w:val="auto"/>
        </w:rPr>
      </w:pPr>
    </w:p>
    <w:p>
      <w:pPr>
        <w:ind w:right="2460" w:firstLine="332"/>
        <w:spacing w:after="0" w:line="386"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6"/>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Name of each exchange on which registered</w:t>
            </w:r>
          </w:p>
        </w:tc>
      </w:tr>
      <w:tr>
        <w:trPr>
          <w:trHeight w:val="236"/>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20" w:type="dxa"/>
            <w:vAlign w:val="bottom"/>
          </w:tcPr>
          <w:p>
            <w:pPr>
              <w:spacing w:after="0"/>
              <w:rPr>
                <w:sz w:val="20"/>
                <w:szCs w:val="20"/>
                <w:color w:val="auto"/>
              </w:rPr>
            </w:pP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91" w:lineRule="exact"/>
        <w:rPr>
          <w:sz w:val="24"/>
          <w:szCs w:val="24"/>
          <w:color w:val="auto"/>
        </w:rPr>
      </w:pPr>
    </w:p>
    <w:p>
      <w:pPr>
        <w:ind w:right="160" w:firstLine="324"/>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left="340"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9, 2024, Viatris Inc. (“Viatris” or the “Company”) issued a press release reporting the Company's financial results for the period ended March 31, 2024. A copy of the press release is attached hereto as Exhibit 99.1 and is incorporated herein by reference.</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previously announced, Viatris will host a conference call and live webcast today at 8:30 a.m. ET to review the Company's financial results for the period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Exhibits.</w:t>
            </w:r>
          </w:p>
        </w:tc>
      </w:tr>
      <w:tr>
        <w:trPr>
          <w:trHeight w:val="441"/>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 w:type="dxa"/>
            <w:vAlign w:val="bottom"/>
          </w:tcPr>
          <w:p>
            <w:pPr>
              <w:spacing w:after="0"/>
              <w:rPr>
                <w:sz w:val="16"/>
                <w:szCs w:val="16"/>
                <w:color w:val="auto"/>
              </w:rPr>
            </w:pPr>
          </w:p>
        </w:tc>
        <w:tc>
          <w:tcPr>
            <w:tcW w:w="11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Press release announcing the Company's financial results for the first quarter of 2024, dated May 9, 2024.</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1"/>
                <w:szCs w:val="21"/>
                <w:color w:val="auto"/>
              </w:rPr>
            </w:pPr>
          </w:p>
        </w:tc>
        <w:tc>
          <w:tcPr>
            <w:tcW w:w="10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7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Times New Roman" w:cs="Times New Roman" w:eastAsia="Times New Roman" w:hAnsi="Times New Roman"/>
          <w:sz w:val="18"/>
          <w:szCs w:val="18"/>
          <w:color w:val="auto"/>
        </w:rPr>
        <w:t>Date:</w:t>
        <w:tab/>
        <w:t>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511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Theodora Mistras</w:t>
      </w: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20"/>
          </w:cols>
          <w:pgMar w:left="320" w:top="1211"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1637030"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3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Viatris Reports Strong First Quarter 2024 Financial Results and Reaffirms 2024 Financial Guidance Ranges</w:t>
      </w:r>
    </w:p>
    <w:p>
      <w:pPr>
        <w:spacing w:after="0" w:line="200" w:lineRule="exact"/>
        <w:rPr>
          <w:sz w:val="20"/>
          <w:szCs w:val="20"/>
          <w:color w:val="auto"/>
        </w:rPr>
      </w:pPr>
    </w:p>
    <w:p>
      <w:pPr>
        <w:spacing w:after="0" w:line="261" w:lineRule="exact"/>
        <w:rPr>
          <w:sz w:val="20"/>
          <w:szCs w:val="20"/>
          <w:color w:val="auto"/>
        </w:rPr>
      </w:pPr>
    </w:p>
    <w:p>
      <w:pPr>
        <w:ind w:left="340" w:right="140" w:hanging="332"/>
        <w:spacing w:after="0" w:line="262" w:lineRule="auto"/>
        <w:tabs>
          <w:tab w:leader="none" w:pos="32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Total Revenues of $3.66 Billion; U.S. GAAP Net Earnings of $113.9 Million; Adjusted EBITDA of $1.19 Billion; U.S. GAAP EPS of $0.09; Adjusted EPS of $0.67; U.S. GAAP Net Cash Provided by Operating Activities of $615 Million; and Free Cash Flow of $565 Million for the First Quarter</w:t>
      </w:r>
    </w:p>
    <w:p>
      <w:pPr>
        <w:spacing w:after="0" w:line="205"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Fourth Consecutive Quarter of Operational Revenue Growth on a Divestiture-Adjusted Basis[1]</w:t>
      </w:r>
    </w:p>
    <w:p>
      <w:pPr>
        <w:spacing w:after="0" w:line="242"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Reaffirms 2024 New Product Revenue Range of $450 Million to $550 Million</w:t>
      </w:r>
    </w:p>
    <w:p>
      <w:pPr>
        <w:spacing w:after="0" w:line="242"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Closes Idorsia Transaction, Expanding Portfolio of Innovative Assets</w:t>
      </w:r>
    </w:p>
    <w:p>
      <w:pPr>
        <w:spacing w:after="0" w:line="242"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Closes Women’s Healthcare Business Divestiture</w:t>
      </w:r>
    </w:p>
    <w:p>
      <w:pPr>
        <w:spacing w:after="0" w:line="256" w:lineRule="exact"/>
        <w:rPr>
          <w:rFonts w:ascii="Arial" w:cs="Arial" w:eastAsia="Arial" w:hAnsi="Arial"/>
          <w:sz w:val="20"/>
          <w:szCs w:val="20"/>
          <w:i w:val="1"/>
          <w:iCs w:val="1"/>
          <w:color w:val="auto"/>
        </w:rPr>
      </w:pPr>
    </w:p>
    <w:p>
      <w:pPr>
        <w:ind w:left="340" w:right="380" w:hanging="332"/>
        <w:spacing w:after="0" w:line="271" w:lineRule="auto"/>
        <w:tabs>
          <w:tab w:leader="none" w:pos="32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Reaffirms 2024 Financial Guidance After Adjusting the Ranges Solely to Reflect the Impact of Divestitures and Acquired IPR&amp;D[2]</w:t>
      </w:r>
    </w:p>
    <w:p>
      <w:pPr>
        <w:spacing w:after="0" w:line="182"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Returns $393 Million of Capital to Shareholders in First Quarter Through Dividends and Share Repurchases</w:t>
      </w:r>
    </w:p>
    <w:p>
      <w:pPr>
        <w:spacing w:after="0" w:line="242" w:lineRule="exact"/>
        <w:rPr>
          <w:rFonts w:ascii="Arial" w:cs="Arial" w:eastAsia="Arial" w:hAnsi="Arial"/>
          <w:sz w:val="20"/>
          <w:szCs w:val="20"/>
          <w:i w:val="1"/>
          <w:iCs w:val="1"/>
          <w:color w:val="auto"/>
        </w:rPr>
      </w:pPr>
    </w:p>
    <w:p>
      <w:pPr>
        <w:ind w:left="320" w:hanging="312"/>
        <w:spacing w:after="0"/>
        <w:tabs>
          <w:tab w:leader="none" w:pos="32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Board of Directors Declares Quarterly Dividend of $0.12 per Share</w:t>
      </w:r>
    </w:p>
    <w:p>
      <w:pPr>
        <w:spacing w:after="0" w:line="254"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b w:val="1"/>
          <w:bCs w:val="1"/>
          <w:color w:val="auto"/>
        </w:rPr>
        <w:t xml:space="preserve">PITTSBURGH – May 9, 2024 </w:t>
      </w:r>
      <w:r>
        <w:rPr>
          <w:rFonts w:ascii="Arial" w:cs="Arial" w:eastAsia="Arial" w:hAnsi="Arial"/>
          <w:sz w:val="20"/>
          <w:szCs w:val="20"/>
          <w:color w:val="auto"/>
        </w:rPr>
        <w:t>– Viatris Inc. (NASDAQ: VTRS) today announced its financial results for the first quarter of 2024,</w:t>
      </w:r>
      <w:r>
        <w:rPr>
          <w:rFonts w:ascii="Arial" w:cs="Arial" w:eastAsia="Arial" w:hAnsi="Arial"/>
          <w:sz w:val="20"/>
          <w:szCs w:val="20"/>
          <w:b w:val="1"/>
          <w:bCs w:val="1"/>
          <w:color w:val="auto"/>
        </w:rPr>
        <w:t xml:space="preserve"> </w:t>
      </w:r>
      <w:r>
        <w:rPr>
          <w:rFonts w:ascii="Arial" w:cs="Arial" w:eastAsia="Arial" w:hAnsi="Arial"/>
          <w:sz w:val="20"/>
          <w:szCs w:val="20"/>
          <w:color w:val="auto"/>
        </w:rPr>
        <w:t>which reflect continued momentum and the strength of its base business.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Executive Commentary</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Viatris CEO Scott A. Smith said: “Our strong first quarter financial results demonstrate continued execution against our business fundamentals, which includes maintaining base business stability while driving new product revenue and executing on our vision for future growth. We have closed our Women’s Healthcare Business divestiture, and expect our API divestiture to close imminently. We have also closed our global collaboration with Idorsia and are already expanding and accelerating the Phase 3 development programs for both selatogrel and cenerimod in meaningful ways—all while we continue to deliver increased total shareholder return and pay down debt.”</w:t>
      </w:r>
    </w:p>
    <w:p>
      <w:pPr>
        <w:spacing w:after="0" w:line="200"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Viatris CFO Doretta Mistras said: “This marks our fourth consecutive quarter of operational revenue growth, demonstrating our strong global commercial execution and reflecting better-than-expected new product launches. Our solid cash flow generation further strengthened our balance sheet while supporting our capital allocation priorities, returning $393 million of capital to shareholders in the form of dividends and share repurchases. As a result of our underlying fundamentals and the momentum of our business, we believe we are well positioned to meet our 2024 financial guidance, as well as our full-year range of $450 to $550 million of new product launches.”</w:t>
      </w:r>
    </w:p>
    <w:p>
      <w:pPr>
        <w:sectPr>
          <w:pgSz w:w="11900" w:h="16838" w:orient="portrait"/>
          <w:cols w:equalWidth="0" w:num="1">
            <w:col w:w="11200"/>
          </w:cols>
          <w:pgMar w:left="320" w:top="1440" w:right="379" w:bottom="1440" w:gutter="0" w:footer="0" w:header="0"/>
        </w:sectPr>
      </w:pPr>
    </w:p>
    <w:bookmarkStart w:id="5" w:name="page6"/>
    <w:bookmarkEnd w:id="5"/>
    <w:p>
      <w:pPr>
        <w:ind w:right="40" w:firstLine="8"/>
        <w:spacing w:after="0" w:line="286" w:lineRule="auto"/>
        <w:tabs>
          <w:tab w:leader="none" w:pos="275" w:val="left"/>
        </w:tabs>
        <w:numPr>
          <w:ilvl w:val="0"/>
          <w:numId w:val="3"/>
        </w:numPr>
        <w:rPr>
          <w:rFonts w:ascii="Arial" w:cs="Arial" w:eastAsia="Arial" w:hAnsi="Arial"/>
          <w:sz w:val="20"/>
          <w:szCs w:val="20"/>
          <w:color w:val="auto"/>
        </w:rPr>
      </w:pPr>
      <w:r>
        <w:rPr>
          <w:rFonts w:ascii="Arial" w:cs="Arial" w:eastAsia="Arial" w:hAnsi="Arial"/>
          <w:sz w:val="20"/>
          <w:szCs w:val="20"/>
          <w:color w:val="auto"/>
        </w:rPr>
        <w:t>For the quarter ended March 31, 2024, total net sales declined 2% on a U.S. GAAP basis and increased 2% on a divestiture-adjusted operational basis.</w:t>
      </w:r>
    </w:p>
    <w:p>
      <w:pPr>
        <w:spacing w:after="0" w:line="167" w:lineRule="exact"/>
        <w:rPr>
          <w:rFonts w:ascii="Arial" w:cs="Arial" w:eastAsia="Arial" w:hAnsi="Arial"/>
          <w:sz w:val="20"/>
          <w:szCs w:val="20"/>
          <w:color w:val="auto"/>
        </w:rPr>
      </w:pPr>
    </w:p>
    <w:p>
      <w:pPr>
        <w:ind w:right="40" w:firstLine="8"/>
        <w:spacing w:after="0" w:line="236" w:lineRule="auto"/>
        <w:tabs>
          <w:tab w:leader="none" w:pos="275" w:val="left"/>
        </w:tabs>
        <w:numPr>
          <w:ilvl w:val="0"/>
          <w:numId w:val="3"/>
        </w:numPr>
        <w:rPr>
          <w:rFonts w:ascii="Arial" w:cs="Arial" w:eastAsia="Arial" w:hAnsi="Arial"/>
          <w:sz w:val="20"/>
          <w:szCs w:val="20"/>
          <w:color w:val="auto"/>
        </w:rPr>
      </w:pPr>
      <w:r>
        <w:rPr>
          <w:rFonts w:ascii="Arial" w:cs="Arial" w:eastAsia="Arial" w:hAnsi="Arial"/>
          <w:sz w:val="20"/>
          <w:szCs w:val="20"/>
          <w:color w:val="auto"/>
        </w:rPr>
        <w:t>Viatris is not providing forward-looking guidance for U.S. GAAP net earnings or U.S. GAAP diluted EPS or a quantitative reconciliation of its updated 2024 adjusted EBITDA or adjusted EPS guidance. U.S. GAAP net cash provided by operating activities for 2024 as updated is estimated to be between $2.71 billion and $3.01 billion, with a midpoint of approximately $2.86 billion. With respect to the impact of divestitures, the women’s healthcare business divestiture closed in March 2024 and the API business divestiture is expected to close imminently. The adjusted 2024 financial guidance ranges exclude the expected performance of the women’s healthcare business and the API business in India for the remainder of the year through December 31, 2024, which was included in our 2024 Financial Guidance as provided on February 28, 2024. Please see "2024 Financial Guidance" and "Non-GAAP Financial Measures" for additional information.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2024 Financial Guidance</w:t>
      </w: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Viatris is reaffirming its 2024 financial guidance that was previously provided on February 28, 2024, as set forth below, after adjusting the ranges solely to reflect the impact of divestitures and acquired IPR&amp;D. The Company is not providing forward-looking guidance for U.S. GAAP net earnings or U.S. GAAP diluted earnings per share (EPS) or a quantitative reconciliation of its 2024 adjusted EBITDA or adjusted EPS guidance to the most directly comparable U.S. GAAP measures, U.S. GAAP net earnings or U.S. GAAP diluted EPS, respectively, because it is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accounting for non-marketable equity investments,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With respect to the Estimated Ranges provided on May 9, 2024, U.S. GAAP net cash provided by operating activities for 2024 is estimated to be between $2.71 billion and $ 3.01 billion, with a midpoint of approximately $2.86 billion. With respect to the Estimated Ranges provided on February 28, 2024, Viatris did not provide forward-looking guidance for U.S. GAAP net earnings or U.S. GAAP diluted EPS or a quantitative reconciliation of its 2024 adjusted EBITDA or adjusted EPS guidance. Please see "Non-GAAP Financial Measures" for additional information. With respect to the Estimated Ranges provided on February 28, 2024, U.S. GAAP net cash provided by operating activities for 2024 was estimated to be between $2.75 billion and $3.05 billion, with a midpoint of approximately $2.9 billion.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Adjusted</w:t>
            </w: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9"/>
                <w:szCs w:val="9"/>
                <w:b w:val="1"/>
                <w:bCs w:val="1"/>
                <w:color w:val="auto"/>
              </w:rPr>
              <w:t>(2)</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(2)</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Divestiture</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Acquired IPR&amp;D</w:t>
            </w:r>
          </w:p>
        </w:tc>
        <w:tc>
          <w:tcPr>
            <w:tcW w:w="1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 xml:space="preserve">Estimated Ranges </w:t>
            </w:r>
            <w:r>
              <w:rPr>
                <w:rFonts w:ascii="Arial" w:cs="Arial" w:eastAsia="Arial" w:hAnsi="Arial"/>
                <w:sz w:val="9"/>
                <w:szCs w:val="9"/>
                <w:b w:val="1"/>
                <w:bCs w:val="1"/>
                <w:color w:val="auto"/>
              </w:rPr>
              <w:t>(4)</w:t>
            </w:r>
          </w:p>
        </w:tc>
        <w:tc>
          <w:tcPr>
            <w:tcW w:w="1180" w:type="dxa"/>
            <w:vAlign w:val="bottom"/>
          </w:tcPr>
          <w:p>
            <w:pPr>
              <w:ind w:left="220"/>
              <w:spacing w:after="0"/>
              <w:rPr>
                <w:sz w:val="20"/>
                <w:szCs w:val="20"/>
                <w:color w:val="auto"/>
              </w:rPr>
            </w:pPr>
            <w:r>
              <w:rPr>
                <w:rFonts w:ascii="Arial" w:cs="Arial" w:eastAsia="Arial" w:hAnsi="Arial"/>
                <w:sz w:val="14"/>
                <w:szCs w:val="14"/>
                <w:b w:val="1"/>
                <w:bCs w:val="1"/>
                <w:color w:val="auto"/>
              </w:rPr>
              <w:t xml:space="preserve">Midpoint </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EPS)</w:t>
            </w:r>
          </w:p>
        </w:tc>
        <w:tc>
          <w:tcPr>
            <w:tcW w:w="19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February 28, 2024</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February 28, 2024</w:t>
            </w:r>
          </w:p>
        </w:tc>
        <w:tc>
          <w:tcPr>
            <w:tcW w:w="1280" w:type="dxa"/>
            <w:vAlign w:val="bottom"/>
            <w:gridSpan w:val="2"/>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(3)</w:t>
            </w:r>
          </w:p>
        </w:tc>
        <w:tc>
          <w:tcPr>
            <w:tcW w:w="1260" w:type="dxa"/>
            <w:vAlign w:val="bottom"/>
            <w:gridSpan w:val="2"/>
            <w:vMerge w:val="continue"/>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May 9, 2024</w:t>
            </w:r>
          </w:p>
        </w:tc>
        <w:tc>
          <w:tcPr>
            <w:tcW w:w="1180" w:type="dxa"/>
            <w:vAlign w:val="bottom"/>
          </w:tcPr>
          <w:p>
            <w:pPr>
              <w:ind w:left="240"/>
              <w:spacing w:after="0"/>
              <w:rPr>
                <w:sz w:val="20"/>
                <w:szCs w:val="20"/>
                <w:color w:val="auto"/>
              </w:rPr>
            </w:pPr>
            <w:r>
              <w:rPr>
                <w:rFonts w:ascii="Arial" w:cs="Arial" w:eastAsia="Arial" w:hAnsi="Arial"/>
                <w:sz w:val="13"/>
                <w:szCs w:val="13"/>
                <w:b w:val="1"/>
                <w:bCs w:val="1"/>
                <w:color w:val="auto"/>
              </w:rPr>
              <w:t>May 9, 2024</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$15,250</w:t>
            </w:r>
          </w:p>
        </w:tc>
        <w:tc>
          <w:tcPr>
            <w:tcW w:w="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$15,750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$15,500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$14,980</w:t>
            </w:r>
          </w:p>
        </w:tc>
        <w:tc>
          <w:tcPr>
            <w:tcW w:w="1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$15,480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$15,230</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$4,800</w:t>
            </w:r>
          </w:p>
        </w:tc>
        <w:tc>
          <w:tcPr>
            <w:tcW w:w="980" w:type="dxa"/>
            <w:vAlign w:val="bottom"/>
          </w:tcPr>
          <w:p>
            <w:pPr>
              <w:ind w:left="20"/>
              <w:spacing w:after="0"/>
              <w:rPr>
                <w:sz w:val="20"/>
                <w:szCs w:val="20"/>
                <w:color w:val="auto"/>
              </w:rPr>
            </w:pPr>
            <w:r>
              <w:rPr>
                <w:rFonts w:ascii="Arial" w:cs="Arial" w:eastAsia="Arial" w:hAnsi="Arial"/>
                <w:sz w:val="16"/>
                <w:szCs w:val="16"/>
                <w:color w:val="auto"/>
              </w:rPr>
              <w:t>- $5,100</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$4,950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(~$80)</w:t>
            </w:r>
          </w:p>
        </w:tc>
        <w:tc>
          <w:tcPr>
            <w:tcW w:w="100" w:type="dxa"/>
            <w:vAlign w:val="bottom"/>
          </w:tcPr>
          <w:p>
            <w:pPr>
              <w:spacing w:after="0"/>
              <w:rPr>
                <w:sz w:val="18"/>
                <w:szCs w:val="18"/>
                <w:color w:val="auto"/>
              </w:rPr>
            </w:pPr>
          </w:p>
        </w:tc>
        <w:tc>
          <w:tcPr>
            <w:tcW w:w="1160" w:type="dxa"/>
            <w:vAlign w:val="bottom"/>
          </w:tcPr>
          <w:p>
            <w:pPr>
              <w:jc w:val="right"/>
              <w:ind w:right="344"/>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$4,710</w:t>
            </w:r>
          </w:p>
        </w:tc>
        <w:tc>
          <w:tcPr>
            <w:tcW w:w="1000" w:type="dxa"/>
            <w:vAlign w:val="bottom"/>
          </w:tcPr>
          <w:p>
            <w:pPr>
              <w:ind w:left="40"/>
              <w:spacing w:after="0"/>
              <w:rPr>
                <w:sz w:val="20"/>
                <w:szCs w:val="20"/>
                <w:color w:val="auto"/>
              </w:rPr>
            </w:pPr>
            <w:r>
              <w:rPr>
                <w:rFonts w:ascii="Arial" w:cs="Arial" w:eastAsia="Arial" w:hAnsi="Arial"/>
                <w:sz w:val="16"/>
                <w:szCs w:val="16"/>
                <w:color w:val="auto"/>
              </w:rPr>
              <w:t>- $5,010</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$2,500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$2,660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85"/>
        </w:trPr>
        <w:tc>
          <w:tcPr>
            <w:tcW w:w="2080" w:type="dxa"/>
            <w:vAlign w:val="bottom"/>
          </w:tcPr>
          <w:p>
            <w:pPr>
              <w:ind w:left="20"/>
              <w:spacing w:after="0"/>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$2.70</w:t>
            </w:r>
          </w:p>
        </w:tc>
        <w:tc>
          <w:tcPr>
            <w:tcW w:w="980" w:type="dxa"/>
            <w:vAlign w:val="bottom"/>
          </w:tcPr>
          <w:p>
            <w:pPr>
              <w:ind w:left="20"/>
              <w:spacing w:after="0"/>
              <w:rPr>
                <w:sz w:val="20"/>
                <w:szCs w:val="20"/>
                <w:color w:val="auto"/>
              </w:rPr>
            </w:pPr>
            <w:r>
              <w:rPr>
                <w:rFonts w:ascii="Arial" w:cs="Arial" w:eastAsia="Arial" w:hAnsi="Arial"/>
                <w:sz w:val="16"/>
                <w:szCs w:val="16"/>
                <w:color w:val="auto"/>
              </w:rPr>
              <w:t>- $2.85</w:t>
            </w: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$2.78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c>
          <w:tcPr>
            <w:tcW w:w="1000" w:type="dxa"/>
            <w:vAlign w:val="bottom"/>
          </w:tcPr>
          <w:p>
            <w:pPr>
              <w:ind w:left="40"/>
              <w:spacing w:after="0"/>
              <w:rPr>
                <w:sz w:val="20"/>
                <w:szCs w:val="20"/>
                <w:color w:val="auto"/>
              </w:rPr>
            </w:pPr>
            <w:r>
              <w:rPr>
                <w:rFonts w:ascii="Arial" w:cs="Arial" w:eastAsia="Arial" w:hAnsi="Arial"/>
                <w:sz w:val="16"/>
                <w:szCs w:val="16"/>
                <w:color w:val="auto"/>
              </w:rPr>
              <w:t>- $2.81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$2.73</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540" w:hanging="208"/>
        <w:spacing w:after="0"/>
        <w:tabs>
          <w:tab w:leader="none" w:pos="540" w:val="left"/>
        </w:tabs>
        <w:numPr>
          <w:ilvl w:val="0"/>
          <w:numId w:val="4"/>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68" w:lineRule="exact"/>
        <w:rPr>
          <w:rFonts w:ascii="Arial" w:cs="Arial" w:eastAsia="Arial" w:hAnsi="Arial"/>
          <w:sz w:val="9"/>
          <w:szCs w:val="9"/>
          <w:color w:val="auto"/>
        </w:rPr>
      </w:pPr>
    </w:p>
    <w:p>
      <w:pPr>
        <w:jc w:val="both"/>
        <w:ind w:left="660" w:hanging="328"/>
        <w:spacing w:after="0"/>
        <w:tabs>
          <w:tab w:leader="none" w:pos="637"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on February 28, 2024 included the full-year expected performance for the then-pending announced divestitures of substantially all of our OTC business, API business in India, and women’s healthcare business, and excluded any potential related costs, such as taxes and transaction costs. Also excluded any acquired IPR&amp;D to be incurred in any future period as it could not be reasonably forecasted.</w:t>
      </w:r>
    </w:p>
    <w:p>
      <w:pPr>
        <w:spacing w:after="0" w:line="26" w:lineRule="exact"/>
        <w:rPr>
          <w:rFonts w:ascii="Arial" w:cs="Arial" w:eastAsia="Arial" w:hAnsi="Arial"/>
          <w:sz w:val="19"/>
          <w:szCs w:val="19"/>
          <w:color w:val="auto"/>
          <w:vertAlign w:val="superscript"/>
        </w:rPr>
      </w:pPr>
    </w:p>
    <w:p>
      <w:pPr>
        <w:ind w:left="660" w:right="40" w:hanging="328"/>
        <w:spacing w:after="0" w:line="283" w:lineRule="auto"/>
        <w:tabs>
          <w:tab w:leader="none" w:pos="610" w:val="left"/>
        </w:tabs>
        <w:numPr>
          <w:ilvl w:val="0"/>
          <w:numId w:val="4"/>
        </w:numPr>
        <w:rPr>
          <w:rFonts w:ascii="Arial" w:cs="Arial" w:eastAsia="Arial" w:hAnsi="Arial"/>
          <w:sz w:val="9"/>
          <w:szCs w:val="9"/>
          <w:color w:val="auto"/>
        </w:rPr>
      </w:pPr>
      <w:r>
        <w:rPr>
          <w:rFonts w:ascii="Arial" w:cs="Arial" w:eastAsia="Arial" w:hAnsi="Arial"/>
          <w:sz w:val="14"/>
          <w:szCs w:val="14"/>
          <w:color w:val="auto"/>
        </w:rPr>
        <w:t>With respect to the impact of divestitures, the women’s healthcare business divestiture closed in March 2024 and the API business divestiture is expected to close imminently. The adjusted 2024 financial guidance ranges exclude the expected performance of the women's healthcare business and the API business in India for the remainder of the year through December 31, 2024, which was included in our 2024 Financial Guidance as provided on February 28, 2024.</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7" w:right="339" w:bottom="1440" w:gutter="0" w:footer="0" w:header="0"/>
        </w:sectPr>
      </w:pPr>
    </w:p>
    <w:bookmarkStart w:id="6" w:name="page7"/>
    <w:bookmarkEnd w:id="6"/>
    <w:p>
      <w:pPr>
        <w:ind w:left="660" w:hanging="328"/>
        <w:spacing w:after="0"/>
        <w:tabs>
          <w:tab w:leader="none" w:pos="55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2024 Financial Guidance as provided on May 9, 2024, includes the full-year expected performance for the pending announced divestiture of substantially all of our OTC business, and excludes any potential related costs, such as taxes and transaction costs. Also excludes any acquired IPR&amp;D to be incurred in any future period as it cannot be reasonably forecasted.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Return of Capital to Shareholders</w:t>
      </w:r>
    </w:p>
    <w:p>
      <w:pPr>
        <w:spacing w:after="0" w:line="231"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Viatris announced that, on May 6, 2024, its Board of Directors declared a quarterly dividend of twelve cents ($ 0.12) for each issued and outstanding share of the Company's common stock. The dividend is payable on June 14, 2024, to shareholders of record at the close of business on May 24, 2024.</w:t>
      </w:r>
    </w:p>
    <w:p>
      <w:pPr>
        <w:spacing w:after="0" w:line="178" w:lineRule="exact"/>
        <w:rPr>
          <w:sz w:val="20"/>
          <w:szCs w:val="20"/>
          <w:color w:val="auto"/>
        </w:rPr>
      </w:pPr>
    </w:p>
    <w:p>
      <w:pPr>
        <w:ind w:right="440"/>
        <w:spacing w:after="0" w:line="262" w:lineRule="auto"/>
        <w:rPr>
          <w:sz w:val="20"/>
          <w:szCs w:val="20"/>
          <w:color w:val="auto"/>
        </w:rPr>
      </w:pPr>
      <w:r>
        <w:rPr>
          <w:rFonts w:ascii="Arial" w:cs="Arial" w:eastAsia="Arial" w:hAnsi="Arial"/>
          <w:sz w:val="20"/>
          <w:szCs w:val="20"/>
          <w:color w:val="auto"/>
        </w:rPr>
        <w:t>In February 2024, the Company repurchased approximately 19.2 million shares of common stock at a cost of approximately $250 million as part of its previously announced $2.0 billion share repurchase program authorized by the Viatris Board of Directors. The Company has repurchased a total of $500 million in shares under the program to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Conference Call and Earnings Materials</w:t>
      </w:r>
    </w:p>
    <w:p>
      <w:pPr>
        <w:spacing w:after="0" w:line="218" w:lineRule="exact"/>
        <w:rPr>
          <w:sz w:val="20"/>
          <w:szCs w:val="20"/>
          <w:color w:val="auto"/>
        </w:rPr>
      </w:pPr>
    </w:p>
    <w:p>
      <w:pPr>
        <w:ind w:right="280"/>
        <w:spacing w:after="0" w:line="286" w:lineRule="auto"/>
        <w:rPr>
          <w:sz w:val="20"/>
          <w:szCs w:val="20"/>
          <w:color w:val="auto"/>
        </w:rPr>
      </w:pPr>
      <w:r>
        <w:rPr>
          <w:rFonts w:ascii="Arial" w:cs="Arial" w:eastAsia="Arial" w:hAnsi="Arial"/>
          <w:sz w:val="20"/>
          <w:szCs w:val="20"/>
          <w:color w:val="auto"/>
        </w:rPr>
        <w:t>Viatris will host a conference call and live webcast, today at 8:30 a.m. ET, to review the Company's first quarter 2024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Investors and the general public are invited to listen to a live webcast of the call at investor.viatris.com or by calling</w:t>
      </w:r>
    </w:p>
    <w:p>
      <w:pPr>
        <w:spacing w:after="0" w:line="31" w:lineRule="exact"/>
        <w:rPr>
          <w:sz w:val="20"/>
          <w:szCs w:val="20"/>
          <w:color w:val="auto"/>
        </w:rPr>
      </w:pPr>
    </w:p>
    <w:p>
      <w:pPr>
        <w:ind w:right="260"/>
        <w:spacing w:after="0" w:line="293" w:lineRule="auto"/>
        <w:rPr>
          <w:sz w:val="20"/>
          <w:szCs w:val="20"/>
          <w:color w:val="auto"/>
        </w:rPr>
      </w:pPr>
      <w:r>
        <w:rPr>
          <w:rFonts w:ascii="Arial" w:cs="Arial" w:eastAsia="Arial" w:hAnsi="Arial"/>
          <w:sz w:val="19"/>
          <w:szCs w:val="19"/>
          <w:color w:val="auto"/>
        </w:rPr>
        <w:t>844.308.3344 or 412.317.1896 for international callers. The “Viatris Q1 2024 Earnings Presentation,” which will be referenced during the call, can be found at investor.viatris.com. A replay of the webcast also will be available on the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4C16AE"/>
        </w:rPr>
        <w:t>Financial Summary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gridSpan w:val="5"/>
          </w:tcPr>
          <w:p>
            <w:pPr>
              <w:jc w:val="center"/>
              <w:ind w:left="52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39"/>
        </w:trPr>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2"/>
                <w:szCs w:val="12"/>
                <w:color w:val="auto"/>
              </w:rPr>
            </w:pPr>
          </w:p>
        </w:tc>
        <w:tc>
          <w:tcPr>
            <w:tcW w:w="1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 and per share amounts)</w:t>
            </w:r>
          </w:p>
        </w:tc>
        <w:tc>
          <w:tcPr>
            <w:tcW w:w="280" w:type="dxa"/>
            <w:vAlign w:val="bottom"/>
          </w:tcPr>
          <w:p>
            <w:pPr>
              <w:spacing w:after="0"/>
              <w:rPr>
                <w:sz w:val="12"/>
                <w:szCs w:val="12"/>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98"/>
        </w:trPr>
        <w:tc>
          <w:tcPr>
            <w:tcW w:w="51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9"/>
                <w:szCs w:val="9"/>
                <w:b w:val="1"/>
                <w:bCs w:val="1"/>
                <w:color w:val="auto"/>
              </w:rPr>
              <w:t>(1) (2)</w:t>
            </w:r>
          </w:p>
        </w:tc>
        <w:tc>
          <w:tcPr>
            <w:tcW w:w="1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(3)</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3,653.5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3,719.1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right="1"/>
              <w:spacing w:after="0"/>
              <w:rPr>
                <w:sz w:val="20"/>
                <w:szCs w:val="20"/>
                <w:color w:val="auto"/>
              </w:rPr>
            </w:pPr>
            <w:r>
              <w:rPr>
                <w:rFonts w:ascii="Arial" w:cs="Arial" w:eastAsia="Arial" w:hAnsi="Arial"/>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2,165.4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2,170.4</w:t>
            </w: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641.9</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4"/>
              </w:rPr>
              <w:t>4%</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JANZ</w:t>
            </w:r>
          </w:p>
        </w:tc>
        <w:tc>
          <w:tcPr>
            <w:tcW w:w="28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317.8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342.2</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w w:val="94"/>
              </w:rPr>
              <w:t>2%</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564.6</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by Product Category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Brands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2,309.1</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2,420.3</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Generics </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1,298.8</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4"/>
              </w:rPr>
              <w:t>5%</w:t>
            </w:r>
          </w:p>
        </w:tc>
        <w:tc>
          <w:tcPr>
            <w:tcW w:w="12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Gross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1,504.0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1,542.2</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Gross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2,154.8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2,250.9</w:t>
            </w:r>
          </w:p>
        </w:tc>
        <w:tc>
          <w:tcPr>
            <w:tcW w:w="1000" w:type="dxa"/>
            <w:vAlign w:val="bottom"/>
            <w:gridSpan w:val="2"/>
            <w:shd w:val="clear" w:color="auto" w:fill="CCEEFF"/>
          </w:tcPr>
          <w:p>
            <w:pPr>
              <w:jc w:val="center"/>
              <w:ind w:left="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Gross Margin </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60.4 %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113.9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224.7</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(49)%</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0.19</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Net Earnings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812.7</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932.9</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Adjusted EPS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0.77</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1,199.7</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1,193.4</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1,340.9</w:t>
            </w:r>
          </w:p>
        </w:tc>
        <w:tc>
          <w:tcPr>
            <w:tcW w:w="1000" w:type="dxa"/>
            <w:vAlign w:val="bottom"/>
            <w:gridSpan w:val="2"/>
          </w:tcPr>
          <w:p>
            <w:pPr>
              <w:jc w:val="center"/>
              <w:ind w:left="20"/>
              <w:spacing w:after="0"/>
              <w:rPr>
                <w:sz w:val="20"/>
                <w:szCs w:val="20"/>
                <w:color w:val="auto"/>
              </w:rPr>
            </w:pPr>
            <w:r>
              <w:rPr>
                <w:rFonts w:ascii="Arial" w:cs="Arial" w:eastAsia="Arial" w:hAnsi="Arial"/>
                <w:sz w:val="16"/>
                <w:szCs w:val="16"/>
                <w:color w:val="auto"/>
                <w:w w:val="98"/>
              </w:rPr>
              <w:t>(11)%</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U.S. GAAP net cash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614.6</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971.2</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(37)%</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47.8</w:t>
            </w:r>
          </w:p>
        </w:tc>
        <w:tc>
          <w:tcPr>
            <w:tcW w:w="100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(2)(5)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564.8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923.4</w:t>
            </w:r>
          </w:p>
        </w:tc>
        <w:tc>
          <w:tcPr>
            <w:tcW w:w="1000" w:type="dxa"/>
            <w:vAlign w:val="bottom"/>
            <w:gridSpan w:val="2"/>
          </w:tcPr>
          <w:p>
            <w:pPr>
              <w:jc w:val="center"/>
              <w:ind w:left="4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126" w:lineRule="exact"/>
        <w:rPr>
          <w:sz w:val="20"/>
          <w:szCs w:val="20"/>
          <w:color w:val="auto"/>
        </w:rPr>
      </w:pPr>
    </w:p>
    <w:p>
      <w:pPr>
        <w:ind w:left="660" w:right="20" w:hanging="328"/>
        <w:spacing w:after="0" w:line="300" w:lineRule="auto"/>
        <w:tabs>
          <w:tab w:leader="none" w:pos="593"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operational change for net sales adjusted EBITDA, and adjusted EPS which excludes the impacts of foreign currency translation. See “Certain Key Terms and Presentation Matters” in this release for more information.</w:t>
      </w:r>
    </w:p>
    <w:p>
      <w:pPr>
        <w:ind w:left="540" w:hanging="208"/>
        <w:spacing w:after="0"/>
        <w:tabs>
          <w:tab w:leader="none" w:pos="5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3" w:lineRule="exact"/>
        <w:rPr>
          <w:rFonts w:ascii="Arial" w:cs="Arial" w:eastAsia="Arial" w:hAnsi="Arial"/>
          <w:sz w:val="19"/>
          <w:szCs w:val="19"/>
          <w:color w:val="auto"/>
          <w:vertAlign w:val="superscript"/>
        </w:rPr>
      </w:pPr>
    </w:p>
    <w:p>
      <w:pPr>
        <w:ind w:left="660" w:hanging="328"/>
        <w:spacing w:after="0" w:line="222" w:lineRule="auto"/>
        <w:tabs>
          <w:tab w:leader="none" w:pos="581"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adjustments for the impact of proportionate results from the divestitures that closed in 2023 and 2024, from the 2023 period on an operational basis. See “Certain Key Terms and Presentation Matters” in this release for more information.</w:t>
      </w:r>
    </w:p>
    <w:p>
      <w:pPr>
        <w:spacing w:after="0" w:line="26" w:lineRule="exact"/>
        <w:rPr>
          <w:rFonts w:ascii="Arial" w:cs="Arial" w:eastAsia="Arial" w:hAnsi="Arial"/>
          <w:sz w:val="19"/>
          <w:szCs w:val="19"/>
          <w:color w:val="auto"/>
          <w:vertAlign w:val="superscript"/>
        </w:rPr>
      </w:pPr>
    </w:p>
    <w:p>
      <w:pPr>
        <w:ind w:left="660" w:hanging="328"/>
        <w:spacing w:after="0" w:line="297" w:lineRule="auto"/>
        <w:tabs>
          <w:tab w:leader="none" w:pos="476"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As a result of the contribution of the biosimilars business to Biocon Biologics Limited ("Biocon Biologics") in November 2022, </w:t>
      </w:r>
      <w:r>
        <w:rPr>
          <w:rFonts w:ascii="Arial" w:cs="Arial" w:eastAsia="Arial" w:hAnsi="Arial"/>
          <w:sz w:val="14"/>
          <w:szCs w:val="14"/>
          <w:i w:val="1"/>
          <w:iCs w:val="1"/>
          <w:color w:val="auto"/>
        </w:rPr>
        <w:t>Complex Gx and Biosimilars</w:t>
      </w:r>
      <w:r>
        <w:rPr>
          <w:rFonts w:ascii="Arial" w:cs="Arial" w:eastAsia="Arial" w:hAnsi="Arial"/>
          <w:sz w:val="14"/>
          <w:szCs w:val="14"/>
          <w:color w:val="auto"/>
        </w:rPr>
        <w:t xml:space="preserve">, which were previously presented as a separate line item, are now included within </w:t>
      </w:r>
      <w:r>
        <w:rPr>
          <w:rFonts w:ascii="Arial" w:cs="Arial" w:eastAsia="Arial" w:hAnsi="Arial"/>
          <w:sz w:val="14"/>
          <w:szCs w:val="14"/>
          <w:i w:val="1"/>
          <w:iCs w:val="1"/>
          <w:color w:val="auto"/>
        </w:rPr>
        <w:t>Generics</w:t>
      </w:r>
      <w:r>
        <w:rPr>
          <w:rFonts w:ascii="Arial" w:cs="Arial" w:eastAsia="Arial" w:hAnsi="Arial"/>
          <w:sz w:val="14"/>
          <w:szCs w:val="14"/>
          <w:color w:val="auto"/>
        </w:rPr>
        <w:t>. Reclassifications were made to prior periods to conform to the current period presentation.</w:t>
      </w:r>
    </w:p>
    <w:p>
      <w:pPr>
        <w:spacing w:after="0" w:line="182" w:lineRule="exact"/>
        <w:rPr>
          <w:rFonts w:ascii="Arial" w:cs="Arial" w:eastAsia="Arial" w:hAnsi="Arial"/>
          <w:sz w:val="9"/>
          <w:szCs w:val="9"/>
          <w:color w:val="auto"/>
        </w:rPr>
      </w:pPr>
    </w:p>
    <w:p>
      <w:pPr>
        <w:ind w:left="660" w:hanging="328"/>
        <w:spacing w:after="0" w:line="222" w:lineRule="auto"/>
        <w:tabs>
          <w:tab w:leader="none" w:pos="67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Excluding the impact of transaction costs primarily related to the divestitures of $83 million, free cash flow for the three months ended March 31, 2024 was $648 million. Excluding the impact of transaction costs related to divestitures of $22 million, free cash flow for the three months ended March 31, 2023 was $945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0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4C16AE"/>
        </w:rPr>
        <w:t>Financial Highlights</w:t>
      </w:r>
    </w:p>
    <w:p>
      <w:pPr>
        <w:spacing w:after="0" w:line="231" w:lineRule="exact"/>
        <w:rPr>
          <w:sz w:val="20"/>
          <w:szCs w:val="20"/>
          <w:color w:val="auto"/>
        </w:rPr>
      </w:pPr>
    </w:p>
    <w:p>
      <w:pPr>
        <w:ind w:left="340" w:right="360" w:hanging="332"/>
        <w:spacing w:after="0" w:line="271"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First quarter 2024 total net sales totaled $3.7 billion, up approximately 2% on a divestiture-adjusted operational basis (as defined in "Certain Key Terms and Presentation Matters" below) compared to first-quarter 2023 results.</w:t>
      </w:r>
    </w:p>
    <w:p>
      <w:pPr>
        <w:spacing w:after="0" w:line="169" w:lineRule="exact"/>
        <w:rPr>
          <w:rFonts w:ascii="Arial" w:cs="Arial" w:eastAsia="Arial" w:hAnsi="Arial"/>
          <w:sz w:val="20"/>
          <w:szCs w:val="20"/>
          <w:color w:val="auto"/>
        </w:rPr>
      </w:pPr>
    </w:p>
    <w:p>
      <w:pPr>
        <w:ind w:left="340" w:right="80" w:hanging="332"/>
        <w:spacing w:after="0" w:line="262"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Brands net sales reflect strong growth in Emerging Markets and Europe and expansion of business activities in JANZ, offset by unfavorable channel dynamics in North America and expected base business erosion resulting from government price regulations in Japan and Australia.</w:t>
      </w:r>
    </w:p>
    <w:p>
      <w:pPr>
        <w:spacing w:after="0" w:line="178" w:lineRule="exact"/>
        <w:rPr>
          <w:rFonts w:ascii="Arial" w:cs="Arial" w:eastAsia="Arial" w:hAnsi="Arial"/>
          <w:sz w:val="20"/>
          <w:szCs w:val="20"/>
          <w:color w:val="auto"/>
        </w:rPr>
      </w:pPr>
    </w:p>
    <w:p>
      <w:pPr>
        <w:ind w:left="340" w:right="340" w:hanging="332"/>
        <w:spacing w:after="0" w:line="262"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Generics net sales experienced strong growth compared to the first quarter of 2023, driven by strong new product launch performance in Developed Markets, along with improved performance of Wixela® and solid performance across broad portfolios in Developed and Emerging Markets.</w:t>
      </w:r>
    </w:p>
    <w:p>
      <w:pPr>
        <w:spacing w:after="0" w:line="164" w:lineRule="exact"/>
        <w:rPr>
          <w:rFonts w:ascii="Arial" w:cs="Arial" w:eastAsia="Arial" w:hAnsi="Arial"/>
          <w:sz w:val="20"/>
          <w:szCs w:val="20"/>
          <w:color w:val="auto"/>
        </w:rPr>
      </w:pPr>
    </w:p>
    <w:p>
      <w:pPr>
        <w:ind w:left="340" w:right="140" w:hanging="332"/>
        <w:spacing w:after="0" w:line="26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generated approximately $154 million in new product revenues (as defined in "Certain Key Terms and Presentation Matters" below) primarily driven by Breyna™ in the U.S. and is on track to achieve approximately $450 million to $550 million in new product revenues in 2024.</w:t>
      </w:r>
    </w:p>
    <w:p>
      <w:pPr>
        <w:spacing w:after="0" w:line="158" w:lineRule="exact"/>
        <w:rPr>
          <w:rFonts w:ascii="Arial" w:cs="Arial" w:eastAsia="Arial" w:hAnsi="Arial"/>
          <w:sz w:val="20"/>
          <w:szCs w:val="20"/>
          <w:color w:val="auto"/>
        </w:rPr>
      </w:pPr>
    </w:p>
    <w:p>
      <w:pPr>
        <w:ind w:left="340" w:right="240" w:hanging="332"/>
        <w:spacing w:after="0" w:line="259" w:lineRule="auto"/>
        <w:tabs>
          <w:tab w:leader="none" w:pos="328"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had U.S. GAAP net cash provided by operating activities of $615 million and generated $565 million of free cash flow, primarily driven by strong operating results and the timing of planned capital expenditures. U.S. GAAP net cash provided by operating activities and free cash flow for the quarter includes approximately $83 million of transaction costs related to divestitures.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Certain Key Terms and Presentation Matters</w:t>
      </w: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20"/>
          <w:szCs w:val="20"/>
          <w:u w:val="single" w:color="auto"/>
          <w:color w:val="auto"/>
        </w:rPr>
        <w:t>New product sales, new product launches or new product revenues:</w:t>
      </w:r>
      <w:r>
        <w:rPr>
          <w:rFonts w:ascii="Arial" w:cs="Arial" w:eastAsia="Arial" w:hAnsi="Arial"/>
          <w:sz w:val="20"/>
          <w:szCs w:val="20"/>
          <w:color w:val="auto"/>
        </w:rPr>
        <w:t xml:space="preserve"> Refers to revenue from new products launched in 2024 and the carryover impact of new products, including business development, launched within the last 12 months.</w:t>
      </w:r>
    </w:p>
    <w:p>
      <w:pPr>
        <w:spacing w:after="0" w:line="140" w:lineRule="exact"/>
        <w:rPr>
          <w:sz w:val="20"/>
          <w:szCs w:val="20"/>
          <w:color w:val="auto"/>
        </w:rPr>
      </w:pPr>
    </w:p>
    <w:p>
      <w:pPr>
        <w:jc w:val="both"/>
        <w:ind w:right="480"/>
        <w:spacing w:after="0" w:line="262" w:lineRule="auto"/>
        <w:rPr>
          <w:sz w:val="20"/>
          <w:szCs w:val="20"/>
          <w:color w:val="auto"/>
        </w:rPr>
      </w:pPr>
      <w:r>
        <w:rPr>
          <w:rFonts w:ascii="Arial" w:cs="Arial" w:eastAsia="Arial" w:hAnsi="Arial"/>
          <w:sz w:val="20"/>
          <w:szCs w:val="20"/>
          <w:u w:val="single" w:color="auto"/>
          <w:color w:val="auto"/>
        </w:rPr>
        <w:t>Operational change:</w:t>
      </w:r>
      <w:r>
        <w:rPr>
          <w:rFonts w:ascii="Arial" w:cs="Arial" w:eastAsia="Arial" w:hAnsi="Arial"/>
          <w:sz w:val="20"/>
          <w:szCs w:val="20"/>
          <w:color w:val="auto"/>
        </w:rPr>
        <w:t xml:space="preserve"> Refers to constant currency percentage changes and is derived by translating amounts for the current period at prior year comparative period exchange rates, and in doing so shows the percentage change from 2024 constant currency net sales, revenues and adjusted EBITDA to the corresponding amount in the prior year.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20"/>
          <w:szCs w:val="20"/>
          <w:u w:val="single" w:color="auto"/>
          <w:color w:val="auto"/>
        </w:rPr>
        <w:t>Divestiture-adjusted operational change:</w:t>
      </w:r>
      <w:r>
        <w:rPr>
          <w:rFonts w:ascii="Arial" w:cs="Arial" w:eastAsia="Arial" w:hAnsi="Arial"/>
          <w:sz w:val="20"/>
          <w:szCs w:val="20"/>
          <w:color w:val="auto"/>
        </w:rPr>
        <w:t xml:space="preserve"> Refers to operational changes, further adjusted for the impact of the proportionate results from the divestitures that closed in 2023 and 2024, from the 2023 period by excluding such net sales from those divested businesses from comparable prior periods. Also, for adjusted EBITDA and adjusted EPS, refers to operational changes, adjusted as outlined in the previous sentence and further adjusted for the mark up for the TSA services provided to Biocon Biologics from the 2023 period.</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u w:val="single" w:color="auto"/>
          <w:color w:val="auto"/>
        </w:rPr>
        <w:t>SG&amp;A and R&amp;D TSA reimbursement:</w:t>
      </w:r>
      <w:r>
        <w:rPr>
          <w:rFonts w:ascii="Arial" w:cs="Arial" w:eastAsia="Arial" w:hAnsi="Arial"/>
          <w:sz w:val="20"/>
          <w:szCs w:val="20"/>
          <w:color w:val="auto"/>
        </w:rPr>
        <w:t xml:space="preserve"> Expenses related to TSA services provided for divested businesses are recorded in their respective functional line item; however, reimbursement of those expenses plus the mark-up is included in other income, net. For comparability purposes, amounts related to the cost reimbursement are reclassified to adjusted SG&amp;A and adjusted R&amp;D. This reclassification has no impact on adjusted net earnings, adjusted EBITDA or adjusted EPS.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u w:val="single" w:color="auto"/>
          <w:color w:val="auto"/>
        </w:rPr>
        <w:t>Closed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divestitures closed in 2023 and 2024</w:t>
      </w:r>
      <w:r>
        <w:rPr>
          <w:rFonts w:ascii="Arial" w:cs="Arial" w:eastAsia="Arial" w:hAnsi="Arial"/>
          <w:sz w:val="20"/>
          <w:szCs w:val="20"/>
          <w:color w:val="auto"/>
        </w:rPr>
        <w:t>: Refers to the divestiture of the Company’s rights to two women’s healthcare products in certain countries (other than the U.K., which remains subject to regulatory approval) that closed in December 2023, the divestitures of the commercialization rights in certain of the Upjohn Distributor markets that closed in 2023, and the divestiture of the women's healthcare business that closed in March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01" w:right="359" w:bottom="1440" w:gutter="0" w:footer="0" w:header="0"/>
        </w:sectPr>
      </w:pPr>
    </w:p>
    <w:bookmarkStart w:id="9" w:name="page10"/>
    <w:bookmarkEnd w:id="9"/>
    <w:p>
      <w:pPr>
        <w:ind w:right="200"/>
        <w:spacing w:after="0" w:line="262" w:lineRule="auto"/>
        <w:rPr>
          <w:sz w:val="20"/>
          <w:szCs w:val="20"/>
          <w:color w:val="auto"/>
        </w:rPr>
      </w:pPr>
      <w:r>
        <w:rPr>
          <w:rFonts w:ascii="Arial" w:cs="Arial" w:eastAsia="Arial" w:hAnsi="Arial"/>
          <w:sz w:val="20"/>
          <w:szCs w:val="20"/>
          <w:u w:val="single" w:color="auto"/>
          <w:color w:val="auto"/>
        </w:rPr>
        <w:t>Remaining divestitures</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pending announced divestitures</w:t>
      </w:r>
      <w:r>
        <w:rPr>
          <w:rFonts w:ascii="Arial" w:cs="Arial" w:eastAsia="Arial" w:hAnsi="Arial"/>
          <w:sz w:val="20"/>
          <w:szCs w:val="20"/>
          <w:color w:val="auto"/>
        </w:rPr>
        <w:t>: Refers to the remaining announced divestitures that have not been consummated to date, including the divestiture of substantially all of our OTC business and the remaining commercialization rights in the Upjohn Distributor Markets.</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Non-GAAP Financial Measures</w:t>
      </w:r>
    </w:p>
    <w:p>
      <w:pPr>
        <w:spacing w:after="0" w:line="218" w:lineRule="exact"/>
        <w:rPr>
          <w:sz w:val="20"/>
          <w:szCs w:val="20"/>
          <w:color w:val="auto"/>
        </w:rPr>
      </w:pPr>
    </w:p>
    <w:p>
      <w:pPr>
        <w:spacing w:after="0" w:line="244" w:lineRule="auto"/>
        <w:rPr>
          <w:sz w:val="20"/>
          <w:szCs w:val="20"/>
          <w:color w:val="auto"/>
        </w:rPr>
      </w:pPr>
      <w:r>
        <w:rPr>
          <w:rFonts w:ascii="Arial" w:cs="Arial" w:eastAsia="Arial" w:hAnsi="Arial"/>
          <w:sz w:val="19"/>
          <w:szCs w:val="19"/>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adjusted EPS, EBITDA, adjusted EBITDA, free cash flow, free cash flow excluding the impact of transaction costs; adjusted R&amp;D and as a % of total revenues, adjusted SG&amp;A and as a % of total revenues, adjusted earnings from operations, adjusted interest expense, adjusted other income, net, adjusted effective tax rate, constant currency total revenues, constant currency net sales, constant currency adjusted EBITDA, constant currency adjusted EPS, and divestiture-adjusted operational change,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adjusted EBITDA, and adjusted EPS. These measures provide information on the change in total revenues, net sales, adjusted EBITDA, and adjusted EPS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adjusted EBITDA, and adjusted EPS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Divestiture-adjusted operational change refers to operational change, further adjusted for the impact of divestitures that have closed during 2023 and 2024 by excluding proportionate net sales from those divested businesses from comparable prior periods. The "Summary of Total Revenues by Segment" table below compares net sales on an actual and constant currency basis for each reportable segment for the quarters ended March 31, 2024 and 2023 as well as for total revenues, as well as divestiture adjusted operational change in net sales.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7" w:right="339" w:bottom="1440" w:gutter="0" w:footer="0" w:header="0"/>
        </w:sectPr>
      </w:pPr>
    </w:p>
    <w:bookmarkStart w:id="10" w:name="page11"/>
    <w:bookmarkEnd w:id="10"/>
    <w:p>
      <w:pPr>
        <w:ind w:right="140"/>
        <w:spacing w:after="0" w:line="257" w:lineRule="auto"/>
        <w:rPr>
          <w:sz w:val="20"/>
          <w:szCs w:val="20"/>
          <w:color w:val="auto"/>
        </w:rPr>
      </w:pPr>
      <w:r>
        <w:rPr>
          <w:rFonts w:ascii="Arial" w:cs="Arial" w:eastAsia="Arial" w:hAnsi="Arial"/>
          <w:sz w:val="20"/>
          <w:szCs w:val="20"/>
          <w:color w:val="auto"/>
        </w:rPr>
        <w:t>of Financial Condition and Results of Operations--Use of Non-GAAP Financial Measures section of Viatris’ Quarterly Report on Form 10-Q for the three months ended March 31, 2024.</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With respect to the guidance ranges as provided on February 28, 2024, at that time the Company did not provide forward-looking guidance for U.S. GAAP net earnings (loss) or U.S. GAAP diluted EPS or a quantitative reconciliation of its 2024 adjusted EBITDA or adjusted EPS guidance to the most directly comparable U.S. GAAP measures, U.S. GAAP net earnings (loss) or U.S. GAAP diluted EPS, respectively, because it was unable to predict with reasonable certainty the ultimate outcome of certain significant items, including integration, acquisition and divestiture-related expenses, restructuring expenses, asset impairments, litigation settlements and other contingencies, such as changes to contingent consideration, acquired IPR&amp;D and certain other gains or losses, including for the fair value adjustments for non-marketable equity investments, as well as related income tax accounting, because certain of these items had not occurred, were out of the Company’s control and/or could be reasonably predicted without unreasonable effort. These items were uncertain, depended on various factors, and could have had a material impact on U.S. GAAP reported results for the guidance period. As previously disclosed, such guidance ranges included the full-year expected performance for the then-pending announced divestitures and excluded any potential related costs, such as taxes and transaction costs, as well as any acquired IPR&amp;D to be incurred in any future periods as it could not be reasonably forecasted.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4C16AE"/>
        </w:rPr>
        <w:t>About Viatris</w:t>
      </w: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color w:val="auto"/>
        </w:rPr>
        <w:t>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currently supplying high-quality medicines to approximately 1 billion patients around the world annually and touching all of life’s moments, from birth to the end of life, acute conditions to chronic diseases.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are headquartered in the U.S., with global centers in Pittsburgh, Shanghai and Hyderabad, India. Learn more at viatris.com and investor.viatris.com, and connect with us on LinkedIn, Instagram, YouTube and X (formerly Twitter).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Forward-Looking Statements</w:t>
      </w:r>
    </w:p>
    <w:p>
      <w:pPr>
        <w:spacing w:after="0" w:line="196" w:lineRule="exact"/>
        <w:rPr>
          <w:sz w:val="20"/>
          <w:szCs w:val="20"/>
          <w:color w:val="auto"/>
        </w:rPr>
      </w:pPr>
    </w:p>
    <w:p>
      <w:pPr>
        <w:ind w:right="680"/>
        <w:spacing w:after="0" w:line="251" w:lineRule="auto"/>
        <w:rPr>
          <w:sz w:val="20"/>
          <w:szCs w:val="20"/>
          <w:color w:val="auto"/>
        </w:rPr>
      </w:pPr>
      <w:r>
        <w:rPr>
          <w:rFonts w:ascii="Arial" w:cs="Arial" w:eastAsia="Arial" w:hAnsi="Arial"/>
          <w:sz w:val="17"/>
          <w:szCs w:val="17"/>
          <w:color w:val="auto"/>
        </w:rPr>
        <w:t>This release contains “forward-looking statements”. These statements are made pursuant to the safe harbor provisions of the Private Securities Litigation Reform Act of 1995. Such forward-looking statements may include, without limitation, statements about our 2024</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financial guidance; reaffirming our 2024 financial guidance ranges; reaffirming 2024 new product revenue range of $450 million to $550 million; closes Idorsia transaction, expanding portfolio of innovative assets; reaffirms 2024 financial guidance after adjusting the ranges solely to reflect the impact of divestitures and acquired IPR&amp;D; our strong first quarter financial results demonstrate continued execution against our business fundamentals, which includes maintaining base business stability while driving new product revenue and executing on our vision for future growth; we expect our API divestiture to close imminently; we are already expanding and accelerating the Phase 3 development programs for both selatogrel and cenerimod in meaningful ways—all while, we continue to deliver increased total shareholder return and pay down debt; this marks our fourth consecutive quarter of operational revenue growth, demonstrating our strong global commercial execution and reflecting better-than-expected new product launches; our solid cash flow generation further strengthened our balance sheet while supporting our capital allocation priorities, returning $393 million of capital to shareholders in the form of dividends and share repurchases; as a result of our underlying fundamentals and the momentum of our business, we believe we are well positioned to meet our 2024 financial</w:t>
      </w:r>
    </w:p>
    <w:p>
      <w:pPr>
        <w:spacing w:after="0" w:line="7"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guidance, as well as our full year range of $450 to $550 million of new product launches; on May 6, 2024, the Board of Directors declared a quarterly dividend of twelve cents ($0.12) for each issued and outstanding share of the Company's common stock payable on June 14, 2024,</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to shareholders of record at the close of business on May 24, 2024; the Company is on track to achieve approximately $450 million to $550 million in new product revenues in 2024; the goals or outlooks with respect to the Company’s strategic initiatives, including but not limited to the Company’s two-phased strategic vision and potential and announced divestitures, acquisitions or other transactions; the benefits and synergies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7" w:right="339" w:bottom="1440" w:gutter="0" w:footer="0" w:header="0"/>
        </w:sectPr>
      </w:pPr>
    </w:p>
    <w:bookmarkStart w:id="11" w:name="page12"/>
    <w:bookmarkEnd w:id="11"/>
    <w:p>
      <w:pPr>
        <w:spacing w:after="0" w:line="238" w:lineRule="auto"/>
        <w:rPr>
          <w:sz w:val="20"/>
          <w:szCs w:val="20"/>
          <w:color w:val="auto"/>
        </w:rPr>
      </w:pPr>
      <w:r>
        <w:rPr>
          <w:rFonts w:ascii="Arial" w:cs="Arial" w:eastAsia="Arial" w:hAnsi="Arial"/>
          <w:sz w:val="18"/>
          <w:szCs w:val="18"/>
          <w:color w:val="auto"/>
        </w:rPr>
        <w:t>such divestitures, acquisitions, or other transactions, or restructuring programs;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“potential”, “pipeline”, “intend”, “continue”, “target”, “seek” and variations of these words or comparable words. Because forward-looking statements inherently involve risks and uncertainties, actual future results may differ materially from those expressed or implied by such</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forward-looking statements. Factors that could cause or contribute to such differences include, but are not limited to: the possibility that the Company may not realize the intended benefits of, or achieve the intended goals or outlooks with respect to, its strategic initiatives (including divestitures, acquisitions, or other potential transactions) or move up the value chain by focusing on more complex and innovative products to build a more durable higher margin portfolio; the possibility that the Company may be unable to achieve intended or expected benefits, goals, outlooks, synergies, growth opportunities and operating efficiencies in connection with divestitures, acquisitions, other transactions, or restructuring programs, within the expected timeframes or at all; with respect to previously announced divestitures that have not been consummated, including the divestiture of substantially all of our OTC Business, such divestitures not being completed on the expected timelines or at all and the risk that the conditions set forth in the definitive agreements with respect to such divestitures will not be satisfied or waived; with respect to previously announced divestitures, failure to realize the total transaction values for the divestitures and/or the expected proceeds for any or all such divestitures, including as a result of any purchase price adjustment or a failure to achieve any conditions to the payment of any contingent consideration; goodwill or impairment charges or other losses related to the divestiture or sale of</w:t>
      </w:r>
    </w:p>
    <w:p>
      <w:pPr>
        <w:spacing w:after="0" w:line="8"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businesses or assets (including but not limited to announced divestitures that have not yet been consummated); the Company’s failure to achieve expected or targeted future financial and operating performance and results; the potential impact of public health outbreaks,</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epidemics and pandemics;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motivate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IT systems; risks associated with having significant operations globally; the ability to protect intellectual property and preserve intellectual property rights; changes in third-party relationships; the effect of any changes in the</w:t>
      </w:r>
    </w:p>
    <w:p>
      <w:pPr>
        <w:spacing w:after="0" w:line="8" w:lineRule="exact"/>
        <w:rPr>
          <w:sz w:val="20"/>
          <w:szCs w:val="20"/>
          <w:color w:val="auto"/>
        </w:rPr>
      </w:pPr>
    </w:p>
    <w:p>
      <w:pPr>
        <w:ind w:right="420"/>
        <w:spacing w:after="0"/>
        <w:rPr>
          <w:sz w:val="20"/>
          <w:szCs w:val="20"/>
          <w:color w:val="auto"/>
        </w:rPr>
      </w:pPr>
      <w:r>
        <w:rPr>
          <w:rFonts w:ascii="Arial" w:cs="Arial" w:eastAsia="Arial" w:hAnsi="Arial"/>
          <w:sz w:val="17"/>
          <w:szCs w:val="17"/>
          <w:color w:val="auto"/>
        </w:rPr>
        <w:t>Company’s or its partners’ customer and supplier relationships and customer purchasing patterns, including customer loss and business disruption being greater than expected following an acquisition or divestiture; the impacts of competition, including decreases in sales or</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207"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For more detailed information on the risks and uncertainties associated with Viatris, see the risks described in Part I, Item 1A of the Company’s Annual Report on Form 10-K for the year ended December 31, 2023,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w:t>
      </w:r>
    </w:p>
    <w:p>
      <w:pPr>
        <w:ind w:right="340"/>
        <w:spacing w:after="0"/>
        <w:rPr>
          <w:sz w:val="20"/>
          <w:szCs w:val="20"/>
          <w:color w:val="auto"/>
        </w:rPr>
      </w:pPr>
      <w:r>
        <w:rPr>
          <w:rFonts w:ascii="Arial" w:cs="Arial" w:eastAsia="Arial" w:hAnsi="Arial"/>
          <w:sz w:val="17"/>
          <w:szCs w:val="17"/>
          <w:color w:val="auto"/>
        </w:rPr>
        <w:t>Regulation Fair Disclosure (Reg FD). The contents of our website are not incorporated into this release or our filings with the SEC. Viatris undertakes no obligation to update any statements herein for revisions or changes after the date of this release other than as required by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4C16AE"/>
        </w:rPr>
        <w:t>Contacts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Media:</w:t>
      </w:r>
    </w:p>
    <w:p>
      <w:pPr>
        <w:spacing w:after="0" w:line="32" w:lineRule="exact"/>
        <w:rPr>
          <w:sz w:val="20"/>
          <w:szCs w:val="20"/>
          <w:color w:val="auto"/>
        </w:rPr>
      </w:pPr>
    </w:p>
    <w:p>
      <w:pPr>
        <w:ind w:left="280" w:hanging="25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1.724.514.1968</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Communications@viatris.com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Mauer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Jennifer.Mauer@viatris.com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 Klein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Matthew.Klein@viatris.com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Investors:</w:t>
      </w:r>
    </w:p>
    <w:p>
      <w:pPr>
        <w:spacing w:after="0" w:line="32" w:lineRule="exact"/>
        <w:rPr>
          <w:sz w:val="20"/>
          <w:szCs w:val="20"/>
          <w:color w:val="auto"/>
        </w:rPr>
      </w:pPr>
    </w:p>
    <w:p>
      <w:pPr>
        <w:ind w:left="280" w:hanging="254"/>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1.724.514.1813</w:t>
      </w:r>
    </w:p>
    <w:p>
      <w:pPr>
        <w:spacing w:after="0" w:line="2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InvestorRelations@viatris.com</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Bill Szablewski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39"/>
          </w:cols>
          <w:pgMar w:left="320" w:top="890" w:right="1440"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3,653.5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3,719.1</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3,663.4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3,729.1</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2,186.9</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1,542.2</w:t>
            </w:r>
          </w:p>
        </w:tc>
        <w:tc>
          <w:tcPr>
            <w:tcW w:w="0" w:type="dxa"/>
            <w:vAlign w:val="bottom"/>
          </w:tcPr>
          <w:p>
            <w:pPr>
              <w:spacing w:after="0"/>
              <w:rPr>
                <w:sz w:val="1"/>
                <w:szCs w:val="1"/>
                <w:color w:val="auto"/>
              </w:rPr>
            </w:pPr>
          </w:p>
        </w:tc>
      </w:tr>
      <w:tr>
        <w:trPr>
          <w:trHeight w:val="19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Acquired IPR&amp;D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64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958.9</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86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1,142.4</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Earnings from operations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15"/>
        </w:trPr>
        <w:tc>
          <w:tcPr>
            <w:tcW w:w="8640" w:type="dxa"/>
            <w:vAlign w:val="bottom"/>
          </w:tcPr>
          <w:p>
            <w:pPr>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20"/>
                <w:szCs w:val="20"/>
                <w:color w:val="auto"/>
              </w:rPr>
            </w:pPr>
            <w:r>
              <w:rPr>
                <w:rFonts w:ascii="Arial" w:cs="Arial" w:eastAsia="Arial" w:hAnsi="Arial"/>
                <w:sz w:val="16"/>
                <w:szCs w:val="16"/>
                <w:color w:val="auto"/>
              </w:rPr>
              <w:t>Net earnings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4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attributable to Viatris Inc. shareholders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40" w:type="dxa"/>
            <w:vAlign w:val="bottom"/>
          </w:tcPr>
          <w:p>
            <w:pPr>
              <w:ind w:left="20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60" w:top="890"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940" w:type="dxa"/>
            <w:vAlign w:val="bottom"/>
          </w:tcPr>
          <w:p>
            <w:pPr>
              <w:jc w:val="center"/>
              <w:ind w:left="3528"/>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jc w:val="center"/>
              <w:ind w:lef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49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00"/>
          </w:cols>
          <w:pgMar w:left="340" w:top="890" w:right="35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460" w:right="340" w:firstLine="14"/>
        <w:spacing w:after="0" w:line="290" w:lineRule="auto"/>
        <w:rPr>
          <w:sz w:val="20"/>
          <w:szCs w:val="20"/>
          <w:color w:val="auto"/>
        </w:rPr>
      </w:pPr>
      <w:r>
        <w:rPr>
          <w:rFonts w:ascii="Arial" w:cs="Arial" w:eastAsia="Arial" w:hAnsi="Arial"/>
          <w:sz w:val="16"/>
          <w:szCs w:val="16"/>
          <w:color w:val="auto"/>
        </w:rPr>
        <w:t>Prepaid expenses and other current assets Assets held for sale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current assets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Intangible assets, net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Goodwill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non-current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150495</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3720" w:type="dxa"/>
        <w:tblCellMar>
          <w:top w:w="0" w:type="dxa"/>
          <w:left w:w="0" w:type="dxa"/>
          <w:bottom w:w="0" w:type="dxa"/>
          <w:right w:w="0" w:type="dxa"/>
        </w:tblCellMar>
      </w:tblPr>
      <w:tr>
        <w:trPr>
          <w:trHeight w:val="215"/>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1,014.6</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991.9</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3,700.4</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3,469.7</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2,028.1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2,520.4</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2,786.0</w:t>
            </w:r>
          </w:p>
        </w:tc>
      </w:tr>
      <w:tr>
        <w:trPr>
          <w:trHeight w:val="209"/>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12,976.1</w:t>
            </w:r>
          </w:p>
        </w:tc>
      </w:tr>
      <w:tr>
        <w:trPr>
          <w:trHeight w:val="215"/>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19,133.7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19,181.1</w:t>
            </w:r>
          </w:p>
        </w:tc>
      </w:tr>
      <w:tr>
        <w:trPr>
          <w:trHeight w:val="216"/>
        </w:trPr>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9,693.5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9,867.1</w:t>
            </w:r>
          </w:p>
        </w:tc>
      </w:tr>
      <w:tr>
        <w:trPr>
          <w:trHeight w:val="217"/>
        </w:trPr>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5,593.0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5,661.2</w:t>
            </w:r>
          </w:p>
        </w:tc>
      </w:tr>
      <w:tr>
        <w:trPr>
          <w:trHeight w:val="209"/>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47,343.7</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-1250315</wp:posOffset>
            </wp:positionV>
            <wp:extent cx="711517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-975995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-701675</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-418465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-2932430</wp:posOffset>
            </wp:positionH>
            <wp:positionV relativeFrom="paragraph">
              <wp:posOffset>-144145</wp:posOffset>
            </wp:positionV>
            <wp:extent cx="71151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-107315</wp:posOffset>
            </wp:positionV>
            <wp:extent cx="18173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00" w:space="720"/>
            <w:col w:w="6580"/>
          </w:cols>
          <w:pgMar w:left="340" w:top="890"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1,898.1</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1,943.4</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held for sale</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15"/>
        </w:trPr>
        <w:tc>
          <w:tcPr>
            <w:tcW w:w="83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5,627.0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5,558.9</w:t>
            </w:r>
          </w:p>
        </w:tc>
      </w:tr>
      <w:tr>
        <w:trPr>
          <w:trHeight w:val="217"/>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16,188.1</w:t>
            </w:r>
          </w:p>
        </w:tc>
      </w:tr>
      <w:tr>
        <w:trPr>
          <w:trHeight w:val="215"/>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3,252.6</w:t>
            </w:r>
          </w:p>
        </w:tc>
      </w:tr>
      <w:tr>
        <w:trPr>
          <w:trHeight w:val="210"/>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27,218.1</w:t>
            </w:r>
          </w:p>
        </w:tc>
      </w:tr>
      <w:tr>
        <w:trPr>
          <w:trHeight w:val="215"/>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20,014.3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20,467.4</w:t>
            </w: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47,685.5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890" w:right="35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00" w:type="dxa"/>
            <w:vAlign w:val="bottom"/>
          </w:tcPr>
          <w:p>
            <w:pPr>
              <w:spacing w:after="0"/>
              <w:rPr>
                <w:sz w:val="17"/>
                <w:szCs w:val="17"/>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9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2023</w:t>
            </w:r>
          </w:p>
        </w:tc>
      </w:tr>
      <w:tr>
        <w:trPr>
          <w:trHeight w:val="198"/>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176.3</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202.7</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Viagra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Creon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Celebrex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Effexor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Zoloft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7"/>
        </w:trPr>
        <w:tc>
          <w:tcPr>
            <w:tcW w:w="9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Yupelri ®</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Dymista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17"/>
        </w:trPr>
        <w:tc>
          <w:tcPr>
            <w:tcW w:w="9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5"/>
        </w:trPr>
        <w:tc>
          <w:tcPr>
            <w:tcW w:w="900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w:t>
            </w: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7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55"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8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months ended March 31, 2024 include the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931" w:right="33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Viatris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Earnings to Adjusted Net Earnings and U.S. GAAP EPS to Adjusted EPS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earnings and diluted EPS to adjusted net earnings and adjusted EPS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2024 compared to the prior year period: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197"/>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r>
      <w:tr>
        <w:trPr>
          <w:trHeight w:val="211"/>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 and U.S. GAAP diluted EPS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Purchase accounting amortization (primarily included in cost of sales)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Interest expense (primarily amortization of premiums and discounts on long term debt)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69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Gain on divestitures of businesses (included in other income, net)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and divestiture-related costs (primarily included in SG&amp;A)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Restructuring-related costs </w:t>
            </w:r>
            <w:r>
              <w:rPr>
                <w:rFonts w:ascii="Arial" w:cs="Arial" w:eastAsia="Arial" w:hAnsi="Arial"/>
                <w:sz w:val="21"/>
                <w:szCs w:val="21"/>
                <w:color w:val="auto"/>
                <w:vertAlign w:val="superscript"/>
              </w:rPr>
              <w:t>(c)</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69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(d)</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 expense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5"/>
        </w:trPr>
        <w:tc>
          <w:tcPr>
            <w:tcW w:w="694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(e)</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 and adjusted EPS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r>
      <w:tr>
        <w:trPr>
          <w:trHeight w:val="190"/>
        </w:trPr>
        <w:tc>
          <w:tcPr>
            <w:tcW w:w="6940" w:type="dxa"/>
            <w:vAlign w:val="bottom"/>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include the following:</w:t>
      </w:r>
    </w:p>
    <w:p>
      <w:pPr>
        <w:spacing w:after="0" w:line="63" w:lineRule="exact"/>
        <w:rPr>
          <w:sz w:val="20"/>
          <w:szCs w:val="20"/>
          <w:color w:val="auto"/>
        </w:rPr>
      </w:pPr>
    </w:p>
    <w:p>
      <w:pPr>
        <w:ind w:left="660" w:right="220" w:hanging="328"/>
        <w:spacing w:after="0"/>
        <w:tabs>
          <w:tab w:leader="none" w:pos="67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2024, includes a pre-tax gain on the divestiture of the women's healthcare business of approximately $80.8 million for the difference between the consideration received and the carrying value of the assets transferred (including an allocation of goodwill). Also includes a pre-tax charge related to the planned divestiture of the API business of approximately $10.4 million to write down the disposal group to fair value, less cost to sell.</w:t>
      </w:r>
    </w:p>
    <w:p>
      <w:pPr>
        <w:spacing w:after="0" w:line="32" w:lineRule="exact"/>
        <w:rPr>
          <w:rFonts w:ascii="Arial" w:cs="Arial" w:eastAsia="Arial" w:hAnsi="Arial"/>
          <w:sz w:val="23"/>
          <w:szCs w:val="23"/>
          <w:color w:val="auto"/>
          <w:vertAlign w:val="superscript"/>
        </w:rPr>
      </w:pPr>
    </w:p>
    <w:p>
      <w:pPr>
        <w:ind w:left="660" w:right="340" w:hanging="328"/>
        <w:spacing w:after="0" w:line="231" w:lineRule="auto"/>
        <w:tabs>
          <w:tab w:leader="none" w:pos="66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Acquisition and divestiture-related costs consist primarily of transaction costs including legal and consulting fees and integration activities.</w:t>
      </w:r>
    </w:p>
    <w:p>
      <w:pPr>
        <w:spacing w:after="0" w:line="32" w:lineRule="exact"/>
        <w:rPr>
          <w:rFonts w:ascii="Arial" w:cs="Arial" w:eastAsia="Arial" w:hAnsi="Arial"/>
          <w:sz w:val="23"/>
          <w:szCs w:val="23"/>
          <w:color w:val="auto"/>
          <w:vertAlign w:val="superscript"/>
        </w:rPr>
      </w:pPr>
    </w:p>
    <w:p>
      <w:pPr>
        <w:ind w:left="660" w:right="200" w:hanging="328"/>
        <w:spacing w:after="0" w:line="231" w:lineRule="auto"/>
        <w:tabs>
          <w:tab w:leader="none" w:pos="672"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2024, charges include approximately $4.0 million in cost of sales and approximately $15.6 million in SG&amp;A.</w:t>
      </w:r>
    </w:p>
    <w:p>
      <w:pPr>
        <w:spacing w:after="0" w:line="32" w:lineRule="exact"/>
        <w:rPr>
          <w:rFonts w:ascii="Arial" w:cs="Arial" w:eastAsia="Arial" w:hAnsi="Arial"/>
          <w:sz w:val="23"/>
          <w:szCs w:val="23"/>
          <w:color w:val="auto"/>
          <w:vertAlign w:val="superscript"/>
        </w:rPr>
      </w:pPr>
    </w:p>
    <w:p>
      <w:pPr>
        <w:ind w:left="660" w:right="920" w:hanging="328"/>
        <w:spacing w:after="0" w:line="231" w:lineRule="auto"/>
        <w:tabs>
          <w:tab w:leader="none" w:pos="679"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2024, charges include incremental manufacturing variances at plants in the 2020 restructuring program of approximately $12.6 million.</w:t>
      </w:r>
    </w:p>
    <w:p>
      <w:pPr>
        <w:spacing w:after="0" w:line="6"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Adjusted for changes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890"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Reconciliation of U.S. GAAP Net Earnings to EBITDA and Adjusted EBITDA</w:t>
      </w:r>
    </w:p>
    <w:p>
      <w:pPr>
        <w:spacing w:after="0" w:line="30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Below is a reconciliation of U.S. GAAP net earnings to EBITDA and adjusted EBITDA for the three months ended March 31, 2024 compared to the prior year period: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197"/>
        </w:trPr>
        <w:tc>
          <w:tcPr>
            <w:tcW w:w="866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2023</w:t>
            </w:r>
          </w:p>
        </w:tc>
      </w:tr>
      <w:tr>
        <w:trPr>
          <w:trHeight w:val="211"/>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earnings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r>
      <w:tr>
        <w:trPr>
          <w:trHeight w:val="215"/>
        </w:trPr>
        <w:tc>
          <w:tcPr>
            <w:tcW w:w="866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r>
      <w:tr>
        <w:trPr>
          <w:trHeight w:val="216"/>
        </w:trPr>
        <w:tc>
          <w:tcPr>
            <w:tcW w:w="86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147.0</w:t>
            </w:r>
          </w:p>
        </w:tc>
      </w:tr>
      <w:tr>
        <w:trPr>
          <w:trHeight w:val="216"/>
        </w:trPr>
        <w:tc>
          <w:tcPr>
            <w:tcW w:w="86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730.0</w:t>
            </w:r>
          </w:p>
        </w:tc>
      </w:tr>
      <w:tr>
        <w:trPr>
          <w:trHeight w:val="209"/>
        </w:trPr>
        <w:tc>
          <w:tcPr>
            <w:tcW w:w="8660" w:type="dxa"/>
            <w:vAlign w:val="bottom"/>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1,034.0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1,199.7</w:t>
            </w:r>
          </w:p>
        </w:tc>
      </w:tr>
      <w:tr>
        <w:trPr>
          <w:trHeight w:val="217"/>
        </w:trPr>
        <w:tc>
          <w:tcPr>
            <w:tcW w:w="8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 (deduct) adjustments: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7"/>
        </w:trPr>
        <w:tc>
          <w:tcPr>
            <w:tcW w:w="8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8660" w:type="dxa"/>
            <w:vAlign w:val="bottom"/>
          </w:tcPr>
          <w:p>
            <w:pPr>
              <w:ind w:left="220"/>
              <w:spacing w:after="0"/>
              <w:rPr>
                <w:sz w:val="20"/>
                <w:szCs w:val="20"/>
                <w:color w:val="auto"/>
              </w:rPr>
            </w:pPr>
            <w:r>
              <w:rPr>
                <w:rFonts w:ascii="Arial" w:cs="Arial" w:eastAsia="Arial" w:hAnsi="Arial"/>
                <w:sz w:val="16"/>
                <w:szCs w:val="16"/>
                <w:color w:val="auto"/>
              </w:rPr>
              <w:t>Gain on divestitures of businesses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6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 xml:space="preserve">Restructuring, acquisition and divestiture-related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r>
      <w:tr>
        <w:trPr>
          <w:trHeight w:val="210"/>
        </w:trPr>
        <w:tc>
          <w:tcPr>
            <w:tcW w:w="86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1,340.9</w:t>
            </w: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40"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premiums and discounts on long-term debt.</w:t>
      </w:r>
    </w:p>
    <w:p>
      <w:pPr>
        <w:spacing w:after="0" w:line="57"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Includes purchase accounting related amortization.</w:t>
      </w:r>
    </w:p>
    <w:p>
      <w:pPr>
        <w:spacing w:after="0" w:line="44" w:lineRule="exact"/>
        <w:rPr>
          <w:rFonts w:ascii="Arial" w:cs="Arial" w:eastAsia="Arial" w:hAnsi="Arial"/>
          <w:sz w:val="21"/>
          <w:szCs w:val="21"/>
          <w:color w:val="auto"/>
          <w:vertAlign w:val="superscript"/>
        </w:rPr>
      </w:pPr>
    </w:p>
    <w:p>
      <w:pPr>
        <w:ind w:left="580" w:hanging="248"/>
        <w:spacing w:after="0" w:line="197" w:lineRule="auto"/>
        <w:tabs>
          <w:tab w:leader="none" w:pos="5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See items detailed in the Reconciliation of U.S. GAAP Net Earnings to Adjusted Net Earnings.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March 31,</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Constant</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Divestiture-</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Constant</w:t>
            </w: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Closed</w:t>
            </w: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2023 Adjusted</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4"/>
                <w:szCs w:val="4"/>
                <w:color w:val="auto"/>
              </w:rPr>
            </w:pPr>
          </w:p>
        </w:tc>
        <w:tc>
          <w:tcPr>
            <w:tcW w:w="8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4"/>
                <w:szCs w:val="4"/>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Currency %</w:t>
            </w:r>
          </w:p>
        </w:tc>
        <w:tc>
          <w:tcPr>
            <w:tcW w:w="2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44"/>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160" w:type="dxa"/>
            <w:vAlign w:val="bottom"/>
          </w:tcPr>
          <w:p>
            <w:pPr>
              <w:spacing w:after="0"/>
              <w:rPr>
                <w:sz w:val="12"/>
                <w:szCs w:val="12"/>
                <w:color w:val="auto"/>
              </w:rPr>
            </w:pPr>
          </w:p>
        </w:tc>
        <w:tc>
          <w:tcPr>
            <w:tcW w:w="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Ex Divestitures</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 xml:space="preserve">Impact </w:t>
            </w:r>
            <w:r>
              <w:rPr>
                <w:rFonts w:ascii="Arial" w:cs="Arial" w:eastAsia="Arial" w:hAnsi="Arial"/>
                <w:sz w:val="15"/>
                <w:szCs w:val="15"/>
                <w:b w:val="1"/>
                <w:bCs w:val="1"/>
                <w:color w:val="auto"/>
                <w:vertAlign w:val="superscript"/>
              </w:rPr>
              <w:t>(1)</w:t>
            </w:r>
          </w:p>
        </w:tc>
        <w:tc>
          <w:tcPr>
            <w:tcW w:w="100" w:type="dxa"/>
            <w:vAlign w:val="bottom"/>
          </w:tcPr>
          <w:p>
            <w:pPr>
              <w:spacing w:after="0"/>
              <w:rPr>
                <w:sz w:val="11"/>
                <w:szCs w:val="11"/>
                <w:color w:val="auto"/>
              </w:rPr>
            </w:pPr>
          </w:p>
        </w:tc>
        <w:tc>
          <w:tcPr>
            <w:tcW w:w="8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rPr>
              <w:t xml:space="preserve">Change </w:t>
            </w:r>
            <w:r>
              <w:rPr>
                <w:rFonts w:ascii="Arial" w:cs="Arial" w:eastAsia="Arial" w:hAnsi="Arial"/>
                <w:sz w:val="15"/>
                <w:szCs w:val="15"/>
                <w:b w:val="1"/>
                <w:bCs w:val="1"/>
                <w:color w:val="auto"/>
                <w:vertAlign w:val="superscript"/>
              </w:rPr>
              <w:t>(2)</w:t>
            </w:r>
          </w:p>
        </w:tc>
        <w:tc>
          <w:tcPr>
            <w:tcW w:w="120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rPr>
              <w:t>Divestitures</w:t>
            </w:r>
            <w:r>
              <w:rPr>
                <w:rFonts w:ascii="Arial" w:cs="Arial" w:eastAsia="Arial" w:hAnsi="Arial"/>
                <w:sz w:val="15"/>
                <w:szCs w:val="15"/>
                <w:b w:val="1"/>
                <w:bCs w:val="1"/>
                <w:color w:val="auto"/>
                <w:vertAlign w:val="superscript"/>
              </w:rPr>
              <w:t>(3)</w:t>
            </w:r>
          </w:p>
        </w:tc>
        <w:tc>
          <w:tcPr>
            <w:tcW w:w="320" w:type="dxa"/>
            <w:vAlign w:val="bottom"/>
          </w:tcPr>
          <w:p>
            <w:pPr>
              <w:spacing w:after="0"/>
              <w:rPr>
                <w:sz w:val="11"/>
                <w:szCs w:val="11"/>
                <w:color w:val="auto"/>
              </w:rPr>
            </w:pPr>
          </w:p>
        </w:tc>
        <w:tc>
          <w:tcPr>
            <w:tcW w:w="820" w:type="dxa"/>
            <w:vAlign w:val="bottom"/>
          </w:tcPr>
          <w:p>
            <w:pPr>
              <w:jc w:val="center"/>
              <w:ind w:right="252"/>
              <w:spacing w:after="0"/>
              <w:rPr>
                <w:sz w:val="20"/>
                <w:szCs w:val="20"/>
                <w:color w:val="auto"/>
              </w:rPr>
            </w:pPr>
            <w:r>
              <w:rPr>
                <w:rFonts w:ascii="Arial" w:cs="Arial" w:eastAsia="Arial" w:hAnsi="Arial"/>
                <w:sz w:val="9"/>
                <w:szCs w:val="9"/>
                <w:b w:val="1"/>
                <w:bCs w:val="1"/>
                <w:color w:val="auto"/>
                <w:w w:val="90"/>
              </w:rPr>
              <w:t>(4)</w:t>
            </w:r>
          </w:p>
        </w:tc>
        <w:tc>
          <w:tcPr>
            <w:tcW w:w="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183"/>
        </w:trPr>
        <w:tc>
          <w:tcPr>
            <w:tcW w:w="1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sales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80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2,165.4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2,170.4</w:t>
            </w: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2,151.3</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2,155.4</w:t>
            </w: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6"/>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564.6</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1800" w:type="dxa"/>
            <w:vAlign w:val="bottom"/>
          </w:tcPr>
          <w:p>
            <w:pPr>
              <w:ind w:left="220"/>
              <w:spacing w:after="0"/>
              <w:rPr>
                <w:sz w:val="20"/>
                <w:szCs w:val="20"/>
                <w:color w:val="auto"/>
              </w:rPr>
            </w:pPr>
            <w:r>
              <w:rPr>
                <w:rFonts w:ascii="Arial" w:cs="Arial" w:eastAsia="Arial" w:hAnsi="Arial"/>
                <w:sz w:val="14"/>
                <w:szCs w:val="14"/>
                <w:color w:val="auto"/>
              </w:rPr>
              <w:t>JANZ</w:t>
            </w:r>
          </w:p>
        </w:tc>
        <w:tc>
          <w:tcPr>
            <w:tcW w:w="16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348.6</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342.1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6"/>
        </w:trPr>
        <w:tc>
          <w:tcPr>
            <w:tcW w:w="1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626.4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611.3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2"/>
        </w:trPr>
        <w:tc>
          <w:tcPr>
            <w:tcW w:w="1800" w:type="dxa"/>
            <w:vAlign w:val="bottom"/>
          </w:tcPr>
          <w:p>
            <w:pPr>
              <w:ind w:left="480"/>
              <w:spacing w:after="0"/>
              <w:rPr>
                <w:sz w:val="20"/>
                <w:szCs w:val="20"/>
                <w:color w:val="auto"/>
              </w:rPr>
            </w:pPr>
            <w:r>
              <w:rPr>
                <w:rFonts w:ascii="Arial" w:cs="Arial" w:eastAsia="Arial" w:hAnsi="Arial"/>
                <w:sz w:val="14"/>
                <w:szCs w:val="14"/>
                <w:color w:val="auto"/>
              </w:rPr>
              <w:t>Total net sales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3,653.5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3,719.1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3,730.6</w:t>
            </w:r>
          </w:p>
        </w:tc>
        <w:tc>
          <w:tcPr>
            <w:tcW w:w="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8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3,673.4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53"/>
        </w:trPr>
        <w:tc>
          <w:tcPr>
            <w:tcW w:w="1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8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9"/>
                <w:szCs w:val="9"/>
                <w:color w:val="auto"/>
              </w:rPr>
              <w:t>(6)</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ind w:left="600"/>
              <w:spacing w:after="0"/>
              <w:rPr>
                <w:sz w:val="20"/>
                <w:szCs w:val="20"/>
                <w:color w:val="auto"/>
              </w:rPr>
            </w:pPr>
            <w:r>
              <w:rPr>
                <w:rFonts w:ascii="Arial" w:cs="Arial" w:eastAsia="Arial" w:hAnsi="Arial"/>
                <w:sz w:val="14"/>
                <w:szCs w:val="14"/>
                <w:color w:val="auto"/>
              </w:rPr>
              <w:t>NM</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gridSpan w:val="2"/>
          </w:tcPr>
          <w:p>
            <w:pPr>
              <w:ind w:left="840"/>
              <w:spacing w:after="0"/>
              <w:rPr>
                <w:sz w:val="20"/>
                <w:szCs w:val="20"/>
                <w:color w:val="auto"/>
              </w:rPr>
            </w:pPr>
            <w:r>
              <w:rPr>
                <w:rFonts w:ascii="Arial" w:cs="Arial" w:eastAsia="Arial" w:hAnsi="Arial"/>
                <w:sz w:val="14"/>
                <w:szCs w:val="14"/>
                <w:color w:val="auto"/>
              </w:rPr>
              <w:t>NM</w:t>
            </w: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8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Consolidated total</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3,663.4</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3,729.1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77.2</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3,740.6</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0" w:type="dxa"/>
            <w:vAlign w:val="bottom"/>
            <w:tcBorders>
              <w:bottom w:val="single" w:sz="8" w:color="CCEEFF"/>
            </w:tcBorders>
            <w:shd w:val="clear" w:color="auto" w:fill="CCEEFF"/>
          </w:tcPr>
          <w:p>
            <w:pPr>
              <w:ind w:left="220"/>
              <w:spacing w:after="0" w:line="174" w:lineRule="exact"/>
              <w:rPr>
                <w:sz w:val="20"/>
                <w:szCs w:val="20"/>
                <w:color w:val="auto"/>
              </w:rPr>
            </w:pPr>
            <w:r>
              <w:rPr>
                <w:rFonts w:ascii="Arial" w:cs="Arial" w:eastAsia="Arial" w:hAnsi="Arial"/>
                <w:sz w:val="14"/>
                <w:szCs w:val="14"/>
                <w:color w:val="auto"/>
              </w:rPr>
              <w:t xml:space="preserve">revenues </w:t>
            </w:r>
            <w:r>
              <w:rPr>
                <w:rFonts w:ascii="Arial" w:cs="Arial" w:eastAsia="Arial" w:hAnsi="Arial"/>
                <w:sz w:val="18"/>
                <w:szCs w:val="18"/>
                <w:color w:val="auto"/>
                <w:vertAlign w:val="superscript"/>
              </w:rPr>
              <w:t>(7)</w:t>
            </w: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4"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Currency impact is shown as unfavorable (favorable).</w:t>
      </w:r>
    </w:p>
    <w:p>
      <w:pPr>
        <w:spacing w:after="0" w:line="57" w:lineRule="exact"/>
        <w:rPr>
          <w:rFonts w:ascii="Arial" w:cs="Arial" w:eastAsia="Arial" w:hAnsi="Arial"/>
          <w:sz w:val="21"/>
          <w:szCs w:val="21"/>
          <w:color w:val="auto"/>
          <w:vertAlign w:val="superscript"/>
        </w:rPr>
      </w:pPr>
    </w:p>
    <w:p>
      <w:pPr>
        <w:jc w:val="both"/>
        <w:ind w:left="660" w:hanging="328"/>
        <w:spacing w:after="0" w:line="227" w:lineRule="auto"/>
        <w:tabs>
          <w:tab w:leader="none" w:pos="636"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The constant currency percentage change is derived by translating net sales or revenues for the current period at prior year comparative period exchange rates, and in doing so shows the percentage change from 2024 constant currency net sales or revenues to the corresponding amount in the prior year.</w:t>
      </w:r>
    </w:p>
    <w:p>
      <w:pPr>
        <w:spacing w:after="0" w:line="42"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9"/>
          <w:szCs w:val="9"/>
          <w:color w:val="auto"/>
        </w:rPr>
      </w:pPr>
      <w:r>
        <w:rPr>
          <w:rFonts w:ascii="Arial" w:cs="Arial" w:eastAsia="Arial" w:hAnsi="Arial"/>
          <w:sz w:val="16"/>
          <w:szCs w:val="16"/>
          <w:color w:val="auto"/>
        </w:rPr>
        <w:t>Represents proportionate net sales relating to divestitures that have closed during 2023 and 2024 in the relevant period.</w:t>
      </w:r>
    </w:p>
    <w:p>
      <w:pPr>
        <w:spacing w:after="0" w:line="59" w:lineRule="exact"/>
        <w:rPr>
          <w:rFonts w:ascii="Arial" w:cs="Arial" w:eastAsia="Arial" w:hAnsi="Arial"/>
          <w:sz w:val="9"/>
          <w:szCs w:val="9"/>
          <w:color w:val="auto"/>
        </w:rPr>
      </w:pPr>
    </w:p>
    <w:p>
      <w:pPr>
        <w:ind w:left="660" w:hanging="328"/>
        <w:spacing w:after="0"/>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Represents U.S. GAAP net sales minus proportionate net sales relating to divestitures that have closed during 2023 and 2024 for the relevant period.</w:t>
      </w:r>
    </w:p>
    <w:p>
      <w:pPr>
        <w:spacing w:after="0" w:line="177"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See “Certain Key Terms and Presentation Matters” in this release for more information.</w:t>
      </w:r>
    </w:p>
    <w:p>
      <w:pPr>
        <w:spacing w:after="0" w:line="44" w:lineRule="exact"/>
        <w:rPr>
          <w:rFonts w:ascii="Arial" w:cs="Arial" w:eastAsia="Arial" w:hAnsi="Arial"/>
          <w:sz w:val="21"/>
          <w:szCs w:val="21"/>
          <w:color w:val="auto"/>
          <w:vertAlign w:val="superscript"/>
        </w:rPr>
      </w:pPr>
    </w:p>
    <w:p>
      <w:pPr>
        <w:ind w:left="660" w:right="20" w:hanging="328"/>
        <w:spacing w:after="0" w:line="226" w:lineRule="auto"/>
        <w:tabs>
          <w:tab w:leader="none" w:pos="653"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For the three months ended March 31, 2024, other revenues in Developed Markets, JANZ, and Emerging Markets were approximately $7.2 million, $0.3 million, and $2.4 million, respectively.</w:t>
      </w:r>
    </w:p>
    <w:p>
      <w:pPr>
        <w:spacing w:after="0" w:line="1"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Amounts exclude intersegment revenue which eliminates on a consolidated basis.</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89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Reconciliation of Income Statement Line Items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Pr>
          <w:p>
            <w:pPr>
              <w:spacing w:after="0"/>
              <w:rPr>
                <w:sz w:val="15"/>
                <w:szCs w:val="15"/>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84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2,159.4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2,186.9</w:t>
            </w:r>
          </w:p>
        </w:tc>
        <w:tc>
          <w:tcPr>
            <w:tcW w:w="0" w:type="dxa"/>
            <w:vAlign w:val="bottom"/>
          </w:tcPr>
          <w:p>
            <w:pPr>
              <w:spacing w:after="0"/>
              <w:rPr>
                <w:sz w:val="1"/>
                <w:szCs w:val="1"/>
                <w:color w:val="auto"/>
              </w:rPr>
            </w:pPr>
          </w:p>
        </w:tc>
      </w:tr>
      <w:tr>
        <w:trPr>
          <w:trHeight w:val="198"/>
        </w:trPr>
        <w:tc>
          <w:tcPr>
            <w:tcW w:w="848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(611.5)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(653.4)</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Acquisition and divestiture-related costs</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8"/>
        </w:trPr>
        <w:tc>
          <w:tcPr>
            <w:tcW w:w="848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0"/>
        </w:trPr>
        <w:tc>
          <w:tcPr>
            <w:tcW w:w="848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1,508.6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1,478.2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2,154.8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2,250.9</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R&amp;D</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18"/>
          <w:szCs w:val="18"/>
          <w:color w:val="auto"/>
          <w:vertAlign w:val="superscript"/>
        </w:rPr>
        <w:t>(b)</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R&amp;D as %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SG&amp;A</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Acquisition and divestiture-related costs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Purchase accounting amortization and other related items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 and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160655</wp:posOffset>
            </wp:positionV>
            <wp:extent cx="710628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SG&amp;A as % of total revenues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31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182.9</w:t>
            </w:r>
          </w:p>
        </w:tc>
      </w:tr>
      <w:tr>
        <w:trPr>
          <w:trHeight w:val="405"/>
        </w:trPr>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(10.3)</w:t>
            </w:r>
          </w:p>
        </w:tc>
      </w:tr>
      <w:tr>
        <w:trPr>
          <w:trHeight w:val="20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167.0</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17316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1,017.5</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958.9</w:t>
            </w:r>
          </w:p>
        </w:tc>
      </w:tr>
      <w:tr>
        <w:trPr>
          <w:trHeight w:val="405"/>
        </w:trPr>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(51.1)</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(40.3)</w:t>
            </w:r>
          </w:p>
        </w:tc>
      </w:tr>
      <w:tr>
        <w:trPr>
          <w:trHeight w:val="203"/>
        </w:trPr>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(24.4)</w:t>
            </w:r>
          </w:p>
        </w:tc>
      </w:tr>
      <w:tr>
        <w:trPr>
          <w:trHeight w:val="207"/>
        </w:trPr>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w:t>
            </w:r>
          </w:p>
        </w:tc>
      </w:tr>
      <w:tr>
        <w:trPr>
          <w:trHeight w:val="196"/>
        </w:trPr>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859.6</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829.4</w:t>
            </w:r>
          </w:p>
        </w:tc>
      </w:tr>
      <w:tr>
        <w:trPr>
          <w:trHeight w:val="25"/>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81"/>
        </w:trPr>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r>
      <w:tr>
        <w:trPr>
          <w:trHeight w:val="24"/>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80" w:space="720"/>
            <w:col w:w="2720"/>
          </w:cols>
          <w:pgMar w:left="320" w:top="890" w:right="3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20"/>
          </w:cols>
          <w:pgMar w:left="320" w:top="890" w:right="359" w:bottom="1440" w:gutter="0" w:footer="0" w:header="0"/>
          <w:type w:val="continuous"/>
        </w:sectPr>
      </w:pPr>
    </w:p>
    <w:bookmarkStart w:id="19" w:name="page20"/>
    <w:bookmarkEnd w:id="19"/>
    <w:tbl>
      <w:tblPr>
        <w:tblLayout w:type="fixed"/>
        <w:tblInd w:w="4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8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5"/>
                <w:szCs w:val="15"/>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09"/>
        </w:trPr>
        <w:tc>
          <w:tcPr>
            <w:tcW w:w="86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1,142.4</w:t>
            </w: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8"/>
        </w:trPr>
        <w:tc>
          <w:tcPr>
            <w:tcW w:w="8680" w:type="dxa"/>
            <w:vAlign w:val="bottom"/>
          </w:tcPr>
          <w:p>
            <w:pPr>
              <w:ind w:left="20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200"/>
        </w:trPr>
        <w:tc>
          <w:tcPr>
            <w:tcW w:w="8680" w:type="dxa"/>
            <w:vAlign w:val="bottom"/>
          </w:tcPr>
          <w:p>
            <w:pPr>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1,054.8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(c)</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1,254.5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90805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U.S. GAAP interest expense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Accretion of contingent consideration liability</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premiums and discounts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special items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interest expense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r>
      <w:tr>
        <w:trPr>
          <w:trHeight w:val="189"/>
        </w:trPr>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147.0</w:t>
            </w:r>
          </w:p>
        </w:tc>
      </w:tr>
      <w:tr>
        <w:trPr>
          <w:trHeight w:val="405"/>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7"/>
        </w:trPr>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157.3</w:t>
            </w:r>
          </w:p>
        </w:tc>
      </w:tr>
      <w:tr>
        <w:trPr>
          <w:trHeight w:val="24"/>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5944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8000" w:space="720"/>
            <w:col w:w="2520"/>
          </w:cols>
          <w:pgMar w:left="320" w:top="940" w:right="3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i w:val="1"/>
          <w:iCs w:val="1"/>
          <w:color w:val="auto"/>
        </w:rPr>
        <w:t>(In millions)</w:t>
      </w:r>
    </w:p>
    <w:p>
      <w:pPr>
        <w:ind w:left="9140"/>
        <w:spacing w:after="0"/>
        <w:tabs>
          <w:tab w:leader="none" w:pos="104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1" w:lineRule="exact"/>
        <w:rPr>
          <w:sz w:val="20"/>
          <w:szCs w:val="20"/>
          <w:color w:val="auto"/>
        </w:rPr>
      </w:pPr>
    </w:p>
    <w:p>
      <w:pPr>
        <w:ind w:left="40"/>
        <w:spacing w:after="0"/>
        <w:tabs>
          <w:tab w:leader="none" w:pos="8700" w:val="left"/>
          <w:tab w:leader="none" w:pos="9400" w:val="left"/>
          <w:tab w:leader="none" w:pos="10020" w:val="left"/>
          <w:tab w:leader="none" w:pos="10800" w:val="left"/>
        </w:tabs>
        <w:rPr>
          <w:sz w:val="20"/>
          <w:szCs w:val="20"/>
          <w:color w:val="auto"/>
        </w:rPr>
      </w:pPr>
      <w:r>
        <w:rPr>
          <w:rFonts w:ascii="Arial" w:cs="Arial" w:eastAsia="Arial" w:hAnsi="Arial"/>
          <w:sz w:val="14"/>
          <w:szCs w:val="14"/>
          <w:b w:val="1"/>
          <w:bCs w:val="1"/>
          <w:color w:val="auto"/>
        </w:rPr>
        <w:t>U.S. GAAP other income, net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(139.1)</w:t>
        <w:tab/>
        <w:t>$</w:t>
      </w:r>
      <w:r>
        <w:rPr>
          <w:sz w:val="20"/>
          <w:szCs w:val="20"/>
          <w:color w:val="auto"/>
        </w:rPr>
        <w:tab/>
      </w:r>
      <w:r>
        <w:rPr>
          <w:rFonts w:ascii="Arial" w:cs="Arial" w:eastAsia="Arial" w:hAnsi="Arial"/>
          <w:sz w:val="14"/>
          <w:szCs w:val="14"/>
          <w:color w:val="auto"/>
        </w:rPr>
        <w:t>(69.9)</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Add / (Deduct):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Fair value adjustments on non-marketable equity investments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SG&amp;A and R&amp;D TSA reimbursement </w:t>
      </w:r>
      <w:r>
        <w:rPr>
          <w:rFonts w:ascii="Arial" w:cs="Arial" w:eastAsia="Arial" w:hAnsi="Arial"/>
          <w:sz w:val="9"/>
          <w:szCs w:val="9"/>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Gain on divestitures of businesses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23495</wp:posOffset>
            </wp:positionV>
            <wp:extent cx="710628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 except %s)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3"/>
        </w:trPr>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03"/>
        </w:trPr>
        <w:tc>
          <w:tcPr>
            <w:tcW w:w="44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5"/>
        </w:trPr>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34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23495</wp:posOffset>
            </wp:positionV>
            <wp:extent cx="1731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30" w:lineRule="exact"/>
        <w:rPr>
          <w:sz w:val="20"/>
          <w:szCs w:val="20"/>
          <w:color w:val="auto"/>
        </w:rPr>
      </w:pPr>
    </w:p>
    <w:p>
      <w:pPr>
        <w:ind w:left="240"/>
        <w:spacing w:after="0"/>
        <w:tabs>
          <w:tab w:leader="none" w:pos="16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8000" w:space="720"/>
            <w:col w:w="2520"/>
          </w:cols>
          <w:pgMar w:left="320" w:top="9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before income taxes</w:t>
            </w: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204.6</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762.9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787.9</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967.5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1,110.6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98"/>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25"/>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154.8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660" w:hanging="328"/>
        <w:spacing w:after="0"/>
        <w:tabs>
          <w:tab w:leader="none" w:pos="653"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26" w:lineRule="exact"/>
        <w:rPr>
          <w:rFonts w:ascii="Arial" w:cs="Arial" w:eastAsia="Arial" w:hAnsi="Arial"/>
          <w:sz w:val="19"/>
          <w:szCs w:val="19"/>
          <w:color w:val="auto"/>
          <w:vertAlign w:val="superscript"/>
        </w:rPr>
      </w:pPr>
    </w:p>
    <w:p>
      <w:pPr>
        <w:ind w:left="640" w:hanging="308"/>
        <w:spacing w:after="0"/>
        <w:tabs>
          <w:tab w:leader="none" w:pos="640" w:val="left"/>
        </w:tabs>
        <w:numPr>
          <w:ilvl w:val="0"/>
          <w:numId w:val="14"/>
        </w:numPr>
        <w:rPr>
          <w:rFonts w:ascii="Arial" w:cs="Arial" w:eastAsia="Arial" w:hAnsi="Arial"/>
          <w:sz w:val="9"/>
          <w:szCs w:val="9"/>
          <w:color w:val="auto"/>
        </w:rPr>
      </w:pPr>
      <w:r>
        <w:rPr>
          <w:rFonts w:ascii="Arial" w:cs="Arial" w:eastAsia="Arial" w:hAnsi="Arial"/>
          <w:sz w:val="14"/>
          <w:szCs w:val="14"/>
          <w:color w:val="auto"/>
        </w:rPr>
        <w:t>Refer to "Certain Key Terms and Presentation Matters" section in this release for more information on reclassifications related to TSA reimbursements.</w:t>
      </w:r>
    </w:p>
    <w:p>
      <w:pPr>
        <w:spacing w:after="0" w:line="68" w:lineRule="exact"/>
        <w:rPr>
          <w:rFonts w:ascii="Arial" w:cs="Arial" w:eastAsia="Arial" w:hAnsi="Arial"/>
          <w:sz w:val="9"/>
          <w:szCs w:val="9"/>
          <w:color w:val="auto"/>
        </w:rPr>
      </w:pPr>
    </w:p>
    <w:p>
      <w:pPr>
        <w:ind w:left="660" w:right="20" w:hanging="328"/>
        <w:spacing w:after="0" w:line="231" w:lineRule="auto"/>
        <w:tabs>
          <w:tab w:leader="none" w:pos="64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ectPr>
          <w:pgSz w:w="11900" w:h="16838" w:orient="portrait"/>
          <w:cols w:equalWidth="0" w:num="1">
            <w:col w:w="11240"/>
          </w:cols>
          <w:pgMar w:left="320" w:top="9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94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May 9, 2024</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$3,010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$2,660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140" w:hanging="328"/>
        <w:spacing w:after="0" w:line="222" w:lineRule="auto"/>
        <w:tabs>
          <w:tab w:leader="none" w:pos="65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full-year expected performance for the pending announced divestiture of substantially all of our OTC business, and excludes any potential related costs, such as taxes and transaction costs. Also excludes any acquired IPR&amp;D to be incurred in any future period as it cannot be reasonably forecasted.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Estimated 2024 U.S. GAAP Net Cash Provided by Operating Activities to Free Cash Flow as of February 28, 2024</w:t>
      </w:r>
    </w:p>
    <w:p>
      <w:pPr>
        <w:spacing w:after="0" w:line="1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2024 U.S. GAAP Net Cash provided by Operating Activities to Free Cash Flow is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Estimated U.S. GAAP Net Cash provided by Operating Activities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$3,050</w:t>
            </w:r>
          </w:p>
        </w:tc>
      </w:tr>
      <w:tr>
        <w:trPr>
          <w:trHeight w:val="216"/>
        </w:trPr>
        <w:tc>
          <w:tcPr>
            <w:tcW w:w="8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Capital Expenditures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$(450)</w:t>
            </w:r>
          </w:p>
        </w:tc>
      </w:tr>
      <w:tr>
        <w:trPr>
          <w:trHeight w:val="197"/>
        </w:trPr>
        <w:tc>
          <w:tcPr>
            <w:tcW w:w="8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(a)</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$2,700</w:t>
            </w:r>
          </w:p>
        </w:tc>
      </w:tr>
      <w:tr>
        <w:trPr>
          <w:trHeight w:val="32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___________</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5" w:lineRule="exact"/>
        <w:rPr>
          <w:sz w:val="20"/>
          <w:szCs w:val="20"/>
          <w:color w:val="auto"/>
        </w:rPr>
      </w:pPr>
    </w:p>
    <w:p>
      <w:pPr>
        <w:ind w:left="660" w:right="60" w:hanging="328"/>
        <w:spacing w:after="0" w:line="263" w:lineRule="auto"/>
        <w:tabs>
          <w:tab w:leader="none" w:pos="653" w:val="left"/>
        </w:tabs>
        <w:numPr>
          <w:ilvl w:val="0"/>
          <w:numId w:val="16"/>
        </w:numPr>
        <w:rPr>
          <w:rFonts w:ascii="Arial" w:cs="Arial" w:eastAsia="Arial" w:hAnsi="Arial"/>
          <w:sz w:val="9"/>
          <w:szCs w:val="9"/>
          <w:color w:val="auto"/>
        </w:rPr>
      </w:pPr>
      <w:r>
        <w:rPr>
          <w:rFonts w:ascii="Arial" w:cs="Arial" w:eastAsia="Arial" w:hAnsi="Arial"/>
          <w:sz w:val="14"/>
          <w:szCs w:val="14"/>
          <w:color w:val="auto"/>
        </w:rPr>
        <w:t>Included the full-year expected performance for the then-pending announced divestitures of substantially all of our OTC business, API business in India, and women’s healthcare business, and excluded any potential related costs, such as taxes and transaction costs. Also excluded any acquired IPR&amp;D to be incurred in any future period as it could not be reasonably forecasted.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2024-05-09T06:59:10Z</dcterms:created>
  <dcterms:modified xsi:type="dcterms:W3CDTF">2024-05-09T06:59:10Z</dcterms:modified>
</cp:coreProperties>
</file>