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VIATRIS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92556V106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92556V106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22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80" w:type="dxa"/>
            <w:vAlign w:val="bottom"/>
          </w:tcPr>
          <w:p>
            <w:pPr>
              <w:ind w:left="5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67,990,306</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69,811,210</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69,811,210</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5.74%</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92556V106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22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80" w:type="dxa"/>
            <w:vAlign w:val="bottom"/>
          </w:tcPr>
          <w:p>
            <w:pPr>
              <w:ind w:left="5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67,990,306</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69,811,210</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69,811,210</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5.74%</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92556V106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22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80" w:type="dxa"/>
            <w:vAlign w:val="bottom"/>
          </w:tcPr>
          <w:p>
            <w:pPr>
              <w:ind w:left="5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67,990,306</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69,811,210</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69,811,210</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5.74%</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4" w:name="page5"/>
    <w:bookmarkEnd w:id="4"/>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92556V106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480" w:type="dxa"/>
            <w:vAlign w:val="bottom"/>
          </w:tcPr>
          <w:p>
            <w:pPr>
              <w:spacing w:after="0"/>
              <w:rPr>
                <w:sz w:val="23"/>
                <w:szCs w:val="23"/>
                <w:color w:val="auto"/>
              </w:rPr>
            </w:pPr>
          </w:p>
        </w:tc>
        <w:tc>
          <w:tcPr>
            <w:tcW w:w="6260" w:type="dxa"/>
            <w:vAlign w:val="bottom"/>
          </w:tcPr>
          <w:p>
            <w:pPr>
              <w:ind w:left="180"/>
              <w:spacing w:after="0"/>
              <w:rPr>
                <w:sz w:val="20"/>
                <w:szCs w:val="20"/>
                <w:color w:val="auto"/>
              </w:rPr>
            </w:pPr>
            <w:r>
              <w:rPr>
                <w:rFonts w:ascii="Arial" w:cs="Arial" w:eastAsia="Arial" w:hAnsi="Arial"/>
                <w:sz w:val="22"/>
                <w:szCs w:val="22"/>
                <w:color w:val="auto"/>
              </w:rPr>
              <w:t>5. SOLE VOTING POWER</w:t>
            </w:r>
          </w:p>
        </w:tc>
        <w:tc>
          <w:tcPr>
            <w:tcW w:w="2780" w:type="dxa"/>
            <w:vAlign w:val="bottom"/>
          </w:tcPr>
          <w:p>
            <w:pPr>
              <w:ind w:left="5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6260" w:type="dxa"/>
            <w:vAlign w:val="bottom"/>
          </w:tcPr>
          <w:p>
            <w:pPr>
              <w:spacing w:after="0"/>
              <w:rPr>
                <w:sz w:val="4"/>
                <w:szCs w:val="4"/>
                <w:color w:val="auto"/>
              </w:rPr>
            </w:pPr>
          </w:p>
        </w:tc>
        <w:tc>
          <w:tcPr>
            <w:tcW w:w="2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480" w:type="dxa"/>
            <w:vAlign w:val="bottom"/>
          </w:tcPr>
          <w:p>
            <w:pPr>
              <w:spacing w:after="0"/>
              <w:rPr>
                <w:sz w:val="21"/>
                <w:szCs w:val="21"/>
                <w:color w:val="auto"/>
              </w:rPr>
            </w:pPr>
          </w:p>
        </w:tc>
        <w:tc>
          <w:tcPr>
            <w:tcW w:w="6260" w:type="dxa"/>
            <w:vAlign w:val="bottom"/>
            <w:vMerge w:val="restart"/>
          </w:tcPr>
          <w:p>
            <w:pPr>
              <w:ind w:left="180"/>
              <w:spacing w:after="0"/>
              <w:rPr>
                <w:sz w:val="20"/>
                <w:szCs w:val="20"/>
                <w:color w:val="auto"/>
              </w:rPr>
            </w:pPr>
            <w:r>
              <w:rPr>
                <w:rFonts w:ascii="Arial" w:cs="Arial" w:eastAsia="Arial" w:hAnsi="Arial"/>
                <w:sz w:val="22"/>
                <w:szCs w:val="22"/>
                <w:color w:val="auto"/>
              </w:rPr>
              <w:t>6. SHARED VOTING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67,257,978</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480" w:type="dxa"/>
            <w:vAlign w:val="bottom"/>
          </w:tcPr>
          <w:p>
            <w:pPr>
              <w:spacing w:after="0"/>
              <w:rPr>
                <w:sz w:val="14"/>
                <w:szCs w:val="14"/>
                <w:color w:val="auto"/>
              </w:rPr>
            </w:pPr>
          </w:p>
        </w:tc>
        <w:tc>
          <w:tcPr>
            <w:tcW w:w="6260" w:type="dxa"/>
            <w:vAlign w:val="bottom"/>
            <w:vMerge w:val="continue"/>
          </w:tcPr>
          <w:p>
            <w:pPr>
              <w:spacing w:after="0"/>
              <w:rPr>
                <w:sz w:val="14"/>
                <w:szCs w:val="14"/>
                <w:color w:val="auto"/>
              </w:rPr>
            </w:pPr>
          </w:p>
        </w:tc>
        <w:tc>
          <w:tcPr>
            <w:tcW w:w="2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6260" w:type="dxa"/>
            <w:vAlign w:val="bottom"/>
          </w:tcPr>
          <w:p>
            <w:pPr>
              <w:spacing w:after="0"/>
              <w:rPr>
                <w:sz w:val="6"/>
                <w:szCs w:val="6"/>
                <w:color w:val="auto"/>
              </w:rPr>
            </w:pPr>
          </w:p>
        </w:tc>
        <w:tc>
          <w:tcPr>
            <w:tcW w:w="2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60" w:type="dxa"/>
            <w:vAlign w:val="bottom"/>
            <w:vMerge w:val="restart"/>
          </w:tcPr>
          <w:p>
            <w:pPr>
              <w:ind w:left="180"/>
              <w:spacing w:after="0"/>
              <w:rPr>
                <w:sz w:val="20"/>
                <w:szCs w:val="20"/>
                <w:color w:val="auto"/>
              </w:rPr>
            </w:pPr>
            <w:r>
              <w:rPr>
                <w:rFonts w:ascii="Arial" w:cs="Arial" w:eastAsia="Arial" w:hAnsi="Arial"/>
                <w:sz w:val="22"/>
                <w:szCs w:val="22"/>
                <w:color w:val="auto"/>
              </w:rPr>
              <w:t>7. SOLE DISPOSITIVE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480" w:type="dxa"/>
            <w:vAlign w:val="bottom"/>
          </w:tcPr>
          <w:p>
            <w:pPr>
              <w:spacing w:after="0"/>
              <w:rPr>
                <w:sz w:val="12"/>
                <w:szCs w:val="12"/>
                <w:color w:val="auto"/>
              </w:rPr>
            </w:pPr>
          </w:p>
        </w:tc>
        <w:tc>
          <w:tcPr>
            <w:tcW w:w="626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62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480" w:type="dxa"/>
            <w:vAlign w:val="bottom"/>
          </w:tcPr>
          <w:p>
            <w:pPr>
              <w:spacing w:after="0"/>
              <w:rPr>
                <w:sz w:val="23"/>
                <w:szCs w:val="23"/>
                <w:color w:val="auto"/>
              </w:rPr>
            </w:pPr>
          </w:p>
        </w:tc>
        <w:tc>
          <w:tcPr>
            <w:tcW w:w="6260" w:type="dxa"/>
            <w:vAlign w:val="bottom"/>
            <w:vMerge w:val="restart"/>
          </w:tcPr>
          <w:p>
            <w:pPr>
              <w:ind w:left="180"/>
              <w:spacing w:after="0"/>
              <w:rPr>
                <w:sz w:val="20"/>
                <w:szCs w:val="20"/>
                <w:color w:val="auto"/>
              </w:rPr>
            </w:pPr>
            <w:r>
              <w:rPr>
                <w:rFonts w:ascii="Arial" w:cs="Arial" w:eastAsia="Arial" w:hAnsi="Arial"/>
                <w:sz w:val="22"/>
                <w:szCs w:val="22"/>
                <w:color w:val="auto"/>
              </w:rPr>
              <w:t>8. SHARED DISPOSITIVE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67,280,712</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60" w:type="dxa"/>
            <w:vAlign w:val="bottom"/>
            <w:vMerge w:val="continue"/>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67,280,712</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22"/>
                <w:szCs w:val="22"/>
                <w:color w:val="auto"/>
              </w:rPr>
              <w:t>[ ]</w:t>
            </w:r>
          </w:p>
        </w:tc>
        <w:tc>
          <w:tcPr>
            <w:tcW w:w="6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5.53%</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22"/>
                <w:szCs w:val="22"/>
                <w:color w:val="auto"/>
              </w:rPr>
              <w:t>IA</w:t>
            </w:r>
          </w:p>
        </w:tc>
        <w:tc>
          <w:tcPr>
            <w:tcW w:w="6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260" w:type="dxa"/>
            <w:vAlign w:val="bottom"/>
            <w:tcBorders>
              <w:bottom w:val="single" w:sz="8" w:color="808080"/>
            </w:tcBorders>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5" w:name="page6"/>
    <w:bookmarkEnd w:id="5"/>
    <w:p>
      <w:pPr>
        <w:spacing w:after="0" w:line="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60" w:hanging="401"/>
        <w:spacing w:after="0"/>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60"/>
        <w:spacing w:after="0"/>
        <w:rPr>
          <w:rFonts w:ascii="Arial" w:cs="Arial" w:eastAsia="Arial" w:hAnsi="Arial"/>
          <w:sz w:val="22"/>
          <w:szCs w:val="22"/>
          <w:b w:val="1"/>
          <w:bCs w:val="1"/>
          <w:color w:val="auto"/>
        </w:rPr>
      </w:pPr>
      <w:r>
        <w:rPr>
          <w:rFonts w:ascii="Arial" w:cs="Arial" w:eastAsia="Arial" w:hAnsi="Arial"/>
          <w:sz w:val="22"/>
          <w:szCs w:val="22"/>
          <w:color w:val="auto"/>
        </w:rPr>
        <w:t>VIATRIS INC.</w:t>
      </w:r>
    </w:p>
    <w:p>
      <w:pPr>
        <w:spacing w:after="0" w:line="101" w:lineRule="exact"/>
        <w:rPr>
          <w:rFonts w:ascii="Arial" w:cs="Arial" w:eastAsia="Arial" w:hAnsi="Arial"/>
          <w:sz w:val="22"/>
          <w:szCs w:val="22"/>
          <w:b w:val="1"/>
          <w:bCs w:val="1"/>
          <w:color w:val="auto"/>
        </w:rPr>
      </w:pPr>
    </w:p>
    <w:p>
      <w:pPr>
        <w:ind w:left="1760" w:right="4960" w:hanging="401"/>
        <w:spacing w:after="0" w:line="241" w:lineRule="auto"/>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1000 Mylan Boulevard</w:t>
      </w:r>
    </w:p>
    <w:p>
      <w:pPr>
        <w:spacing w:after="0" w:line="1" w:lineRule="exact"/>
        <w:rPr>
          <w:rFonts w:ascii="Arial" w:cs="Arial" w:eastAsia="Arial" w:hAnsi="Arial"/>
          <w:sz w:val="22"/>
          <w:szCs w:val="22"/>
          <w:b w:val="1"/>
          <w:bCs w:val="1"/>
          <w:color w:val="auto"/>
        </w:rPr>
      </w:pPr>
    </w:p>
    <w:p>
      <w:pPr>
        <w:ind w:left="1760"/>
        <w:spacing w:after="0"/>
        <w:rPr>
          <w:rFonts w:ascii="Arial" w:cs="Arial" w:eastAsia="Arial" w:hAnsi="Arial"/>
          <w:sz w:val="22"/>
          <w:szCs w:val="22"/>
          <w:b w:val="1"/>
          <w:bCs w:val="1"/>
          <w:color w:val="auto"/>
        </w:rPr>
      </w:pPr>
      <w:r>
        <w:rPr>
          <w:rFonts w:ascii="Arial" w:cs="Arial" w:eastAsia="Arial" w:hAnsi="Arial"/>
          <w:sz w:val="22"/>
          <w:szCs w:val="22"/>
          <w:color w:val="auto"/>
        </w:rPr>
        <w:t>Canonsburg, PA 15317</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60" w:right="51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 Wellington Management Company LLP</w:t>
      </w:r>
    </w:p>
    <w:p>
      <w:pPr>
        <w:spacing w:after="0" w:line="92" w:lineRule="exact"/>
        <w:rPr>
          <w:rFonts w:ascii="Arial" w:cs="Arial" w:eastAsia="Arial" w:hAnsi="Arial"/>
          <w:sz w:val="22"/>
          <w:szCs w:val="22"/>
          <w:b w:val="1"/>
          <w:bCs w:val="1"/>
          <w:color w:val="auto"/>
        </w:rPr>
      </w:pPr>
    </w:p>
    <w:p>
      <w:pPr>
        <w:ind w:left="1760" w:right="3880" w:hanging="401"/>
        <w:spacing w:after="0" w:line="241" w:lineRule="auto"/>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spacing w:after="0" w:line="1" w:lineRule="exact"/>
        <w:rPr>
          <w:rFonts w:ascii="Arial" w:cs="Arial" w:eastAsia="Arial" w:hAnsi="Arial"/>
          <w:sz w:val="22"/>
          <w:szCs w:val="22"/>
          <w:b w:val="1"/>
          <w:bCs w:val="1"/>
          <w:color w:val="auto"/>
        </w:rPr>
      </w:pPr>
    </w:p>
    <w:p>
      <w:pPr>
        <w:ind w:left="1760" w:right="75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60" w:right="41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 Wellington Management Company LLP - Delaware</w:t>
      </w:r>
    </w:p>
    <w:p>
      <w:pPr>
        <w:spacing w:after="0" w:line="92" w:lineRule="exact"/>
        <w:rPr>
          <w:rFonts w:ascii="Arial" w:cs="Arial" w:eastAsia="Arial" w:hAnsi="Arial"/>
          <w:sz w:val="22"/>
          <w:szCs w:val="22"/>
          <w:b w:val="1"/>
          <w:bCs w:val="1"/>
          <w:color w:val="auto"/>
        </w:rPr>
      </w:pPr>
    </w:p>
    <w:p>
      <w:pPr>
        <w:ind w:left="1760" w:right="688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760" w:right="780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92556V106</w:t>
      </w:r>
    </w:p>
    <w:p>
      <w:pPr>
        <w:spacing w:after="0" w:line="13" w:lineRule="exact"/>
        <w:rPr>
          <w:sz w:val="20"/>
          <w:szCs w:val="20"/>
          <w:color w:val="auto"/>
        </w:rPr>
      </w:pPr>
    </w:p>
    <w:p>
      <w:pPr>
        <w:ind w:left="1360" w:hanging="1349"/>
        <w:spacing w:after="0" w:line="256" w:lineRule="auto"/>
        <w:tabs>
          <w:tab w:leader="none" w:pos="13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7" w:lineRule="exact"/>
        <w:rPr>
          <w:sz w:val="20"/>
          <w:szCs w:val="20"/>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20" w:right="12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 *</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1"/>
          <w:szCs w:val="21"/>
          <w:color w:val="auto"/>
        </w:rPr>
      </w:pPr>
      <w:r>
        <w:rPr>
          <w:rFonts w:ascii="Arial" w:cs="Arial" w:eastAsia="Arial" w:hAnsi="Arial"/>
          <w:sz w:val="21"/>
          <w:szCs w:val="21"/>
          <w:color w:val="auto"/>
        </w:rPr>
        <w:t>[ ]   An employee benefit plan or endowment fund in accordance with Rule 240.13d-1(b)(1)(ii)(F);</w:t>
      </w:r>
    </w:p>
    <w:p>
      <w:pPr>
        <w:spacing w:after="0" w:line="136" w:lineRule="exact"/>
        <w:rPr>
          <w:rFonts w:ascii="Arial" w:cs="Arial" w:eastAsia="Arial" w:hAnsi="Arial"/>
          <w:sz w:val="21"/>
          <w:szCs w:val="21"/>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2220" w:right="46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savings association as defined in Section 3(b) of the Federal Deposit Insurance Act (12 U.S.C. 1813);</w:t>
      </w:r>
    </w:p>
    <w:p>
      <w:pPr>
        <w:spacing w:after="0" w:line="93" w:lineRule="exact"/>
        <w:rPr>
          <w:rFonts w:ascii="Arial" w:cs="Arial" w:eastAsia="Arial" w:hAnsi="Arial"/>
          <w:sz w:val="22"/>
          <w:szCs w:val="22"/>
          <w:color w:val="auto"/>
        </w:rPr>
      </w:pPr>
    </w:p>
    <w:p>
      <w:pPr>
        <w:ind w:left="2220" w:right="14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25"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Wellington Management Group LLP - HC</w:t>
      </w:r>
    </w:p>
    <w:p>
      <w:pPr>
        <w:ind w:left="1360"/>
        <w:spacing w:after="0" w:line="238" w:lineRule="auto"/>
        <w:rPr>
          <w:sz w:val="20"/>
          <w:szCs w:val="20"/>
          <w:color w:val="auto"/>
        </w:rPr>
      </w:pPr>
      <w:r>
        <w:rPr>
          <w:rFonts w:ascii="Arial" w:cs="Arial" w:eastAsia="Arial" w:hAnsi="Arial"/>
          <w:sz w:val="22"/>
          <w:szCs w:val="22"/>
          <w:color w:val="auto"/>
        </w:rPr>
        <w:t>Wellington Group Holdings LLP - HC</w:t>
      </w:r>
    </w:p>
    <w:p>
      <w:pPr>
        <w:ind w:left="1360"/>
        <w:spacing w:after="0" w:line="230" w:lineRule="auto"/>
        <w:rPr>
          <w:sz w:val="20"/>
          <w:szCs w:val="20"/>
          <w:color w:val="auto"/>
        </w:rPr>
      </w:pPr>
      <w:r>
        <w:rPr>
          <w:rFonts w:ascii="Arial" w:cs="Arial" w:eastAsia="Arial" w:hAnsi="Arial"/>
          <w:sz w:val="22"/>
          <w:szCs w:val="22"/>
          <w:color w:val="auto"/>
        </w:rPr>
        <w:t>Wellington Investment Advisors Holdings LLP - HC</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Wellington Management Company LLP - IA</w:t>
      </w:r>
    </w:p>
    <w:p>
      <w:pPr>
        <w:spacing w:after="0" w:line="101"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8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See the responses to Item 11 on the attached cover pages.</w:t>
      </w:r>
    </w:p>
    <w:p>
      <w:pPr>
        <w:sectPr>
          <w:pgSz w:w="11900" w:h="16907" w:orient="portrait"/>
          <w:cols w:equalWidth="0" w:num="1">
            <w:col w:w="11040"/>
          </w:cols>
          <w:pgMar w:left="400" w:top="409" w:right="459" w:bottom="0" w:gutter="0" w:footer="0" w:header="0"/>
        </w:sectPr>
      </w:pPr>
    </w:p>
    <w:bookmarkStart w:id="6" w:name="page7"/>
    <w:bookmarkEnd w:id="6"/>
    <w:p>
      <w:pPr>
        <w:spacing w:after="0" w:line="63" w:lineRule="exact"/>
        <w:rPr>
          <w:sz w:val="20"/>
          <w:szCs w:val="20"/>
          <w:color w:val="auto"/>
        </w:rPr>
      </w:pPr>
    </w:p>
    <w:p>
      <w:pPr>
        <w:ind w:left="1760" w:hanging="401"/>
        <w:spacing w:after="0"/>
        <w:tabs>
          <w:tab w:leader="none" w:pos="1760" w:val="left"/>
        </w:tabs>
        <w:numPr>
          <w:ilvl w:val="0"/>
          <w:numId w:val="6"/>
        </w:numPr>
        <w:rPr>
          <w:rFonts w:ascii="Arial" w:cs="Arial" w:eastAsia="Arial" w:hAnsi="Arial"/>
          <w:sz w:val="19"/>
          <w:szCs w:val="19"/>
          <w:color w:val="auto"/>
        </w:rPr>
      </w:pPr>
      <w:r>
        <w:rPr>
          <w:rFonts w:ascii="Arial" w:cs="Arial" w:eastAsia="Arial" w:hAnsi="Arial"/>
          <w:sz w:val="19"/>
          <w:szCs w:val="19"/>
          <w:color w:val="auto"/>
        </w:rPr>
        <w:t>Number of shares as to which such person has:</w:t>
      </w:r>
    </w:p>
    <w:p>
      <w:pPr>
        <w:spacing w:after="0" w:line="159" w:lineRule="exact"/>
        <w:rPr>
          <w:rFonts w:ascii="Arial" w:cs="Arial" w:eastAsia="Arial" w:hAnsi="Arial"/>
          <w:sz w:val="19"/>
          <w:szCs w:val="19"/>
          <w:color w:val="auto"/>
        </w:rPr>
      </w:pPr>
    </w:p>
    <w:p>
      <w:pPr>
        <w:ind w:left="2220" w:hanging="456"/>
        <w:spacing w:after="0"/>
        <w:tabs>
          <w:tab w:leader="none" w:pos="2220" w:val="left"/>
        </w:tabs>
        <w:numPr>
          <w:ilvl w:val="1"/>
          <w:numId w:val="6"/>
        </w:numPr>
        <w:rPr>
          <w:rFonts w:ascii="Arial" w:cs="Arial" w:eastAsia="Arial" w:hAnsi="Arial"/>
          <w:sz w:val="21"/>
          <w:szCs w:val="21"/>
          <w:color w:val="auto"/>
        </w:rPr>
      </w:pPr>
      <w:r>
        <w:rPr>
          <w:rFonts w:ascii="Arial" w:cs="Arial" w:eastAsia="Arial" w:hAnsi="Arial"/>
          <w:sz w:val="21"/>
          <w:szCs w:val="21"/>
          <w:color w:val="auto"/>
        </w:rPr>
        <w:t>sole power to vote or to direct the vote</w:t>
      </w:r>
    </w:p>
    <w:p>
      <w:pPr>
        <w:spacing w:after="0" w:line="258" w:lineRule="exact"/>
        <w:rPr>
          <w:rFonts w:ascii="Arial" w:cs="Arial" w:eastAsia="Arial" w:hAnsi="Arial"/>
          <w:sz w:val="21"/>
          <w:szCs w:val="21"/>
          <w:color w:val="auto"/>
        </w:rPr>
      </w:pPr>
    </w:p>
    <w:p>
      <w:pPr>
        <w:ind w:left="2220" w:hanging="456"/>
        <w:spacing w:after="0"/>
        <w:tabs>
          <w:tab w:leader="none" w:pos="2220" w:val="left"/>
        </w:tabs>
        <w:numPr>
          <w:ilvl w:val="1"/>
          <w:numId w:val="6"/>
        </w:numPr>
        <w:rPr>
          <w:rFonts w:ascii="Arial" w:cs="Arial" w:eastAsia="Arial" w:hAnsi="Arial"/>
          <w:sz w:val="19"/>
          <w:szCs w:val="19"/>
          <w:color w:val="auto"/>
        </w:rPr>
      </w:pPr>
      <w:r>
        <w:rPr>
          <w:rFonts w:ascii="Arial" w:cs="Arial" w:eastAsia="Arial" w:hAnsi="Arial"/>
          <w:sz w:val="19"/>
          <w:szCs w:val="19"/>
          <w:color w:val="auto"/>
        </w:rPr>
        <w:t>shared power to vote or to direct the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125" w:lineRule="exact"/>
        <w:rPr>
          <w:sz w:val="20"/>
          <w:szCs w:val="20"/>
          <w:color w:val="auto"/>
        </w:rPr>
      </w:pPr>
    </w:p>
    <w:p>
      <w:pPr>
        <w:ind w:right="80"/>
        <w:spacing w:after="0" w:line="245" w:lineRule="auto"/>
        <w:rPr>
          <w:sz w:val="20"/>
          <w:szCs w:val="20"/>
          <w:color w:val="auto"/>
        </w:rPr>
      </w:pPr>
      <w:r>
        <w:rPr>
          <w:rFonts w:ascii="Arial" w:cs="Arial" w:eastAsia="Arial" w:hAnsi="Arial"/>
          <w:sz w:val="22"/>
          <w:szCs w:val="22"/>
          <w:color w:val="auto"/>
        </w:rPr>
        <w:t>See the responses to Item 6 on the attached cover pages.</w:t>
      </w:r>
    </w:p>
    <w:p>
      <w:pPr>
        <w:spacing w:after="0" w:line="59" w:lineRule="exact"/>
        <w:rPr>
          <w:sz w:val="20"/>
          <w:szCs w:val="20"/>
          <w:color w:val="auto"/>
        </w:rPr>
      </w:pPr>
    </w:p>
    <w:p>
      <w:pPr>
        <w:sectPr>
          <w:pgSz w:w="11900" w:h="16901" w:orient="portrait"/>
          <w:cols w:equalWidth="0" w:num="2">
            <w:col w:w="5900" w:space="720"/>
            <w:col w:w="4320"/>
          </w:cols>
          <w:pgMar w:left="400" w:top="253" w:right="559" w:bottom="0" w:gutter="0" w:footer="0" w:header="0"/>
        </w:sectPr>
      </w:pPr>
    </w:p>
    <w:p>
      <w:pPr>
        <w:ind w:left="2220" w:hanging="456"/>
        <w:spacing w:after="0"/>
        <w:tabs>
          <w:tab w:leader="none" w:pos="2220" w:val="left"/>
        </w:tabs>
        <w:numPr>
          <w:ilvl w:val="0"/>
          <w:numId w:val="7"/>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75" w:lineRule="exact"/>
        <w:rPr>
          <w:rFonts w:ascii="Arial" w:cs="Arial" w:eastAsia="Arial" w:hAnsi="Arial"/>
          <w:sz w:val="34"/>
          <w:szCs w:val="34"/>
          <w:color w:val="auto"/>
          <w:vertAlign w:val="subscript"/>
        </w:rPr>
      </w:pPr>
    </w:p>
    <w:p>
      <w:pPr>
        <w:ind w:left="2220" w:right="800" w:hanging="456"/>
        <w:spacing w:after="0" w:line="183" w:lineRule="auto"/>
        <w:tabs>
          <w:tab w:leader="none" w:pos="2220" w:val="left"/>
        </w:tabs>
        <w:numPr>
          <w:ilvl w:val="0"/>
          <w:numId w:val="7"/>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See the responses to Item 8 on the attached cover pages.</w:t>
      </w:r>
    </w:p>
    <w:p>
      <w:pPr>
        <w:spacing w:after="0" w:line="88" w:lineRule="exact"/>
        <w:rPr>
          <w:sz w:val="20"/>
          <w:szCs w:val="20"/>
          <w:color w:val="auto"/>
        </w:rPr>
      </w:pPr>
    </w:p>
    <w:p>
      <w:pPr>
        <w:sectPr>
          <w:pgSz w:w="11900" w:h="16901" w:orient="portrait"/>
          <w:cols w:equalWidth="0" w:num="2">
            <w:col w:w="6420" w:space="200"/>
            <w:col w:w="4320"/>
          </w:cols>
          <w:pgMar w:left="400" w:top="253" w:right="559" w:bottom="0" w:gutter="0" w:footer="0" w:header="0"/>
          <w:type w:val="continuous"/>
        </w:sectPr>
      </w:pPr>
    </w:p>
    <w:tbl>
      <w:tblPr>
        <w:tblLayout w:type="fixed"/>
        <w:tblInd w:w="0" w:type="dxa"/>
        <w:tblCellMar>
          <w:top w:w="0" w:type="dxa"/>
          <w:left w:w="0" w:type="dxa"/>
          <w:bottom w:w="0" w:type="dxa"/>
          <w:right w:w="0" w:type="dxa"/>
        </w:tblCellMar>
      </w:tblPr>
      <w:tr>
        <w:trPr>
          <w:trHeight w:val="280"/>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the 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3"/>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4"/>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9"/>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2"/>
              </w:rPr>
              <w:t>sale of, such securities. No such client is known to have such right or power with respect to more than five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w:t>
            </w:r>
          </w:p>
        </w:tc>
      </w:tr>
      <w:tr>
        <w:trPr>
          <w:trHeight w:val="280"/>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1"/>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0"/>
              </w:rPr>
              <w:t>of or with the effect of changing or influencing the control of the issuer of the securities and were not acquired</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6"/>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February 15, 2021</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February 15, 2021</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bl>
    <w:p>
      <w:pPr>
        <w:sectPr>
          <w:pgSz w:w="11900" w:h="16901" w:orient="portrait"/>
          <w:cols w:equalWidth="0" w:num="1">
            <w:col w:w="10940"/>
          </w:cols>
          <w:pgMar w:left="400" w:top="253" w:right="559" w:bottom="0" w:gutter="0" w:footer="0" w:header="0"/>
          <w:type w:val="continuous"/>
        </w:sectPr>
      </w:pPr>
    </w:p>
    <w:bookmarkStart w:id="7" w:name="page8"/>
    <w:bookmarkEnd w:id="7"/>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15, 2021</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356870</wp:posOffset>
            </wp:positionV>
            <wp:extent cx="573024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320" w:lineRule="exact"/>
        <w:rPr>
          <w:sz w:val="20"/>
          <w:szCs w:val="20"/>
          <w:color w:val="auto"/>
        </w:rPr>
      </w:pPr>
    </w:p>
    <w:p>
      <w:pPr>
        <w:ind w:left="60" w:right="219"/>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7" w:lineRule="exact"/>
        <w:rPr>
          <w:sz w:val="20"/>
          <w:szCs w:val="20"/>
          <w:color w:val="auto"/>
        </w:rPr>
      </w:pPr>
    </w:p>
    <w:p>
      <w:pPr>
        <w:ind w:left="60" w:right="4399"/>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ind w:left="60" w:right="119"/>
        <w:spacing w:after="0" w:line="234" w:lineRule="auto"/>
        <w:rPr>
          <w:sz w:val="20"/>
          <w:szCs w:val="20"/>
          <w:color w:val="auto"/>
        </w:rPr>
      </w:pPr>
      <w:r>
        <w:rPr>
          <w:rFonts w:ascii="Arial" w:cs="Arial" w:eastAsia="Arial" w:hAnsi="Arial"/>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573024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ind w:left="60" w:right="199"/>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VIATRIS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07"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ectPr>
          <w:pgSz w:w="11900" w:h="16838" w:orient="portrait"/>
          <w:cols w:equalWidth="0" w:num="1">
            <w:col w:w="9019"/>
          </w:cols>
          <w:pgMar w:left="1440" w:top="145" w:right="1440" w:bottom="0" w:gutter="0" w:footer="0" w:header="0"/>
        </w:sectPr>
      </w:pPr>
    </w:p>
    <w:bookmarkStart w:id="8" w:name="page9"/>
    <w:bookmarkEnd w:id="8"/>
    <w:p>
      <w:pPr>
        <w:ind w:left="3440"/>
        <w:spacing w:after="0"/>
        <w:rPr>
          <w:sz w:val="20"/>
          <w:szCs w:val="20"/>
          <w:color w:val="auto"/>
        </w:rPr>
      </w:pPr>
      <w:r>
        <w:rPr>
          <w:rFonts w:ascii="Arial" w:cs="Arial" w:eastAsia="Arial" w:hAnsi="Arial"/>
          <w:sz w:val="22"/>
          <w:szCs w:val="22"/>
          <w:color w:val="auto"/>
        </w:rPr>
        <w:t>Name: Taisia Lowe</w:t>
      </w:r>
    </w:p>
    <w:p>
      <w:pPr>
        <w:spacing w:after="0" w:line="45"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15, 2021</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15, 2021</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19"/>
          <w:szCs w:val="19"/>
          <w:color w:val="auto"/>
        </w:rPr>
        <w:t>By: Wellington Investment Advisors Holdings LLP</w:t>
      </w:r>
    </w:p>
    <w:p>
      <w:pPr>
        <w:spacing w:after="0" w:line="79"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15, 2021</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15, 2021</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2021-02-04T09:29:07Z</dcterms:created>
  <dcterms:modified xsi:type="dcterms:W3CDTF">2021-02-04T09:29:07Z</dcterms:modified>
</cp:coreProperties>
</file>