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ind w:left="0" w:right="0" w:hanging="0"/>
        <w:jc w:val="left"/>
        <w:rPr>
          <w:bdr w:val="single" w:sz="2" w:space="1" w:color="000000"/>
          <w:shd w:fill="FFFFFF" w:val="clear"/>
        </w:rPr>
      </w:pPr>
      <w:bookmarkStart w:id="0" w:name="d758146d10ka.htm"/>
      <w:bookmarkStart w:id="1" w:name="ksd758146d10ka"/>
      <w:bookmarkEnd w:id="0"/>
      <w:bookmarkEnd w:id="1"/>
      <w:r>
        <w:rPr>
          <w:bdr w:val="single" w:sz="2" w:space="1" w:color="000000"/>
          <w:shd w:fill="FFFFFF" w:val="clear"/>
        </w:rPr>
        <w:t> </w:t>
      </w:r>
    </w:p>
    <w:p>
      <w:pPr>
        <w:pStyle w:val="TextBody"/>
        <w:bidi w:val="0"/>
        <w:spacing w:lineRule="atLeast" w:line="142" w:before="0" w:after="0"/>
        <w:ind w:left="0" w:right="0" w:hanging="0"/>
        <w:jc w:val="left"/>
        <w:rPr>
          <w:bdr w:val="single" w:sz="2" w:space="1" w:color="000000"/>
          <w:shd w:fill="FFFFFF" w:val="clear"/>
        </w:rPr>
      </w:pPr>
      <w:r>
        <w:rPr>
          <w:bdr w:val="single" w:sz="2" w:space="1" w:color="000000"/>
          <w:shd w:fill="FFFFFF" w:val="clear"/>
        </w:rPr>
        <w:t> </w:t>
      </w:r>
    </w:p>
    <w:p>
      <w:pPr>
        <w:pStyle w:val="TextBody"/>
        <w:bidi w:val="0"/>
        <w:spacing w:before="80" w:after="0"/>
        <w:ind w:left="0" w:right="0" w:hanging="0"/>
        <w:jc w:val="center"/>
        <w:rPr>
          <w:rFonts w:ascii="ARIAL" w:hAnsi="ARIAL"/>
          <w:b/>
          <w:sz w:val="28"/>
          <w:shd w:fill="FFFFFF" w:val="clear"/>
        </w:rPr>
      </w:pPr>
      <w:r>
        <w:rPr>
          <w:rFonts w:ascii="ARIAL" w:hAnsi="ARIAL"/>
          <w:b/>
          <w:sz w:val="28"/>
          <w:shd w:fill="FFFFFF" w:val="clear"/>
        </w:rPr>
        <w:t xml:space="preserve">UNITED STATES </w:t>
      </w:r>
    </w:p>
    <w:p>
      <w:pPr>
        <w:pStyle w:val="TextBody"/>
        <w:bidi w:val="0"/>
        <w:spacing w:before="0" w:after="0"/>
        <w:ind w:left="0" w:right="0" w:hanging="0"/>
        <w:jc w:val="center"/>
        <w:rPr>
          <w:rFonts w:ascii="ARIAL" w:hAnsi="ARIAL"/>
          <w:b/>
          <w:sz w:val="28"/>
          <w:shd w:fill="FFFFFF" w:val="clear"/>
        </w:rPr>
      </w:pPr>
      <w:r>
        <w:rPr>
          <w:rFonts w:ascii="ARIAL" w:hAnsi="ARIAL"/>
          <w:b/>
          <w:sz w:val="28"/>
          <w:shd w:fill="FFFFFF" w:val="clear"/>
        </w:rPr>
        <w:t xml:space="preserve">SECURITIES AND EXCHANGE COMMISSION </w:t>
      </w:r>
    </w:p>
    <w:p>
      <w:pPr>
        <w:pStyle w:val="TextBody"/>
        <w:bidi w:val="0"/>
        <w:spacing w:before="0" w:after="0"/>
        <w:ind w:left="0" w:right="0" w:hanging="0"/>
        <w:jc w:val="center"/>
        <w:rPr>
          <w:rFonts w:ascii="ARIAL" w:hAnsi="ARIAL"/>
          <w:b/>
          <w:sz w:val="28"/>
          <w:shd w:fill="FFFFFF" w:val="clear"/>
        </w:rPr>
      </w:pPr>
      <w:r>
        <w:rPr>
          <w:rFonts w:ascii="ARIAL" w:hAnsi="ARIAL"/>
          <w:b/>
          <w:sz w:val="28"/>
          <w:shd w:fill="FFFFFF" w:val="clear"/>
        </w:rPr>
        <w:t xml:space="preserve">Washington, D.C. 20549 </w:t>
      </w:r>
    </w:p>
    <w:p>
      <w:pPr>
        <w:pStyle w:val="TextBody"/>
        <w:bidi w:val="0"/>
        <w:spacing w:before="40" w:after="0"/>
        <w:ind w:left="0" w:right="0" w:hanging="0"/>
        <w:jc w:val="center"/>
        <w:rPr>
          <w:rFonts w:ascii="ARIAL" w:hAnsi="ARIAL"/>
          <w:b/>
          <w:sz w:val="36"/>
          <w:shd w:fill="FFFFFF" w:val="clear"/>
        </w:rPr>
      </w:pPr>
      <w:r>
        <w:rPr>
          <w:rFonts w:ascii="ARIAL" w:hAnsi="ARIAL"/>
          <w:b/>
          <w:sz w:val="36"/>
          <w:shd w:fill="FFFFFF" w:val="clear"/>
        </w:rPr>
        <w:t xml:space="preserve">FORM </w:t>
      </w:r>
    </w:p>
    <w:p>
      <w:pPr>
        <w:pStyle w:val="TextBody"/>
        <w:bidi w:val="0"/>
        <w:spacing w:before="40" w:after="0"/>
        <w:jc w:val="center"/>
        <w:rPr>
          <w:rFonts w:ascii="ARIAL" w:hAnsi="ARIAL"/>
          <w:b/>
          <w:spacing w:val="0"/>
          <w:sz w:val="36"/>
          <w:shd w:fill="FFFFFF" w:val="clear"/>
        </w:rPr>
      </w:pPr>
      <w:r>
        <w:rPr>
          <w:rFonts w:ascii="ARIAL" w:hAnsi="ARIAL"/>
          <w:b/>
          <w:spacing w:val="0"/>
          <w:sz w:val="36"/>
          <w:shd w:fill="FFFFFF" w:val="clear"/>
        </w:rPr>
        <w:t>10-K/A</w:t>
      </w:r>
    </w:p>
    <w:p>
      <w:pPr>
        <w:pStyle w:val="TextBody"/>
        <w:bidi w:val="0"/>
        <w:spacing w:before="0" w:after="0"/>
        <w:ind w:left="0" w:right="0" w:hanging="0"/>
        <w:jc w:val="center"/>
        <w:rPr>
          <w:rFonts w:ascii="ARIAL" w:hAnsi="ARIAL"/>
          <w:b/>
          <w:sz w:val="24"/>
          <w:shd w:fill="FFFFFF" w:val="clear"/>
        </w:rPr>
      </w:pPr>
      <w:r>
        <w:rPr>
          <w:rFonts w:ascii="ARIAL" w:hAnsi="ARIAL"/>
          <w:b/>
          <w:sz w:val="24"/>
          <w:shd w:fill="FFFFFF" w:val="clear"/>
        </w:rPr>
        <w:t xml:space="preserve">(Amendment No. 1) </w:t>
      </w:r>
    </w:p>
    <w:p>
      <w:pPr>
        <w:pStyle w:val="TextBody"/>
        <w:bidi w:val="0"/>
        <w:spacing w:before="0" w:after="0"/>
        <w:ind w:left="0" w:right="0" w:hanging="0"/>
        <w:jc w:val="left"/>
        <w:rPr>
          <w:shd w:fill="FFFFFF" w:val="clear"/>
        </w:rPr>
      </w:pPr>
      <w:r>
        <w:rPr>
          <w:shd w:fill="FFFFFF" w:val="clear"/>
        </w:rPr>
        <w:t> </w:t>
      </w:r>
    </w:p>
    <w:tbl>
      <w:tblPr>
        <w:tblW w:w="9265" w:type="dxa"/>
        <w:jc w:val="left"/>
        <w:tblInd w:w="0" w:type="dxa"/>
        <w:tblLayout w:type="fixed"/>
        <w:tblCellMar>
          <w:top w:w="0" w:type="dxa"/>
          <w:left w:w="0" w:type="dxa"/>
          <w:bottom w:w="0" w:type="dxa"/>
          <w:right w:w="0" w:type="dxa"/>
        </w:tblCellMar>
      </w:tblPr>
      <w:tblGrid>
        <w:gridCol w:w="245"/>
        <w:gridCol w:w="9020"/>
      </w:tblGrid>
      <w:tr>
        <w:trPr/>
        <w:tc>
          <w:tcPr>
            <w:tcW w:w="245" w:type="dxa"/>
            <w:tcBorders/>
            <w:vAlign w:val="center"/>
          </w:tcPr>
          <w:p>
            <w:pPr>
              <w:pStyle w:val="TableContents"/>
              <w:bidi w:val="0"/>
              <w:spacing w:before="0" w:after="0"/>
              <w:jc w:val="left"/>
              <w:rPr>
                <w:spacing w:val="0"/>
              </w:rPr>
            </w:pPr>
            <w:r>
              <w:rPr>
                <w:spacing w:val="0"/>
              </w:rPr>
              <w:t>☑</w:t>
            </w:r>
          </w:p>
        </w:tc>
        <w:tc>
          <w:tcPr>
            <w:tcW w:w="9020" w:type="dxa"/>
            <w:tcBorders/>
            <w:vAlign w:val="center"/>
          </w:tcPr>
          <w:p>
            <w:pPr>
              <w:pStyle w:val="TableContents"/>
              <w:bidi w:val="0"/>
              <w:spacing w:before="0" w:after="0"/>
              <w:jc w:val="both"/>
              <w:rPr>
                <w:rFonts w:ascii="ARIAL" w:hAnsi="ARIAL"/>
                <w:b/>
                <w:sz w:val="22"/>
              </w:rPr>
            </w:pPr>
            <w:r>
              <w:rPr>
                <w:rFonts w:ascii="ARIAL" w:hAnsi="ARIAL"/>
                <w:b/>
                <w:sz w:val="22"/>
              </w:rPr>
              <w:t xml:space="preserve">Annual Report pursuant to Section 13 or 15(d) of the Securities Exchange Act of 1934 </w:t>
            </w:r>
          </w:p>
        </w:tc>
      </w:tr>
    </w:tbl>
    <w:tbl>
      <w:tblPr>
        <w:tblW w:w="4900" w:type="dxa"/>
        <w:jc w:val="left"/>
        <w:tblInd w:w="0" w:type="dxa"/>
        <w:tblLayout w:type="fixed"/>
        <w:tblCellMar>
          <w:top w:w="0" w:type="dxa"/>
          <w:left w:w="0" w:type="dxa"/>
          <w:bottom w:w="0" w:type="dxa"/>
          <w:right w:w="0" w:type="dxa"/>
        </w:tblCellMar>
      </w:tblPr>
      <w:tblGrid>
        <w:gridCol w:w="80"/>
        <w:gridCol w:w="4820"/>
      </w:tblGrid>
      <w:tr>
        <w:trPr/>
        <w:tc>
          <w:tcPr>
            <w:tcW w:w="80" w:type="dxa"/>
            <w:tcBorders/>
            <w:vAlign w:val="center"/>
          </w:tcPr>
          <w:p>
            <w:pPr>
              <w:pStyle w:val="TableContents"/>
              <w:bidi w:val="0"/>
              <w:spacing w:before="0" w:after="0"/>
              <w:jc w:val="left"/>
              <w:rPr>
                <w:spacing w:val="0"/>
              </w:rPr>
            </w:pPr>
            <w:r>
              <w:rPr>
                <w:spacing w:val="0"/>
              </w:rPr>
              <w:t> </w:t>
            </w:r>
          </w:p>
        </w:tc>
        <w:tc>
          <w:tcPr>
            <w:tcW w:w="4820" w:type="dxa"/>
            <w:tcBorders/>
            <w:vAlign w:val="center"/>
          </w:tcPr>
          <w:p>
            <w:pPr>
              <w:pStyle w:val="TableContents"/>
              <w:bidi w:val="0"/>
              <w:spacing w:before="0" w:after="0"/>
              <w:jc w:val="both"/>
              <w:rPr>
                <w:rFonts w:ascii="ARIAL" w:hAnsi="ARIAL"/>
                <w:b/>
                <w:sz w:val="22"/>
              </w:rPr>
            </w:pPr>
            <w:r>
              <w:rPr>
                <w:rFonts w:ascii="ARIAL" w:hAnsi="ARIAL"/>
                <w:b/>
                <w:sz w:val="22"/>
              </w:rPr>
              <w:t xml:space="preserve">For the Fiscal Year Ended December 31, 2023 </w:t>
            </w:r>
          </w:p>
        </w:tc>
      </w:tr>
    </w:tbl>
    <w:p>
      <w:pPr>
        <w:pStyle w:val="TextBody"/>
        <w:bidi w:val="0"/>
        <w:spacing w:before="40" w:after="0"/>
        <w:ind w:left="0" w:right="0" w:hanging="0"/>
        <w:jc w:val="center"/>
        <w:rPr>
          <w:rFonts w:ascii="ARIAL" w:hAnsi="ARIAL"/>
          <w:b/>
          <w:sz w:val="20"/>
          <w:shd w:fill="FFFFFF" w:val="clear"/>
        </w:rPr>
      </w:pPr>
      <w:r>
        <w:rPr>
          <w:rFonts w:ascii="ARIAL" w:hAnsi="ARIAL"/>
          <w:b/>
          <w:sz w:val="20"/>
          <w:shd w:fill="FFFFFF" w:val="clear"/>
        </w:rPr>
        <w:t xml:space="preserve">OR </w:t>
      </w:r>
    </w:p>
    <w:p>
      <w:pPr>
        <w:pStyle w:val="TextBody"/>
        <w:bidi w:val="0"/>
        <w:spacing w:before="0" w:after="0"/>
        <w:ind w:left="0" w:right="0" w:hanging="0"/>
        <w:jc w:val="left"/>
        <w:rPr>
          <w:shd w:fill="FFFFFF" w:val="clear"/>
        </w:rPr>
      </w:pPr>
      <w:r>
        <w:rPr>
          <w:shd w:fill="FFFFFF" w:val="clear"/>
        </w:rPr>
        <w:t> </w:t>
      </w:r>
    </w:p>
    <w:tbl>
      <w:tblPr>
        <w:tblW w:w="9580" w:type="dxa"/>
        <w:jc w:val="left"/>
        <w:tblInd w:w="0" w:type="dxa"/>
        <w:tblLayout w:type="fixed"/>
        <w:tblCellMar>
          <w:top w:w="0" w:type="dxa"/>
          <w:left w:w="0" w:type="dxa"/>
          <w:bottom w:w="0" w:type="dxa"/>
          <w:right w:w="0" w:type="dxa"/>
        </w:tblCellMar>
      </w:tblPr>
      <w:tblGrid>
        <w:gridCol w:w="245"/>
        <w:gridCol w:w="9335"/>
      </w:tblGrid>
      <w:tr>
        <w:trPr/>
        <w:tc>
          <w:tcPr>
            <w:tcW w:w="245" w:type="dxa"/>
            <w:tcBorders/>
            <w:vAlign w:val="center"/>
          </w:tcPr>
          <w:p>
            <w:pPr>
              <w:pStyle w:val="TableContents"/>
              <w:bidi w:val="0"/>
              <w:spacing w:before="0" w:after="0"/>
              <w:jc w:val="left"/>
              <w:rPr>
                <w:spacing w:val="0"/>
              </w:rPr>
            </w:pPr>
            <w:r>
              <w:rPr>
                <w:spacing w:val="0"/>
              </w:rPr>
              <w:t>☐</w:t>
            </w:r>
          </w:p>
        </w:tc>
        <w:tc>
          <w:tcPr>
            <w:tcW w:w="9335" w:type="dxa"/>
            <w:tcBorders/>
            <w:vAlign w:val="center"/>
          </w:tcPr>
          <w:p>
            <w:pPr>
              <w:pStyle w:val="TableContents"/>
              <w:bidi w:val="0"/>
              <w:spacing w:before="0" w:after="0"/>
              <w:jc w:val="both"/>
              <w:rPr>
                <w:rFonts w:ascii="ARIAL" w:hAnsi="ARIAL"/>
                <w:b/>
                <w:sz w:val="22"/>
              </w:rPr>
            </w:pPr>
            <w:r>
              <w:rPr>
                <w:rFonts w:ascii="ARIAL" w:hAnsi="ARIAL"/>
                <w:b/>
                <w:sz w:val="22"/>
              </w:rPr>
              <w:t xml:space="preserve">Transition Report pursuant to Section 13 or 15(d) of the Securities Exchange Act of 1934 </w:t>
            </w:r>
          </w:p>
        </w:tc>
      </w:tr>
    </w:tbl>
    <w:tbl>
      <w:tblPr>
        <w:tblW w:w="5470" w:type="dxa"/>
        <w:jc w:val="left"/>
        <w:tblInd w:w="0" w:type="dxa"/>
        <w:tblLayout w:type="fixed"/>
        <w:tblCellMar>
          <w:top w:w="0" w:type="dxa"/>
          <w:left w:w="0" w:type="dxa"/>
          <w:bottom w:w="0" w:type="dxa"/>
          <w:right w:w="0" w:type="dxa"/>
        </w:tblCellMar>
      </w:tblPr>
      <w:tblGrid>
        <w:gridCol w:w="80"/>
        <w:gridCol w:w="5390"/>
      </w:tblGrid>
      <w:tr>
        <w:trPr/>
        <w:tc>
          <w:tcPr>
            <w:tcW w:w="80" w:type="dxa"/>
            <w:tcBorders/>
            <w:vAlign w:val="center"/>
          </w:tcPr>
          <w:p>
            <w:pPr>
              <w:pStyle w:val="TableContents"/>
              <w:bidi w:val="0"/>
              <w:spacing w:before="0" w:after="0"/>
              <w:jc w:val="left"/>
              <w:rPr>
                <w:spacing w:val="0"/>
              </w:rPr>
            </w:pPr>
            <w:r>
              <w:rPr>
                <w:spacing w:val="0"/>
              </w:rPr>
              <w:t> </w:t>
            </w:r>
          </w:p>
        </w:tc>
        <w:tc>
          <w:tcPr>
            <w:tcW w:w="5390" w:type="dxa"/>
            <w:tcBorders/>
            <w:vAlign w:val="center"/>
          </w:tcPr>
          <w:p>
            <w:pPr>
              <w:pStyle w:val="TableContents"/>
              <w:bidi w:val="0"/>
              <w:spacing w:before="0" w:after="0"/>
              <w:jc w:val="both"/>
              <w:rPr>
                <w:rFonts w:ascii="ARIAL" w:hAnsi="ARIAL"/>
                <w:b/>
                <w:sz w:val="22"/>
              </w:rPr>
            </w:pPr>
            <w:r>
              <w:rPr>
                <w:rFonts w:ascii="ARIAL" w:hAnsi="ARIAL"/>
                <w:b/>
                <w:sz w:val="22"/>
              </w:rPr>
              <w:t xml:space="preserve">For the transition period from      to      </w:t>
            </w:r>
          </w:p>
        </w:tc>
      </w:tr>
    </w:tbl>
    <w:p>
      <w:pPr>
        <w:pStyle w:val="TextBody"/>
        <w:bidi w:val="0"/>
        <w:spacing w:before="40" w:after="0"/>
        <w:ind w:left="0" w:right="0" w:hanging="0"/>
        <w:jc w:val="center"/>
        <w:rPr>
          <w:rFonts w:ascii="ARIAL" w:hAnsi="ARIAL"/>
          <w:b/>
          <w:sz w:val="20"/>
          <w:shd w:fill="FFFFFF" w:val="clear"/>
        </w:rPr>
      </w:pPr>
      <w:r>
        <w:rPr>
          <w:rFonts w:ascii="ARIAL" w:hAnsi="ARIAL"/>
          <w:b/>
          <w:sz w:val="20"/>
          <w:shd w:fill="FFFFFF" w:val="clear"/>
        </w:rPr>
        <w:t xml:space="preserve">Commission file number </w:t>
      </w:r>
    </w:p>
    <w:p>
      <w:pPr>
        <w:pStyle w:val="TextBody"/>
        <w:bidi w:val="0"/>
        <w:spacing w:before="40" w:after="0"/>
        <w:jc w:val="center"/>
        <w:rPr>
          <w:rFonts w:ascii="ARIAL" w:hAnsi="ARIAL"/>
          <w:b/>
          <w:spacing w:val="0"/>
          <w:sz w:val="20"/>
          <w:shd w:fill="FFFFFF" w:val="clear"/>
        </w:rPr>
      </w:pPr>
      <w:r>
        <w:rPr>
          <w:rFonts w:ascii="ARIAL" w:hAnsi="ARIAL"/>
          <w:b/>
          <w:spacing w:val="0"/>
          <w:sz w:val="20"/>
          <w:shd w:fill="FFFFFF" w:val="clear"/>
        </w:rPr>
        <w:t>001-39695</w:t>
      </w:r>
    </w:p>
    <w:p>
      <w:pPr>
        <w:pStyle w:val="TextBody"/>
        <w:bidi w:val="0"/>
        <w:spacing w:before="40" w:after="0"/>
        <w:ind w:left="0" w:right="0" w:hanging="0"/>
        <w:jc w:val="center"/>
        <w:rPr>
          <w:rFonts w:ascii="ARIAL" w:hAnsi="ARIAL"/>
          <w:b/>
          <w:sz w:val="48"/>
          <w:shd w:fill="FFFFFF" w:val="clear"/>
        </w:rPr>
      </w:pPr>
      <w:r>
        <w:rPr>
          <w:rFonts w:ascii="ARIAL" w:hAnsi="ARIAL"/>
          <w:b/>
          <w:sz w:val="48"/>
          <w:shd w:fill="FFFFFF" w:val="clear"/>
        </w:rPr>
        <w:t xml:space="preserve">VIATRIS INC. </w:t>
      </w:r>
    </w:p>
    <w:p>
      <w:pPr>
        <w:pStyle w:val="TextBody"/>
        <w:bidi w:val="0"/>
        <w:spacing w:before="40" w:after="0"/>
        <w:ind w:left="0" w:right="0" w:hanging="0"/>
        <w:jc w:val="center"/>
        <w:rPr>
          <w:rFonts w:ascii="ARIAL" w:hAnsi="ARIAL"/>
          <w:i/>
          <w:caps w:val="false"/>
          <w:smallCaps w:val="false"/>
          <w:spacing w:val="0"/>
          <w:sz w:val="18"/>
          <w:shd w:fill="FFFFFF" w:val="clear"/>
        </w:rPr>
      </w:pPr>
      <w:r>
        <w:rPr>
          <w:rFonts w:ascii="ARIAL" w:hAnsi="ARIAL"/>
          <w:i/>
          <w:caps w:val="false"/>
          <w:smallCaps w:val="false"/>
          <w:spacing w:val="0"/>
          <w:sz w:val="18"/>
          <w:shd w:fill="FFFFFF" w:val="clear"/>
        </w:rPr>
        <w:t xml:space="preserve">(Exact name of registrant as specified in its charter) </w:t>
      </w:r>
    </w:p>
    <w:p>
      <w:pPr>
        <w:pStyle w:val="TextBody"/>
        <w:bidi w:val="0"/>
        <w:spacing w:before="0" w:after="0"/>
        <w:ind w:left="0" w:right="0" w:hanging="0"/>
        <w:jc w:val="left"/>
        <w:rPr>
          <w:shd w:fill="FFFFFF" w:val="clear"/>
        </w:rPr>
      </w:pPr>
      <w:r>
        <w:rPr>
          <w:shd w:fill="FFFFFF" w:val="clear"/>
        </w:rPr>
        <w:t> </w:t>
      </w:r>
    </w:p>
    <w:tbl>
      <w:tblPr>
        <w:tblW w:w="9205" w:type="dxa"/>
        <w:jc w:val="left"/>
        <w:tblInd w:w="0" w:type="dxa"/>
        <w:tblLayout w:type="fixed"/>
        <w:tblCellMar>
          <w:top w:w="0" w:type="dxa"/>
          <w:left w:w="0" w:type="dxa"/>
          <w:bottom w:w="0" w:type="dxa"/>
          <w:right w:w="0" w:type="dxa"/>
        </w:tblCellMar>
      </w:tblPr>
      <w:tblGrid>
        <w:gridCol w:w="5735"/>
        <w:gridCol w:w="60"/>
        <w:gridCol w:w="3410"/>
      </w:tblGrid>
      <w:tr>
        <w:trPr/>
        <w:tc>
          <w:tcPr>
            <w:tcW w:w="5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r>
      <w:tr>
        <w:trPr/>
        <w:tc>
          <w:tcPr>
            <w:tcW w:w="573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jc w:val="center"/>
              <w:rPr>
                <w:b/>
                <w:spacing w:val="0"/>
              </w:rPr>
            </w:pPr>
            <w:r>
              <w:rPr>
                <w:b/>
                <w:spacing w:val="0"/>
              </w:rPr>
              <w:t>83-4364296</w:t>
            </w:r>
          </w:p>
        </w:tc>
      </w:tr>
      <w:tr>
        <w:trPr/>
        <w:tc>
          <w:tcPr>
            <w:tcW w:w="5735" w:type="dxa"/>
            <w:tcBorders/>
            <w:vAlign w:val="center"/>
          </w:tcPr>
          <w:p>
            <w:pPr>
              <w:pStyle w:val="TableContents"/>
              <w:bidi w:val="0"/>
              <w:spacing w:before="0" w:after="0"/>
              <w:jc w:val="center"/>
              <w:rPr>
                <w:i/>
                <w:caps w:val="false"/>
                <w:smallCaps w:val="false"/>
                <w:spacing w:val="0"/>
              </w:rPr>
            </w:pPr>
            <w:r>
              <w:rPr>
                <w:i/>
                <w:caps w:val="false"/>
                <w:smallCaps w:val="false"/>
                <w:spacing w:val="0"/>
              </w:rPr>
              <w:t>(State or other jurisdiction of incorporation or organization)</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jc w:val="center"/>
              <w:rPr>
                <w:i/>
                <w:caps w:val="false"/>
                <w:smallCaps w:val="false"/>
                <w:spacing w:val="0"/>
              </w:rPr>
            </w:pPr>
            <w:r>
              <w:rPr>
                <w:i/>
                <w:caps w:val="false"/>
                <w:smallCaps w:val="false"/>
                <w:spacing w:val="0"/>
              </w:rPr>
              <w:t>(I.R.S. Employer Identification No.)</w:t>
            </w:r>
          </w:p>
        </w:tc>
      </w:tr>
    </w:tbl>
    <w:p>
      <w:pPr>
        <w:pStyle w:val="TextBody"/>
        <w:bidi w:val="0"/>
        <w:spacing w:before="0" w:after="0"/>
        <w:ind w:left="0" w:right="0" w:hanging="0"/>
        <w:jc w:val="center"/>
        <w:rPr>
          <w:rFonts w:ascii="ARIAL" w:hAnsi="ARIAL"/>
          <w:b/>
          <w:sz w:val="18"/>
          <w:shd w:fill="FFFFFF" w:val="clear"/>
        </w:rPr>
      </w:pPr>
      <w:r>
        <w:rPr>
          <w:rFonts w:ascii="ARIAL" w:hAnsi="ARIAL"/>
          <w:b/>
          <w:sz w:val="18"/>
          <w:shd w:fill="FFFFFF" w:val="clear"/>
        </w:rPr>
        <w:t xml:space="preserve">1000 Mylan Boulevard, Canonsburg, Pennsylvania, 15317 </w:t>
      </w:r>
    </w:p>
    <w:p>
      <w:pPr>
        <w:pStyle w:val="TextBody"/>
        <w:bidi w:val="0"/>
        <w:spacing w:before="0" w:after="0"/>
        <w:ind w:left="0" w:right="0" w:hanging="0"/>
        <w:jc w:val="center"/>
        <w:rPr>
          <w:rFonts w:ascii="ARIAL" w:hAnsi="ARIAL"/>
          <w:i/>
          <w:caps w:val="false"/>
          <w:smallCaps w:val="false"/>
          <w:spacing w:val="0"/>
          <w:sz w:val="16"/>
          <w:shd w:fill="FFFFFF" w:val="clear"/>
        </w:rPr>
      </w:pPr>
      <w:r>
        <w:rPr>
          <w:rFonts w:ascii="ARIAL" w:hAnsi="ARIAL"/>
          <w:i/>
          <w:caps w:val="false"/>
          <w:smallCaps w:val="false"/>
          <w:spacing w:val="0"/>
          <w:sz w:val="16"/>
          <w:shd w:fill="FFFFFF" w:val="clear"/>
        </w:rPr>
        <w:t xml:space="preserve">(Address of principal executive offices) (Zip Code) </w:t>
      </w:r>
    </w:p>
    <w:p>
      <w:pPr>
        <w:pStyle w:val="TextBody"/>
        <w:bidi w:val="0"/>
        <w:spacing w:before="0" w:after="0"/>
        <w:ind w:left="0" w:right="0" w:hanging="0"/>
        <w:jc w:val="center"/>
        <w:rPr>
          <w:rFonts w:ascii="ARIAL" w:hAnsi="ARIAL"/>
          <w:b/>
          <w:sz w:val="20"/>
          <w:shd w:fill="FFFFFF" w:val="clear"/>
        </w:rPr>
      </w:pPr>
      <w:r>
        <w:rPr>
          <w:rFonts w:ascii="ARIAL" w:hAnsi="ARIAL"/>
          <w:b/>
          <w:sz w:val="20"/>
          <w:shd w:fill="FFFFFF" w:val="clear"/>
        </w:rPr>
        <w:t xml:space="preserve">(724) </w:t>
      </w:r>
    </w:p>
    <w:p>
      <w:pPr>
        <w:pStyle w:val="TextBody"/>
        <w:bidi w:val="0"/>
        <w:spacing w:before="0" w:after="0"/>
        <w:jc w:val="center"/>
        <w:rPr>
          <w:rFonts w:ascii="ARIAL" w:hAnsi="ARIAL"/>
          <w:b/>
          <w:spacing w:val="0"/>
          <w:sz w:val="20"/>
          <w:shd w:fill="FFFFFF" w:val="clear"/>
        </w:rPr>
      </w:pPr>
      <w:r>
        <w:rPr>
          <w:rFonts w:ascii="ARIAL" w:hAnsi="ARIAL"/>
          <w:b/>
          <w:spacing w:val="0"/>
          <w:sz w:val="20"/>
          <w:shd w:fill="FFFFFF" w:val="clear"/>
        </w:rPr>
        <w:t>514-1800</w:t>
      </w:r>
    </w:p>
    <w:p>
      <w:pPr>
        <w:pStyle w:val="TextBody"/>
        <w:bidi w:val="0"/>
        <w:spacing w:before="0" w:after="0"/>
        <w:ind w:left="0" w:right="0" w:hanging="0"/>
        <w:jc w:val="center"/>
        <w:rPr>
          <w:rFonts w:ascii="ARIAL" w:hAnsi="ARIAL"/>
          <w:i/>
          <w:caps w:val="false"/>
          <w:smallCaps w:val="false"/>
          <w:spacing w:val="0"/>
          <w:sz w:val="18"/>
          <w:shd w:fill="FFFFFF" w:val="clear"/>
        </w:rPr>
      </w:pPr>
      <w:r>
        <w:rPr>
          <w:rFonts w:ascii="ARIAL" w:hAnsi="ARIAL"/>
          <w:i/>
          <w:caps w:val="false"/>
          <w:smallCaps w:val="false"/>
          <w:spacing w:val="0"/>
          <w:sz w:val="18"/>
          <w:shd w:fill="FFFFFF" w:val="clear"/>
        </w:rPr>
        <w:t xml:space="preserve">(Registrant’s telephone number, including area code) </w:t>
      </w:r>
    </w:p>
    <w:p>
      <w:pPr>
        <w:pStyle w:val="TextBody"/>
        <w:bidi w:val="0"/>
        <w:spacing w:before="40" w:after="0"/>
        <w:ind w:left="0" w:right="0" w:hanging="0"/>
        <w:jc w:val="left"/>
        <w:rPr>
          <w:rFonts w:ascii="ARIAL" w:hAnsi="ARIAL"/>
          <w:b/>
          <w:sz w:val="20"/>
          <w:shd w:fill="FFFFFF" w:val="clear"/>
        </w:rPr>
      </w:pPr>
      <w:r>
        <w:rPr>
          <w:rFonts w:ascii="ARIAL" w:hAnsi="ARIAL"/>
          <w:b/>
          <w:sz w:val="20"/>
          <w:shd w:fill="FFFFFF" w:val="clear"/>
        </w:rPr>
        <w:t xml:space="preserve">Securities registered pursuant to Section 12(b) of the Act: </w:t>
      </w:r>
    </w:p>
    <w:p>
      <w:pPr>
        <w:pStyle w:val="TextBody"/>
        <w:bidi w:val="0"/>
        <w:spacing w:before="0" w:after="0"/>
        <w:ind w:left="0" w:right="0" w:hanging="0"/>
        <w:jc w:val="left"/>
        <w:rPr>
          <w:shd w:fill="FFFFFF" w:val="clear"/>
        </w:rPr>
      </w:pPr>
      <w:r>
        <w:rPr>
          <w:shd w:fill="FFFFFF" w:val="clear"/>
        </w:rPr>
        <w:t> </w:t>
      </w:r>
    </w:p>
    <w:tbl>
      <w:tblPr>
        <w:tblW w:w="7650" w:type="dxa"/>
        <w:jc w:val="left"/>
        <w:tblInd w:w="0" w:type="dxa"/>
        <w:tblLayout w:type="fixed"/>
        <w:tblCellMar>
          <w:top w:w="0" w:type="dxa"/>
          <w:left w:w="0" w:type="dxa"/>
          <w:bottom w:w="0" w:type="dxa"/>
          <w:right w:w="0" w:type="dxa"/>
        </w:tblCellMar>
      </w:tblPr>
      <w:tblGrid>
        <w:gridCol w:w="4025"/>
        <w:gridCol w:w="60"/>
        <w:gridCol w:w="965"/>
        <w:gridCol w:w="60"/>
        <w:gridCol w:w="254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r>
      <w:tr>
        <w:trPr/>
        <w:tc>
          <w:tcPr>
            <w:tcW w:w="4025" w:type="dxa"/>
            <w:tcBorders/>
            <w:vAlign w:val="center"/>
          </w:tcPr>
          <w:p>
            <w:pPr>
              <w:pStyle w:val="TableContents"/>
              <w:bidi w:val="0"/>
              <w:spacing w:before="0" w:after="0"/>
              <w:jc w:val="center"/>
              <w:rPr>
                <w:b/>
                <w:spacing w:val="0"/>
              </w:rPr>
            </w:pPr>
            <w:r>
              <w:rPr>
                <w:b/>
                <w:spacing w:val="0"/>
              </w:rPr>
              <w:t>Title of Each Class:</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0"/>
              <w:jc w:val="center"/>
              <w:rPr>
                <w:rFonts w:ascii="ARIAL" w:hAnsi="ARIAL"/>
                <w:b/>
                <w:sz w:val="20"/>
              </w:rPr>
            </w:pPr>
            <w:r>
              <w:rPr>
                <w:rFonts w:ascii="ARIAL" w:hAnsi="ARIAL"/>
                <w:b/>
                <w:sz w:val="20"/>
              </w:rPr>
              <w:t>Trading</w:t>
            </w:r>
          </w:p>
          <w:p>
            <w:pPr>
              <w:pStyle w:val="TableContents"/>
              <w:bidi w:val="0"/>
              <w:spacing w:before="0" w:after="20"/>
              <w:jc w:val="center"/>
              <w:rPr>
                <w:rFonts w:ascii="ARIAL" w:hAnsi="ARIAL"/>
                <w:b/>
                <w:sz w:val="20"/>
              </w:rPr>
            </w:pPr>
            <w:r>
              <w:rPr>
                <w:rFonts w:ascii="ARIAL" w:hAnsi="ARIAL"/>
                <w:b/>
                <w:sz w:val="20"/>
              </w:rPr>
              <w:t>Symbol(s)</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0"/>
              <w:jc w:val="center"/>
              <w:rPr>
                <w:b/>
                <w:spacing w:val="0"/>
              </w:rPr>
            </w:pPr>
            <w:r>
              <w:rPr>
                <w:b/>
                <w:spacing w:val="0"/>
              </w:rPr>
              <w:t>Name of Each Exchange</w:t>
              <w:b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VTRS</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0"/>
              <w:jc w:val="center"/>
              <w:rPr>
                <w:rFonts w:ascii="ARIAL" w:hAnsi="ARIAL"/>
                <w:sz w:val="20"/>
              </w:rPr>
            </w:pPr>
            <w:r>
              <w:rPr>
                <w:rFonts w:ascii="ARIAL" w:hAnsi="ARIAL"/>
                <w:sz w:val="20"/>
              </w:rPr>
              <w:t>The NASDAQ Stock</w:t>
              <w:br/>
              <w:t>Market</w:t>
            </w:r>
          </w:p>
        </w:tc>
      </w:tr>
    </w:tbl>
    <w:p>
      <w:pPr>
        <w:pStyle w:val="TextBody"/>
        <w:bidi w:val="0"/>
        <w:spacing w:before="40" w:after="0"/>
        <w:ind w:left="0" w:right="0" w:hanging="0"/>
        <w:jc w:val="left"/>
        <w:rPr>
          <w:rFonts w:ascii="ARIAL" w:hAnsi="ARIAL"/>
          <w:b/>
          <w:sz w:val="20"/>
          <w:shd w:fill="FFFFFF" w:val="clear"/>
        </w:rPr>
      </w:pPr>
      <w:r>
        <w:rPr>
          <w:rFonts w:ascii="ARIAL" w:hAnsi="ARIAL"/>
          <w:b/>
          <w:sz w:val="20"/>
          <w:shd w:fill="FFFFFF" w:val="clear"/>
        </w:rPr>
        <w:t xml:space="preserve">Securities registered pursuant to Section 12(g) of the Act: None </w:t>
      </w:r>
    </w:p>
    <w:p>
      <w:pPr>
        <w:pStyle w:val="TextBody"/>
        <w:bidi w:val="0"/>
        <w:spacing w:before="40" w:after="0"/>
        <w:ind w:left="0" w:right="0" w:hanging="0"/>
        <w:jc w:val="both"/>
        <w:rPr>
          <w:rFonts w:ascii="arial" w:hAnsi="arial"/>
          <w:sz w:val="19"/>
          <w:shd w:fill="FFFFFF" w:val="clear"/>
        </w:rPr>
      </w:pPr>
      <w:r>
        <w:rPr>
          <w:rFonts w:ascii="arial" w:hAnsi="arial"/>
          <w:sz w:val="19"/>
          <w:shd w:fill="FFFFFF" w:val="clear"/>
        </w:rPr>
        <w:t>Indicate by check mark if the registrant is a well-known seasoned issuer, as defined in Rule 405 of the Securities Act. Yes </w:t>
      </w:r>
    </w:p>
    <w:p>
      <w:pPr>
        <w:pStyle w:val="TextBody"/>
        <w:bidi w:val="0"/>
        <w:spacing w:before="40" w:after="0"/>
        <w:jc w:val="both"/>
        <w:rPr>
          <w:spacing w:val="0"/>
          <w:shd w:fill="FFFFFF" w:val="clear"/>
        </w:rPr>
      </w:pPr>
      <w:r>
        <w:rPr>
          <w:spacing w:val="0"/>
          <w:shd w:fill="FFFFFF" w:val="clear"/>
        </w:rPr>
        <w:t>☑</w:t>
      </w:r>
    </w:p>
    <w:p>
      <w:pPr>
        <w:pStyle w:val="TextBody"/>
        <w:bidi w:val="0"/>
        <w:spacing w:before="40" w:after="0"/>
        <w:jc w:val="both"/>
        <w:rPr>
          <w:shd w:fill="FFFFFF" w:val="clear"/>
        </w:rPr>
      </w:pPr>
      <w:r>
        <w:rPr>
          <w:shd w:fill="FFFFFF" w:val="clear"/>
        </w:rPr>
        <w:t> </w:t>
      </w:r>
      <w:r>
        <w:rPr>
          <w:rFonts w:ascii="arial" w:hAnsi="arial"/>
          <w:sz w:val="19"/>
          <w:shd w:fill="FFFFFF" w:val="clear"/>
        </w:rPr>
        <w:t>No </w:t>
      </w:r>
    </w:p>
    <w:p>
      <w:pPr>
        <w:pStyle w:val="TextBody"/>
        <w:bidi w:val="0"/>
        <w:spacing w:before="40" w:after="0"/>
        <w:jc w:val="both"/>
        <w:rPr>
          <w:spacing w:val="0"/>
          <w:shd w:fill="FFFFFF" w:val="clear"/>
        </w:rPr>
      </w:pPr>
      <w:r>
        <w:rPr>
          <w:spacing w:val="0"/>
          <w:shd w:fill="FFFFFF" w:val="clear"/>
        </w:rPr>
        <w:t>☐</w:t>
      </w:r>
    </w:p>
    <w:p>
      <w:pPr>
        <w:pStyle w:val="TextBody"/>
        <w:bidi w:val="0"/>
        <w:spacing w:before="40" w:after="0"/>
        <w:ind w:left="0" w:right="0" w:hanging="0"/>
        <w:jc w:val="both"/>
        <w:rPr>
          <w:rFonts w:ascii="arial" w:hAnsi="arial"/>
          <w:sz w:val="19"/>
          <w:shd w:fill="FFFFFF" w:val="clear"/>
        </w:rPr>
      </w:pPr>
      <w:r>
        <w:rPr>
          <w:rFonts w:ascii="arial" w:hAnsi="arial"/>
          <w:sz w:val="19"/>
          <w:shd w:fill="FFFFFF" w:val="clear"/>
        </w:rPr>
        <w:t>Indicate by check mark if the registrant is not required to file reports pursuant to Section 13 or Section 15(d) of the Act. Yes </w:t>
      </w:r>
    </w:p>
    <w:p>
      <w:pPr>
        <w:pStyle w:val="TextBody"/>
        <w:bidi w:val="0"/>
        <w:spacing w:before="40" w:after="0"/>
        <w:jc w:val="both"/>
        <w:rPr>
          <w:spacing w:val="0"/>
          <w:shd w:fill="FFFFFF" w:val="clear"/>
        </w:rPr>
      </w:pPr>
      <w:r>
        <w:rPr>
          <w:spacing w:val="0"/>
          <w:shd w:fill="FFFFFF" w:val="clear"/>
        </w:rPr>
        <w:t>☐</w:t>
      </w:r>
    </w:p>
    <w:p>
      <w:pPr>
        <w:pStyle w:val="TextBody"/>
        <w:bidi w:val="0"/>
        <w:spacing w:before="40" w:after="0"/>
        <w:jc w:val="both"/>
        <w:rPr>
          <w:shd w:fill="FFFFFF" w:val="clear"/>
        </w:rPr>
      </w:pPr>
      <w:r>
        <w:rPr>
          <w:shd w:fill="FFFFFF" w:val="clear"/>
        </w:rPr>
        <w:t> </w:t>
      </w:r>
      <w:r>
        <w:rPr>
          <w:rFonts w:ascii="arial" w:hAnsi="arial"/>
          <w:sz w:val="19"/>
          <w:shd w:fill="FFFFFF" w:val="clear"/>
        </w:rPr>
        <w:t>No </w:t>
      </w:r>
    </w:p>
    <w:p>
      <w:pPr>
        <w:pStyle w:val="TextBody"/>
        <w:bidi w:val="0"/>
        <w:spacing w:before="40" w:after="0"/>
        <w:jc w:val="both"/>
        <w:rPr>
          <w:spacing w:val="0"/>
          <w:shd w:fill="FFFFFF" w:val="clear"/>
        </w:rPr>
      </w:pPr>
      <w:r>
        <w:rPr>
          <w:spacing w:val="0"/>
          <w:shd w:fill="FFFFFF" w:val="clear"/>
        </w:rPr>
        <w:t>☑</w:t>
      </w:r>
    </w:p>
    <w:p>
      <w:pPr>
        <w:pStyle w:val="TextBody"/>
        <w:bidi w:val="0"/>
        <w:spacing w:before="40" w:after="0"/>
        <w:ind w:left="0" w:right="0" w:hanging="0"/>
        <w:jc w:val="both"/>
        <w:rPr>
          <w:rFonts w:ascii="arial" w:hAnsi="arial"/>
          <w:sz w:val="19"/>
          <w:shd w:fill="FFFFFF" w:val="clear"/>
        </w:rPr>
      </w:pPr>
      <w:r>
        <w:rPr>
          <w:rFonts w:ascii="arial" w:hAnsi="arial"/>
          <w:sz w:val="19"/>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p>
    <w:p>
      <w:pPr>
        <w:pStyle w:val="TextBody"/>
        <w:bidi w:val="0"/>
        <w:spacing w:before="40" w:after="0"/>
        <w:jc w:val="both"/>
        <w:rPr>
          <w:spacing w:val="0"/>
          <w:shd w:fill="FFFFFF" w:val="clear"/>
        </w:rPr>
      </w:pPr>
      <w:r>
        <w:rPr>
          <w:spacing w:val="0"/>
          <w:shd w:fill="FFFFFF" w:val="clear"/>
        </w:rPr>
        <w:t>☑</w:t>
      </w:r>
    </w:p>
    <w:p>
      <w:pPr>
        <w:pStyle w:val="TextBody"/>
        <w:bidi w:val="0"/>
        <w:spacing w:before="40" w:after="0"/>
        <w:jc w:val="both"/>
        <w:rPr>
          <w:shd w:fill="FFFFFF" w:val="clear"/>
        </w:rPr>
      </w:pPr>
      <w:r>
        <w:rPr>
          <w:shd w:fill="FFFFFF" w:val="clear"/>
        </w:rPr>
        <w:t> </w:t>
      </w:r>
      <w:r>
        <w:rPr>
          <w:rFonts w:ascii="arial" w:hAnsi="arial"/>
          <w:sz w:val="19"/>
          <w:shd w:fill="FFFFFF" w:val="clear"/>
        </w:rPr>
        <w:t>No </w:t>
      </w:r>
    </w:p>
    <w:p>
      <w:pPr>
        <w:pStyle w:val="TextBody"/>
        <w:bidi w:val="0"/>
        <w:spacing w:before="40" w:after="0"/>
        <w:jc w:val="both"/>
        <w:rPr>
          <w:spacing w:val="0"/>
          <w:shd w:fill="FFFFFF" w:val="clear"/>
        </w:rPr>
      </w:pPr>
      <w:r>
        <w:rPr>
          <w:spacing w:val="0"/>
          <w:shd w:fill="FFFFFF" w:val="clear"/>
        </w:rPr>
        <w:t>☐</w:t>
      </w:r>
    </w:p>
    <w:p>
      <w:pPr>
        <w:pStyle w:val="TextBody"/>
        <w:bidi w:val="0"/>
        <w:spacing w:before="40" w:after="0"/>
        <w:ind w:left="0" w:right="0" w:hanging="0"/>
        <w:jc w:val="both"/>
        <w:rPr>
          <w:rFonts w:ascii="arial" w:hAnsi="arial"/>
          <w:sz w:val="19"/>
          <w:shd w:fill="FFFFFF" w:val="clear"/>
        </w:rPr>
      </w:pPr>
      <w:r>
        <w:rPr>
          <w:rFonts w:ascii="arial" w:hAnsi="arial"/>
          <w:sz w:val="19"/>
          <w:shd w:fill="FFFFFF" w:val="clear"/>
        </w:rPr>
        <w:t xml:space="preserve">Indicate by check mark whether the registrant has submitted electronically every Interactive Data File required to be submitted pursuant to Rule 405 of Regulation </w:t>
      </w:r>
    </w:p>
    <w:p>
      <w:pPr>
        <w:pStyle w:val="TextBody"/>
        <w:bidi w:val="0"/>
        <w:spacing w:before="40" w:after="0"/>
        <w:jc w:val="both"/>
        <w:rPr>
          <w:rFonts w:ascii="arial" w:hAnsi="arial"/>
          <w:spacing w:val="0"/>
          <w:sz w:val="19"/>
          <w:shd w:fill="FFFFFF" w:val="clear"/>
        </w:rPr>
      </w:pPr>
      <w:r>
        <w:rPr>
          <w:rFonts w:ascii="arial" w:hAnsi="arial"/>
          <w:spacing w:val="0"/>
          <w:sz w:val="19"/>
          <w:shd w:fill="FFFFFF" w:val="clear"/>
        </w:rPr>
        <w:t>S-T</w:t>
      </w:r>
    </w:p>
    <w:p>
      <w:pPr>
        <w:pStyle w:val="TextBody"/>
        <w:bidi w:val="0"/>
        <w:spacing w:before="40" w:after="0"/>
        <w:jc w:val="both"/>
        <w:rPr>
          <w:rFonts w:ascii="arial" w:hAnsi="arial"/>
          <w:sz w:val="19"/>
          <w:shd w:fill="FFFFFF" w:val="clear"/>
        </w:rPr>
      </w:pPr>
      <w:r>
        <w:rPr>
          <w:rFonts w:ascii="arial" w:hAnsi="arial"/>
          <w:sz w:val="19"/>
          <w:shd w:fill="FFFFFF" w:val="clear"/>
        </w:rPr>
        <w:t>(§ 232.405 of this chapter) during the preceding 12 months (or for such shorter period that the registrant was required to submit such files). Yes </w:t>
      </w:r>
    </w:p>
    <w:p>
      <w:pPr>
        <w:pStyle w:val="TextBody"/>
        <w:bidi w:val="0"/>
        <w:spacing w:before="40" w:after="0"/>
        <w:jc w:val="both"/>
        <w:rPr>
          <w:spacing w:val="0"/>
          <w:shd w:fill="FFFFFF" w:val="clear"/>
        </w:rPr>
      </w:pPr>
      <w:r>
        <w:rPr>
          <w:spacing w:val="0"/>
          <w:shd w:fill="FFFFFF" w:val="clear"/>
        </w:rPr>
        <w:t>☑</w:t>
      </w:r>
    </w:p>
    <w:p>
      <w:pPr>
        <w:pStyle w:val="TextBody"/>
        <w:bidi w:val="0"/>
        <w:spacing w:before="40" w:after="0"/>
        <w:jc w:val="both"/>
        <w:rPr>
          <w:shd w:fill="FFFFFF" w:val="clear"/>
        </w:rPr>
      </w:pPr>
      <w:r>
        <w:rPr>
          <w:shd w:fill="FFFFFF" w:val="clear"/>
        </w:rPr>
        <w:t> </w:t>
      </w:r>
      <w:r>
        <w:rPr>
          <w:rFonts w:ascii="arial" w:hAnsi="arial"/>
          <w:sz w:val="19"/>
          <w:shd w:fill="FFFFFF" w:val="clear"/>
        </w:rPr>
        <w:t>No </w:t>
      </w:r>
    </w:p>
    <w:p>
      <w:pPr>
        <w:pStyle w:val="TextBody"/>
        <w:bidi w:val="0"/>
        <w:spacing w:before="40" w:after="0"/>
        <w:jc w:val="both"/>
        <w:rPr>
          <w:spacing w:val="0"/>
          <w:shd w:fill="FFFFFF" w:val="clear"/>
        </w:rPr>
      </w:pPr>
      <w:r>
        <w:rPr>
          <w:spacing w:val="0"/>
          <w:shd w:fill="FFFFFF" w:val="clear"/>
        </w:rPr>
        <w:t>☐</w:t>
      </w:r>
    </w:p>
    <w:p>
      <w:pPr>
        <w:pStyle w:val="TextBody"/>
        <w:bidi w:val="0"/>
        <w:spacing w:before="40" w:after="0"/>
        <w:ind w:left="0" w:right="0" w:hanging="0"/>
        <w:jc w:val="both"/>
        <w:rPr>
          <w:rFonts w:ascii="arial" w:hAnsi="arial"/>
          <w:sz w:val="19"/>
          <w:shd w:fill="FFFFFF" w:val="clear"/>
        </w:rPr>
      </w:pPr>
      <w:r>
        <w:rPr>
          <w:rFonts w:ascii="arial" w:hAnsi="arial"/>
          <w:sz w:val="19"/>
          <w:shd w:fill="FFFFFF" w:val="clear"/>
        </w:rPr>
        <w:t xml:space="preserve">Indicate by check mark whether the registrant is a large accelerated filer, an accelerated filer, a </w:t>
      </w:r>
    </w:p>
    <w:p>
      <w:pPr>
        <w:pStyle w:val="TextBody"/>
        <w:bidi w:val="0"/>
        <w:spacing w:before="40" w:after="0"/>
        <w:jc w:val="both"/>
        <w:rPr>
          <w:rFonts w:ascii="arial" w:hAnsi="arial"/>
          <w:spacing w:val="0"/>
          <w:sz w:val="19"/>
          <w:shd w:fill="FFFFFF" w:val="clear"/>
        </w:rPr>
      </w:pPr>
      <w:r>
        <w:rPr>
          <w:rFonts w:ascii="arial" w:hAnsi="arial"/>
          <w:spacing w:val="0"/>
          <w:sz w:val="19"/>
          <w:shd w:fill="FFFFFF" w:val="clear"/>
        </w:rPr>
        <w:t>non-accelerated</w:t>
      </w:r>
    </w:p>
    <w:p>
      <w:pPr>
        <w:pStyle w:val="TextBody"/>
        <w:bidi w:val="0"/>
        <w:spacing w:before="40" w:after="0"/>
        <w:jc w:val="both"/>
        <w:rPr>
          <w:rFonts w:ascii="arial" w:hAnsi="arial"/>
          <w:sz w:val="19"/>
          <w:shd w:fill="FFFFFF" w:val="clear"/>
        </w:rPr>
      </w:pPr>
      <w:r>
        <w:rPr>
          <w:rFonts w:ascii="arial" w:hAnsi="arial"/>
          <w:sz w:val="19"/>
          <w:shd w:fill="FFFFFF" w:val="clear"/>
        </w:rPr>
        <w:t xml:space="preserve">filer, a smaller reporting company, or an emerging growth company. See the definitions of “large accelerated filer,” “accelerated filer,” “smaller reporting company,” and “emerging growth company” in Rule </w:t>
      </w:r>
    </w:p>
    <w:p>
      <w:pPr>
        <w:pStyle w:val="TextBody"/>
        <w:bidi w:val="0"/>
        <w:spacing w:before="40" w:after="0"/>
        <w:jc w:val="both"/>
        <w:rPr>
          <w:rFonts w:ascii="arial" w:hAnsi="arial"/>
          <w:spacing w:val="0"/>
          <w:sz w:val="19"/>
          <w:shd w:fill="FFFFFF" w:val="clear"/>
        </w:rPr>
      </w:pPr>
      <w:r>
        <w:rPr>
          <w:rFonts w:ascii="arial" w:hAnsi="arial"/>
          <w:spacing w:val="0"/>
          <w:sz w:val="19"/>
          <w:shd w:fill="FFFFFF" w:val="clear"/>
        </w:rPr>
        <w:t>12b-2</w:t>
      </w:r>
    </w:p>
    <w:p>
      <w:pPr>
        <w:pStyle w:val="TextBody"/>
        <w:bidi w:val="0"/>
        <w:spacing w:before="40" w:after="0"/>
        <w:jc w:val="both"/>
        <w:rPr>
          <w:rFonts w:ascii="arial" w:hAnsi="arial"/>
          <w:sz w:val="19"/>
          <w:shd w:fill="FFFFFF" w:val="clear"/>
        </w:rPr>
      </w:pPr>
      <w:r>
        <w:rPr>
          <w:rFonts w:ascii="arial" w:hAnsi="arial"/>
          <w:sz w:val="19"/>
          <w:shd w:fill="FFFFFF" w:val="clear"/>
        </w:rPr>
        <w:t xml:space="preserve">of the Exchange Act. </w:t>
      </w:r>
    </w:p>
    <w:p>
      <w:pPr>
        <w:pStyle w:val="TextBody"/>
        <w:bidi w:val="0"/>
        <w:spacing w:before="0" w:after="0"/>
        <w:ind w:left="0" w:right="0" w:hanging="0"/>
        <w:jc w:val="left"/>
        <w:rPr>
          <w:shd w:fill="FFFFFF" w:val="clear"/>
        </w:rPr>
      </w:pPr>
      <w:r>
        <w:rPr>
          <w:shd w:fill="FFFFFF" w:val="clear"/>
        </w:rPr>
        <w:t> </w:t>
      </w:r>
    </w:p>
    <w:tbl>
      <w:tblPr>
        <w:tblW w:w="5015" w:type="dxa"/>
        <w:jc w:val="left"/>
        <w:tblInd w:w="0" w:type="dxa"/>
        <w:tblLayout w:type="fixed"/>
        <w:tblCellMar>
          <w:top w:w="0" w:type="dxa"/>
          <w:left w:w="0" w:type="dxa"/>
          <w:bottom w:w="0" w:type="dxa"/>
          <w:right w:w="0" w:type="dxa"/>
        </w:tblCellMar>
      </w:tblPr>
      <w:tblGrid>
        <w:gridCol w:w="1955"/>
        <w:gridCol w:w="60"/>
        <w:gridCol w:w="230"/>
        <w:gridCol w:w="120"/>
        <w:gridCol w:w="2345"/>
        <w:gridCol w:w="60"/>
        <w:gridCol w:w="245"/>
      </w:tblGrid>
      <w:tr>
        <w:trPr/>
        <w:tc>
          <w:tcPr>
            <w:tcW w:w="19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955" w:type="dxa"/>
            <w:tcBorders/>
            <w:vAlign w:val="center"/>
          </w:tcPr>
          <w:p>
            <w:pPr>
              <w:pStyle w:val="TableContents"/>
              <w:bidi w:val="0"/>
              <w:spacing w:before="0" w:after="0"/>
              <w:jc w:val="both"/>
              <w:rPr>
                <w:rFonts w:ascii="ARIAL" w:hAnsi="ARIAL"/>
                <w:sz w:val="19"/>
              </w:rPr>
            </w:pPr>
            <w:r>
              <w:rPr>
                <w:rFonts w:ascii="ARIAL" w:hAnsi="ARIAL"/>
                <w:sz w:val="19"/>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both"/>
              <w:rPr>
                <w:spacing w:val="0"/>
              </w:rPr>
            </w:pPr>
            <w:r>
              <w:rPr>
                <w:spacing w:val="0"/>
              </w:rPr>
              <w:t>☑</w:t>
            </w:r>
          </w:p>
        </w:tc>
        <w:tc>
          <w:tcPr>
            <w:tcW w:w="12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jc w:val="both"/>
              <w:rPr>
                <w:rFonts w:ascii="ARIAL" w:hAnsi="ARIAL"/>
                <w:sz w:val="19"/>
              </w:rPr>
            </w:pPr>
            <w:r>
              <w:rPr>
                <w:rFonts w:ascii="ARIAL" w:hAnsi="ARIAL"/>
                <w:sz w:val="19"/>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both"/>
              <w:rPr>
                <w:spacing w:val="0"/>
              </w:rPr>
            </w:pPr>
            <w:r>
              <w:rPr>
                <w:spacing w:val="0"/>
              </w:rPr>
              <w:t>☐</w:t>
            </w:r>
          </w:p>
        </w:tc>
      </w:tr>
      <w:tr>
        <w:trPr/>
        <w:tc>
          <w:tcPr>
            <w:tcW w:w="195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1955" w:type="dxa"/>
            <w:tcBorders/>
            <w:vAlign w:val="center"/>
          </w:tcPr>
          <w:p>
            <w:pPr>
              <w:pStyle w:val="TableContents"/>
              <w:bidi w:val="0"/>
              <w:spacing w:before="0" w:after="0"/>
              <w:jc w:val="both"/>
              <w:rPr>
                <w:rFonts w:ascii="ARIAL" w:hAnsi="ARIAL"/>
                <w:spacing w:val="0"/>
                <w:sz w:val="19"/>
              </w:rPr>
            </w:pPr>
            <w:r>
              <w:rPr>
                <w:rFonts w:ascii="ARIAL" w:hAnsi="ARIAL"/>
                <w:spacing w:val="0"/>
                <w:sz w:val="19"/>
              </w:rPr>
              <w:t>Non-accelerated</w:t>
            </w:r>
          </w:p>
          <w:p>
            <w:pPr>
              <w:pStyle w:val="TableContents"/>
              <w:bidi w:val="0"/>
              <w:spacing w:before="0" w:after="0"/>
              <w:jc w:val="both"/>
              <w:rPr>
                <w:rFonts w:ascii="ARIAL" w:hAnsi="ARIAL"/>
                <w:sz w:val="19"/>
              </w:rPr>
            </w:pPr>
            <w:r>
              <w:rPr>
                <w:rFonts w:ascii="ARIAL" w:hAnsi="ARIAL"/>
                <w:sz w:val="19"/>
              </w:rPr>
              <w:t>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both"/>
              <w:rPr>
                <w:spacing w:val="0"/>
              </w:rPr>
            </w:pPr>
            <w:r>
              <w:rPr>
                <w:spacing w:val="0"/>
              </w:rPr>
              <w:t>☐</w:t>
            </w:r>
          </w:p>
        </w:tc>
        <w:tc>
          <w:tcPr>
            <w:tcW w:w="12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jc w:val="both"/>
              <w:rPr>
                <w:rFonts w:ascii="ARIAL" w:hAnsi="ARIAL"/>
                <w:sz w:val="19"/>
              </w:rPr>
            </w:pPr>
            <w:r>
              <w:rPr>
                <w:rFonts w:ascii="ARIAL" w:hAnsi="ARIAL"/>
                <w:sz w:val="19"/>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both"/>
              <w:rPr>
                <w:spacing w:val="0"/>
              </w:rPr>
            </w:pPr>
            <w:r>
              <w:rPr>
                <w:spacing w:val="0"/>
              </w:rPr>
              <w:t>☐</w:t>
            </w:r>
          </w:p>
        </w:tc>
      </w:tr>
      <w:tr>
        <w:trPr/>
        <w:tc>
          <w:tcPr>
            <w:tcW w:w="195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19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jc w:val="both"/>
              <w:rPr>
                <w:rFonts w:ascii="ARIAL" w:hAnsi="ARIAL"/>
                <w:sz w:val="19"/>
              </w:rPr>
            </w:pPr>
            <w:r>
              <w:rPr>
                <w:rFonts w:ascii="ARIAL" w:hAnsi="ARIAL"/>
                <w:sz w:val="19"/>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both"/>
              <w:rPr>
                <w:spacing w:val="0"/>
              </w:rPr>
            </w:pPr>
            <w:r>
              <w:rPr>
                <w:spacing w:val="0"/>
              </w:rPr>
              <w:t>☐</w:t>
            </w:r>
          </w:p>
        </w:tc>
      </w:tr>
    </w:tbl>
    <w:p>
      <w:pPr>
        <w:pStyle w:val="TextBody"/>
        <w:bidi w:val="0"/>
        <w:spacing w:before="40" w:after="0"/>
        <w:ind w:left="0" w:right="0" w:hanging="0"/>
        <w:jc w:val="both"/>
        <w:rPr>
          <w:rFonts w:ascii="arial" w:hAnsi="arial"/>
          <w:sz w:val="19"/>
          <w:shd w:fill="FFFFFF" w:val="clear"/>
        </w:rPr>
      </w:pPr>
      <w:r>
        <w:rPr>
          <w:rFonts w:ascii="arial" w:hAnsi="arial"/>
          <w:sz w:val="19"/>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40" w:after="0"/>
        <w:jc w:val="both"/>
        <w:rPr>
          <w:spacing w:val="0"/>
          <w:shd w:fill="FFFFFF" w:val="clear"/>
        </w:rPr>
      </w:pPr>
      <w:r>
        <w:rPr>
          <w:spacing w:val="0"/>
          <w:shd w:fill="FFFFFF" w:val="clear"/>
        </w:rPr>
        <w:t>☐</w:t>
      </w:r>
    </w:p>
    <w:p>
      <w:pPr>
        <w:pStyle w:val="TextBody"/>
        <w:bidi w:val="0"/>
        <w:spacing w:before="40" w:after="0"/>
        <w:ind w:left="0" w:right="0" w:hanging="0"/>
        <w:jc w:val="both"/>
        <w:rPr>
          <w:rFonts w:ascii="arial" w:hAnsi="arial"/>
          <w:sz w:val="19"/>
          <w:shd w:fill="FFFFFF" w:val="clear"/>
        </w:rPr>
      </w:pPr>
      <w:r>
        <w:rPr>
          <w:rFonts w:ascii="arial" w:hAnsi="arial"/>
          <w:sz w:val="19"/>
          <w:shd w:fill="FFFFFF" w:val="clear"/>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40" w:after="0"/>
        <w:jc w:val="both"/>
        <w:rPr>
          <w:spacing w:val="0"/>
          <w:shd w:fill="FFFFFF" w:val="clear"/>
        </w:rPr>
      </w:pPr>
      <w:r>
        <w:rPr>
          <w:spacing w:val="0"/>
          <w:shd w:fill="FFFFFF" w:val="clear"/>
        </w:rPr>
        <w:t>☑</w:t>
      </w:r>
    </w:p>
    <w:p>
      <w:pPr>
        <w:pStyle w:val="TextBody"/>
        <w:bidi w:val="0"/>
        <w:spacing w:before="40" w:after="0"/>
        <w:ind w:left="0" w:right="0" w:hanging="0"/>
        <w:jc w:val="both"/>
        <w:rPr>
          <w:rFonts w:ascii="arial" w:hAnsi="arial"/>
          <w:sz w:val="19"/>
          <w:shd w:fill="FFFFFF" w:val="clear"/>
        </w:rPr>
      </w:pPr>
      <w:r>
        <w:rPr>
          <w:rFonts w:ascii="arial" w:hAnsi="arial"/>
          <w:sz w:val="19"/>
          <w:shd w:fill="FFFFFF" w:val="clear"/>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40" w:after="0"/>
        <w:jc w:val="both"/>
        <w:rPr>
          <w:spacing w:val="0"/>
          <w:shd w:fill="FFFFFF" w:val="clear"/>
        </w:rPr>
      </w:pPr>
      <w:r>
        <w:rPr>
          <w:spacing w:val="0"/>
          <w:shd w:fill="FFFFFF" w:val="clear"/>
        </w:rPr>
        <w:t>☐</w:t>
      </w:r>
    </w:p>
    <w:p>
      <w:pPr>
        <w:pStyle w:val="TextBody"/>
        <w:bidi w:val="0"/>
        <w:spacing w:before="40" w:after="0"/>
        <w:ind w:left="0" w:right="0" w:hanging="0"/>
        <w:jc w:val="both"/>
        <w:rPr>
          <w:rFonts w:ascii="arial" w:hAnsi="arial"/>
          <w:sz w:val="19"/>
          <w:shd w:fill="FFFFFF" w:val="clear"/>
        </w:rPr>
      </w:pPr>
      <w:r>
        <w:rPr>
          <w:rFonts w:ascii="arial" w:hAnsi="arial"/>
          <w:sz w:val="19"/>
          <w:shd w:fill="FFFFFF" w:val="clear"/>
        </w:rPr>
        <w:t xml:space="preserve">Indicate by check mark whether any of those error corrections are restatements that required a recovery analysis of incentive-based compensation received by any of the registrant’s executive officers during the relevant recovery period pursuant to </w:t>
      </w:r>
    </w:p>
    <w:p>
      <w:pPr>
        <w:pStyle w:val="TextBody"/>
        <w:bidi w:val="0"/>
        <w:spacing w:before="40" w:after="0"/>
        <w:jc w:val="both"/>
        <w:rPr>
          <w:rFonts w:ascii="arial" w:hAnsi="arial"/>
          <w:spacing w:val="0"/>
          <w:sz w:val="19"/>
          <w:shd w:fill="FFFFFF" w:val="clear"/>
        </w:rPr>
      </w:pPr>
      <w:r>
        <w:rPr>
          <w:rFonts w:ascii="arial" w:hAnsi="arial"/>
          <w:spacing w:val="0"/>
          <w:sz w:val="19"/>
          <w:shd w:fill="FFFFFF" w:val="clear"/>
        </w:rPr>
        <w:t>§240.10D-1(b). </w:t>
      </w:r>
    </w:p>
    <w:p>
      <w:pPr>
        <w:pStyle w:val="TextBody"/>
        <w:bidi w:val="0"/>
        <w:spacing w:before="40" w:after="0"/>
        <w:jc w:val="both"/>
        <w:rPr>
          <w:spacing w:val="0"/>
          <w:shd w:fill="FFFFFF" w:val="clear"/>
        </w:rPr>
      </w:pPr>
      <w:r>
        <w:rPr>
          <w:spacing w:val="0"/>
          <w:shd w:fill="FFFFFF" w:val="clear"/>
        </w:rPr>
        <w:t>☐</w:t>
      </w:r>
    </w:p>
    <w:p>
      <w:pPr>
        <w:pStyle w:val="TextBody"/>
        <w:bidi w:val="0"/>
        <w:spacing w:before="40" w:after="0"/>
        <w:ind w:left="0" w:right="0" w:hanging="0"/>
        <w:jc w:val="both"/>
        <w:rPr>
          <w:rFonts w:ascii="arial" w:hAnsi="arial"/>
          <w:sz w:val="19"/>
          <w:shd w:fill="FFFFFF" w:val="clear"/>
        </w:rPr>
      </w:pPr>
      <w:r>
        <w:rPr>
          <w:rFonts w:ascii="arial" w:hAnsi="arial"/>
          <w:sz w:val="19"/>
          <w:shd w:fill="FFFFFF" w:val="clear"/>
        </w:rPr>
        <w:t xml:space="preserve">Indicate by check mark whether the registrant is a shell company (as defined in Rule </w:t>
      </w:r>
    </w:p>
    <w:p>
      <w:pPr>
        <w:pStyle w:val="TextBody"/>
        <w:bidi w:val="0"/>
        <w:spacing w:before="40" w:after="0"/>
        <w:jc w:val="both"/>
        <w:rPr>
          <w:rFonts w:ascii="arial" w:hAnsi="arial"/>
          <w:spacing w:val="0"/>
          <w:sz w:val="19"/>
          <w:shd w:fill="FFFFFF" w:val="clear"/>
        </w:rPr>
      </w:pPr>
      <w:r>
        <w:rPr>
          <w:rFonts w:ascii="arial" w:hAnsi="arial"/>
          <w:spacing w:val="0"/>
          <w:sz w:val="19"/>
          <w:shd w:fill="FFFFFF" w:val="clear"/>
        </w:rPr>
        <w:t>12b-2</w:t>
      </w:r>
    </w:p>
    <w:p>
      <w:pPr>
        <w:pStyle w:val="TextBody"/>
        <w:bidi w:val="0"/>
        <w:spacing w:before="40" w:after="0"/>
        <w:jc w:val="both"/>
        <w:rPr>
          <w:rFonts w:ascii="arial" w:hAnsi="arial"/>
          <w:sz w:val="19"/>
          <w:shd w:fill="FFFFFF" w:val="clear"/>
        </w:rPr>
      </w:pPr>
      <w:r>
        <w:rPr>
          <w:rFonts w:ascii="arial" w:hAnsi="arial"/>
          <w:sz w:val="19"/>
          <w:shd w:fill="FFFFFF" w:val="clear"/>
        </w:rPr>
        <w:t>of the Act). Yes </w:t>
      </w:r>
    </w:p>
    <w:p>
      <w:pPr>
        <w:pStyle w:val="TextBody"/>
        <w:bidi w:val="0"/>
        <w:spacing w:before="40" w:after="0"/>
        <w:jc w:val="both"/>
        <w:rPr>
          <w:spacing w:val="0"/>
          <w:shd w:fill="FFFFFF" w:val="clear"/>
        </w:rPr>
      </w:pPr>
      <w:r>
        <w:rPr>
          <w:spacing w:val="0"/>
          <w:shd w:fill="FFFFFF" w:val="clear"/>
        </w:rPr>
        <w:t>☐</w:t>
      </w:r>
    </w:p>
    <w:p>
      <w:pPr>
        <w:pStyle w:val="TextBody"/>
        <w:bidi w:val="0"/>
        <w:spacing w:before="40" w:after="0"/>
        <w:jc w:val="both"/>
        <w:rPr>
          <w:shd w:fill="FFFFFF" w:val="clear"/>
        </w:rPr>
      </w:pPr>
      <w:r>
        <w:rPr>
          <w:shd w:fill="FFFFFF" w:val="clear"/>
        </w:rPr>
        <w:t> </w:t>
      </w:r>
      <w:r>
        <w:rPr>
          <w:rFonts w:ascii="arial" w:hAnsi="arial"/>
          <w:sz w:val="19"/>
          <w:shd w:fill="FFFFFF" w:val="clear"/>
        </w:rPr>
        <w:t>No </w:t>
      </w:r>
    </w:p>
    <w:p>
      <w:pPr>
        <w:pStyle w:val="TextBody"/>
        <w:bidi w:val="0"/>
        <w:spacing w:before="40" w:after="0"/>
        <w:jc w:val="both"/>
        <w:rPr>
          <w:spacing w:val="0"/>
          <w:shd w:fill="FFFFFF" w:val="clear"/>
        </w:rPr>
      </w:pPr>
      <w:r>
        <w:rPr>
          <w:spacing w:val="0"/>
          <w:shd w:fill="FFFFFF" w:val="clear"/>
        </w:rPr>
        <w:t>☑</w:t>
      </w:r>
    </w:p>
    <w:p>
      <w:pPr>
        <w:pStyle w:val="TextBody"/>
        <w:bidi w:val="0"/>
        <w:spacing w:before="40" w:after="0"/>
        <w:ind w:left="0" w:right="0" w:hanging="0"/>
        <w:jc w:val="both"/>
        <w:rPr>
          <w:rFonts w:ascii="arial" w:hAnsi="arial"/>
          <w:sz w:val="19"/>
          <w:shd w:fill="FFFFFF" w:val="clear"/>
        </w:rPr>
      </w:pPr>
      <w:r>
        <w:rPr>
          <w:rFonts w:ascii="arial" w:hAnsi="arial"/>
          <w:sz w:val="19"/>
          <w:shd w:fill="FFFFFF" w:val="clear"/>
        </w:rPr>
        <w:t xml:space="preserve">The aggregate market value of the voting and </w:t>
      </w:r>
    </w:p>
    <w:p>
      <w:pPr>
        <w:pStyle w:val="TextBody"/>
        <w:bidi w:val="0"/>
        <w:spacing w:before="40" w:after="0"/>
        <w:jc w:val="both"/>
        <w:rPr>
          <w:rFonts w:ascii="arial" w:hAnsi="arial"/>
          <w:spacing w:val="0"/>
          <w:sz w:val="19"/>
          <w:shd w:fill="FFFFFF" w:val="clear"/>
        </w:rPr>
      </w:pPr>
      <w:r>
        <w:rPr>
          <w:rFonts w:ascii="arial" w:hAnsi="arial"/>
          <w:spacing w:val="0"/>
          <w:sz w:val="19"/>
          <w:shd w:fill="FFFFFF" w:val="clear"/>
        </w:rPr>
        <w:t>non-voting</w:t>
      </w:r>
    </w:p>
    <w:p>
      <w:pPr>
        <w:pStyle w:val="TextBody"/>
        <w:bidi w:val="0"/>
        <w:spacing w:before="40" w:after="0"/>
        <w:jc w:val="both"/>
        <w:rPr>
          <w:rFonts w:ascii="arial" w:hAnsi="arial"/>
          <w:sz w:val="19"/>
          <w:shd w:fill="FFFFFF" w:val="clear"/>
        </w:rPr>
      </w:pPr>
      <w:r>
        <w:rPr>
          <w:rFonts w:ascii="arial" w:hAnsi="arial"/>
          <w:sz w:val="19"/>
          <w:shd w:fill="FFFFFF" w:val="clear"/>
        </w:rPr>
        <w:t xml:space="preserve">common equity held by </w:t>
      </w:r>
    </w:p>
    <w:p>
      <w:pPr>
        <w:pStyle w:val="TextBody"/>
        <w:bidi w:val="0"/>
        <w:spacing w:before="40" w:after="0"/>
        <w:jc w:val="both"/>
        <w:rPr>
          <w:rFonts w:ascii="arial" w:hAnsi="arial"/>
          <w:spacing w:val="0"/>
          <w:sz w:val="19"/>
          <w:shd w:fill="FFFFFF" w:val="clear"/>
        </w:rPr>
      </w:pPr>
      <w:r>
        <w:rPr>
          <w:rFonts w:ascii="arial" w:hAnsi="arial"/>
          <w:spacing w:val="0"/>
          <w:sz w:val="19"/>
          <w:shd w:fill="FFFFFF" w:val="clear"/>
        </w:rPr>
        <w:t>non-affiliates</w:t>
      </w:r>
    </w:p>
    <w:p>
      <w:pPr>
        <w:pStyle w:val="TextBody"/>
        <w:bidi w:val="0"/>
        <w:spacing w:before="40" w:after="0"/>
        <w:jc w:val="both"/>
        <w:rPr>
          <w:rFonts w:ascii="arial" w:hAnsi="arial"/>
          <w:sz w:val="19"/>
          <w:shd w:fill="FFFFFF" w:val="clear"/>
        </w:rPr>
      </w:pPr>
      <w:r>
        <w:rPr>
          <w:rFonts w:ascii="arial" w:hAnsi="arial"/>
          <w:sz w:val="19"/>
          <w:shd w:fill="FFFFFF" w:val="clear"/>
        </w:rPr>
        <w:t xml:space="preserve">of the registrant as of June 30, 2023, the last business day of the registrant’s most recently completed second fiscal quarter, was approximately $11,936,712,582. </w:t>
      </w:r>
    </w:p>
    <w:p>
      <w:pPr>
        <w:pStyle w:val="TextBody"/>
        <w:bidi w:val="0"/>
        <w:spacing w:before="40" w:after="0"/>
        <w:ind w:left="0" w:right="0" w:hanging="0"/>
        <w:jc w:val="both"/>
        <w:rPr>
          <w:rFonts w:ascii="arial" w:hAnsi="arial"/>
          <w:sz w:val="19"/>
          <w:shd w:fill="FFFFFF" w:val="clear"/>
        </w:rPr>
      </w:pPr>
      <w:r>
        <w:rPr>
          <w:rFonts w:ascii="arial" w:hAnsi="arial"/>
          <w:sz w:val="19"/>
          <w:shd w:fill="FFFFFF" w:val="clear"/>
        </w:rPr>
        <w:t>The number of shares of common stock outstanding, par value $0.01 per share, of the registrant as of April 24, 2024 wa</w:t>
      </w:r>
    </w:p>
    <w:p>
      <w:pPr>
        <w:pStyle w:val="TextBody"/>
        <w:widowControl/>
        <w:bidi w:val="0"/>
        <w:spacing w:before="40" w:after="0"/>
        <w:ind w:left="0" w:right="0" w:hanging="0"/>
        <w:jc w:val="both"/>
        <w:rPr>
          <w:rFonts w:ascii="arial" w:hAnsi="arial"/>
          <w:b w:val="false"/>
          <w:i w:val="false"/>
          <w:caps w:val="false"/>
          <w:smallCaps w:val="false"/>
          <w:color w:val="000000"/>
          <w:spacing w:val="0"/>
          <w:sz w:val="18"/>
          <w:shd w:fill="FFFFFF" w:val="clear"/>
        </w:rPr>
      </w:pPr>
      <w:r>
        <w:rPr>
          <w:rFonts w:ascii="arial" w:hAnsi="arial"/>
          <w:b w:val="false"/>
          <w:i w:val="false"/>
          <w:caps w:val="false"/>
          <w:smallCaps w:val="false"/>
          <w:color w:val="000000"/>
          <w:spacing w:val="0"/>
          <w:sz w:val="18"/>
          <w:shd w:fill="FFFFFF" w:val="clear"/>
        </w:rPr>
        <w:t>s 1,190,662,399</w:t>
      </w:r>
    </w:p>
    <w:p>
      <w:pPr>
        <w:pStyle w:val="TextBody"/>
        <w:bidi w:val="0"/>
        <w:spacing w:before="40" w:after="0"/>
        <w:jc w:val="both"/>
        <w:rPr>
          <w:rFonts w:ascii="arial" w:hAnsi="arial"/>
          <w:sz w:val="19"/>
          <w:shd w:fill="FFFFFF" w:val="clear"/>
        </w:rPr>
      </w:pPr>
      <w:r>
        <w:rPr>
          <w:rFonts w:ascii="arial" w:hAnsi="arial"/>
          <w:sz w:val="19"/>
          <w:shd w:fill="FFFFFF" w:val="clear"/>
        </w:rPr>
        <w:t xml:space="preserve">. </w:t>
      </w:r>
    </w:p>
    <w:p>
      <w:pPr>
        <w:pStyle w:val="TextBody"/>
        <w:bidi w:val="0"/>
        <w:spacing w:before="40" w:after="0"/>
        <w:jc w:val="center"/>
        <w:rPr>
          <w:rFonts w:ascii="ARIAL" w:hAnsi="ARIAL"/>
          <w:b/>
          <w:sz w:val="20"/>
          <w:shd w:fill="FFFFFF" w:val="clear"/>
        </w:rPr>
      </w:pPr>
      <w:r>
        <w:rPr>
          <w:rFonts w:ascii="ARIAL" w:hAnsi="ARIAL"/>
          <w:b/>
          <w:sz w:val="20"/>
          <w:shd w:fill="FFFFFF" w:val="clear"/>
        </w:rPr>
        <w:t xml:space="preserve">DOCUMENTS INCORPORATED BY REFERENCE </w:t>
      </w:r>
    </w:p>
    <w:p>
      <w:pPr>
        <w:pStyle w:val="TextBody"/>
        <w:bidi w:val="0"/>
        <w:spacing w:before="40" w:after="0"/>
        <w:jc w:val="both"/>
        <w:rPr>
          <w:rFonts w:ascii="arial" w:hAnsi="arial"/>
          <w:sz w:val="18"/>
          <w:shd w:fill="FFFFFF" w:val="clear"/>
        </w:rPr>
      </w:pPr>
      <w:r>
        <w:rPr>
          <w:rFonts w:ascii="arial" w:hAnsi="arial"/>
          <w:sz w:val="18"/>
          <w:shd w:fill="FFFFFF" w:val="clear"/>
        </w:rPr>
        <w:t xml:space="preserve">None. </w:t>
      </w:r>
    </w:p>
    <w:p>
      <w:pPr>
        <w:pStyle w:val="TextBody"/>
        <w:bidi w:val="0"/>
        <w:spacing w:before="0" w:after="0"/>
        <w:ind w:left="0" w:right="0" w:hanging="0"/>
        <w:jc w:val="left"/>
        <w:rPr>
          <w:shd w:fill="FFFFFF" w:val="clear"/>
        </w:rPr>
      </w:pPr>
      <w:r>
        <w:rPr>
          <w:shd w:fill="FFFFFF" w:val="clear"/>
        </w:rPr>
        <w:t> </w:t>
      </w:r>
    </w:p>
    <w:tbl>
      <w:tblPr>
        <w:tblW w:w="10095" w:type="dxa"/>
        <w:jc w:val="left"/>
        <w:tblInd w:w="0" w:type="dxa"/>
        <w:tblLayout w:type="fixed"/>
        <w:tblCellMar>
          <w:top w:w="0" w:type="dxa"/>
          <w:left w:w="0" w:type="dxa"/>
          <w:bottom w:w="0" w:type="dxa"/>
          <w:right w:w="0" w:type="dxa"/>
        </w:tblCellMar>
      </w:tblPr>
      <w:tblGrid>
        <w:gridCol w:w="3785"/>
        <w:gridCol w:w="120"/>
        <w:gridCol w:w="4115"/>
        <w:gridCol w:w="120"/>
        <w:gridCol w:w="1955"/>
      </w:tblGrid>
      <w:tr>
        <w:trPr/>
        <w:tc>
          <w:tcPr>
            <w:tcW w:w="3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3785" w:type="dxa"/>
            <w:tcBorders/>
            <w:vAlign w:val="center"/>
          </w:tcPr>
          <w:p>
            <w:pPr>
              <w:pStyle w:val="TableContents"/>
              <w:bidi w:val="0"/>
              <w:spacing w:before="0" w:after="283"/>
              <w:jc w:val="left"/>
              <w:rPr/>
            </w:pPr>
            <w:r>
              <w:rPr/>
              <w:t>Auditor Name: Deloitte &amp; Touche LLP</w:t>
            </w:r>
          </w:p>
        </w:tc>
        <w:tc>
          <w:tcPr>
            <w:tcW w:w="12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center"/>
              <w:rPr/>
            </w:pPr>
            <w:r>
              <w:rPr/>
              <w:t>Auditor Location: Pittsburgh, Pennsylvania</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center"/>
              <w:rPr/>
            </w:pPr>
            <w:r>
              <w:rPr/>
              <w:t>Auditor Firm ID: 34</w:t>
            </w:r>
          </w:p>
        </w:tc>
      </w:tr>
    </w:tbl>
    <w:p>
      <w:pPr>
        <w:pStyle w:val="TextBody"/>
        <w:bidi w:val="0"/>
        <w:spacing w:before="0" w:after="0"/>
        <w:ind w:left="0" w:right="0" w:hanging="0"/>
        <w:jc w:val="left"/>
        <w:rPr>
          <w:shd w:fill="FFFFFF" w:val="clear"/>
        </w:rPr>
      </w:pPr>
      <w:r>
        <w:rPr>
          <w:shd w:fill="FFFFFF" w:val="clear"/>
        </w:rPr>
        <w:t> </w:t>
      </w:r>
    </w:p>
    <w:p>
      <w:pPr>
        <w:pStyle w:val="TextBody"/>
        <w:bidi w:val="0"/>
        <w:spacing w:lineRule="atLeast" w:line="142" w:before="0" w:after="0"/>
        <w:ind w:left="0" w:right="0" w:hanging="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0"/>
        <w:ind w:left="0" w:right="0" w:hanging="0"/>
        <w:jc w:val="left"/>
        <w:rPr>
          <w:bdr w:val="single" w:sz="16" w:space="1" w:color="000000"/>
          <w:shd w:fill="FFFFFF" w:val="clear"/>
        </w:rPr>
      </w:pPr>
      <w:r>
        <w:rPr>
          <w:bdr w:val="single" w:sz="16" w:space="1" w:color="000000"/>
          <w:shd w:fill="FFFFFF" w:val="clea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 w:hAnsi="ARIAL"/>
          <w:b/>
          <w:sz w:val="20"/>
          <w:shd w:fill="FFFFFF" w:val="clear"/>
        </w:rPr>
      </w:pPr>
      <w:r>
        <w:rPr>
          <w:rFonts w:ascii="ARIAL" w:hAnsi="ARIAL"/>
          <w:b/>
          <w:sz w:val="20"/>
          <w:shd w:fill="FFFFFF" w:val="clear"/>
        </w:rPr>
        <w:t xml:space="preserve">EXPLANATORY NOTE </w:t>
      </w:r>
    </w:p>
    <w:p>
      <w:pPr>
        <w:pStyle w:val="TextBody"/>
        <w:bidi w:val="0"/>
        <w:spacing w:before="240" w:after="0"/>
        <w:jc w:val="both"/>
        <w:rPr>
          <w:rFonts w:ascii="arial" w:hAnsi="arial"/>
          <w:sz w:val="18"/>
          <w:shd w:fill="FFFFFF" w:val="clear"/>
        </w:rPr>
      </w:pPr>
      <w:r>
        <w:rPr>
          <w:rFonts w:ascii="arial" w:hAnsi="arial"/>
          <w:sz w:val="18"/>
          <w:shd w:fill="FFFFFF" w:val="clear"/>
        </w:rPr>
        <w:t xml:space="preserve">This Amendment No. 1 on Form </w:t>
      </w:r>
    </w:p>
    <w:p>
      <w:pPr>
        <w:pStyle w:val="TextBody"/>
        <w:bidi w:val="0"/>
        <w:spacing w:before="240" w:after="0"/>
        <w:jc w:val="both"/>
        <w:rPr>
          <w:rFonts w:ascii="arial" w:hAnsi="arial"/>
          <w:spacing w:val="0"/>
          <w:sz w:val="18"/>
          <w:shd w:fill="FFFFFF" w:val="clear"/>
        </w:rPr>
      </w:pPr>
      <w:r>
        <w:rPr>
          <w:rFonts w:ascii="arial" w:hAnsi="arial"/>
          <w:spacing w:val="0"/>
          <w:sz w:val="18"/>
          <w:shd w:fill="FFFFFF" w:val="clear"/>
        </w:rPr>
        <w:t>10-K/A</w:t>
      </w:r>
    </w:p>
    <w:p>
      <w:pPr>
        <w:pStyle w:val="TextBody"/>
        <w:bidi w:val="0"/>
        <w:spacing w:before="240" w:after="0"/>
        <w:jc w:val="both"/>
        <w:rPr>
          <w:rFonts w:ascii="arial" w:hAnsi="arial"/>
          <w:sz w:val="18"/>
          <w:shd w:fill="FFFFFF" w:val="clear"/>
        </w:rPr>
      </w:pPr>
      <w:r>
        <w:rPr>
          <w:rFonts w:ascii="arial" w:hAnsi="arial"/>
          <w:sz w:val="18"/>
          <w:shd w:fill="FFFFFF" w:val="clear"/>
        </w:rPr>
        <w:t xml:space="preserve">(this “Amendment”) amends our Annual Report on Form </w:t>
      </w:r>
    </w:p>
    <w:p>
      <w:pPr>
        <w:pStyle w:val="TextBody"/>
        <w:bidi w:val="0"/>
        <w:spacing w:before="240" w:after="0"/>
        <w:jc w:val="both"/>
        <w:rPr>
          <w:rFonts w:ascii="arial" w:hAnsi="arial"/>
          <w:spacing w:val="0"/>
          <w:sz w:val="18"/>
          <w:shd w:fill="FFFFFF" w:val="clear"/>
        </w:rPr>
      </w:pPr>
      <w:r>
        <w:rPr>
          <w:rFonts w:ascii="arial" w:hAnsi="arial"/>
          <w:spacing w:val="0"/>
          <w:sz w:val="18"/>
          <w:shd w:fill="FFFFFF" w:val="clear"/>
        </w:rPr>
        <w:t>10-K</w:t>
      </w:r>
    </w:p>
    <w:p>
      <w:pPr>
        <w:pStyle w:val="TextBody"/>
        <w:bidi w:val="0"/>
        <w:spacing w:before="240" w:after="0"/>
        <w:jc w:val="both"/>
        <w:rPr>
          <w:rFonts w:ascii="arial" w:hAnsi="arial"/>
          <w:sz w:val="18"/>
          <w:shd w:fill="FFFFFF" w:val="clear"/>
        </w:rPr>
      </w:pPr>
      <w:r>
        <w:rPr>
          <w:rFonts w:ascii="arial" w:hAnsi="arial"/>
          <w:sz w:val="18"/>
          <w:shd w:fill="FFFFFF" w:val="clear"/>
        </w:rPr>
        <w:t xml:space="preserve">for the fiscal year ended December 31, 2023, originally filed on February 28, 2024 (the “Original Filing”). We are filing this Amendment to include the information required by Part III and not included in the Original Filing, as we do not intend to file a definitive proxy statement for an annual meeting of shareholders within 120 days of the end of our fiscal year ended December 31, 2023. In addition, in connection with the filing of this Amendment and pursuant to the rules of the Securities and Exchange Commission (the “SEC”), we are including with this Amendment new certifications of our principal executive officer and principal financial officer pursuant to Section 302 of the Sarbanes-Oxley Act of 2002. Item 15 of Part IV has also been amended to reflect the filing of these new certifications. Except as described above, no other changes have been made to the Original Filing. The Original Filing continues to speak as of the date of the Original Filing, and we have not updated the disclosures contained therein to reflect any events which occurred at a date subsequent to the filing of the Original Filing. </w:t>
      </w:r>
    </w:p>
    <w:p>
      <w:pPr>
        <w:pStyle w:val="TextBody"/>
        <w:bidi w:val="0"/>
        <w:spacing w:before="240" w:after="0"/>
        <w:jc w:val="both"/>
        <w:rPr>
          <w:rFonts w:ascii="arial" w:hAnsi="arial"/>
          <w:sz w:val="18"/>
          <w:shd w:fill="FFFFFF" w:val="clear"/>
        </w:rPr>
      </w:pPr>
      <w:r>
        <w:rPr>
          <w:rFonts w:ascii="arial" w:hAnsi="arial"/>
          <w:sz w:val="18"/>
          <w:shd w:fill="FFFFFF" w:val="clear"/>
        </w:rPr>
        <w:t xml:space="preserve">As used in this Amendment, unless the context requires otherwise, the “Company”, “Viatris”, “our”, and “we” mean Viatris Inc. and its subsidiaries, “NASDAQ” means The NASDAQ Stock Market, and “U.S. GAAP” means accounting principles generally accepted in the United States (“U.S.”). </w:t>
      </w:r>
    </w:p>
    <w:p>
      <w:pPr>
        <w:pStyle w:val="TextBody"/>
        <w:bidi w:val="0"/>
        <w:spacing w:before="360" w:after="0"/>
        <w:jc w:val="left"/>
        <w:rPr>
          <w:rFonts w:ascii="ARIAL" w:hAnsi="ARIAL"/>
          <w:b/>
          <w:sz w:val="20"/>
          <w:shd w:fill="FFFFFF" w:val="clear"/>
        </w:rPr>
      </w:pPr>
      <w:r>
        <w:rPr>
          <w:rFonts w:ascii="ARIAL" w:hAnsi="ARIAL"/>
          <w:b/>
          <w:sz w:val="20"/>
          <w:shd w:fill="FFFFFF" w:val="clear"/>
        </w:rPr>
        <w:t xml:space="preserve">Forward-Looking Statements </w:t>
      </w:r>
    </w:p>
    <w:p>
      <w:pPr>
        <w:pStyle w:val="TextBody"/>
        <w:bidi w:val="0"/>
        <w:spacing w:before="120" w:after="0"/>
        <w:jc w:val="both"/>
        <w:rPr>
          <w:rFonts w:ascii="arial" w:hAnsi="arial"/>
          <w:sz w:val="18"/>
          <w:shd w:fill="FFFFFF" w:val="clear"/>
        </w:rPr>
      </w:pPr>
      <w:r>
        <w:rPr>
          <w:rFonts w:ascii="arial" w:hAnsi="arial"/>
          <w:sz w:val="18"/>
          <w:shd w:fill="FFFFFF" w:val="clear"/>
        </w:rPr>
        <w:t xml:space="preserve">This Amendment contains “forward-looking statements”. These statements are made pursuant to the safe harbor provisions of the Private Securities Litigation Reform Act of 1995. Such forward-looking statements may include, without limitation, statements about the goals or outlooks with respect to the Company’s strategic initiatives, including but not limited to the Company’s </w:t>
      </w:r>
    </w:p>
    <w:p>
      <w:pPr>
        <w:pStyle w:val="TextBody"/>
        <w:bidi w:val="0"/>
        <w:spacing w:before="120" w:after="0"/>
        <w:jc w:val="both"/>
        <w:rPr>
          <w:rFonts w:ascii="arial" w:hAnsi="arial"/>
          <w:sz w:val="18"/>
          <w:shd w:fill="FFFFFF" w:val="clear"/>
        </w:rPr>
      </w:pPr>
      <w:r>
        <w:rPr>
          <w:rFonts w:ascii="arial" w:hAnsi="arial"/>
          <w:sz w:val="18"/>
          <w:shd w:fill="FFFFFF" w:val="clear"/>
        </w:rPr>
        <w:t>two-phased</w:t>
      </w:r>
    </w:p>
    <w:p>
      <w:pPr>
        <w:pStyle w:val="TextBody"/>
        <w:bidi w:val="0"/>
        <w:spacing w:before="120" w:after="0"/>
        <w:jc w:val="both"/>
        <w:rPr>
          <w:rFonts w:ascii="arial" w:hAnsi="arial"/>
          <w:sz w:val="18"/>
          <w:shd w:fill="FFFFFF" w:val="clear"/>
        </w:rPr>
      </w:pPr>
      <w:r>
        <w:rPr>
          <w:rFonts w:ascii="arial" w:hAnsi="arial"/>
          <w:sz w:val="18"/>
          <w:shd w:fill="FFFFFF" w:val="clear"/>
        </w:rPr>
        <w:t xml:space="preserve">strategic vision and potential and announced divestitures, acquisitions, or other transactions; the benefits and synergies of such divestitures, acquisitions, or other transactions, or restructuring programs, future opportunities for the Company and its products and any other statements regarding the Company’s future operations, financial or operating results, capital allocation, dividend policy and payments, stock repurchases,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the possibility that the Company may not realize the intended benefits of, or achieve the intended goals or outlooks with respect to, its strategic initiatives (including divestitures, acquisitions, or other potential transactions) or move up the value chain by focusing on more complex and innovative products to build a more durable higher margin portfolio;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the possibility that the Company may be unable to achieve intended or expected benefits, goals, outlooks, synergies, growth opportunities and operating efficiencies in connection with divestitures, acquisitions, other transactions, or restructuring programs, within the expected timeframes or at all;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with respect to previously announced divestitures that have not been consummated, including the divestiture of substantially all of our </w:t>
            </w:r>
          </w:p>
          <w:p>
            <w:pPr>
              <w:pStyle w:val="TableContents"/>
              <w:bidi w:val="0"/>
              <w:spacing w:before="0" w:after="0"/>
              <w:jc w:val="both"/>
              <w:rPr>
                <w:rFonts w:ascii="arial" w:hAnsi="arial"/>
                <w:sz w:val="18"/>
              </w:rPr>
            </w:pPr>
            <w:r>
              <w:rPr>
                <w:rFonts w:ascii="arial" w:hAnsi="arial"/>
                <w:sz w:val="18"/>
              </w:rPr>
              <w:t>over-the-counter</w:t>
            </w:r>
          </w:p>
          <w:p>
            <w:pPr>
              <w:pStyle w:val="TableContents"/>
              <w:bidi w:val="0"/>
              <w:spacing w:before="0" w:after="0"/>
              <w:jc w:val="both"/>
              <w:rPr>
                <w:rFonts w:ascii="arial" w:hAnsi="arial"/>
                <w:sz w:val="18"/>
              </w:rPr>
            </w:pPr>
            <w:r>
              <w:rPr>
                <w:rFonts w:ascii="arial" w:hAnsi="arial"/>
                <w:sz w:val="18"/>
              </w:rPr>
              <w:t xml:space="preserve">business (“OTC Business”), such divestitures not being completed on the expected timelines or at all and the risk that the conditions set forth in the definitive agreements with respect to such divestitures will not be satisfied or waived;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with respect to previously announced divestitures, failure to realize the total transaction values for the divestitures and/or the expected proceeds for any or all such divestitures, including as a result of any purchase price adjustment or a failure to achieve any conditions to the payment of any contingent consideration;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goodwill or impairment charges or other losses related to the divestiture or sale of businesses or assets (including but not limited to announced divestitures that have not yet been consummated); </w:t>
            </w:r>
          </w:p>
        </w:tc>
      </w:tr>
    </w:tbl>
    <w:p>
      <w:pPr>
        <w:pStyle w:val="TextBody"/>
        <w:bidi w:val="0"/>
        <w:spacing w:before="0" w:after="0"/>
        <w:jc w:val="left"/>
        <w:rPr>
          <w:shd w:fill="FFFFFF" w:val="clear"/>
        </w:rPr>
      </w:pPr>
      <w:r>
        <w:rPr>
          <w:shd w:fill="FFFFFF" w:val="clear"/>
        </w:rPr>
        <w:t> </w:t>
      </w:r>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both"/>
              <w:rPr>
                <w:rFonts w:ascii="arial" w:hAnsi="arial"/>
                <w:sz w:val="18"/>
              </w:rPr>
            </w:pPr>
            <w:r>
              <w:rPr>
                <w:rFonts w:ascii="arial" w:hAnsi="arial"/>
                <w:sz w:val="18"/>
              </w:rPr>
              <w:t xml:space="preserve">the Company’s failure to achieve expected or targeted future financial and operating performance and results; </w:t>
            </w:r>
          </w:p>
        </w:tc>
      </w:tr>
    </w:tbl>
    <w:p>
      <w:pPr>
        <w:pStyle w:val="TextBody"/>
        <w:bidi w:val="0"/>
        <w:spacing w:before="0" w:after="0"/>
        <w:jc w:val="left"/>
        <w:rPr>
          <w:shd w:fill="FFFFFF" w:val="clear"/>
        </w:rPr>
      </w:pPr>
      <w:r>
        <w:rPr>
          <w:shd w:fill="FFFFFF" w:val="clear"/>
        </w:rPr>
        <w:t> </w:t>
      </w:r>
    </w:p>
    <w:tbl>
      <w:tblPr>
        <w:tblW w:w="6340" w:type="dxa"/>
        <w:jc w:val="left"/>
        <w:tblInd w:w="0" w:type="dxa"/>
        <w:tblLayout w:type="fixed"/>
        <w:tblCellMar>
          <w:top w:w="0" w:type="dxa"/>
          <w:left w:w="0" w:type="dxa"/>
          <w:bottom w:w="0" w:type="dxa"/>
          <w:right w:w="0" w:type="dxa"/>
        </w:tblCellMar>
      </w:tblPr>
      <w:tblGrid>
        <w:gridCol w:w="75"/>
        <w:gridCol w:w="110"/>
        <w:gridCol w:w="60"/>
        <w:gridCol w:w="6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0"/>
              <w:jc w:val="both"/>
              <w:rPr>
                <w:rFonts w:ascii="arial" w:hAnsi="arial"/>
                <w:sz w:val="18"/>
              </w:rPr>
            </w:pPr>
            <w:r>
              <w:rPr>
                <w:rFonts w:ascii="arial" w:hAnsi="arial"/>
                <w:sz w:val="18"/>
              </w:rPr>
              <w:t xml:space="preserve">the potential impact of public health outbreaks, epidemics and pandemics; </w:t>
            </w:r>
          </w:p>
        </w:tc>
      </w:tr>
    </w:tbl>
    <w:p>
      <w:pPr>
        <w:pStyle w:val="TextBody"/>
        <w:bidi w:val="0"/>
        <w:spacing w:before="0" w:after="0"/>
        <w:jc w:val="left"/>
        <w:rPr>
          <w:shd w:fill="FFFFFF" w:val="clear"/>
        </w:rPr>
      </w:pPr>
      <w:r>
        <w:rPr>
          <w:shd w:fill="FFFFFF" w:val="clear"/>
        </w:rPr>
        <w:t> </w:t>
      </w:r>
    </w:p>
    <w:tbl>
      <w:tblPr>
        <w:tblW w:w="5785" w:type="dxa"/>
        <w:jc w:val="left"/>
        <w:tblInd w:w="0" w:type="dxa"/>
        <w:tblLayout w:type="fixed"/>
        <w:tblCellMar>
          <w:top w:w="0" w:type="dxa"/>
          <w:left w:w="0" w:type="dxa"/>
          <w:bottom w:w="0" w:type="dxa"/>
          <w:right w:w="0" w:type="dxa"/>
        </w:tblCellMar>
      </w:tblPr>
      <w:tblGrid>
        <w:gridCol w:w="75"/>
        <w:gridCol w:w="110"/>
        <w:gridCol w:w="60"/>
        <w:gridCol w:w="5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0"/>
              <w:jc w:val="both"/>
              <w:rPr>
                <w:rFonts w:ascii="arial" w:hAnsi="arial"/>
                <w:sz w:val="18"/>
              </w:rPr>
            </w:pPr>
            <w:r>
              <w:rPr>
                <w:rFonts w:ascii="arial" w:hAnsi="arial"/>
                <w:sz w:val="18"/>
              </w:rPr>
              <w:t xml:space="preserve">actions and decisions of healthcare and pharmaceutical regulators;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changes in relevant laws, regulations and policies and/or the application or implementation thereof, including but not limited to tax, healthcare and pharmaceutical laws, regulations and policies globally (including the impact of recent and potential tax reform in the U.S. and pharmaceutical product pricing policies in China); </w:t>
            </w:r>
          </w:p>
        </w:tc>
      </w:tr>
    </w:tbl>
    <w:p>
      <w:pPr>
        <w:pStyle w:val="TextBody"/>
        <w:bidi w:val="0"/>
        <w:spacing w:before="0" w:after="0"/>
        <w:jc w:val="left"/>
        <w:rPr>
          <w:shd w:fill="FFFFFF" w:val="clear"/>
        </w:rPr>
      </w:pPr>
      <w:r>
        <w:rPr>
          <w:shd w:fill="FFFFFF" w:val="clear"/>
        </w:rPr>
        <w:t> </w:t>
      </w:r>
    </w:p>
    <w:tbl>
      <w:tblPr>
        <w:tblW w:w="4735" w:type="dxa"/>
        <w:jc w:val="left"/>
        <w:tblInd w:w="0" w:type="dxa"/>
        <w:tblLayout w:type="fixed"/>
        <w:tblCellMar>
          <w:top w:w="0" w:type="dxa"/>
          <w:left w:w="0" w:type="dxa"/>
          <w:bottom w:w="0" w:type="dxa"/>
          <w:right w:w="0" w:type="dxa"/>
        </w:tblCellMar>
      </w:tblPr>
      <w:tblGrid>
        <w:gridCol w:w="75"/>
        <w:gridCol w:w="110"/>
        <w:gridCol w:w="60"/>
        <w:gridCol w:w="4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0"/>
              <w:jc w:val="both"/>
              <w:rPr>
                <w:rFonts w:ascii="arial" w:hAnsi="arial"/>
                <w:sz w:val="18"/>
              </w:rPr>
            </w:pPr>
            <w:r>
              <w:rPr>
                <w:rFonts w:ascii="arial" w:hAnsi="arial"/>
                <w:sz w:val="18"/>
              </w:rPr>
              <w:t xml:space="preserve">the ability to attract, motivate and retain key personnel; </w:t>
            </w:r>
          </w:p>
        </w:tc>
      </w:tr>
    </w:tbl>
    <w:p>
      <w:pPr>
        <w:pStyle w:val="TextBody"/>
        <w:bidi w:val="0"/>
        <w:spacing w:before="0" w:after="0"/>
        <w:jc w:val="left"/>
        <w:rPr>
          <w:shd w:fill="FFFFFF" w:val="clear"/>
        </w:rPr>
      </w:pPr>
      <w:r>
        <w:rPr>
          <w:shd w:fill="FFFFFF" w:val="clear"/>
        </w:rPr>
        <w:t> </w:t>
      </w:r>
    </w:p>
    <w:tbl>
      <w:tblPr>
        <w:tblW w:w="6190" w:type="dxa"/>
        <w:jc w:val="left"/>
        <w:tblInd w:w="0" w:type="dxa"/>
        <w:tblLayout w:type="fixed"/>
        <w:tblCellMar>
          <w:top w:w="0" w:type="dxa"/>
          <w:left w:w="0" w:type="dxa"/>
          <w:bottom w:w="0" w:type="dxa"/>
          <w:right w:w="0" w:type="dxa"/>
        </w:tblCellMar>
      </w:tblPr>
      <w:tblGrid>
        <w:gridCol w:w="75"/>
        <w:gridCol w:w="110"/>
        <w:gridCol w:w="60"/>
        <w:gridCol w:w="5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both"/>
              <w:rPr>
                <w:rFonts w:ascii="arial" w:hAnsi="arial"/>
                <w:sz w:val="18"/>
              </w:rPr>
            </w:pPr>
            <w:r>
              <w:rPr>
                <w:rFonts w:ascii="arial" w:hAnsi="arial"/>
                <w:sz w:val="18"/>
              </w:rPr>
              <w:t xml:space="preserve">the Company’s liquidity, capital resources and ability to obtain financing;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any regulatory, legal or other impediments to the Company’s ability to bring new products to market, including but not limited to </w:t>
            </w:r>
          </w:p>
          <w:p>
            <w:pPr>
              <w:pStyle w:val="TableContents"/>
              <w:bidi w:val="0"/>
              <w:spacing w:before="0" w:after="0"/>
              <w:jc w:val="both"/>
              <w:rPr/>
            </w:pPr>
            <w:r>
              <w:rPr/>
              <w:t>“</w:t>
            </w:r>
            <w:r>
              <w:rPr>
                <w:rFonts w:ascii="arial" w:hAnsi="arial"/>
                <w:sz w:val="18"/>
              </w:rPr>
              <w:t>at-risk</w:t>
            </w:r>
          </w:p>
          <w:p>
            <w:pPr>
              <w:pStyle w:val="TableContents"/>
              <w:bidi w:val="0"/>
              <w:spacing w:before="0" w:after="0"/>
              <w:jc w:val="both"/>
              <w:rPr>
                <w:rFonts w:ascii="arial" w:hAnsi="arial"/>
                <w:sz w:val="18"/>
              </w:rPr>
            </w:pPr>
            <w:r>
              <w:rPr>
                <w:rFonts w:ascii="arial" w:hAnsi="arial"/>
                <w:sz w:val="18"/>
              </w:rPr>
              <w:t xml:space="preserve">launches”;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success of clinical trials and the Company’s or its partners’ ability to execute on new product opportunities and develop, manufacture and commercialize products;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any changes in or difficulties with the Company’s manufacturing facilities, including with respect to inspections, remediation and restructuring activities, supply chain or inventory or the ability to meet anticipated demand;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the scope, timing and outcome of any ongoing legal proceedings, including government inquiries or investigations, and the impact of any such proceedings on the Company; </w:t>
            </w:r>
          </w:p>
        </w:tc>
      </w:tr>
    </w:tbl>
    <w:p>
      <w:pPr>
        <w:pStyle w:val="TextBody"/>
        <w:bidi w:val="0"/>
        <w:spacing w:before="0" w:after="0"/>
        <w:jc w:val="left"/>
        <w:rPr>
          <w:shd w:fill="FFFFFF" w:val="clear"/>
        </w:rPr>
      </w:pPr>
      <w:r>
        <w:rPr>
          <w:shd w:fill="FFFFFF" w:val="clea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both"/>
              <w:rPr>
                <w:rFonts w:ascii="arial" w:hAnsi="arial"/>
                <w:sz w:val="18"/>
              </w:rPr>
            </w:pPr>
            <w:r>
              <w:rPr>
                <w:rFonts w:ascii="arial" w:hAnsi="arial"/>
                <w:sz w:val="18"/>
              </w:rPr>
              <w:t xml:space="preserve">any significant breach of data security or data privacy or disruptions to our information technology (“IT”) systems; </w:t>
            </w:r>
          </w:p>
        </w:tc>
      </w:tr>
    </w:tbl>
    <w:p>
      <w:pPr>
        <w:pStyle w:val="TextBody"/>
        <w:bidi w:val="0"/>
        <w:spacing w:before="0" w:after="0"/>
        <w:jc w:val="left"/>
        <w:rPr>
          <w:shd w:fill="FFFFFF" w:val="clear"/>
        </w:rPr>
      </w:pPr>
      <w:r>
        <w:rPr>
          <w:shd w:fill="FFFFFF" w:val="clear"/>
        </w:rPr>
        <w:t> </w:t>
      </w:r>
    </w:p>
    <w:tbl>
      <w:tblPr>
        <w:tblW w:w="5125" w:type="dxa"/>
        <w:jc w:val="left"/>
        <w:tblInd w:w="0" w:type="dxa"/>
        <w:tblLayout w:type="fixed"/>
        <w:tblCellMar>
          <w:top w:w="0" w:type="dxa"/>
          <w:left w:w="0" w:type="dxa"/>
          <w:bottom w:w="0" w:type="dxa"/>
          <w:right w:w="0" w:type="dxa"/>
        </w:tblCellMar>
      </w:tblPr>
      <w:tblGrid>
        <w:gridCol w:w="75"/>
        <w:gridCol w:w="110"/>
        <w:gridCol w:w="60"/>
        <w:gridCol w:w="4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0"/>
              <w:jc w:val="both"/>
              <w:rPr>
                <w:rFonts w:ascii="arial" w:hAnsi="arial"/>
                <w:sz w:val="18"/>
              </w:rPr>
            </w:pPr>
            <w:r>
              <w:rPr>
                <w:rFonts w:ascii="arial" w:hAnsi="arial"/>
                <w:sz w:val="18"/>
              </w:rPr>
              <w:t xml:space="preserve">risks associated with having significant operations globally; </w:t>
            </w:r>
          </w:p>
        </w:tc>
      </w:tr>
    </w:tbl>
    <w:p>
      <w:pPr>
        <w:pStyle w:val="TextBody"/>
        <w:bidi w:val="0"/>
        <w:spacing w:before="0" w:after="0"/>
        <w:jc w:val="left"/>
        <w:rPr>
          <w:shd w:fill="FFFFFF" w:val="clear"/>
        </w:rPr>
      </w:pPr>
      <w:r>
        <w:rPr>
          <w:shd w:fill="FFFFFF" w:val="clear"/>
        </w:rPr>
        <w:t> </w:t>
      </w:r>
    </w:p>
    <w:tbl>
      <w:tblPr>
        <w:tblW w:w="6865" w:type="dxa"/>
        <w:jc w:val="left"/>
        <w:tblInd w:w="0" w:type="dxa"/>
        <w:tblLayout w:type="fixed"/>
        <w:tblCellMar>
          <w:top w:w="0" w:type="dxa"/>
          <w:left w:w="0" w:type="dxa"/>
          <w:bottom w:w="0" w:type="dxa"/>
          <w:right w:w="0" w:type="dxa"/>
        </w:tblCellMar>
      </w:tblPr>
      <w:tblGrid>
        <w:gridCol w:w="75"/>
        <w:gridCol w:w="110"/>
        <w:gridCol w:w="60"/>
        <w:gridCol w:w="6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both"/>
              <w:rPr>
                <w:rFonts w:ascii="arial" w:hAnsi="arial"/>
                <w:sz w:val="18"/>
              </w:rPr>
            </w:pPr>
            <w:r>
              <w:rPr>
                <w:rFonts w:ascii="arial" w:hAnsi="arial"/>
                <w:sz w:val="18"/>
              </w:rPr>
              <w:t xml:space="preserve">the ability to protect intellectual property and preserve intellectual property rights; </w:t>
            </w:r>
          </w:p>
        </w:tc>
      </w:tr>
    </w:tbl>
    <w:p>
      <w:pPr>
        <w:pStyle w:val="TextBody"/>
        <w:bidi w:val="0"/>
        <w:spacing w:before="0" w:after="0"/>
        <w:jc w:val="left"/>
        <w:rPr>
          <w:shd w:fill="FFFFFF" w:val="clear"/>
        </w:rPr>
      </w:pPr>
      <w:r>
        <w:rPr>
          <w:shd w:fill="FFFFFF" w:val="clear"/>
        </w:rPr>
        <w:t> </w:t>
      </w:r>
    </w:p>
    <w:tbl>
      <w:tblPr>
        <w:tblW w:w="3235" w:type="dxa"/>
        <w:jc w:val="left"/>
        <w:tblInd w:w="0" w:type="dxa"/>
        <w:tblLayout w:type="fixed"/>
        <w:tblCellMar>
          <w:top w:w="0" w:type="dxa"/>
          <w:left w:w="0" w:type="dxa"/>
          <w:bottom w:w="0" w:type="dxa"/>
          <w:right w:w="0" w:type="dxa"/>
        </w:tblCellMar>
      </w:tblPr>
      <w:tblGrid>
        <w:gridCol w:w="75"/>
        <w:gridCol w:w="110"/>
        <w:gridCol w:w="60"/>
        <w:gridCol w:w="2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both"/>
              <w:rPr>
                <w:rFonts w:ascii="arial" w:hAnsi="arial"/>
                <w:sz w:val="18"/>
              </w:rPr>
            </w:pPr>
            <w:r>
              <w:rPr>
                <w:rFonts w:ascii="arial" w:hAnsi="arial"/>
                <w:sz w:val="18"/>
              </w:rPr>
              <w:t xml:space="preserve">changes in third-party relationships;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the effect of any changes in the Company’s or its partners’ customer and supplier relationships and customer purchasing patterns, including customer loss and business disruption being greater than expected following an acquisition or divestiture;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the impacts of competition, including decreases in sales or revenues as a result of the loss of market exclusivity for certain products; </w:t>
            </w:r>
          </w:p>
        </w:tc>
      </w:tr>
    </w:tbl>
    <w:p>
      <w:pPr>
        <w:pStyle w:val="TextBody"/>
        <w:bidi w:val="0"/>
        <w:spacing w:before="0" w:after="0"/>
        <w:jc w:val="left"/>
        <w:rPr>
          <w:shd w:fill="FFFFFF" w:val="clear"/>
        </w:rPr>
      </w:pPr>
      <w:r>
        <w:rPr>
          <w:shd w:fill="FFFFFF" w:val="clear"/>
        </w:rPr>
        <w:t> </w:t>
      </w:r>
    </w:p>
    <w:tbl>
      <w:tblPr>
        <w:tblW w:w="6880" w:type="dxa"/>
        <w:jc w:val="left"/>
        <w:tblInd w:w="0" w:type="dxa"/>
        <w:tblLayout w:type="fixed"/>
        <w:tblCellMar>
          <w:top w:w="0" w:type="dxa"/>
          <w:left w:w="0" w:type="dxa"/>
          <w:bottom w:w="0" w:type="dxa"/>
          <w:right w:w="0" w:type="dxa"/>
        </w:tblCellMar>
      </w:tblPr>
      <w:tblGrid>
        <w:gridCol w:w="75"/>
        <w:gridCol w:w="110"/>
        <w:gridCol w:w="60"/>
        <w:gridCol w:w="6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both"/>
              <w:rPr>
                <w:rFonts w:ascii="arial" w:hAnsi="arial"/>
                <w:sz w:val="18"/>
              </w:rPr>
            </w:pPr>
            <w:r>
              <w:rPr>
                <w:rFonts w:ascii="arial" w:hAnsi="arial"/>
                <w:sz w:val="18"/>
              </w:rPr>
              <w:t xml:space="preserve">changes in the economic and financial conditions of the Company or its partners; </w:t>
            </w:r>
          </w:p>
        </w:tc>
      </w:tr>
    </w:tbl>
    <w:p>
      <w:pPr>
        <w:pStyle w:val="TextBody"/>
        <w:bidi w:val="0"/>
        <w:spacing w:before="0" w:after="0"/>
        <w:jc w:val="left"/>
        <w:rPr>
          <w:shd w:fill="FFFFFF" w:val="clear"/>
        </w:rPr>
      </w:pPr>
      <w:r>
        <w:rPr>
          <w:shd w:fill="FFFFFF" w:val="clear"/>
        </w:rPr>
        <w:t> </w:t>
      </w:r>
    </w:p>
    <w:tbl>
      <w:tblPr>
        <w:tblW w:w="8050" w:type="dxa"/>
        <w:jc w:val="left"/>
        <w:tblInd w:w="0" w:type="dxa"/>
        <w:tblLayout w:type="fixed"/>
        <w:tblCellMar>
          <w:top w:w="0" w:type="dxa"/>
          <w:left w:w="0" w:type="dxa"/>
          <w:bottom w:w="0" w:type="dxa"/>
          <w:right w:w="0" w:type="dxa"/>
        </w:tblCellMar>
      </w:tblPr>
      <w:tblGrid>
        <w:gridCol w:w="75"/>
        <w:gridCol w:w="110"/>
        <w:gridCol w:w="60"/>
        <w:gridCol w:w="7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0"/>
              <w:jc w:val="both"/>
              <w:rPr>
                <w:rFonts w:ascii="arial" w:hAnsi="arial"/>
                <w:sz w:val="18"/>
              </w:rPr>
            </w:pPr>
            <w:r>
              <w:rPr>
                <w:rFonts w:ascii="arial" w:hAnsi="arial"/>
                <w:sz w:val="18"/>
              </w:rPr>
              <w:t xml:space="preserve">uncertainties regarding future demand, pricing and reimbursement for the Company’s products;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uncertainties and matters beyond the control of management, including but not limited to general political and economic conditions, inflation rates and global exchange rates; and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inherent uncertainties involved in the estimates and judgments used in the preparation of financial statements, and the providing of estimates of financial measures, in accordance with U.S. GAAP and related standards or on an adjusted basis. </w:t>
            </w:r>
          </w:p>
        </w:tc>
      </w:tr>
    </w:tbl>
    <w:p>
      <w:pPr>
        <w:pStyle w:val="TextBody"/>
        <w:bidi w:val="0"/>
        <w:spacing w:before="240" w:after="0"/>
        <w:jc w:val="both"/>
        <w:rPr>
          <w:rFonts w:ascii="arial" w:hAnsi="arial"/>
          <w:sz w:val="18"/>
          <w:shd w:fill="FFFFFF" w:val="clear"/>
        </w:rPr>
      </w:pPr>
      <w:r>
        <w:rPr>
          <w:rFonts w:ascii="arial" w:hAnsi="arial"/>
          <w:sz w:val="18"/>
          <w:shd w:fill="FFFFFF" w:val="clear"/>
        </w:rPr>
        <w:t xml:space="preserve">For more detailed information on the risks and uncertainties associated with Viatris, see the risks described in Part I, Item 1A of the Original Filing and our other filings with the SEC. </w:t>
      </w:r>
    </w:p>
    <w:p>
      <w:pPr>
        <w:pStyle w:val="TextBody"/>
        <w:bidi w:val="0"/>
        <w:spacing w:before="240" w:after="0"/>
        <w:jc w:val="both"/>
        <w:rPr>
          <w:rFonts w:ascii="arial" w:hAnsi="arial"/>
          <w:sz w:val="18"/>
          <w:shd w:fill="FFFFFF" w:val="clear"/>
        </w:rPr>
      </w:pPr>
      <w:r>
        <w:rPr>
          <w:rFonts w:ascii="arial" w:hAnsi="arial"/>
          <w:sz w:val="18"/>
          <w:shd w:fill="FFFFFF" w:val="clear"/>
        </w:rPr>
        <w:t xml:space="preserve">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w:t>
      </w:r>
    </w:p>
    <w:p>
      <w:pPr>
        <w:pStyle w:val="TextBody"/>
        <w:bidi w:val="0"/>
        <w:spacing w:before="240" w:after="0"/>
        <w:jc w:val="both"/>
        <w:rPr>
          <w:rFonts w:ascii="arial" w:hAnsi="arial"/>
          <w:sz w:val="18"/>
          <w:shd w:fill="FFFFFF" w:val="clear"/>
        </w:rPr>
      </w:pPr>
      <w:r>
        <w:rPr>
          <w:rFonts w:ascii="arial" w:hAnsi="arial"/>
          <w:sz w:val="18"/>
          <w:shd w:fill="FFFFFF" w:val="clear"/>
        </w:rPr>
        <w:t>non-exclusionary</w:t>
      </w:r>
    </w:p>
    <w:p>
      <w:pPr>
        <w:pStyle w:val="TextBody"/>
        <w:bidi w:val="0"/>
        <w:spacing w:before="240" w:after="0"/>
        <w:jc w:val="both"/>
        <w:rPr>
          <w:rFonts w:ascii="arial" w:hAnsi="arial"/>
          <w:sz w:val="18"/>
          <w:shd w:fill="FFFFFF" w:val="clear"/>
        </w:rPr>
      </w:pPr>
      <w:r>
        <w:rPr>
          <w:rFonts w:ascii="arial" w:hAnsi="arial"/>
          <w:sz w:val="18"/>
          <w:shd w:fill="FFFFFF" w:val="clear"/>
        </w:rPr>
        <w:t xml:space="preserve">manner for purposes of the SEC’s Regulation Fair Disclosure (Reg FD). The contents of our website are not incorporated by reference in this Amendment and shall not be deemed “filed” under the Securities Exchange Act of 1934, as amended (the “Exchange Act”). Viatris undertakes no obligation to update any statements herein for revisions or changes after the filing date of this Amendment other than as required by law. </w:t>
      </w:r>
    </w:p>
    <w:p>
      <w:pPr>
        <w:pStyle w:val="TextBody"/>
        <w:bidi w:val="0"/>
        <w:spacing w:before="360" w:after="0"/>
        <w:jc w:val="left"/>
        <w:rPr>
          <w:rFonts w:ascii="ARIAL" w:hAnsi="ARIAL"/>
          <w:b/>
          <w:sz w:val="20"/>
          <w:shd w:fill="FFFFFF" w:val="clear"/>
        </w:rPr>
      </w:pPr>
      <w:r>
        <w:rPr>
          <w:rFonts w:ascii="ARIAL" w:hAnsi="ARIAL"/>
          <w:b/>
          <w:sz w:val="20"/>
          <w:shd w:fill="FFFFFF" w:val="clear"/>
        </w:rPr>
        <w:t>Non-GAAP</w:t>
      </w:r>
    </w:p>
    <w:p>
      <w:pPr>
        <w:pStyle w:val="TextBody"/>
        <w:bidi w:val="0"/>
        <w:spacing w:before="360" w:after="0"/>
        <w:jc w:val="left"/>
        <w:rPr>
          <w:rFonts w:ascii="ARIAL" w:hAnsi="ARIAL"/>
          <w:b/>
          <w:sz w:val="20"/>
          <w:shd w:fill="FFFFFF" w:val="clear"/>
        </w:rPr>
      </w:pPr>
      <w:r>
        <w:rPr>
          <w:rFonts w:ascii="ARIAL" w:hAnsi="ARIAL"/>
          <w:b/>
          <w:sz w:val="20"/>
          <w:shd w:fill="FFFFFF" w:val="clear"/>
        </w:rPr>
        <w:t xml:space="preserve">Financial Measures </w:t>
      </w:r>
    </w:p>
    <w:p>
      <w:pPr>
        <w:pStyle w:val="TextBody"/>
        <w:bidi w:val="0"/>
        <w:spacing w:before="120" w:after="0"/>
        <w:jc w:val="both"/>
        <w:rPr>
          <w:rFonts w:ascii="arial" w:hAnsi="arial"/>
          <w:sz w:val="18"/>
          <w:shd w:fill="FFFFFF" w:val="clear"/>
        </w:rPr>
      </w:pPr>
      <w:r>
        <w:rPr>
          <w:rFonts w:ascii="arial" w:hAnsi="arial"/>
          <w:sz w:val="18"/>
          <w:shd w:fill="FFFFFF" w:val="clear"/>
        </w:rPr>
        <w:t xml:space="preserve">This Amendment includes the presentation and discussion of certain financial information that differs from what is reported under U.S. GAAP. These </w:t>
      </w:r>
    </w:p>
    <w:p>
      <w:pPr>
        <w:pStyle w:val="TextBody"/>
        <w:bidi w:val="0"/>
        <w:spacing w:before="120" w:after="0"/>
        <w:jc w:val="both"/>
        <w:rPr>
          <w:rFonts w:ascii="arial" w:hAnsi="arial"/>
          <w:sz w:val="18"/>
          <w:shd w:fill="FFFFFF" w:val="clear"/>
        </w:rPr>
      </w:pPr>
      <w:r>
        <w:rPr>
          <w:rFonts w:ascii="arial" w:hAnsi="arial"/>
          <w:sz w:val="18"/>
          <w:shd w:fill="FFFFFF" w:val="clear"/>
        </w:rPr>
        <w:t>non-GAAP</w:t>
      </w:r>
    </w:p>
    <w:p>
      <w:pPr>
        <w:pStyle w:val="TextBody"/>
        <w:bidi w:val="0"/>
        <w:spacing w:before="120" w:after="0"/>
        <w:jc w:val="both"/>
        <w:rPr>
          <w:rFonts w:ascii="arial" w:hAnsi="arial"/>
          <w:sz w:val="18"/>
          <w:shd w:fill="FFFFFF" w:val="clear"/>
        </w:rPr>
      </w:pPr>
      <w:r>
        <w:rPr>
          <w:rFonts w:ascii="arial" w:hAnsi="arial"/>
          <w:sz w:val="18"/>
          <w:shd w:fill="FFFFFF" w:val="clear"/>
        </w:rPr>
        <w:t xml:space="preserve">financial measures, including adjusted EBITDA, free cash flow and gross leverage ratio, are presented in order to supplement investors’ and other readers’ understanding and assessment of Viatris’ financial performance. Management uses these measures internally for forecasting, budgeting, measuring its operating performance, and incentive-based awards. Primarily due to acquisitions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w:t>
      </w:r>
    </w:p>
    <w:p>
      <w:pPr>
        <w:pStyle w:val="TextBody"/>
        <w:bidi w:val="0"/>
        <w:spacing w:before="120" w:after="0"/>
        <w:jc w:val="both"/>
        <w:rPr>
          <w:rFonts w:ascii="arial" w:hAnsi="arial"/>
          <w:sz w:val="18"/>
          <w:shd w:fill="FFFFFF" w:val="clear"/>
        </w:rPr>
      </w:pPr>
      <w:r>
        <w:rPr>
          <w:rFonts w:ascii="arial" w:hAnsi="arial"/>
          <w:sz w:val="18"/>
          <w:shd w:fill="FFFFFF" w:val="clear"/>
        </w:rPr>
        <w:t>non-GAAP</w:t>
      </w:r>
    </w:p>
    <w:p>
      <w:pPr>
        <w:pStyle w:val="TextBody"/>
        <w:bidi w:val="0"/>
        <w:spacing w:before="120" w:after="0"/>
        <w:jc w:val="both"/>
        <w:rPr>
          <w:rFonts w:ascii="arial" w:hAnsi="arial"/>
          <w:sz w:val="18"/>
          <w:shd w:fill="FFFFFF" w:val="clear"/>
        </w:rPr>
      </w:pPr>
      <w:r>
        <w:rPr>
          <w:rFonts w:ascii="arial" w:hAnsi="arial"/>
          <w:sz w:val="18"/>
          <w:shd w:fill="FFFFFF" w:val="clear"/>
        </w:rPr>
        <w:t xml:space="preserve">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these adjusted metrics,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Appendix A to this Amendment contains reconciliations of such </w:t>
      </w:r>
    </w:p>
    <w:p>
      <w:pPr>
        <w:pStyle w:val="TextBody"/>
        <w:bidi w:val="0"/>
        <w:spacing w:before="120" w:after="0"/>
        <w:jc w:val="both"/>
        <w:rPr>
          <w:rFonts w:ascii="arial" w:hAnsi="arial"/>
          <w:sz w:val="18"/>
          <w:shd w:fill="FFFFFF" w:val="clear"/>
        </w:rPr>
      </w:pPr>
      <w:r>
        <w:rPr>
          <w:rFonts w:ascii="arial" w:hAnsi="arial"/>
          <w:sz w:val="18"/>
          <w:shd w:fill="FFFFFF" w:val="clear"/>
        </w:rPr>
        <w:t>non-GAAP</w:t>
      </w:r>
    </w:p>
    <w:p>
      <w:pPr>
        <w:pStyle w:val="TextBody"/>
        <w:bidi w:val="0"/>
        <w:spacing w:before="120" w:after="0"/>
        <w:jc w:val="both"/>
        <w:rPr>
          <w:rFonts w:ascii="arial" w:hAnsi="arial"/>
          <w:sz w:val="18"/>
          <w:shd w:fill="FFFFFF" w:val="clear"/>
        </w:rPr>
      </w:pPr>
      <w:r>
        <w:rPr>
          <w:rFonts w:ascii="arial" w:hAnsi="arial"/>
          <w:sz w:val="18"/>
          <w:shd w:fill="FFFFFF" w:val="clear"/>
        </w:rPr>
        <w:t xml:space="preserve">financial measures to the most directly comparable U.S. GAAP financial measures. Investors and other readers are encouraged to review the related U.S. GAAP financial measures and the reconciliations of the </w:t>
      </w:r>
    </w:p>
    <w:p>
      <w:pPr>
        <w:pStyle w:val="TextBody"/>
        <w:bidi w:val="0"/>
        <w:spacing w:before="120" w:after="0"/>
        <w:jc w:val="both"/>
        <w:rPr>
          <w:rFonts w:ascii="arial" w:hAnsi="arial"/>
          <w:sz w:val="18"/>
          <w:shd w:fill="FFFFFF" w:val="clear"/>
        </w:rPr>
      </w:pPr>
      <w:r>
        <w:rPr>
          <w:rFonts w:ascii="arial" w:hAnsi="arial"/>
          <w:sz w:val="18"/>
          <w:shd w:fill="FFFFFF" w:val="clear"/>
        </w:rPr>
        <w:t>non-GAAP</w:t>
      </w:r>
    </w:p>
    <w:p>
      <w:pPr>
        <w:pStyle w:val="TextBody"/>
        <w:bidi w:val="0"/>
        <w:spacing w:before="120" w:after="0"/>
        <w:jc w:val="both"/>
        <w:rPr>
          <w:rFonts w:ascii="arial" w:hAnsi="arial"/>
          <w:sz w:val="18"/>
          <w:shd w:fill="FFFFFF" w:val="clear"/>
        </w:rPr>
      </w:pPr>
      <w:r>
        <w:rPr>
          <w:rFonts w:ascii="arial" w:hAnsi="arial"/>
          <w:sz w:val="18"/>
          <w:shd w:fill="FFFFFF" w:val="clear"/>
        </w:rPr>
        <w:t xml:space="preserve">measures to their most directly comparable U.S. GAAP measures set forth in Appendix A, and investors and other readers should consider </w:t>
      </w:r>
    </w:p>
    <w:p>
      <w:pPr>
        <w:pStyle w:val="TextBody"/>
        <w:bidi w:val="0"/>
        <w:spacing w:before="120" w:after="0"/>
        <w:jc w:val="both"/>
        <w:rPr>
          <w:rFonts w:ascii="arial" w:hAnsi="arial"/>
          <w:sz w:val="18"/>
          <w:shd w:fill="FFFFFF" w:val="clear"/>
        </w:rPr>
      </w:pPr>
      <w:r>
        <w:rPr>
          <w:rFonts w:ascii="arial" w:hAnsi="arial"/>
          <w:sz w:val="18"/>
          <w:shd w:fill="FFFFFF" w:val="clear"/>
        </w:rPr>
        <w:t>non-GAAP</w:t>
      </w:r>
    </w:p>
    <w:p>
      <w:pPr>
        <w:pStyle w:val="TextBody"/>
        <w:bidi w:val="0"/>
        <w:spacing w:before="120" w:after="283"/>
        <w:jc w:val="both"/>
        <w:rPr>
          <w:rFonts w:ascii="arial" w:hAnsi="arial"/>
          <w:sz w:val="18"/>
          <w:shd w:fill="FFFFFF" w:val="clear"/>
        </w:rPr>
      </w:pPr>
      <w:r>
        <w:rPr>
          <w:rFonts w:ascii="arial" w:hAnsi="arial"/>
          <w:sz w:val="18"/>
          <w:shd w:fill="FFFFFF" w:val="clear"/>
        </w:rPr>
        <w:t xml:space="preserve">measures only as supplements to, not as substitutes for or as superior measures to, the measures of financial performance prepared in accordance with U.S. GAAP. </w:t>
      </w:r>
      <w:r>
        <w:br w:type="page"/>
      </w:r>
    </w:p>
    <w:p>
      <w:pPr>
        <w:pStyle w:val="HorizontalLine"/>
        <w:bidi w:val="0"/>
        <w:jc w:val="left"/>
        <w:rPr/>
      </w:pPr>
      <w:r>
        <w:rPr/>
      </w:r>
    </w:p>
    <w:p>
      <w:pPr>
        <w:pStyle w:val="TextBody"/>
        <w:bidi w:val="0"/>
        <w:spacing w:before="0" w:after="0"/>
        <w:jc w:val="center"/>
        <w:rPr>
          <w:rFonts w:ascii="ARIAL" w:hAnsi="ARIAL"/>
          <w:b/>
          <w:sz w:val="20"/>
        </w:rPr>
      </w:pPr>
      <w:r>
        <w:rPr>
          <w:rFonts w:ascii="ARIAL" w:hAnsi="ARIAL"/>
          <w:b/>
          <w:sz w:val="20"/>
        </w:rPr>
        <w:t xml:space="preserve">VIATRIS INC. </w:t>
      </w:r>
    </w:p>
    <w:p>
      <w:pPr>
        <w:pStyle w:val="TextBody"/>
        <w:bidi w:val="0"/>
        <w:spacing w:before="120" w:after="0"/>
        <w:jc w:val="center"/>
        <w:rPr>
          <w:rFonts w:ascii="ARIAL" w:hAnsi="ARIAL"/>
          <w:b/>
          <w:sz w:val="20"/>
        </w:rPr>
      </w:pPr>
      <w:r>
        <w:rPr>
          <w:rFonts w:ascii="ARIAL" w:hAnsi="ARIAL"/>
          <w:b/>
          <w:sz w:val="20"/>
        </w:rPr>
        <w:t xml:space="preserve">INDEX TO FORM 10-K/A </w:t>
      </w:r>
    </w:p>
    <w:p>
      <w:pPr>
        <w:pStyle w:val="TextBody"/>
        <w:bidi w:val="0"/>
        <w:spacing w:before="0" w:after="0"/>
        <w:jc w:val="center"/>
        <w:rPr>
          <w:rFonts w:ascii="ARIAL" w:hAnsi="ARIAL"/>
          <w:b/>
          <w:sz w:val="20"/>
        </w:rPr>
      </w:pPr>
      <w:r>
        <w:rPr>
          <w:rFonts w:ascii="ARIAL" w:hAnsi="ARIAL"/>
          <w:b/>
          <w:sz w:val="20"/>
        </w:rPr>
        <w:t xml:space="preserve">For the Year Ended December 31,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37"/>
        <w:gridCol w:w="120"/>
        <w:gridCol w:w="8567"/>
        <w:gridCol w:w="120"/>
        <w:gridCol w:w="86"/>
        <w:gridCol w:w="399"/>
        <w:gridCol w:w="76"/>
      </w:tblGrid>
      <w:tr>
        <w:trPr/>
        <w:tc>
          <w:tcPr>
            <w:tcW w:w="8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83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6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5" w:type="dxa"/>
            <w:gridSpan w:val="2"/>
            <w:tcBorders/>
            <w:vAlign w:val="center"/>
          </w:tcPr>
          <w:p>
            <w:pPr>
              <w:pStyle w:val="TableContents"/>
              <w:bidi w:val="0"/>
              <w:spacing w:before="0" w:after="283"/>
              <w:jc w:val="center"/>
              <w:rPr/>
            </w:pPr>
            <w:r>
              <w:rPr/>
              <w:t>Page</w:t>
            </w:r>
          </w:p>
        </w:tc>
        <w:tc>
          <w:tcPr>
            <w:tcW w:w="76" w:type="dxa"/>
            <w:tcBorders/>
            <w:vAlign w:val="center"/>
          </w:tcPr>
          <w:p>
            <w:pPr>
              <w:pStyle w:val="TableContents"/>
              <w:bidi w:val="0"/>
              <w:spacing w:before="0" w:after="283"/>
              <w:jc w:val="left"/>
              <w:rPr/>
            </w:pPr>
            <w:r>
              <w:rPr/>
              <w:t> </w:t>
            </w:r>
          </w:p>
        </w:tc>
      </w:tr>
      <w:tr>
        <w:trPr/>
        <w:tc>
          <w:tcPr>
            <w:tcW w:w="9524" w:type="dxa"/>
            <w:gridSpan w:val="3"/>
            <w:tcBorders/>
            <w:vAlign w:val="center"/>
          </w:tcPr>
          <w:p>
            <w:pPr>
              <w:pStyle w:val="TableContents"/>
              <w:bidi w:val="0"/>
              <w:spacing w:before="0" w:after="283"/>
              <w:jc w:val="center"/>
              <w:rPr/>
            </w:pPr>
            <w:r>
              <w:rPr/>
              <w:t>PART III</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837" w:type="dxa"/>
            <w:tcBorders/>
            <w:vAlign w:val="center"/>
          </w:tcPr>
          <w:p>
            <w:pPr>
              <w:pStyle w:val="TableContents"/>
              <w:bidi w:val="0"/>
              <w:spacing w:before="0" w:after="0"/>
              <w:jc w:val="left"/>
              <w:rPr>
                <w:rFonts w:ascii="ARIAL" w:hAnsi="ARIAL"/>
                <w:sz w:val="20"/>
              </w:rPr>
            </w:pPr>
            <w:r>
              <w:rPr>
                <w:rFonts w:ascii="ARIAL" w:hAnsi="ARIAL"/>
                <w:sz w:val="20"/>
              </w:rPr>
              <w:t>ITEM 10.</w:t>
            </w:r>
          </w:p>
        </w:tc>
        <w:tc>
          <w:tcPr>
            <w:tcW w:w="120" w:type="dxa"/>
            <w:tcBorders/>
            <w:vAlign w:val="center"/>
          </w:tcPr>
          <w:p>
            <w:pPr>
              <w:pStyle w:val="TableContents"/>
              <w:bidi w:val="0"/>
              <w:spacing w:before="0" w:after="283"/>
              <w:jc w:val="left"/>
              <w:rPr/>
            </w:pPr>
            <w:r>
              <w:rPr/>
              <w:t>  </w:t>
            </w:r>
          </w:p>
        </w:tc>
        <w:tc>
          <w:tcPr>
            <w:tcW w:w="8567" w:type="dxa"/>
            <w:tcBorders/>
            <w:vAlign w:val="center"/>
          </w:tcPr>
          <w:p>
            <w:pPr>
              <w:pStyle w:val="TableContents"/>
              <w:bidi w:val="0"/>
              <w:spacing w:before="0" w:after="0"/>
              <w:jc w:val="left"/>
              <w:rPr/>
            </w:pPr>
            <w:hyperlink w:anchor="toc758146_1">
              <w:r>
                <w:rPr>
                  <w:rStyle w:val="InternetLink"/>
                  <w:rFonts w:ascii="ARIAL" w:hAnsi="ARIAL"/>
                  <w:sz w:val="20"/>
                </w:rPr>
                <w:t>Directors, Executive Officers and Corporate Governance</w:t>
              </w:r>
            </w:hyperlink>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right"/>
              <w:rPr/>
            </w:pPr>
            <w:r>
              <w:rPr/>
              <w:t>1</w:t>
            </w:r>
          </w:p>
        </w:tc>
        <w:tc>
          <w:tcPr>
            <w:tcW w:w="76" w:type="dxa"/>
            <w:tcBorders/>
            <w:vAlign w:val="center"/>
          </w:tcPr>
          <w:p>
            <w:pPr>
              <w:pStyle w:val="TableContents"/>
              <w:bidi w:val="0"/>
              <w:spacing w:before="0" w:after="283"/>
              <w:jc w:val="left"/>
              <w:rPr/>
            </w:pPr>
            <w:r>
              <w:rPr/>
              <w:t> </w:t>
            </w:r>
          </w:p>
        </w:tc>
      </w:tr>
      <w:tr>
        <w:trPr/>
        <w:tc>
          <w:tcPr>
            <w:tcW w:w="837" w:type="dxa"/>
            <w:tcBorders/>
            <w:vAlign w:val="center"/>
          </w:tcPr>
          <w:p>
            <w:pPr>
              <w:pStyle w:val="TableContents"/>
              <w:bidi w:val="0"/>
              <w:spacing w:before="0" w:after="0"/>
              <w:jc w:val="left"/>
              <w:rPr>
                <w:rFonts w:ascii="ARIAL" w:hAnsi="ARIAL"/>
                <w:sz w:val="20"/>
              </w:rPr>
            </w:pPr>
            <w:r>
              <w:rPr>
                <w:rFonts w:ascii="ARIAL" w:hAnsi="ARIAL"/>
                <w:sz w:val="20"/>
              </w:rPr>
              <w:t>ITEM 11.</w:t>
            </w:r>
          </w:p>
        </w:tc>
        <w:tc>
          <w:tcPr>
            <w:tcW w:w="120" w:type="dxa"/>
            <w:tcBorders/>
            <w:vAlign w:val="center"/>
          </w:tcPr>
          <w:p>
            <w:pPr>
              <w:pStyle w:val="TableContents"/>
              <w:bidi w:val="0"/>
              <w:spacing w:before="0" w:after="283"/>
              <w:jc w:val="left"/>
              <w:rPr/>
            </w:pPr>
            <w:r>
              <w:rPr/>
              <w:t>  </w:t>
            </w:r>
          </w:p>
        </w:tc>
        <w:tc>
          <w:tcPr>
            <w:tcW w:w="8567" w:type="dxa"/>
            <w:tcBorders/>
            <w:vAlign w:val="center"/>
          </w:tcPr>
          <w:p>
            <w:pPr>
              <w:pStyle w:val="TableContents"/>
              <w:bidi w:val="0"/>
              <w:spacing w:before="0" w:after="283"/>
              <w:jc w:val="left"/>
              <w:rPr/>
            </w:pPr>
            <w:hyperlink w:anchor="toc758146_2">
              <w:r>
                <w:rPr>
                  <w:rStyle w:val="InternetLink"/>
                </w:rPr>
                <w:t>Executive Compensation</w:t>
              </w:r>
            </w:hyperlink>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right"/>
              <w:rPr/>
            </w:pPr>
            <w:r>
              <w:rPr/>
              <w:t>27</w:t>
            </w:r>
          </w:p>
        </w:tc>
        <w:tc>
          <w:tcPr>
            <w:tcW w:w="76" w:type="dxa"/>
            <w:tcBorders/>
            <w:vAlign w:val="center"/>
          </w:tcPr>
          <w:p>
            <w:pPr>
              <w:pStyle w:val="TableContents"/>
              <w:bidi w:val="0"/>
              <w:spacing w:before="0" w:after="283"/>
              <w:jc w:val="left"/>
              <w:rPr/>
            </w:pPr>
            <w:r>
              <w:rPr/>
              <w:t> </w:t>
            </w:r>
          </w:p>
        </w:tc>
      </w:tr>
      <w:tr>
        <w:trPr/>
        <w:tc>
          <w:tcPr>
            <w:tcW w:w="837" w:type="dxa"/>
            <w:tcBorders/>
            <w:vAlign w:val="center"/>
          </w:tcPr>
          <w:p>
            <w:pPr>
              <w:pStyle w:val="TableContents"/>
              <w:bidi w:val="0"/>
              <w:spacing w:before="0" w:after="0"/>
              <w:jc w:val="left"/>
              <w:rPr>
                <w:rFonts w:ascii="ARIAL" w:hAnsi="ARIAL"/>
                <w:sz w:val="20"/>
              </w:rPr>
            </w:pPr>
            <w:r>
              <w:rPr>
                <w:rFonts w:ascii="ARIAL" w:hAnsi="ARIAL"/>
                <w:sz w:val="20"/>
              </w:rPr>
              <w:t>ITEM 12.</w:t>
            </w:r>
          </w:p>
        </w:tc>
        <w:tc>
          <w:tcPr>
            <w:tcW w:w="120" w:type="dxa"/>
            <w:tcBorders/>
            <w:vAlign w:val="center"/>
          </w:tcPr>
          <w:p>
            <w:pPr>
              <w:pStyle w:val="TableContents"/>
              <w:bidi w:val="0"/>
              <w:spacing w:before="0" w:after="283"/>
              <w:jc w:val="left"/>
              <w:rPr/>
            </w:pPr>
            <w:r>
              <w:rPr/>
              <w:t>  </w:t>
            </w:r>
          </w:p>
        </w:tc>
        <w:tc>
          <w:tcPr>
            <w:tcW w:w="8567" w:type="dxa"/>
            <w:tcBorders/>
            <w:vAlign w:val="center"/>
          </w:tcPr>
          <w:p>
            <w:pPr>
              <w:pStyle w:val="TableContents"/>
              <w:bidi w:val="0"/>
              <w:spacing w:before="0" w:after="283"/>
              <w:jc w:val="left"/>
              <w:rPr/>
            </w:pPr>
            <w:hyperlink w:anchor="toc758146_3">
              <w:r>
                <w:rPr>
                  <w:rStyle w:val="InternetLink"/>
                </w:rPr>
                <w:t>Security Ownership of Certain Beneficial Owners and Management and Related Stockholder Matters</w:t>
              </w:r>
            </w:hyperlink>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right"/>
              <w:rPr/>
            </w:pPr>
            <w:r>
              <w:rPr/>
              <w:t>57</w:t>
            </w:r>
          </w:p>
        </w:tc>
        <w:tc>
          <w:tcPr>
            <w:tcW w:w="76" w:type="dxa"/>
            <w:tcBorders/>
            <w:vAlign w:val="center"/>
          </w:tcPr>
          <w:p>
            <w:pPr>
              <w:pStyle w:val="TableContents"/>
              <w:bidi w:val="0"/>
              <w:spacing w:before="0" w:after="283"/>
              <w:jc w:val="left"/>
              <w:rPr/>
            </w:pPr>
            <w:r>
              <w:rPr/>
              <w:t> </w:t>
            </w:r>
          </w:p>
        </w:tc>
      </w:tr>
      <w:tr>
        <w:trPr/>
        <w:tc>
          <w:tcPr>
            <w:tcW w:w="837" w:type="dxa"/>
            <w:tcBorders/>
            <w:vAlign w:val="center"/>
          </w:tcPr>
          <w:p>
            <w:pPr>
              <w:pStyle w:val="TableContents"/>
              <w:bidi w:val="0"/>
              <w:spacing w:before="0" w:after="0"/>
              <w:jc w:val="left"/>
              <w:rPr>
                <w:rFonts w:ascii="ARIAL" w:hAnsi="ARIAL"/>
                <w:sz w:val="20"/>
              </w:rPr>
            </w:pPr>
            <w:r>
              <w:rPr>
                <w:rFonts w:ascii="ARIAL" w:hAnsi="ARIAL"/>
                <w:sz w:val="20"/>
              </w:rPr>
              <w:t>ITEM 13.</w:t>
            </w:r>
          </w:p>
        </w:tc>
        <w:tc>
          <w:tcPr>
            <w:tcW w:w="120" w:type="dxa"/>
            <w:tcBorders/>
            <w:vAlign w:val="center"/>
          </w:tcPr>
          <w:p>
            <w:pPr>
              <w:pStyle w:val="TableContents"/>
              <w:bidi w:val="0"/>
              <w:spacing w:before="0" w:after="283"/>
              <w:jc w:val="left"/>
              <w:rPr/>
            </w:pPr>
            <w:r>
              <w:rPr/>
              <w:t>  </w:t>
            </w:r>
          </w:p>
        </w:tc>
        <w:tc>
          <w:tcPr>
            <w:tcW w:w="8567" w:type="dxa"/>
            <w:tcBorders/>
            <w:vAlign w:val="center"/>
          </w:tcPr>
          <w:p>
            <w:pPr>
              <w:pStyle w:val="TableContents"/>
              <w:bidi w:val="0"/>
              <w:spacing w:before="0" w:after="283"/>
              <w:jc w:val="left"/>
              <w:rPr/>
            </w:pPr>
            <w:hyperlink w:anchor="toc758146_4">
              <w:r>
                <w:rPr>
                  <w:rStyle w:val="InternetLink"/>
                </w:rPr>
                <w:t>Certain Relationships and Related Transactions, and Director Independence</w:t>
              </w:r>
            </w:hyperlink>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right"/>
              <w:rPr/>
            </w:pPr>
            <w:r>
              <w:rPr/>
              <w:t>59</w:t>
            </w:r>
          </w:p>
        </w:tc>
        <w:tc>
          <w:tcPr>
            <w:tcW w:w="76" w:type="dxa"/>
            <w:tcBorders/>
            <w:vAlign w:val="center"/>
          </w:tcPr>
          <w:p>
            <w:pPr>
              <w:pStyle w:val="TableContents"/>
              <w:bidi w:val="0"/>
              <w:spacing w:before="0" w:after="283"/>
              <w:jc w:val="left"/>
              <w:rPr/>
            </w:pPr>
            <w:r>
              <w:rPr/>
              <w:t> </w:t>
            </w:r>
          </w:p>
        </w:tc>
      </w:tr>
      <w:tr>
        <w:trPr/>
        <w:tc>
          <w:tcPr>
            <w:tcW w:w="837" w:type="dxa"/>
            <w:tcBorders/>
            <w:vAlign w:val="center"/>
          </w:tcPr>
          <w:p>
            <w:pPr>
              <w:pStyle w:val="TableContents"/>
              <w:bidi w:val="0"/>
              <w:spacing w:before="0" w:after="0"/>
              <w:jc w:val="left"/>
              <w:rPr>
                <w:rFonts w:ascii="ARIAL" w:hAnsi="ARIAL"/>
                <w:sz w:val="20"/>
              </w:rPr>
            </w:pPr>
            <w:r>
              <w:rPr>
                <w:rFonts w:ascii="ARIAL" w:hAnsi="ARIAL"/>
                <w:sz w:val="20"/>
              </w:rPr>
              <w:t>ITEM 14.</w:t>
            </w:r>
          </w:p>
        </w:tc>
        <w:tc>
          <w:tcPr>
            <w:tcW w:w="120" w:type="dxa"/>
            <w:tcBorders/>
            <w:vAlign w:val="center"/>
          </w:tcPr>
          <w:p>
            <w:pPr>
              <w:pStyle w:val="TableContents"/>
              <w:bidi w:val="0"/>
              <w:spacing w:before="0" w:after="283"/>
              <w:jc w:val="left"/>
              <w:rPr/>
            </w:pPr>
            <w:r>
              <w:rPr/>
              <w:t>  </w:t>
            </w:r>
          </w:p>
        </w:tc>
        <w:tc>
          <w:tcPr>
            <w:tcW w:w="8567" w:type="dxa"/>
            <w:tcBorders/>
            <w:vAlign w:val="center"/>
          </w:tcPr>
          <w:p>
            <w:pPr>
              <w:pStyle w:val="TableContents"/>
              <w:bidi w:val="0"/>
              <w:spacing w:before="0" w:after="283"/>
              <w:jc w:val="left"/>
              <w:rPr/>
            </w:pPr>
            <w:hyperlink w:anchor="toc758146_5">
              <w:r>
                <w:rPr>
                  <w:rStyle w:val="InternetLink"/>
                </w:rPr>
                <w:t>Principal Accounting Fees and Services</w:t>
              </w:r>
            </w:hyperlink>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right"/>
              <w:rPr/>
            </w:pPr>
            <w:r>
              <w:rPr/>
              <w:t>61</w:t>
            </w:r>
          </w:p>
        </w:tc>
        <w:tc>
          <w:tcPr>
            <w:tcW w:w="76" w:type="dxa"/>
            <w:tcBorders/>
            <w:vAlign w:val="center"/>
          </w:tcPr>
          <w:p>
            <w:pPr>
              <w:pStyle w:val="TableContents"/>
              <w:bidi w:val="0"/>
              <w:spacing w:before="0" w:after="283"/>
              <w:jc w:val="left"/>
              <w:rPr/>
            </w:pPr>
            <w:r>
              <w:rPr/>
              <w:t> </w:t>
            </w:r>
          </w:p>
        </w:tc>
      </w:tr>
      <w:tr>
        <w:trPr/>
        <w:tc>
          <w:tcPr>
            <w:tcW w:w="9524" w:type="dxa"/>
            <w:gridSpan w:val="3"/>
            <w:tcBorders/>
            <w:vAlign w:val="center"/>
          </w:tcPr>
          <w:p>
            <w:pPr>
              <w:pStyle w:val="TableContents"/>
              <w:bidi w:val="0"/>
              <w:spacing w:before="0" w:after="283"/>
              <w:jc w:val="left"/>
              <w:rPr>
                <w:sz w:val="4"/>
                <w:szCs w:val="4"/>
              </w:rPr>
            </w:pPr>
            <w:r>
              <w:rPr>
                <w:sz w:val="4"/>
                <w:szCs w:val="4"/>
              </w:rPr>
            </w:r>
          </w:p>
        </w:tc>
        <w:tc>
          <w:tcPr>
            <w:tcW w:w="681" w:type="dxa"/>
            <w:gridSpan w:val="4"/>
            <w:tcBorders/>
            <w:vAlign w:val="center"/>
          </w:tcPr>
          <w:p>
            <w:pPr>
              <w:pStyle w:val="TableContents"/>
              <w:bidi w:val="0"/>
              <w:spacing w:before="0" w:after="283"/>
              <w:jc w:val="left"/>
              <w:rPr>
                <w:sz w:val="4"/>
                <w:szCs w:val="4"/>
              </w:rPr>
            </w:pPr>
            <w:r>
              <w:rPr>
                <w:sz w:val="4"/>
                <w:szCs w:val="4"/>
              </w:rPr>
            </w:r>
          </w:p>
        </w:tc>
      </w:tr>
      <w:tr>
        <w:trPr/>
        <w:tc>
          <w:tcPr>
            <w:tcW w:w="9524" w:type="dxa"/>
            <w:gridSpan w:val="3"/>
            <w:tcBorders/>
            <w:vAlign w:val="center"/>
          </w:tcPr>
          <w:p>
            <w:pPr>
              <w:pStyle w:val="TableContents"/>
              <w:bidi w:val="0"/>
              <w:spacing w:before="0" w:after="283"/>
              <w:jc w:val="center"/>
              <w:rPr/>
            </w:pPr>
            <w:r>
              <w:rPr/>
              <w:t>PART IV</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837" w:type="dxa"/>
            <w:tcBorders/>
            <w:vAlign w:val="center"/>
          </w:tcPr>
          <w:p>
            <w:pPr>
              <w:pStyle w:val="TableContents"/>
              <w:bidi w:val="0"/>
              <w:spacing w:before="0" w:after="0"/>
              <w:jc w:val="left"/>
              <w:rPr>
                <w:rFonts w:ascii="ARIAL" w:hAnsi="ARIAL"/>
                <w:sz w:val="20"/>
              </w:rPr>
            </w:pPr>
            <w:r>
              <w:rPr>
                <w:rFonts w:ascii="ARIAL" w:hAnsi="ARIAL"/>
                <w:sz w:val="20"/>
              </w:rPr>
              <w:t>ITEM 15.</w:t>
            </w:r>
          </w:p>
        </w:tc>
        <w:tc>
          <w:tcPr>
            <w:tcW w:w="120" w:type="dxa"/>
            <w:tcBorders/>
            <w:vAlign w:val="center"/>
          </w:tcPr>
          <w:p>
            <w:pPr>
              <w:pStyle w:val="TableContents"/>
              <w:bidi w:val="0"/>
              <w:spacing w:before="0" w:after="283"/>
              <w:jc w:val="left"/>
              <w:rPr/>
            </w:pPr>
            <w:r>
              <w:rPr/>
              <w:t>  </w:t>
            </w:r>
          </w:p>
        </w:tc>
        <w:tc>
          <w:tcPr>
            <w:tcW w:w="8567" w:type="dxa"/>
            <w:tcBorders/>
            <w:vAlign w:val="center"/>
          </w:tcPr>
          <w:p>
            <w:pPr>
              <w:pStyle w:val="TableContents"/>
              <w:bidi w:val="0"/>
              <w:spacing w:before="0" w:after="283"/>
              <w:jc w:val="left"/>
              <w:rPr/>
            </w:pPr>
            <w:hyperlink w:anchor="toc758146_6">
              <w:r>
                <w:rPr>
                  <w:rStyle w:val="InternetLink"/>
                </w:rPr>
                <w:t xml:space="preserve">Exhibits </w:t>
              </w:r>
            </w:hyperlink>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right"/>
              <w:rPr/>
            </w:pPr>
            <w:r>
              <w:rPr/>
              <w:t>62</w:t>
            </w:r>
          </w:p>
        </w:tc>
        <w:tc>
          <w:tcPr>
            <w:tcW w:w="76" w:type="dxa"/>
            <w:tcBorders/>
            <w:vAlign w:val="center"/>
          </w:tcPr>
          <w:p>
            <w:pPr>
              <w:pStyle w:val="TableContents"/>
              <w:bidi w:val="0"/>
              <w:spacing w:before="0" w:after="283"/>
              <w:jc w:val="left"/>
              <w:rPr/>
            </w:pPr>
            <w:r>
              <w:rPr/>
              <w:t> </w:t>
            </w:r>
          </w:p>
        </w:tc>
      </w:tr>
      <w:tr>
        <w:trPr/>
        <w:tc>
          <w:tcPr>
            <w:tcW w:w="9524" w:type="dxa"/>
            <w:gridSpan w:val="3"/>
            <w:tcBorders/>
            <w:vAlign w:val="center"/>
          </w:tcPr>
          <w:p>
            <w:pPr>
              <w:pStyle w:val="TableContents"/>
              <w:bidi w:val="0"/>
              <w:spacing w:before="0" w:after="0"/>
              <w:jc w:val="left"/>
              <w:rPr/>
            </w:pPr>
            <w:hyperlink w:anchor="toc758146_7">
              <w:r>
                <w:rPr>
                  <w:rStyle w:val="InternetLink"/>
                  <w:rFonts w:ascii="ARIAL" w:hAnsi="ARIAL"/>
                  <w:sz w:val="20"/>
                </w:rPr>
                <w:t>Signature</w:t>
              </w:r>
            </w:hyperlink>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right"/>
              <w:rPr/>
            </w:pPr>
            <w:r>
              <w:rPr/>
              <w:t>63</w:t>
            </w:r>
          </w:p>
        </w:tc>
        <w:tc>
          <w:tcPr>
            <w:tcW w:w="76" w:type="dxa"/>
            <w:tcBorders/>
            <w:vAlign w:val="center"/>
          </w:tcPr>
          <w:p>
            <w:pPr>
              <w:pStyle w:val="TableContents"/>
              <w:bidi w:val="0"/>
              <w:spacing w:before="0" w:after="283"/>
              <w:jc w:val="left"/>
              <w:rPr/>
            </w:pPr>
            <w:r>
              <w:rPr/>
              <w:t> </w:t>
            </w:r>
          </w:p>
        </w:tc>
      </w:tr>
      <w:tr>
        <w:trPr/>
        <w:tc>
          <w:tcPr>
            <w:tcW w:w="9524" w:type="dxa"/>
            <w:gridSpan w:val="3"/>
            <w:tcBorders/>
            <w:vAlign w:val="center"/>
          </w:tcPr>
          <w:p>
            <w:pPr>
              <w:pStyle w:val="TableContents"/>
              <w:bidi w:val="0"/>
              <w:spacing w:before="0" w:after="0"/>
              <w:jc w:val="left"/>
              <w:rPr/>
            </w:pPr>
            <w:hyperlink w:anchor="toc758146_8">
              <w:r>
                <w:rPr>
                  <w:rStyle w:val="InternetLink"/>
                  <w:rFonts w:ascii="ARIAL" w:hAnsi="ARIAL"/>
                  <w:sz w:val="20"/>
                </w:rPr>
                <w:t>Appendix A — Reconciliations of Non-GAAP Financial Measures (Unaudited)</w:t>
              </w:r>
            </w:hyperlink>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right"/>
              <w:rPr/>
            </w:pPr>
            <w:r>
              <w:rPr/>
              <w:t>A-1</w:t>
            </w:r>
          </w:p>
        </w:tc>
        <w:tc>
          <w:tcPr>
            <w:tcW w:w="76"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center"/>
        <w:rPr>
          <w:rFonts w:ascii="ARIAL" w:hAnsi="ARIAL"/>
          <w:b/>
          <w:sz w:val="20"/>
        </w:rPr>
      </w:pPr>
      <w:r>
        <w:rPr>
          <w:rFonts w:ascii="ARIAL" w:hAnsi="ARIAL"/>
          <w:b/>
          <w:sz w:val="20"/>
        </w:rPr>
        <w:t xml:space="preserve">PART III </w:t>
      </w:r>
    </w:p>
    <w:p>
      <w:pPr>
        <w:pStyle w:val="TextBody"/>
        <w:bidi w:val="0"/>
        <w:spacing w:before="0" w:after="0"/>
        <w:jc w:val="left"/>
        <w:rPr/>
      </w:pPr>
      <w:r>
        <w:rPr/>
        <w:t> </w:t>
      </w:r>
    </w:p>
    <w:tbl>
      <w:tblPr>
        <w:tblW w:w="6310" w:type="dxa"/>
        <w:jc w:val="left"/>
        <w:tblInd w:w="0" w:type="dxa"/>
        <w:tblLayout w:type="fixed"/>
        <w:tblCellMar>
          <w:top w:w="0" w:type="dxa"/>
          <w:left w:w="0" w:type="dxa"/>
          <w:bottom w:w="0" w:type="dxa"/>
          <w:right w:w="0" w:type="dxa"/>
        </w:tblCellMar>
      </w:tblPr>
      <w:tblGrid>
        <w:gridCol w:w="1025"/>
        <w:gridCol w:w="5285"/>
      </w:tblGrid>
      <w:tr>
        <w:trPr/>
        <w:tc>
          <w:tcPr>
            <w:tcW w:w="1025" w:type="dxa"/>
            <w:tcBorders/>
            <w:vAlign w:val="center"/>
          </w:tcPr>
          <w:p>
            <w:pPr>
              <w:pStyle w:val="TableContents"/>
              <w:bidi w:val="0"/>
              <w:spacing w:before="0" w:after="283"/>
              <w:jc w:val="left"/>
              <w:rPr>
                <w:b/>
              </w:rPr>
            </w:pPr>
            <w:bookmarkStart w:id="2" w:name="toc758146_1"/>
            <w:bookmarkEnd w:id="2"/>
            <w:r>
              <w:rPr>
                <w:b/>
              </w:rPr>
              <w:t>ITEM 10.</w:t>
            </w:r>
          </w:p>
        </w:tc>
        <w:tc>
          <w:tcPr>
            <w:tcW w:w="5285" w:type="dxa"/>
            <w:tcBorders/>
            <w:vAlign w:val="center"/>
          </w:tcPr>
          <w:p>
            <w:pPr>
              <w:pStyle w:val="TableContents"/>
              <w:bidi w:val="0"/>
              <w:spacing w:before="0" w:after="0"/>
              <w:jc w:val="left"/>
              <w:rPr>
                <w:rFonts w:ascii="ARIAL" w:hAnsi="ARIAL"/>
                <w:b/>
                <w:sz w:val="20"/>
              </w:rPr>
            </w:pPr>
            <w:r>
              <w:rPr>
                <w:rFonts w:ascii="ARIAL" w:hAnsi="ARIAL"/>
                <w:b/>
                <w:sz w:val="20"/>
              </w:rPr>
              <w:t xml:space="preserve">Directors, Executive Officers and Corporate Governance </w:t>
            </w:r>
          </w:p>
        </w:tc>
      </w:tr>
    </w:tbl>
    <w:p>
      <w:pPr>
        <w:pStyle w:val="TextBody"/>
        <w:bidi w:val="0"/>
        <w:spacing w:before="120" w:after="0"/>
        <w:jc w:val="left"/>
        <w:rPr>
          <w:rFonts w:ascii="arial" w:hAnsi="arial"/>
          <w:b/>
          <w:color w:val="666666"/>
          <w:sz w:val="28"/>
        </w:rPr>
      </w:pPr>
      <w:r>
        <w:rPr>
          <w:rFonts w:ascii="arial" w:hAnsi="arial"/>
          <w:b/>
          <w:color w:val="666666"/>
          <w:sz w:val="28"/>
        </w:rPr>
        <w:t xml:space="preserve">Executive Officers </w:t>
      </w:r>
    </w:p>
    <w:p>
      <w:pPr>
        <w:pStyle w:val="TextBody"/>
        <w:pBdr>
          <w:bottom w:val="single" w:sz="2" w:space="1" w:color="732282"/>
        </w:pBdr>
        <w:bidi w:val="0"/>
        <w:spacing w:lineRule="atLeast" w:line="142" w:before="0" w:after="40"/>
        <w:jc w:val="left"/>
        <w:rPr/>
      </w:pPr>
      <w:r>
        <w:rPr/>
        <w:t> </w:t>
      </w:r>
    </w:p>
    <w:p>
      <w:pPr>
        <w:pStyle w:val="TextBody"/>
        <w:bidi w:val="0"/>
        <w:spacing w:before="120" w:after="0"/>
        <w:jc w:val="both"/>
        <w:rPr>
          <w:rFonts w:ascii="arial" w:hAnsi="arial"/>
          <w:sz w:val="18"/>
        </w:rPr>
      </w:pPr>
      <w:r>
        <w:rPr>
          <w:rFonts w:ascii="arial" w:hAnsi="arial"/>
          <w:sz w:val="18"/>
        </w:rPr>
        <w:t xml:space="preserve">The following table sets forth the names, ages, and positions of Viatris’ executive officers as of April 24, 2024: </w:t>
      </w:r>
    </w:p>
    <w:p>
      <w:pPr>
        <w:pStyle w:val="TextBody"/>
        <w:bidi w:val="0"/>
        <w:spacing w:before="0" w:after="0"/>
        <w:jc w:val="left"/>
        <w:rPr/>
      </w:pPr>
      <w:r>
        <w:rPr/>
        <w:t> </w:t>
      </w:r>
    </w:p>
    <w:tbl>
      <w:tblPr>
        <w:tblW w:w="9135" w:type="dxa"/>
        <w:jc w:val="left"/>
        <w:tblInd w:w="0" w:type="dxa"/>
        <w:tblLayout w:type="fixed"/>
        <w:tblCellMar>
          <w:top w:w="0" w:type="dxa"/>
          <w:left w:w="0" w:type="dxa"/>
          <w:bottom w:w="0" w:type="dxa"/>
          <w:right w:w="0" w:type="dxa"/>
        </w:tblCellMar>
      </w:tblPr>
      <w:tblGrid>
        <w:gridCol w:w="2225"/>
        <w:gridCol w:w="120"/>
        <w:gridCol w:w="230"/>
        <w:gridCol w:w="120"/>
        <w:gridCol w:w="6440"/>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40"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0"/>
              <w:jc w:val="both"/>
              <w:rPr>
                <w:rFonts w:ascii="ARIAL" w:hAnsi="ARIAL"/>
                <w:sz w:val="18"/>
              </w:rPr>
            </w:pPr>
            <w:r>
              <w:rPr>
                <w:rFonts w:ascii="ARIAL" w:hAnsi="ARIAL"/>
                <w:sz w:val="18"/>
              </w:rPr>
              <w:t>Scott A. Smith</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both"/>
              <w:rPr>
                <w:rFonts w:ascii="arial" w:hAnsi="arial"/>
                <w:sz w:val="18"/>
              </w:rPr>
            </w:pPr>
            <w:r>
              <w:rPr>
                <w:rFonts w:ascii="arial" w:hAnsi="arial"/>
                <w:sz w:val="18"/>
              </w:rPr>
              <w:t>62</w:t>
            </w:r>
          </w:p>
        </w:tc>
        <w:tc>
          <w:tcPr>
            <w:tcW w:w="12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both"/>
              <w:rPr>
                <w:rFonts w:ascii="arial" w:hAnsi="arial"/>
                <w:sz w:val="18"/>
              </w:rPr>
            </w:pPr>
            <w:r>
              <w:rPr>
                <w:rFonts w:ascii="arial" w:hAnsi="arial"/>
                <w:sz w:val="18"/>
              </w:rPr>
              <w:t>Chief Executive Officer (principal executive officer)</w:t>
            </w:r>
          </w:p>
        </w:tc>
      </w:tr>
      <w:tr>
        <w:trPr/>
        <w:tc>
          <w:tcPr>
            <w:tcW w:w="2225" w:type="dxa"/>
            <w:tcBorders/>
            <w:vAlign w:val="center"/>
          </w:tcPr>
          <w:p>
            <w:pPr>
              <w:pStyle w:val="TableContents"/>
              <w:bidi w:val="0"/>
              <w:spacing w:before="0" w:after="0"/>
              <w:jc w:val="both"/>
              <w:rPr>
                <w:rFonts w:ascii="ARIAL" w:hAnsi="ARIAL"/>
                <w:sz w:val="18"/>
              </w:rPr>
            </w:pPr>
            <w:r>
              <w:rPr>
                <w:rFonts w:ascii="ARIAL" w:hAnsi="ARIAL"/>
                <w:sz w:val="18"/>
              </w:rPr>
              <w:t>Theodora (Doretta) Mistras</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both"/>
              <w:rPr>
                <w:rFonts w:ascii="arial" w:hAnsi="arial"/>
                <w:sz w:val="18"/>
              </w:rPr>
            </w:pPr>
            <w:r>
              <w:rPr>
                <w:rFonts w:ascii="arial" w:hAnsi="arial"/>
                <w:sz w:val="18"/>
              </w:rPr>
              <w:t>42</w:t>
            </w:r>
          </w:p>
        </w:tc>
        <w:tc>
          <w:tcPr>
            <w:tcW w:w="12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both"/>
              <w:rPr>
                <w:rFonts w:ascii="arial" w:hAnsi="arial"/>
                <w:sz w:val="18"/>
              </w:rPr>
            </w:pPr>
            <w:r>
              <w:rPr>
                <w:rFonts w:ascii="arial" w:hAnsi="arial"/>
                <w:sz w:val="18"/>
              </w:rPr>
              <w:t>Chief Financial Officer (principal financial officer)</w:t>
            </w:r>
          </w:p>
        </w:tc>
      </w:tr>
      <w:tr>
        <w:trPr/>
        <w:tc>
          <w:tcPr>
            <w:tcW w:w="2225" w:type="dxa"/>
            <w:tcBorders/>
            <w:vAlign w:val="center"/>
          </w:tcPr>
          <w:p>
            <w:pPr>
              <w:pStyle w:val="TableContents"/>
              <w:bidi w:val="0"/>
              <w:spacing w:before="0" w:after="0"/>
              <w:jc w:val="both"/>
              <w:rPr>
                <w:rFonts w:ascii="ARIAL" w:hAnsi="ARIAL"/>
                <w:sz w:val="18"/>
              </w:rPr>
            </w:pPr>
            <w:r>
              <w:rPr>
                <w:rFonts w:ascii="ARIAL" w:hAnsi="ARIAL"/>
                <w:sz w:val="18"/>
              </w:rPr>
              <w:t>Paul Campbell</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both"/>
              <w:rPr>
                <w:rFonts w:ascii="arial" w:hAnsi="arial"/>
                <w:sz w:val="18"/>
              </w:rPr>
            </w:pPr>
            <w:r>
              <w:rPr>
                <w:rFonts w:ascii="arial" w:hAnsi="arial"/>
                <w:sz w:val="18"/>
              </w:rPr>
              <w:t>57</w:t>
            </w:r>
          </w:p>
        </w:tc>
        <w:tc>
          <w:tcPr>
            <w:tcW w:w="12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both"/>
              <w:rPr>
                <w:rFonts w:ascii="arial" w:hAnsi="arial"/>
                <w:sz w:val="18"/>
              </w:rPr>
            </w:pPr>
            <w:r>
              <w:rPr>
                <w:rFonts w:ascii="arial" w:hAnsi="arial"/>
                <w:sz w:val="18"/>
              </w:rPr>
              <w:t>Chief Accounting Officer and Corporate Controller (principal accounting officer)</w:t>
            </w:r>
          </w:p>
        </w:tc>
      </w:tr>
      <w:tr>
        <w:trPr/>
        <w:tc>
          <w:tcPr>
            <w:tcW w:w="2225" w:type="dxa"/>
            <w:tcBorders/>
            <w:vAlign w:val="center"/>
          </w:tcPr>
          <w:p>
            <w:pPr>
              <w:pStyle w:val="TableContents"/>
              <w:bidi w:val="0"/>
              <w:spacing w:before="0" w:after="0"/>
              <w:jc w:val="both"/>
              <w:rPr>
                <w:rFonts w:ascii="ARIAL" w:hAnsi="ARIAL"/>
                <w:sz w:val="18"/>
              </w:rPr>
            </w:pPr>
            <w:r>
              <w:rPr>
                <w:rFonts w:ascii="ARIAL" w:hAnsi="ARIAL"/>
                <w:sz w:val="18"/>
              </w:rPr>
              <w:t>Brian Roman</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both"/>
              <w:rPr>
                <w:rFonts w:ascii="arial" w:hAnsi="arial"/>
                <w:sz w:val="18"/>
              </w:rPr>
            </w:pPr>
            <w:r>
              <w:rPr>
                <w:rFonts w:ascii="arial" w:hAnsi="arial"/>
                <w:sz w:val="18"/>
              </w:rPr>
              <w:t>54</w:t>
            </w:r>
          </w:p>
        </w:tc>
        <w:tc>
          <w:tcPr>
            <w:tcW w:w="12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both"/>
              <w:rPr>
                <w:rFonts w:ascii="arial" w:hAnsi="arial"/>
                <w:sz w:val="18"/>
              </w:rPr>
            </w:pPr>
            <w:r>
              <w:rPr>
                <w:rFonts w:ascii="arial" w:hAnsi="arial"/>
                <w:sz w:val="18"/>
              </w:rPr>
              <w:t>Chief Legal Officer</w:t>
            </w:r>
          </w:p>
        </w:tc>
      </w:tr>
      <w:tr>
        <w:trPr/>
        <w:tc>
          <w:tcPr>
            <w:tcW w:w="2225" w:type="dxa"/>
            <w:tcBorders/>
            <w:vAlign w:val="center"/>
          </w:tcPr>
          <w:p>
            <w:pPr>
              <w:pStyle w:val="TableContents"/>
              <w:bidi w:val="0"/>
              <w:spacing w:before="0" w:after="0"/>
              <w:jc w:val="both"/>
              <w:rPr>
                <w:rFonts w:ascii="ARIAL" w:hAnsi="ARIAL"/>
                <w:sz w:val="18"/>
              </w:rPr>
            </w:pPr>
            <w:r>
              <w:rPr>
                <w:rFonts w:ascii="ARIAL" w:hAnsi="ARIAL"/>
                <w:sz w:val="18"/>
              </w:rPr>
              <w:t>Dr. Corrine Le Goff</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both"/>
              <w:rPr>
                <w:rFonts w:ascii="arial" w:hAnsi="arial"/>
                <w:sz w:val="18"/>
              </w:rPr>
            </w:pPr>
            <w:r>
              <w:rPr>
                <w:rFonts w:ascii="arial" w:hAnsi="arial"/>
                <w:sz w:val="18"/>
              </w:rPr>
              <w:t>58</w:t>
            </w:r>
          </w:p>
        </w:tc>
        <w:tc>
          <w:tcPr>
            <w:tcW w:w="12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both"/>
              <w:rPr>
                <w:rFonts w:ascii="arial" w:hAnsi="arial"/>
                <w:sz w:val="18"/>
              </w:rPr>
            </w:pPr>
            <w:r>
              <w:rPr>
                <w:rFonts w:ascii="arial" w:hAnsi="arial"/>
                <w:sz w:val="18"/>
              </w:rPr>
              <w:t>Chief Commercial Officer</w:t>
            </w:r>
          </w:p>
        </w:tc>
      </w:tr>
    </w:tbl>
    <w:p>
      <w:pPr>
        <w:pStyle w:val="TextBody"/>
        <w:bidi w:val="0"/>
        <w:spacing w:before="240" w:after="0"/>
        <w:jc w:val="both"/>
        <w:rPr>
          <w:rFonts w:ascii="arial" w:hAnsi="arial"/>
          <w:sz w:val="18"/>
        </w:rPr>
      </w:pPr>
      <w:r>
        <w:rPr>
          <w:rFonts w:ascii="arial" w:hAnsi="arial"/>
          <w:b/>
          <w:sz w:val="18"/>
        </w:rPr>
        <w:t>Scott A. Smith</w:t>
      </w:r>
      <w:r>
        <w:rPr>
          <w:rFonts w:ascii="arial" w:hAnsi="arial"/>
          <w:sz w:val="18"/>
        </w:rPr>
        <w:t xml:space="preserve">. Mr. Smith has served as Viatris’ Chief Executive Officer (“CEO”) since April 1, 2023. His responsibilities include leading the daily management and the overall performance of the Company and executing on the strategies developed in collaboration with the Board of Directors of the Company (the “Board”), among other responsibilities. Mr. Smith is also a member of the Board and additional details regarding his background and experience can be found under the heading “Viatris’ Board of Directors” on page 13. </w:t>
      </w:r>
    </w:p>
    <w:p>
      <w:pPr>
        <w:pStyle w:val="TextBody"/>
        <w:bidi w:val="0"/>
        <w:spacing w:before="240" w:after="0"/>
        <w:jc w:val="both"/>
        <w:rPr>
          <w:rFonts w:ascii="arial" w:hAnsi="arial"/>
          <w:sz w:val="18"/>
        </w:rPr>
      </w:pPr>
      <w:r>
        <w:rPr>
          <w:rFonts w:ascii="arial" w:hAnsi="arial"/>
          <w:b/>
          <w:sz w:val="18"/>
        </w:rPr>
        <w:t>Doretta Mistras</w:t>
      </w:r>
      <w:r>
        <w:rPr>
          <w:rFonts w:ascii="arial" w:hAnsi="arial"/>
          <w:sz w:val="18"/>
        </w:rPr>
        <w:t xml:space="preserve">. Ms. Mistras has served as Viatris’ Chief Financial Officer (“CFO”) since March 1, 2024. Her responsibilities include oversight of the global Finance Department, which includes corporate controllership, financial planning and analysis, internal audit, Global Integrated Services, and tax and Treasury functions, among others. Prior to joining the Company as of January 1, 2024 as CFO-elect, Ms. Mistras was Managing Director, Healthcare Investment Banking at Citigroup Global Markets from September 2019 to December 2023 and prior to that was Managing Director, Healthcare Investment Banking from 2016 to 2019 at Goldman Sachs, where she spent over 15 years in their investment banking healthcare group. She has almost two decades of leadership, advisory and capital markets experience helping guide corporate boards and leadership teams on matters affecting corporate strategy, including business development, financial planning, corporate finance and investor relations. Ms. Mistras has also advised leading healthcare corporations on a multitude of important financial and strategic decisions, including mergers and acquisitions (“M&amp;A”), joint ventures, and capital markets transactions. </w:t>
      </w:r>
    </w:p>
    <w:p>
      <w:pPr>
        <w:pStyle w:val="TextBody"/>
        <w:bidi w:val="0"/>
        <w:spacing w:before="240" w:after="0"/>
        <w:jc w:val="both"/>
        <w:rPr>
          <w:rFonts w:ascii="arial" w:hAnsi="arial"/>
          <w:sz w:val="18"/>
        </w:rPr>
      </w:pPr>
      <w:r>
        <w:rPr>
          <w:rFonts w:ascii="arial" w:hAnsi="arial"/>
          <w:b/>
          <w:sz w:val="18"/>
        </w:rPr>
        <w:t>Paul Campbell</w:t>
      </w:r>
      <w:r>
        <w:rPr>
          <w:rFonts w:ascii="arial" w:hAnsi="arial"/>
          <w:sz w:val="18"/>
        </w:rPr>
        <w:t xml:space="preserve">. Mr. Campbell has served as Viatris’ Chief Accounting Officer and Corporate Controller since the closing of the transaction pursuant to which Viatris, formerly known as Upjohn Inc., Mylan N.V. (“Mylan”) and Pfizer Inc. (“Pfizer”) consummated the combination of Mylan with Pfizer’s Upjohn business (the “Upjohn Business”) through a Reverse Morris Trust transaction (the “Combination”) on November 16, 2020. He is responsible for oversight of the day-to-day operations of the accounting and finance functions of the Company, including planning, implementing, and managing the Company’s finance and accounting activities. Prior to the closing of the Combination, Mr. Campbell was Mylan’s Chief Accounting Officer, Senior Vice President and Controller. Before his appointment as Chief Accounting Officer in November 2015, Mr. Campbell served as Mylan’s Senior Vice President and Controller beginning in May 2015, with responsibility for overseeing the company’s accounting and financial operations and reporting, and he previously held roles of increasing responsibility at Mylan since 2002. </w:t>
      </w:r>
    </w:p>
    <w:p>
      <w:pPr>
        <w:pStyle w:val="TextBody"/>
        <w:bidi w:val="0"/>
        <w:spacing w:before="240" w:after="0"/>
        <w:jc w:val="both"/>
        <w:rPr>
          <w:rFonts w:ascii="arial" w:hAnsi="arial"/>
          <w:sz w:val="18"/>
        </w:rPr>
      </w:pPr>
      <w:r>
        <w:rPr>
          <w:rFonts w:ascii="arial" w:hAnsi="arial"/>
          <w:b/>
          <w:sz w:val="18"/>
        </w:rPr>
        <w:t>Brian Roman</w:t>
      </w:r>
      <w:r>
        <w:rPr>
          <w:rFonts w:ascii="arial" w:hAnsi="arial"/>
          <w:sz w:val="18"/>
        </w:rPr>
        <w:t xml:space="preserve">. Mr. Roman served as Viatris’ Global General Counsel since the closing of the Combination on November 16, 2020 and was named Chief Legal Officer on April 1, 2024. His responsibilities include oversight of the Company’s global legal organization, including securities, global contracts, labor and employment,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sz w:val="18"/>
        </w:rPr>
        <w:t xml:space="preserve">global regulatory, business development, litigation, and intellectual property, and, together with the Compliance and Risk Oversight Committee, overseeing the Company’s compliance function, among other areas. From July 2017 until the closing of the Combination, Mr. Roman was Mylan’s Global General Counsel, with similar responsibilities for oversight of the global legal organization. Prior to 2017, Mr. Roman served as Mylan’s Chief Administrative Officer from January 2016 until June 2017, with responsibility for oversight of the Human Relations, Compliance, Facilities, Security, Information Security, and Privacy functions. He served as Mylan’s Senior Vice President and Chief Compliance Officer from April 2010 until December 2015 and Vice President and General Counsel, North America from October 2005 until April 2010. </w:t>
      </w:r>
    </w:p>
    <w:p>
      <w:pPr>
        <w:pStyle w:val="TextBody"/>
        <w:bidi w:val="0"/>
        <w:spacing w:before="240" w:after="0"/>
        <w:jc w:val="both"/>
        <w:rPr>
          <w:rFonts w:ascii="arial" w:hAnsi="arial"/>
          <w:sz w:val="18"/>
        </w:rPr>
      </w:pPr>
      <w:r>
        <w:rPr>
          <w:rFonts w:ascii="arial" w:hAnsi="arial"/>
          <w:b/>
          <w:sz w:val="18"/>
        </w:rPr>
        <w:t>Dr.</w:t>
      </w:r>
      <w:r>
        <w:rPr>
          <w:rFonts w:ascii="arial" w:hAnsi="arial"/>
          <w:sz w:val="18"/>
        </w:rPr>
        <w:t> </w:t>
      </w:r>
      <w:r>
        <w:rPr>
          <w:rFonts w:ascii="arial" w:hAnsi="arial"/>
          <w:b/>
          <w:sz w:val="18"/>
        </w:rPr>
        <w:t>Corinne Le Goff, Pharm D</w:t>
      </w:r>
      <w:r>
        <w:rPr>
          <w:rFonts w:ascii="arial" w:hAnsi="arial"/>
          <w:sz w:val="18"/>
        </w:rPr>
        <w:t xml:space="preserve">. Dr. Le Goff has served as Chief Commercial Officer since April 15, 2024. Her responsibilities include oversight of the Company’s global commercial function, including Developed Markets, Emerging Markets, Japan, Australia and New Zealand (“JANZ”) and Greater China. As a result of this appointment, the Company’s President, JANZ and Emerging Markets and President, Greater China now report to Dr. Le Goff (and, as previously disclosed, the Company’s President, Developed Markets, departed from the Company effective as of April 1, 2024 as a result of an elimination of his position in connection with a realignment of the Company’s commercial function). Prior to joining the Company, Dr. Le Goff held roles at biotechnology companies, most recently as President, Chief Executive Officer and Director of Imunon, Inc. (“Imunon”), a clinical stage biotechnology company, from July 2022 until March 2024, where she led an organizational turnaround and rebranding effort (Imunon was known as Celsion Corporation until September 2022). Prior to Imunon, she was Chief Commercial Officer of Moderna, Inc. from January 2021 through January 2022 and served in various roles at Amgen Inc. from June 2015 to January 2021, including President of the U.S. business from March 2019 to January 2021, Senior Vice President of Global Product Strategy and Commercial Innovation from June 2018 to March 2019 and President of the Europe Region from June 2015 to May 2018. Dr. Le Goff also held various positions within the Roche Group, a publicly traded Swiss multinational healthcare company, including President of Roche’s French affiliate from May 2012 to May 2015. Dr. Le Goff has served on the board of directors of Longboard Pharmaceuticals Inc., a clinical-stage biopharmaceutical company since March 2021, most recently serving on that company’s Audit and Nominating and Corporate Governance Committees, and previously served on the boards of directors of EuroAPI S.A., which develops, manufactures, markets and distributes active pharmaceutical ingredients (“APIs”) and intermediates used in the formulation of medicines for human and veterinary use, from April 2022 to January 2023, Acticor Biotech SAS, a clinical stage biopharmaceutical company, from May 2022 to December 2023, and CFAO Group, a trading company, from October 2014 to October 2020. </w:t>
      </w:r>
    </w:p>
    <w:p>
      <w:pPr>
        <w:pStyle w:val="TextBody"/>
        <w:bidi w:val="0"/>
        <w:spacing w:before="240" w:after="0"/>
        <w:jc w:val="both"/>
        <w:rPr>
          <w:rFonts w:ascii="arial" w:hAnsi="arial"/>
          <w:sz w:val="18"/>
        </w:rPr>
      </w:pPr>
      <w:r>
        <w:rPr>
          <w:rFonts w:ascii="arial" w:hAnsi="arial"/>
          <w:sz w:val="18"/>
        </w:rPr>
        <w:t xml:space="preserve">Pursuant to Viatris Inc.’s Amended and Restated Bylaws (“Bylaws”), officers hold office until their successors are chosen and qualify in their stead or until their earlier death, resignation or removal. </w:t>
      </w:r>
    </w:p>
    <w:p>
      <w:pPr>
        <w:pStyle w:val="TextBody"/>
        <w:bidi w:val="0"/>
        <w:spacing w:before="240" w:after="0"/>
        <w:jc w:val="left"/>
        <w:rPr>
          <w:rFonts w:ascii="arial" w:hAnsi="arial"/>
          <w:b/>
          <w:color w:val="666666"/>
          <w:sz w:val="28"/>
        </w:rPr>
      </w:pPr>
      <w:r>
        <w:rPr>
          <w:rFonts w:ascii="arial" w:hAnsi="arial"/>
          <w:b/>
          <w:color w:val="666666"/>
          <w:sz w:val="28"/>
        </w:rPr>
        <w:t xml:space="preserve">Viatris’ Board of Directors </w:t>
      </w:r>
    </w:p>
    <w:p>
      <w:pPr>
        <w:pStyle w:val="TextBody"/>
        <w:pBdr>
          <w:bottom w:val="single" w:sz="2" w:space="1" w:color="732282"/>
        </w:pBdr>
        <w:bidi w:val="0"/>
        <w:spacing w:lineRule="atLeast" w:line="142" w:before="0" w:after="40"/>
        <w:jc w:val="left"/>
        <w:rPr/>
      </w:pPr>
      <w:r>
        <w:rPr/>
        <w:t> </w:t>
      </w:r>
    </w:p>
    <w:p>
      <w:pPr>
        <w:pStyle w:val="TextBody"/>
        <w:bidi w:val="0"/>
        <w:spacing w:before="160" w:after="0"/>
        <w:jc w:val="both"/>
        <w:rPr>
          <w:rFonts w:ascii="arial" w:hAnsi="arial"/>
          <w:sz w:val="18"/>
        </w:rPr>
      </w:pPr>
      <w:r>
        <w:rPr>
          <w:rFonts w:ascii="arial" w:hAnsi="arial"/>
          <w:sz w:val="18"/>
        </w:rPr>
        <w:t xml:space="preserve">The members of the Board collectively have expertise in developing and overseeing strategies in the context of a complex and rapidly changing environment, as well as a deep understanding of the management team and culture of the Company, our global platforms, the healthcare systems in which we operate, and the opportunities and challenges facing the Company around the world. Our Board members have key skills and experiences in the areas outlined below, among many other areas. We are confident that the collective experience and expertise of our Directors enables the Board to effectively guide and oversee the management team and the strategy of the Company.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4513"/>
        <w:gridCol w:w="60"/>
        <w:gridCol w:w="471"/>
        <w:gridCol w:w="60"/>
        <w:gridCol w:w="381"/>
        <w:gridCol w:w="60"/>
        <w:gridCol w:w="411"/>
        <w:gridCol w:w="60"/>
        <w:gridCol w:w="516"/>
        <w:gridCol w:w="60"/>
        <w:gridCol w:w="441"/>
        <w:gridCol w:w="60"/>
        <w:gridCol w:w="336"/>
        <w:gridCol w:w="60"/>
        <w:gridCol w:w="441"/>
        <w:gridCol w:w="60"/>
        <w:gridCol w:w="351"/>
        <w:gridCol w:w="60"/>
        <w:gridCol w:w="351"/>
        <w:gridCol w:w="60"/>
        <w:gridCol w:w="426"/>
        <w:gridCol w:w="60"/>
        <w:gridCol w:w="381"/>
        <w:gridCol w:w="60"/>
        <w:gridCol w:w="466"/>
      </w:tblGrid>
      <w:tr>
        <w:trPr/>
        <w:tc>
          <w:tcPr>
            <w:tcW w:w="45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513" w:type="dxa"/>
            <w:tcBorders>
              <w:top w:val="single" w:sz="6" w:space="0" w:color="732282"/>
              <w:left w:val="single" w:sz="6" w:space="0" w:color="732282"/>
            </w:tcBorders>
            <w:shd w:fill="732282" w:val="clear"/>
            <w:tcMar>
              <w:top w:w="28" w:type="dxa"/>
              <w:left w:w="160" w:type="dxa"/>
            </w:tcMar>
            <w:vAlign w:val="center"/>
          </w:tcPr>
          <w:p>
            <w:pPr>
              <w:pStyle w:val="TableContents"/>
              <w:bidi w:val="0"/>
              <w:spacing w:before="0" w:after="283"/>
              <w:jc w:val="left"/>
              <w:rPr/>
            </w:pPr>
            <w:r>
              <w:rPr/>
              <w:t> </w:t>
            </w:r>
          </w:p>
        </w:tc>
        <w:tc>
          <w:tcPr>
            <w:tcW w:w="531" w:type="dxa"/>
            <w:gridSpan w:val="2"/>
            <w:tcBorders>
              <w:top w:val="single" w:sz="6" w:space="0" w:color="732282"/>
            </w:tcBorders>
            <w:shd w:fill="732282" w:val="clear"/>
            <w:tcMar>
              <w:top w:w="28" w:type="dxa"/>
            </w:tcMar>
            <w:vAlign w:val="center"/>
          </w:tcPr>
          <w:p>
            <w:pPr>
              <w:pStyle w:val="TableContents"/>
              <w:bidi w:val="0"/>
              <w:spacing w:before="0" w:after="283"/>
              <w:jc w:val="left"/>
              <w:rPr/>
            </w:pPr>
            <w:r>
              <w:rPr/>
              <w:t> </w:t>
            </w:r>
          </w:p>
        </w:tc>
        <w:tc>
          <w:tcPr>
            <w:tcW w:w="441" w:type="dxa"/>
            <w:gridSpan w:val="2"/>
            <w:tcBorders>
              <w:top w:val="single" w:sz="6" w:space="0" w:color="732282"/>
            </w:tcBorders>
            <w:shd w:fill="732282" w:val="clear"/>
            <w:tcMar>
              <w:top w:w="28" w:type="dxa"/>
            </w:tcMar>
            <w:vAlign w:val="center"/>
          </w:tcPr>
          <w:p>
            <w:pPr>
              <w:pStyle w:val="TableContents"/>
              <w:bidi w:val="0"/>
              <w:spacing w:before="0" w:after="283"/>
              <w:jc w:val="left"/>
              <w:rPr/>
            </w:pPr>
            <w:r>
              <w:rPr/>
              <w:t> </w:t>
            </w:r>
          </w:p>
        </w:tc>
        <w:tc>
          <w:tcPr>
            <w:tcW w:w="471" w:type="dxa"/>
            <w:gridSpan w:val="2"/>
            <w:tcBorders>
              <w:top w:val="single" w:sz="6" w:space="0" w:color="732282"/>
            </w:tcBorders>
            <w:shd w:fill="732282" w:val="clear"/>
            <w:tcMar>
              <w:top w:w="28" w:type="dxa"/>
            </w:tcMar>
            <w:vAlign w:val="center"/>
          </w:tcPr>
          <w:p>
            <w:pPr>
              <w:pStyle w:val="TableContents"/>
              <w:bidi w:val="0"/>
              <w:spacing w:before="0" w:after="283"/>
              <w:jc w:val="left"/>
              <w:rPr/>
            </w:pPr>
            <w:r>
              <w:rPr/>
              <w:t> </w:t>
            </w:r>
          </w:p>
        </w:tc>
        <w:tc>
          <w:tcPr>
            <w:tcW w:w="576" w:type="dxa"/>
            <w:gridSpan w:val="2"/>
            <w:tcBorders>
              <w:top w:val="single" w:sz="6" w:space="0" w:color="732282"/>
            </w:tcBorders>
            <w:shd w:fill="732282" w:val="clear"/>
            <w:tcMar>
              <w:top w:w="28" w:type="dxa"/>
            </w:tcMar>
            <w:vAlign w:val="center"/>
          </w:tcPr>
          <w:p>
            <w:pPr>
              <w:pStyle w:val="TableContents"/>
              <w:bidi w:val="0"/>
              <w:spacing w:before="0" w:after="283"/>
              <w:jc w:val="left"/>
              <w:rPr/>
            </w:pPr>
            <w:r>
              <w:rPr/>
              <w:t> </w:t>
            </w:r>
          </w:p>
        </w:tc>
        <w:tc>
          <w:tcPr>
            <w:tcW w:w="501" w:type="dxa"/>
            <w:gridSpan w:val="2"/>
            <w:tcBorders>
              <w:top w:val="single" w:sz="6" w:space="0" w:color="732282"/>
            </w:tcBorders>
            <w:shd w:fill="732282" w:val="clear"/>
            <w:tcMar>
              <w:top w:w="28" w:type="dxa"/>
            </w:tcMar>
            <w:vAlign w:val="center"/>
          </w:tcPr>
          <w:p>
            <w:pPr>
              <w:pStyle w:val="TableContents"/>
              <w:bidi w:val="0"/>
              <w:spacing w:before="0" w:after="283"/>
              <w:jc w:val="left"/>
              <w:rPr/>
            </w:pPr>
            <w:r>
              <w:rPr/>
              <w:t> </w:t>
            </w:r>
          </w:p>
        </w:tc>
        <w:tc>
          <w:tcPr>
            <w:tcW w:w="396" w:type="dxa"/>
            <w:gridSpan w:val="2"/>
            <w:tcBorders>
              <w:top w:val="single" w:sz="6" w:space="0" w:color="732282"/>
            </w:tcBorders>
            <w:shd w:fill="732282" w:val="clear"/>
            <w:tcMar>
              <w:top w:w="28" w:type="dxa"/>
            </w:tcMar>
            <w:vAlign w:val="center"/>
          </w:tcPr>
          <w:p>
            <w:pPr>
              <w:pStyle w:val="TableContents"/>
              <w:bidi w:val="0"/>
              <w:spacing w:before="0" w:after="283"/>
              <w:jc w:val="left"/>
              <w:rPr/>
            </w:pPr>
            <w:r>
              <w:rPr/>
              <w:t> </w:t>
            </w:r>
          </w:p>
        </w:tc>
        <w:tc>
          <w:tcPr>
            <w:tcW w:w="501" w:type="dxa"/>
            <w:gridSpan w:val="2"/>
            <w:tcBorders>
              <w:top w:val="single" w:sz="6" w:space="0" w:color="732282"/>
            </w:tcBorders>
            <w:shd w:fill="732282" w:val="clear"/>
            <w:tcMar>
              <w:top w:w="28" w:type="dxa"/>
            </w:tcMar>
            <w:vAlign w:val="center"/>
          </w:tcPr>
          <w:p>
            <w:pPr>
              <w:pStyle w:val="TableContents"/>
              <w:bidi w:val="0"/>
              <w:spacing w:before="0" w:after="283"/>
              <w:jc w:val="left"/>
              <w:rPr/>
            </w:pPr>
            <w:r>
              <w:rPr/>
              <w:t> </w:t>
            </w:r>
          </w:p>
        </w:tc>
        <w:tc>
          <w:tcPr>
            <w:tcW w:w="411" w:type="dxa"/>
            <w:gridSpan w:val="2"/>
            <w:tcBorders>
              <w:top w:val="single" w:sz="6" w:space="0" w:color="732282"/>
            </w:tcBorders>
            <w:shd w:fill="732282" w:val="clear"/>
            <w:tcMar>
              <w:top w:w="28" w:type="dxa"/>
            </w:tcMar>
            <w:vAlign w:val="center"/>
          </w:tcPr>
          <w:p>
            <w:pPr>
              <w:pStyle w:val="TableContents"/>
              <w:bidi w:val="0"/>
              <w:spacing w:before="0" w:after="283"/>
              <w:jc w:val="left"/>
              <w:rPr/>
            </w:pPr>
            <w:r>
              <w:rPr/>
              <w:t> </w:t>
            </w:r>
          </w:p>
        </w:tc>
        <w:tc>
          <w:tcPr>
            <w:tcW w:w="411" w:type="dxa"/>
            <w:gridSpan w:val="2"/>
            <w:tcBorders>
              <w:top w:val="single" w:sz="6" w:space="0" w:color="732282"/>
            </w:tcBorders>
            <w:shd w:fill="732282" w:val="clear"/>
            <w:tcMar>
              <w:top w:w="28" w:type="dxa"/>
            </w:tcMar>
            <w:vAlign w:val="center"/>
          </w:tcPr>
          <w:p>
            <w:pPr>
              <w:pStyle w:val="TableContents"/>
              <w:bidi w:val="0"/>
              <w:spacing w:before="0" w:after="283"/>
              <w:jc w:val="left"/>
              <w:rPr/>
            </w:pPr>
            <w:r>
              <w:rPr/>
              <w:t> </w:t>
            </w:r>
          </w:p>
        </w:tc>
        <w:tc>
          <w:tcPr>
            <w:tcW w:w="486" w:type="dxa"/>
            <w:gridSpan w:val="2"/>
            <w:tcBorders>
              <w:top w:val="single" w:sz="6" w:space="0" w:color="732282"/>
            </w:tcBorders>
            <w:shd w:fill="732282" w:val="clear"/>
            <w:tcMar>
              <w:top w:w="28" w:type="dxa"/>
            </w:tcMar>
            <w:vAlign w:val="center"/>
          </w:tcPr>
          <w:p>
            <w:pPr>
              <w:pStyle w:val="TableContents"/>
              <w:bidi w:val="0"/>
              <w:spacing w:before="0" w:after="283"/>
              <w:jc w:val="left"/>
              <w:rPr/>
            </w:pPr>
            <w:r>
              <w:rPr/>
              <w:t> </w:t>
            </w:r>
          </w:p>
        </w:tc>
        <w:tc>
          <w:tcPr>
            <w:tcW w:w="441" w:type="dxa"/>
            <w:gridSpan w:val="2"/>
            <w:tcBorders>
              <w:top w:val="single" w:sz="6" w:space="0" w:color="732282"/>
            </w:tcBorders>
            <w:shd w:fill="732282" w:val="clear"/>
            <w:tcMar>
              <w:top w:w="28" w:type="dxa"/>
            </w:tcMar>
            <w:vAlign w:val="center"/>
          </w:tcPr>
          <w:p>
            <w:pPr>
              <w:pStyle w:val="TableContents"/>
              <w:bidi w:val="0"/>
              <w:spacing w:before="0" w:after="283"/>
              <w:jc w:val="left"/>
              <w:rPr/>
            </w:pPr>
            <w:r>
              <w:rPr/>
              <w:t> </w:t>
            </w:r>
          </w:p>
        </w:tc>
        <w:tc>
          <w:tcPr>
            <w:tcW w:w="526" w:type="dxa"/>
            <w:gridSpan w:val="2"/>
            <w:tcBorders>
              <w:top w:val="single" w:sz="6" w:space="0" w:color="732282"/>
              <w:right w:val="single" w:sz="6" w:space="0" w:color="732282"/>
            </w:tcBorders>
            <w:shd w:fill="732282" w:val="clear"/>
            <w:tcMar>
              <w:top w:w="28" w:type="dxa"/>
              <w:right w:w="28" w:type="dxa"/>
            </w:tcMar>
            <w:vAlign w:val="center"/>
          </w:tcPr>
          <w:p>
            <w:pPr>
              <w:pStyle w:val="TableContents"/>
              <w:bidi w:val="0"/>
              <w:spacing w:before="0" w:after="283"/>
              <w:jc w:val="left"/>
              <w:rPr/>
            </w:pPr>
            <w:r>
              <w:rPr/>
              <w:t> </w:t>
            </w:r>
          </w:p>
        </w:tc>
      </w:tr>
      <w:tr>
        <w:trPr/>
        <w:tc>
          <w:tcPr>
            <w:tcW w:w="4513" w:type="dxa"/>
            <w:tcBorders>
              <w:left w:val="single" w:sz="6" w:space="0" w:color="732282"/>
            </w:tcBorders>
            <w:shd w:fill="732282" w:val="clear"/>
            <w:tcMar>
              <w:left w:w="160" w:type="dxa"/>
            </w:tcMar>
            <w:vAlign w:val="center"/>
          </w:tcPr>
          <w:p>
            <w:pPr>
              <w:pStyle w:val="TableContents"/>
              <w:bidi w:val="0"/>
              <w:spacing w:before="0" w:after="283"/>
              <w:jc w:val="left"/>
              <w:rPr/>
            </w:pPr>
            <w:r>
              <w:rPr/>
              <w:t>  </w:t>
            </w:r>
          </w:p>
        </w:tc>
        <w:tc>
          <w:tcPr>
            <w:tcW w:w="60" w:type="dxa"/>
            <w:tcBorders/>
            <w:shd w:fill="732282" w:val="clear"/>
            <w:vAlign w:val="center"/>
          </w:tcPr>
          <w:p>
            <w:pPr>
              <w:pStyle w:val="TableContents"/>
              <w:bidi w:val="0"/>
              <w:spacing w:before="0" w:after="283"/>
              <w:jc w:val="left"/>
              <w:rPr/>
            </w:pPr>
            <w:r>
              <w:rPr/>
              <w:t> </w:t>
            </w:r>
          </w:p>
        </w:tc>
        <w:tc>
          <w:tcPr>
            <w:tcW w:w="471" w:type="dxa"/>
            <w:tcBorders/>
            <w:shd w:fill="732282" w:val="clear"/>
            <w:vAlign w:val="center"/>
          </w:tcPr>
          <w:p>
            <w:pPr>
              <w:pStyle w:val="TableContents"/>
              <w:bidi w:val="0"/>
              <w:spacing w:before="0" w:after="283"/>
              <w:jc w:val="left"/>
              <w:rPr/>
            </w:pPr>
            <w:r>
              <w:rPr/>
              <w:drawing>
                <wp:inline distT="0" distB="0" distL="0" distR="0">
                  <wp:extent cx="295275"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5275" cy="485775"/>
                          </a:xfrm>
                          <a:prstGeom prst="rect">
                            <a:avLst/>
                          </a:prstGeom>
                        </pic:spPr>
                      </pic:pic>
                    </a:graphicData>
                  </a:graphic>
                </wp:inline>
              </w:drawing>
            </w:r>
            <w:r>
              <w:rPr/>
              <w:t xml:space="preserve"> </w:t>
            </w:r>
          </w:p>
        </w:tc>
        <w:tc>
          <w:tcPr>
            <w:tcW w:w="60" w:type="dxa"/>
            <w:tcBorders/>
            <w:shd w:fill="732282" w:val="clear"/>
            <w:vAlign w:val="center"/>
          </w:tcPr>
          <w:p>
            <w:pPr>
              <w:pStyle w:val="TableContents"/>
              <w:bidi w:val="0"/>
              <w:spacing w:before="0" w:after="283"/>
              <w:jc w:val="left"/>
              <w:rPr/>
            </w:pPr>
            <w:r>
              <w:rPr/>
              <w:t> </w:t>
            </w:r>
          </w:p>
        </w:tc>
        <w:tc>
          <w:tcPr>
            <w:tcW w:w="381" w:type="dxa"/>
            <w:tcBorders/>
            <w:shd w:fill="732282" w:val="clear"/>
            <w:vAlign w:val="center"/>
          </w:tcPr>
          <w:p>
            <w:pPr>
              <w:pStyle w:val="TableContents"/>
              <w:bidi w:val="0"/>
              <w:spacing w:before="0" w:after="283"/>
              <w:jc w:val="left"/>
              <w:rPr/>
            </w:pPr>
            <w:r>
              <w:rPr/>
              <w:drawing>
                <wp:inline distT="0" distB="0" distL="0" distR="0">
                  <wp:extent cx="238125"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8125" cy="352425"/>
                          </a:xfrm>
                          <a:prstGeom prst="rect">
                            <a:avLst/>
                          </a:prstGeom>
                        </pic:spPr>
                      </pic:pic>
                    </a:graphicData>
                  </a:graphic>
                </wp:inline>
              </w:drawing>
            </w:r>
            <w:r>
              <w:rPr/>
              <w:t xml:space="preserve"> </w:t>
            </w:r>
          </w:p>
        </w:tc>
        <w:tc>
          <w:tcPr>
            <w:tcW w:w="60" w:type="dxa"/>
            <w:tcBorders/>
            <w:shd w:fill="732282" w:val="clear"/>
            <w:vAlign w:val="center"/>
          </w:tcPr>
          <w:p>
            <w:pPr>
              <w:pStyle w:val="TableContents"/>
              <w:bidi w:val="0"/>
              <w:spacing w:before="0" w:after="283"/>
              <w:jc w:val="left"/>
              <w:rPr/>
            </w:pPr>
            <w:r>
              <w:rPr/>
              <w:t> </w:t>
            </w:r>
          </w:p>
        </w:tc>
        <w:tc>
          <w:tcPr>
            <w:tcW w:w="411" w:type="dxa"/>
            <w:tcBorders/>
            <w:shd w:fill="732282" w:val="clear"/>
            <w:vAlign w:val="center"/>
          </w:tcPr>
          <w:p>
            <w:pPr>
              <w:pStyle w:val="TableContents"/>
              <w:bidi w:val="0"/>
              <w:spacing w:before="0" w:after="283"/>
              <w:jc w:val="left"/>
              <w:rPr/>
            </w:pPr>
            <w:r>
              <w:rPr/>
              <w:drawing>
                <wp:inline distT="0" distB="0" distL="0" distR="0">
                  <wp:extent cx="257175"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57175" cy="381000"/>
                          </a:xfrm>
                          <a:prstGeom prst="rect">
                            <a:avLst/>
                          </a:prstGeom>
                        </pic:spPr>
                      </pic:pic>
                    </a:graphicData>
                  </a:graphic>
                </wp:inline>
              </w:drawing>
            </w:r>
            <w:r>
              <w:rPr/>
              <w:t xml:space="preserve"> </w:t>
            </w:r>
          </w:p>
        </w:tc>
        <w:tc>
          <w:tcPr>
            <w:tcW w:w="60" w:type="dxa"/>
            <w:tcBorders/>
            <w:shd w:fill="732282" w:val="clear"/>
            <w:vAlign w:val="center"/>
          </w:tcPr>
          <w:p>
            <w:pPr>
              <w:pStyle w:val="TableContents"/>
              <w:bidi w:val="0"/>
              <w:spacing w:before="0" w:after="283"/>
              <w:jc w:val="left"/>
              <w:rPr/>
            </w:pPr>
            <w:r>
              <w:rPr/>
              <w:t> </w:t>
            </w:r>
          </w:p>
        </w:tc>
        <w:tc>
          <w:tcPr>
            <w:tcW w:w="516" w:type="dxa"/>
            <w:tcBorders/>
            <w:shd w:fill="732282" w:val="clear"/>
            <w:vAlign w:val="center"/>
          </w:tcPr>
          <w:p>
            <w:pPr>
              <w:pStyle w:val="TableContents"/>
              <w:bidi w:val="0"/>
              <w:spacing w:before="0" w:after="283"/>
              <w:jc w:val="left"/>
              <w:rPr/>
            </w:pPr>
            <w:r>
              <w:rPr/>
              <w:drawing>
                <wp:inline distT="0" distB="0" distL="0" distR="0">
                  <wp:extent cx="323850" cy="533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23850" cy="533400"/>
                          </a:xfrm>
                          <a:prstGeom prst="rect">
                            <a:avLst/>
                          </a:prstGeom>
                        </pic:spPr>
                      </pic:pic>
                    </a:graphicData>
                  </a:graphic>
                </wp:inline>
              </w:drawing>
            </w:r>
            <w:r>
              <w:rPr/>
              <w:t xml:space="preserve"> </w:t>
            </w:r>
          </w:p>
        </w:tc>
        <w:tc>
          <w:tcPr>
            <w:tcW w:w="60" w:type="dxa"/>
            <w:tcBorders/>
            <w:shd w:fill="732282" w:val="clear"/>
            <w:vAlign w:val="center"/>
          </w:tcPr>
          <w:p>
            <w:pPr>
              <w:pStyle w:val="TableContents"/>
              <w:bidi w:val="0"/>
              <w:spacing w:before="0" w:after="283"/>
              <w:jc w:val="left"/>
              <w:rPr/>
            </w:pPr>
            <w:r>
              <w:rPr/>
              <w:t> </w:t>
            </w:r>
          </w:p>
        </w:tc>
        <w:tc>
          <w:tcPr>
            <w:tcW w:w="441" w:type="dxa"/>
            <w:tcBorders/>
            <w:shd w:fill="732282" w:val="clear"/>
            <w:vAlign w:val="center"/>
          </w:tcPr>
          <w:p>
            <w:pPr>
              <w:pStyle w:val="TableContents"/>
              <w:bidi w:val="0"/>
              <w:spacing w:before="0" w:after="283"/>
              <w:jc w:val="left"/>
              <w:rPr/>
            </w:pPr>
            <w:r>
              <w:rPr/>
              <w:drawing>
                <wp:inline distT="0" distB="0" distL="0" distR="0">
                  <wp:extent cx="276225" cy="447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76225" cy="447675"/>
                          </a:xfrm>
                          <a:prstGeom prst="rect">
                            <a:avLst/>
                          </a:prstGeom>
                        </pic:spPr>
                      </pic:pic>
                    </a:graphicData>
                  </a:graphic>
                </wp:inline>
              </w:drawing>
            </w:r>
            <w:r>
              <w:rPr/>
              <w:t xml:space="preserve"> </w:t>
            </w:r>
          </w:p>
        </w:tc>
        <w:tc>
          <w:tcPr>
            <w:tcW w:w="60" w:type="dxa"/>
            <w:tcBorders/>
            <w:shd w:fill="732282" w:val="clear"/>
            <w:vAlign w:val="center"/>
          </w:tcPr>
          <w:p>
            <w:pPr>
              <w:pStyle w:val="TableContents"/>
              <w:bidi w:val="0"/>
              <w:spacing w:before="0" w:after="283"/>
              <w:jc w:val="left"/>
              <w:rPr/>
            </w:pPr>
            <w:r>
              <w:rPr/>
              <w:t> </w:t>
            </w:r>
          </w:p>
        </w:tc>
        <w:tc>
          <w:tcPr>
            <w:tcW w:w="336" w:type="dxa"/>
            <w:tcBorders/>
            <w:shd w:fill="732282" w:val="clear"/>
            <w:vAlign w:val="center"/>
          </w:tcPr>
          <w:p>
            <w:pPr>
              <w:pStyle w:val="TableContents"/>
              <w:bidi w:val="0"/>
              <w:spacing w:before="0" w:after="283"/>
              <w:jc w:val="left"/>
              <w:rPr/>
            </w:pPr>
            <w:r>
              <w:rPr/>
              <w:drawing>
                <wp:inline distT="0" distB="0" distL="0" distR="0">
                  <wp:extent cx="209550" cy="2952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09550" cy="295275"/>
                          </a:xfrm>
                          <a:prstGeom prst="rect">
                            <a:avLst/>
                          </a:prstGeom>
                        </pic:spPr>
                      </pic:pic>
                    </a:graphicData>
                  </a:graphic>
                </wp:inline>
              </w:drawing>
            </w:r>
            <w:r>
              <w:rPr/>
              <w:t xml:space="preserve"> </w:t>
            </w:r>
          </w:p>
        </w:tc>
        <w:tc>
          <w:tcPr>
            <w:tcW w:w="60" w:type="dxa"/>
            <w:tcBorders/>
            <w:shd w:fill="732282" w:val="clear"/>
            <w:vAlign w:val="center"/>
          </w:tcPr>
          <w:p>
            <w:pPr>
              <w:pStyle w:val="TableContents"/>
              <w:bidi w:val="0"/>
              <w:spacing w:before="0" w:after="283"/>
              <w:jc w:val="left"/>
              <w:rPr/>
            </w:pPr>
            <w:r>
              <w:rPr/>
              <w:t> </w:t>
            </w:r>
          </w:p>
        </w:tc>
        <w:tc>
          <w:tcPr>
            <w:tcW w:w="441" w:type="dxa"/>
            <w:tcBorders/>
            <w:shd w:fill="732282" w:val="clear"/>
            <w:vAlign w:val="center"/>
          </w:tcPr>
          <w:p>
            <w:pPr>
              <w:pStyle w:val="TableContents"/>
              <w:bidi w:val="0"/>
              <w:spacing w:before="0" w:after="283"/>
              <w:jc w:val="left"/>
              <w:rPr/>
            </w:pPr>
            <w:r>
              <w:rPr/>
              <w:drawing>
                <wp:inline distT="0" distB="0" distL="0" distR="0">
                  <wp:extent cx="276225" cy="4000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76225" cy="400050"/>
                          </a:xfrm>
                          <a:prstGeom prst="rect">
                            <a:avLst/>
                          </a:prstGeom>
                        </pic:spPr>
                      </pic:pic>
                    </a:graphicData>
                  </a:graphic>
                </wp:inline>
              </w:drawing>
            </w:r>
            <w:r>
              <w:rPr/>
              <w:t xml:space="preserve"> </w:t>
            </w:r>
          </w:p>
        </w:tc>
        <w:tc>
          <w:tcPr>
            <w:tcW w:w="60" w:type="dxa"/>
            <w:tcBorders/>
            <w:shd w:fill="732282" w:val="clear"/>
            <w:vAlign w:val="center"/>
          </w:tcPr>
          <w:p>
            <w:pPr>
              <w:pStyle w:val="TableContents"/>
              <w:bidi w:val="0"/>
              <w:spacing w:before="0" w:after="283"/>
              <w:jc w:val="left"/>
              <w:rPr/>
            </w:pPr>
            <w:r>
              <w:rPr/>
              <w:t> </w:t>
            </w:r>
          </w:p>
        </w:tc>
        <w:tc>
          <w:tcPr>
            <w:tcW w:w="351" w:type="dxa"/>
            <w:tcBorders/>
            <w:shd w:fill="732282" w:val="clear"/>
            <w:vAlign w:val="center"/>
          </w:tcPr>
          <w:p>
            <w:pPr>
              <w:pStyle w:val="TableContents"/>
              <w:bidi w:val="0"/>
              <w:spacing w:before="0" w:after="283"/>
              <w:jc w:val="left"/>
              <w:rPr/>
            </w:pPr>
            <w:r>
              <w:rPr/>
              <w:drawing>
                <wp:inline distT="0" distB="0" distL="0" distR="0">
                  <wp:extent cx="219075" cy="285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19075" cy="285750"/>
                          </a:xfrm>
                          <a:prstGeom prst="rect">
                            <a:avLst/>
                          </a:prstGeom>
                        </pic:spPr>
                      </pic:pic>
                    </a:graphicData>
                  </a:graphic>
                </wp:inline>
              </w:drawing>
            </w:r>
            <w:r>
              <w:rPr/>
              <w:t xml:space="preserve"> </w:t>
            </w:r>
          </w:p>
        </w:tc>
        <w:tc>
          <w:tcPr>
            <w:tcW w:w="60" w:type="dxa"/>
            <w:tcBorders/>
            <w:shd w:fill="732282" w:val="clear"/>
            <w:vAlign w:val="center"/>
          </w:tcPr>
          <w:p>
            <w:pPr>
              <w:pStyle w:val="TableContents"/>
              <w:bidi w:val="0"/>
              <w:spacing w:before="0" w:after="283"/>
              <w:jc w:val="left"/>
              <w:rPr/>
            </w:pPr>
            <w:r>
              <w:rPr/>
              <w:t> </w:t>
            </w:r>
          </w:p>
        </w:tc>
        <w:tc>
          <w:tcPr>
            <w:tcW w:w="351" w:type="dxa"/>
            <w:tcBorders/>
            <w:shd w:fill="732282" w:val="clear"/>
            <w:vAlign w:val="center"/>
          </w:tcPr>
          <w:p>
            <w:pPr>
              <w:pStyle w:val="TableContents"/>
              <w:bidi w:val="0"/>
              <w:spacing w:before="0" w:after="283"/>
              <w:jc w:val="left"/>
              <w:rPr/>
            </w:pPr>
            <w:r>
              <w:rPr/>
              <w:drawing>
                <wp:inline distT="0" distB="0" distL="0" distR="0">
                  <wp:extent cx="219075" cy="2952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19075" cy="295275"/>
                          </a:xfrm>
                          <a:prstGeom prst="rect">
                            <a:avLst/>
                          </a:prstGeom>
                        </pic:spPr>
                      </pic:pic>
                    </a:graphicData>
                  </a:graphic>
                </wp:inline>
              </w:drawing>
            </w:r>
            <w:r>
              <w:rPr/>
              <w:t xml:space="preserve"> </w:t>
            </w:r>
          </w:p>
        </w:tc>
        <w:tc>
          <w:tcPr>
            <w:tcW w:w="60" w:type="dxa"/>
            <w:tcBorders/>
            <w:shd w:fill="732282" w:val="clear"/>
            <w:vAlign w:val="center"/>
          </w:tcPr>
          <w:p>
            <w:pPr>
              <w:pStyle w:val="TableContents"/>
              <w:bidi w:val="0"/>
              <w:spacing w:before="0" w:after="283"/>
              <w:jc w:val="left"/>
              <w:rPr/>
            </w:pPr>
            <w:r>
              <w:rPr/>
              <w:t> </w:t>
            </w:r>
          </w:p>
        </w:tc>
        <w:tc>
          <w:tcPr>
            <w:tcW w:w="426" w:type="dxa"/>
            <w:tcBorders/>
            <w:shd w:fill="732282" w:val="clear"/>
            <w:vAlign w:val="center"/>
          </w:tcPr>
          <w:p>
            <w:pPr>
              <w:pStyle w:val="TableContents"/>
              <w:bidi w:val="0"/>
              <w:spacing w:before="0" w:after="283"/>
              <w:jc w:val="left"/>
              <w:rPr/>
            </w:pPr>
            <w:r>
              <w:rPr/>
              <w:drawing>
                <wp:inline distT="0" distB="0" distL="0" distR="0">
                  <wp:extent cx="266700" cy="4095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66700" cy="409575"/>
                          </a:xfrm>
                          <a:prstGeom prst="rect">
                            <a:avLst/>
                          </a:prstGeom>
                        </pic:spPr>
                      </pic:pic>
                    </a:graphicData>
                  </a:graphic>
                </wp:inline>
              </w:drawing>
            </w:r>
            <w:r>
              <w:rPr/>
              <w:t xml:space="preserve"> </w:t>
            </w:r>
          </w:p>
        </w:tc>
        <w:tc>
          <w:tcPr>
            <w:tcW w:w="60" w:type="dxa"/>
            <w:tcBorders/>
            <w:shd w:fill="732282" w:val="clear"/>
            <w:vAlign w:val="center"/>
          </w:tcPr>
          <w:p>
            <w:pPr>
              <w:pStyle w:val="TableContents"/>
              <w:bidi w:val="0"/>
              <w:spacing w:before="0" w:after="283"/>
              <w:jc w:val="left"/>
              <w:rPr/>
            </w:pPr>
            <w:r>
              <w:rPr/>
              <w:t> </w:t>
            </w:r>
          </w:p>
        </w:tc>
        <w:tc>
          <w:tcPr>
            <w:tcW w:w="381" w:type="dxa"/>
            <w:tcBorders/>
            <w:shd w:fill="732282" w:val="clear"/>
            <w:vAlign w:val="center"/>
          </w:tcPr>
          <w:p>
            <w:pPr>
              <w:pStyle w:val="TableContents"/>
              <w:bidi w:val="0"/>
              <w:spacing w:before="0" w:after="283"/>
              <w:jc w:val="left"/>
              <w:rPr/>
            </w:pPr>
            <w:r>
              <w:rPr/>
              <w:drawing>
                <wp:inline distT="0" distB="0" distL="0" distR="0">
                  <wp:extent cx="238125" cy="3524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8125" cy="352425"/>
                          </a:xfrm>
                          <a:prstGeom prst="rect">
                            <a:avLst/>
                          </a:prstGeom>
                        </pic:spPr>
                      </pic:pic>
                    </a:graphicData>
                  </a:graphic>
                </wp:inline>
              </w:drawing>
            </w:r>
            <w:r>
              <w:rPr/>
              <w:t xml:space="preserve"> </w:t>
            </w:r>
          </w:p>
        </w:tc>
        <w:tc>
          <w:tcPr>
            <w:tcW w:w="60" w:type="dxa"/>
            <w:tcBorders/>
            <w:shd w:fill="732282" w:val="clear"/>
            <w:vAlign w:val="center"/>
          </w:tcPr>
          <w:p>
            <w:pPr>
              <w:pStyle w:val="TableContents"/>
              <w:bidi w:val="0"/>
              <w:spacing w:before="0" w:after="283"/>
              <w:jc w:val="left"/>
              <w:rPr/>
            </w:pPr>
            <w:r>
              <w:rPr/>
              <w:t> </w:t>
            </w:r>
          </w:p>
        </w:tc>
        <w:tc>
          <w:tcPr>
            <w:tcW w:w="466" w:type="dxa"/>
            <w:tcBorders>
              <w:right w:val="single" w:sz="6" w:space="0" w:color="732282"/>
            </w:tcBorders>
            <w:shd w:fill="732282" w:val="clear"/>
            <w:tcMar>
              <w:right w:w="40" w:type="dxa"/>
            </w:tcMar>
            <w:vAlign w:val="center"/>
          </w:tcPr>
          <w:p>
            <w:pPr>
              <w:pStyle w:val="TableContents"/>
              <w:bidi w:val="0"/>
              <w:spacing w:before="0" w:after="283"/>
              <w:jc w:val="left"/>
              <w:rPr/>
            </w:pPr>
            <w:r>
              <w:rPr/>
              <w:drawing>
                <wp:inline distT="0" distB="0" distL="0" distR="0">
                  <wp:extent cx="276225" cy="3619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76225" cy="361950"/>
                          </a:xfrm>
                          <a:prstGeom prst="rect">
                            <a:avLst/>
                          </a:prstGeom>
                        </pic:spPr>
                      </pic:pic>
                    </a:graphicData>
                  </a:graphic>
                </wp:inline>
              </w:drawing>
            </w:r>
            <w:r>
              <w:rPr/>
              <w:t xml:space="preserve"> </w:t>
            </w:r>
          </w:p>
        </w:tc>
      </w:tr>
      <w:tr>
        <w:trPr/>
        <w:tc>
          <w:tcPr>
            <w:tcW w:w="4513" w:type="dxa"/>
            <w:tcBorders>
              <w:left w:val="single" w:sz="6" w:space="0" w:color="732282"/>
              <w:bottom w:val="single" w:sz="6" w:space="0" w:color="999999"/>
            </w:tcBorders>
            <w:tcMar>
              <w:left w:w="160" w:type="dxa"/>
              <w:bottom w:w="28" w:type="dxa"/>
            </w:tcMar>
            <w:vAlign w:val="center"/>
          </w:tcPr>
          <w:p>
            <w:pPr>
              <w:pStyle w:val="TableContents"/>
              <w:bidi w:val="0"/>
              <w:spacing w:before="0" w:after="0"/>
              <w:jc w:val="left"/>
              <w:rPr>
                <w:rFonts w:ascii="ARIAL" w:hAnsi="ARIAL"/>
                <w:b/>
                <w:color w:val="231161"/>
                <w:sz w:val="16"/>
              </w:rPr>
            </w:pPr>
            <w:r>
              <w:rPr>
                <w:rFonts w:ascii="ARIAL" w:hAnsi="ARIAL"/>
                <w:b/>
                <w:color w:val="231161"/>
                <w:sz w:val="16"/>
              </w:rPr>
              <w:t>CEO and Public Company Management Experience</w:t>
            </w:r>
          </w:p>
          <w:p>
            <w:pPr>
              <w:pStyle w:val="TableContents"/>
              <w:bidi w:val="0"/>
              <w:spacing w:before="0" w:after="20"/>
              <w:jc w:val="left"/>
              <w:rPr>
                <w:rFonts w:ascii="ARIAL" w:hAnsi="ARIAL"/>
                <w:color w:val="3F3F3F"/>
                <w:sz w:val="14"/>
              </w:rPr>
            </w:pPr>
            <w:r>
              <w:rPr>
                <w:rFonts w:ascii="ARIAL" w:hAnsi="ARIAL"/>
                <w:color w:val="3F3F3F"/>
                <w:sz w:val="14"/>
              </w:rPr>
              <w:t>Directors who have experience in management at public companies provide valuable expertise on managing interests held among diverse stakeholders, including, among others, employees, patients and shareholders</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7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8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1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516"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41"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36"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4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5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5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26"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8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shd w:fill="EADDEC" w:val="clear"/>
            <w:tcMar>
              <w:left w:w="28" w:type="dxa"/>
              <w:bottom w:w="28" w:type="dxa"/>
            </w:tcMar>
            <w:vAlign w:val="center"/>
          </w:tcPr>
          <w:p>
            <w:pPr>
              <w:pStyle w:val="TableContents"/>
              <w:bidi w:val="0"/>
              <w:spacing w:before="0" w:after="283"/>
              <w:jc w:val="left"/>
              <w:rPr/>
            </w:pPr>
            <w:r>
              <w:rPr/>
              <w:t> </w:t>
            </w:r>
          </w:p>
        </w:tc>
        <w:tc>
          <w:tcPr>
            <w:tcW w:w="466" w:type="dxa"/>
            <w:tcBorders>
              <w:bottom w:val="single" w:sz="6" w:space="0" w:color="999999"/>
              <w:right w:val="single" w:sz="6" w:space="0" w:color="732282"/>
            </w:tcBorders>
            <w:shd w:fill="EADDEC" w:val="clear"/>
            <w:tcMar>
              <w:bottom w:w="28" w:type="dxa"/>
              <w:right w:w="40" w:type="dxa"/>
            </w:tcMar>
            <w:vAlign w:val="center"/>
          </w:tcPr>
          <w:p>
            <w:pPr>
              <w:pStyle w:val="TableContents"/>
              <w:bidi w:val="0"/>
              <w:spacing w:before="0" w:after="283"/>
              <w:jc w:val="center"/>
              <w:rPr>
                <w:sz w:val="16"/>
              </w:rPr>
            </w:pPr>
            <w:r>
              <w:rPr>
                <w:sz w:val="16"/>
              </w:rPr>
              <w:t>9/11</w:t>
            </w:r>
          </w:p>
        </w:tc>
      </w:tr>
      <w:tr>
        <w:trPr/>
        <w:tc>
          <w:tcPr>
            <w:tcW w:w="4513" w:type="dxa"/>
            <w:tcBorders>
              <w:left w:val="single" w:sz="6" w:space="0" w:color="732282"/>
              <w:bottom w:val="single" w:sz="6" w:space="0" w:color="999999"/>
            </w:tcBorders>
            <w:tcMar>
              <w:left w:w="160" w:type="dxa"/>
              <w:bottom w:w="28" w:type="dxa"/>
            </w:tcMar>
            <w:vAlign w:val="center"/>
          </w:tcPr>
          <w:p>
            <w:pPr>
              <w:pStyle w:val="TableContents"/>
              <w:bidi w:val="0"/>
              <w:spacing w:before="0" w:after="0"/>
              <w:jc w:val="left"/>
              <w:rPr>
                <w:rFonts w:ascii="ARIAL" w:hAnsi="ARIAL"/>
                <w:b/>
                <w:color w:val="231161"/>
                <w:sz w:val="16"/>
              </w:rPr>
            </w:pPr>
            <w:r>
              <w:rPr>
                <w:rFonts w:ascii="ARIAL" w:hAnsi="ARIAL"/>
                <w:b/>
                <w:color w:val="231161"/>
                <w:sz w:val="16"/>
              </w:rPr>
              <w:t>Corporate Governance/Corporate Social Responsibility (CSR) Experience</w:t>
            </w:r>
          </w:p>
          <w:p>
            <w:pPr>
              <w:pStyle w:val="TableContents"/>
              <w:bidi w:val="0"/>
              <w:spacing w:before="0" w:after="20"/>
              <w:jc w:val="left"/>
              <w:rPr>
                <w:rFonts w:ascii="ARIAL" w:hAnsi="ARIAL"/>
                <w:color w:val="3F3F3F"/>
                <w:sz w:val="14"/>
              </w:rPr>
            </w:pPr>
            <w:r>
              <w:rPr>
                <w:rFonts w:ascii="ARIAL" w:hAnsi="ARIAL"/>
                <w:color w:val="3F3F3F"/>
                <w:sz w:val="14"/>
              </w:rPr>
              <w:t>Directors with Corporate Governance/CSR experience are skilled in the successful operation of board oversight, cognizant of the impact that governance policies have on a public company and/or familiar with oversight of matters related to emerging social and environmental issues</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7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8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1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516"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4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36"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4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51"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5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26"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8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shd w:fill="EADDEC" w:val="clear"/>
            <w:tcMar>
              <w:left w:w="28" w:type="dxa"/>
              <w:bottom w:w="28" w:type="dxa"/>
            </w:tcMar>
            <w:vAlign w:val="center"/>
          </w:tcPr>
          <w:p>
            <w:pPr>
              <w:pStyle w:val="TableContents"/>
              <w:bidi w:val="0"/>
              <w:spacing w:before="0" w:after="283"/>
              <w:jc w:val="left"/>
              <w:rPr/>
            </w:pPr>
            <w:r>
              <w:rPr/>
              <w:t> </w:t>
            </w:r>
          </w:p>
        </w:tc>
        <w:tc>
          <w:tcPr>
            <w:tcW w:w="466" w:type="dxa"/>
            <w:tcBorders>
              <w:bottom w:val="single" w:sz="6" w:space="0" w:color="999999"/>
              <w:right w:val="single" w:sz="6" w:space="0" w:color="732282"/>
            </w:tcBorders>
            <w:shd w:fill="EADDEC" w:val="clear"/>
            <w:tcMar>
              <w:bottom w:w="28" w:type="dxa"/>
              <w:right w:w="40" w:type="dxa"/>
            </w:tcMar>
            <w:vAlign w:val="center"/>
          </w:tcPr>
          <w:p>
            <w:pPr>
              <w:pStyle w:val="TableContents"/>
              <w:bidi w:val="0"/>
              <w:spacing w:before="0" w:after="283"/>
              <w:jc w:val="center"/>
              <w:rPr>
                <w:sz w:val="16"/>
              </w:rPr>
            </w:pPr>
            <w:r>
              <w:rPr>
                <w:sz w:val="16"/>
              </w:rPr>
              <w:t>10/11</w:t>
            </w:r>
          </w:p>
        </w:tc>
      </w:tr>
      <w:tr>
        <w:trPr/>
        <w:tc>
          <w:tcPr>
            <w:tcW w:w="4513" w:type="dxa"/>
            <w:tcBorders>
              <w:left w:val="single" w:sz="6" w:space="0" w:color="732282"/>
              <w:bottom w:val="single" w:sz="6" w:space="0" w:color="999999"/>
            </w:tcBorders>
            <w:tcMar>
              <w:left w:w="160" w:type="dxa"/>
              <w:bottom w:w="28" w:type="dxa"/>
            </w:tcMar>
            <w:vAlign w:val="center"/>
          </w:tcPr>
          <w:p>
            <w:pPr>
              <w:pStyle w:val="TableContents"/>
              <w:bidi w:val="0"/>
              <w:spacing w:before="0" w:after="0"/>
              <w:jc w:val="left"/>
              <w:rPr>
                <w:rFonts w:ascii="ARIAL" w:hAnsi="ARIAL"/>
                <w:b/>
                <w:color w:val="231161"/>
                <w:sz w:val="16"/>
              </w:rPr>
            </w:pPr>
            <w:r>
              <w:rPr>
                <w:rFonts w:ascii="ARIAL" w:hAnsi="ARIAL"/>
                <w:b/>
                <w:color w:val="231161"/>
                <w:sz w:val="16"/>
              </w:rPr>
              <w:t>Finance, Accounting and Capital Markets Experience</w:t>
            </w:r>
          </w:p>
          <w:p>
            <w:pPr>
              <w:pStyle w:val="TableContents"/>
              <w:bidi w:val="0"/>
              <w:spacing w:before="0" w:after="20"/>
              <w:jc w:val="left"/>
              <w:rPr>
                <w:rFonts w:ascii="ARIAL" w:hAnsi="ARIAL"/>
                <w:color w:val="3F3F3F"/>
                <w:sz w:val="14"/>
              </w:rPr>
            </w:pPr>
            <w:r>
              <w:rPr>
                <w:rFonts w:ascii="ARIAL" w:hAnsi="ARIAL"/>
                <w:color w:val="3F3F3F"/>
                <w:sz w:val="14"/>
              </w:rPr>
              <w:t>Directors with a strong understanding of finance and accounting are essential for the Board to oversee our global financial reporting, internal controls, and capital structure, among other matters</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7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8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1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516"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4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36"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41"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5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5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26"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8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shd w:fill="EADDEC" w:val="clear"/>
            <w:tcMar>
              <w:left w:w="28" w:type="dxa"/>
              <w:bottom w:w="28" w:type="dxa"/>
            </w:tcMar>
            <w:vAlign w:val="center"/>
          </w:tcPr>
          <w:p>
            <w:pPr>
              <w:pStyle w:val="TableContents"/>
              <w:bidi w:val="0"/>
              <w:spacing w:before="0" w:after="283"/>
              <w:jc w:val="left"/>
              <w:rPr/>
            </w:pPr>
            <w:r>
              <w:rPr/>
              <w:t> </w:t>
            </w:r>
          </w:p>
        </w:tc>
        <w:tc>
          <w:tcPr>
            <w:tcW w:w="466" w:type="dxa"/>
            <w:tcBorders>
              <w:bottom w:val="single" w:sz="6" w:space="0" w:color="999999"/>
              <w:right w:val="single" w:sz="6" w:space="0" w:color="732282"/>
            </w:tcBorders>
            <w:shd w:fill="EADDEC" w:val="clear"/>
            <w:tcMar>
              <w:bottom w:w="28" w:type="dxa"/>
              <w:right w:w="40" w:type="dxa"/>
            </w:tcMar>
            <w:vAlign w:val="center"/>
          </w:tcPr>
          <w:p>
            <w:pPr>
              <w:pStyle w:val="TableContents"/>
              <w:bidi w:val="0"/>
              <w:spacing w:before="0" w:after="283"/>
              <w:jc w:val="center"/>
              <w:rPr>
                <w:sz w:val="16"/>
              </w:rPr>
            </w:pPr>
            <w:r>
              <w:rPr>
                <w:sz w:val="16"/>
              </w:rPr>
              <w:t>9/11</w:t>
            </w:r>
          </w:p>
        </w:tc>
      </w:tr>
      <w:tr>
        <w:trPr/>
        <w:tc>
          <w:tcPr>
            <w:tcW w:w="4513" w:type="dxa"/>
            <w:tcBorders>
              <w:left w:val="single" w:sz="6" w:space="0" w:color="732282"/>
              <w:bottom w:val="single" w:sz="6" w:space="0" w:color="999999"/>
            </w:tcBorders>
            <w:tcMar>
              <w:left w:w="160" w:type="dxa"/>
              <w:bottom w:w="28" w:type="dxa"/>
            </w:tcMar>
            <w:vAlign w:val="center"/>
          </w:tcPr>
          <w:p>
            <w:pPr>
              <w:pStyle w:val="TableContents"/>
              <w:bidi w:val="0"/>
              <w:spacing w:before="0" w:after="0"/>
              <w:jc w:val="left"/>
              <w:rPr>
                <w:rFonts w:ascii="ARIAL" w:hAnsi="ARIAL"/>
                <w:b/>
                <w:color w:val="231161"/>
                <w:sz w:val="16"/>
              </w:rPr>
            </w:pPr>
            <w:r>
              <w:rPr>
                <w:rFonts w:ascii="ARIAL" w:hAnsi="ARIAL"/>
                <w:b/>
                <w:color w:val="231161"/>
                <w:sz w:val="16"/>
              </w:rPr>
              <w:t>Global Business Experience</w:t>
            </w:r>
          </w:p>
          <w:p>
            <w:pPr>
              <w:pStyle w:val="TableContents"/>
              <w:bidi w:val="0"/>
              <w:spacing w:before="0" w:after="20"/>
              <w:jc w:val="left"/>
              <w:rPr>
                <w:rFonts w:ascii="ARIAL" w:hAnsi="ARIAL"/>
                <w:color w:val="3F3F3F"/>
                <w:sz w:val="14"/>
              </w:rPr>
            </w:pPr>
            <w:r>
              <w:rPr>
                <w:rFonts w:ascii="ARIAL" w:hAnsi="ARIAL"/>
                <w:color w:val="3F3F3F"/>
                <w:sz w:val="14"/>
              </w:rPr>
              <w:t>Viatris has operations and facilities around the world and, as such, benefits from directors who have experience working for companies with multinational reach and who provide insight on unique opportunities, challenges, and requirements associated with working across international markets</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7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8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1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516"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4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36"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4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5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5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26"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8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shd w:fill="EADDEC" w:val="clear"/>
            <w:tcMar>
              <w:left w:w="28" w:type="dxa"/>
              <w:bottom w:w="28" w:type="dxa"/>
            </w:tcMar>
            <w:vAlign w:val="center"/>
          </w:tcPr>
          <w:p>
            <w:pPr>
              <w:pStyle w:val="TableContents"/>
              <w:bidi w:val="0"/>
              <w:spacing w:before="0" w:after="283"/>
              <w:jc w:val="left"/>
              <w:rPr/>
            </w:pPr>
            <w:r>
              <w:rPr/>
              <w:t> </w:t>
            </w:r>
          </w:p>
        </w:tc>
        <w:tc>
          <w:tcPr>
            <w:tcW w:w="466" w:type="dxa"/>
            <w:tcBorders>
              <w:bottom w:val="single" w:sz="6" w:space="0" w:color="999999"/>
              <w:right w:val="single" w:sz="6" w:space="0" w:color="732282"/>
            </w:tcBorders>
            <w:shd w:fill="EADDEC" w:val="clear"/>
            <w:tcMar>
              <w:bottom w:w="28" w:type="dxa"/>
              <w:right w:w="40" w:type="dxa"/>
            </w:tcMar>
            <w:vAlign w:val="center"/>
          </w:tcPr>
          <w:p>
            <w:pPr>
              <w:pStyle w:val="TableContents"/>
              <w:bidi w:val="0"/>
              <w:spacing w:before="0" w:after="283"/>
              <w:jc w:val="center"/>
              <w:rPr>
                <w:sz w:val="16"/>
              </w:rPr>
            </w:pPr>
            <w:r>
              <w:rPr>
                <w:sz w:val="16"/>
              </w:rPr>
              <w:t>11/11</w:t>
            </w:r>
          </w:p>
        </w:tc>
      </w:tr>
      <w:tr>
        <w:trPr/>
        <w:tc>
          <w:tcPr>
            <w:tcW w:w="4513" w:type="dxa"/>
            <w:tcBorders>
              <w:left w:val="single" w:sz="6" w:space="0" w:color="732282"/>
              <w:bottom w:val="single" w:sz="6" w:space="0" w:color="999999"/>
            </w:tcBorders>
            <w:tcMar>
              <w:left w:w="160" w:type="dxa"/>
              <w:bottom w:w="28" w:type="dxa"/>
            </w:tcMar>
            <w:vAlign w:val="center"/>
          </w:tcPr>
          <w:p>
            <w:pPr>
              <w:pStyle w:val="TableContents"/>
              <w:bidi w:val="0"/>
              <w:spacing w:before="0" w:after="0"/>
              <w:jc w:val="left"/>
              <w:rPr>
                <w:rFonts w:ascii="ARIAL" w:hAnsi="ARIAL"/>
                <w:b/>
                <w:color w:val="231161"/>
                <w:sz w:val="16"/>
              </w:rPr>
            </w:pPr>
            <w:r>
              <w:rPr>
                <w:rFonts w:ascii="ARIAL" w:hAnsi="ARIAL"/>
                <w:b/>
                <w:color w:val="231161"/>
                <w:sz w:val="16"/>
              </w:rPr>
              <w:t>Healthcare Industry Experience</w:t>
            </w:r>
          </w:p>
          <w:p>
            <w:pPr>
              <w:pStyle w:val="TableContents"/>
              <w:bidi w:val="0"/>
              <w:spacing w:before="0" w:after="20"/>
              <w:jc w:val="left"/>
              <w:rPr>
                <w:rFonts w:ascii="ARIAL" w:hAnsi="ARIAL"/>
                <w:color w:val="3F3F3F"/>
                <w:sz w:val="14"/>
              </w:rPr>
            </w:pPr>
            <w:r>
              <w:rPr>
                <w:rFonts w:ascii="ARIAL" w:hAnsi="ARIAL"/>
                <w:color w:val="3F3F3F"/>
                <w:sz w:val="14"/>
              </w:rPr>
              <w:t>Directors with experience in the healthcare industry provide valuable perspectives to our Board and management team regarding a broad range of issues and opportunities facing the Company, including industry conditions, product research and development (“R&amp;D”), supply chain, customers, sustainable access to medicine, product quality and patient safety, and marketing</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7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81"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1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516"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41"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36"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4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5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5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26"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8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shd w:fill="EADDEC" w:val="clear"/>
            <w:tcMar>
              <w:left w:w="28" w:type="dxa"/>
              <w:bottom w:w="28" w:type="dxa"/>
            </w:tcMar>
            <w:vAlign w:val="center"/>
          </w:tcPr>
          <w:p>
            <w:pPr>
              <w:pStyle w:val="TableContents"/>
              <w:bidi w:val="0"/>
              <w:spacing w:before="0" w:after="283"/>
              <w:jc w:val="left"/>
              <w:rPr/>
            </w:pPr>
            <w:r>
              <w:rPr/>
              <w:t> </w:t>
            </w:r>
          </w:p>
        </w:tc>
        <w:tc>
          <w:tcPr>
            <w:tcW w:w="466" w:type="dxa"/>
            <w:tcBorders>
              <w:bottom w:val="single" w:sz="6" w:space="0" w:color="999999"/>
              <w:right w:val="single" w:sz="6" w:space="0" w:color="732282"/>
            </w:tcBorders>
            <w:shd w:fill="EADDEC" w:val="clear"/>
            <w:tcMar>
              <w:bottom w:w="28" w:type="dxa"/>
              <w:right w:w="40" w:type="dxa"/>
            </w:tcMar>
            <w:vAlign w:val="center"/>
          </w:tcPr>
          <w:p>
            <w:pPr>
              <w:pStyle w:val="TableContents"/>
              <w:bidi w:val="0"/>
              <w:spacing w:before="0" w:after="283"/>
              <w:jc w:val="center"/>
              <w:rPr>
                <w:sz w:val="16"/>
              </w:rPr>
            </w:pPr>
            <w:r>
              <w:rPr>
                <w:sz w:val="16"/>
              </w:rPr>
              <w:t>8/11</w:t>
            </w:r>
          </w:p>
        </w:tc>
      </w:tr>
      <w:tr>
        <w:trPr/>
        <w:tc>
          <w:tcPr>
            <w:tcW w:w="4513" w:type="dxa"/>
            <w:tcBorders>
              <w:left w:val="single" w:sz="6" w:space="0" w:color="732282"/>
              <w:bottom w:val="single" w:sz="6" w:space="0" w:color="999999"/>
            </w:tcBorders>
            <w:tcMar>
              <w:left w:w="160" w:type="dxa"/>
              <w:bottom w:w="28" w:type="dxa"/>
            </w:tcMar>
            <w:vAlign w:val="center"/>
          </w:tcPr>
          <w:p>
            <w:pPr>
              <w:pStyle w:val="TableContents"/>
              <w:bidi w:val="0"/>
              <w:spacing w:before="0" w:after="0"/>
              <w:jc w:val="left"/>
              <w:rPr>
                <w:rFonts w:ascii="ARIAL" w:hAnsi="ARIAL"/>
                <w:b/>
                <w:color w:val="231161"/>
                <w:sz w:val="16"/>
              </w:rPr>
            </w:pPr>
            <w:r>
              <w:rPr>
                <w:rFonts w:ascii="ARIAL" w:hAnsi="ARIAL"/>
                <w:b/>
                <w:color w:val="231161"/>
                <w:sz w:val="16"/>
              </w:rPr>
              <w:t>Human Capital Management Experience</w:t>
            </w:r>
          </w:p>
          <w:p>
            <w:pPr>
              <w:pStyle w:val="TableContents"/>
              <w:bidi w:val="0"/>
              <w:spacing w:before="0" w:after="20"/>
              <w:jc w:val="left"/>
              <w:rPr>
                <w:rFonts w:ascii="ARIAL" w:hAnsi="ARIAL"/>
                <w:color w:val="3F3F3F"/>
                <w:sz w:val="14"/>
              </w:rPr>
            </w:pPr>
            <w:r>
              <w:rPr>
                <w:rFonts w:ascii="ARIAL" w:hAnsi="ARIAL"/>
                <w:color w:val="3F3F3F"/>
                <w:sz w:val="14"/>
              </w:rPr>
              <w:t>Attracting, developing and retaining talent globally are crucial to all aspects of the Company’s business, success, and strategy. We continue to build an inclusive and diverse culture that inspires leadership and accountability and encourages innovation. Directors with experience in succession planning, executive and/or director compensation, company culture and/or employee engagement (among other relevant areas) help to ensure that the Company’s culture reflects our mission and values</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7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8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1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516"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41"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36"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41"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5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51"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26"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8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shd w:fill="EADDEC" w:val="clear"/>
            <w:tcMar>
              <w:left w:w="28" w:type="dxa"/>
              <w:bottom w:w="28" w:type="dxa"/>
            </w:tcMar>
            <w:vAlign w:val="center"/>
          </w:tcPr>
          <w:p>
            <w:pPr>
              <w:pStyle w:val="TableContents"/>
              <w:bidi w:val="0"/>
              <w:spacing w:before="0" w:after="283"/>
              <w:jc w:val="left"/>
              <w:rPr/>
            </w:pPr>
            <w:r>
              <w:rPr/>
              <w:t> </w:t>
            </w:r>
          </w:p>
        </w:tc>
        <w:tc>
          <w:tcPr>
            <w:tcW w:w="466" w:type="dxa"/>
            <w:tcBorders>
              <w:bottom w:val="single" w:sz="6" w:space="0" w:color="999999"/>
              <w:right w:val="single" w:sz="6" w:space="0" w:color="732282"/>
            </w:tcBorders>
            <w:shd w:fill="EADDEC" w:val="clear"/>
            <w:tcMar>
              <w:bottom w:w="28" w:type="dxa"/>
              <w:right w:w="40" w:type="dxa"/>
            </w:tcMar>
            <w:vAlign w:val="center"/>
          </w:tcPr>
          <w:p>
            <w:pPr>
              <w:pStyle w:val="TableContents"/>
              <w:bidi w:val="0"/>
              <w:spacing w:before="0" w:after="283"/>
              <w:jc w:val="center"/>
              <w:rPr>
                <w:sz w:val="16"/>
              </w:rPr>
            </w:pPr>
            <w:r>
              <w:rPr>
                <w:sz w:val="16"/>
              </w:rPr>
              <w:t>7/11</w:t>
            </w:r>
          </w:p>
        </w:tc>
      </w:tr>
      <w:tr>
        <w:trPr/>
        <w:tc>
          <w:tcPr>
            <w:tcW w:w="4513" w:type="dxa"/>
            <w:tcBorders>
              <w:left w:val="single" w:sz="6" w:space="0" w:color="732282"/>
              <w:bottom w:val="single" w:sz="6" w:space="0" w:color="732282"/>
            </w:tcBorders>
            <w:tcMar>
              <w:left w:w="160" w:type="dxa"/>
              <w:bottom w:w="28" w:type="dxa"/>
            </w:tcMar>
            <w:vAlign w:val="center"/>
          </w:tcPr>
          <w:p>
            <w:pPr>
              <w:pStyle w:val="TableContents"/>
              <w:bidi w:val="0"/>
              <w:spacing w:before="0" w:after="0"/>
              <w:jc w:val="left"/>
              <w:rPr>
                <w:rFonts w:ascii="ARIAL" w:hAnsi="ARIAL"/>
                <w:b/>
                <w:color w:val="231161"/>
                <w:sz w:val="16"/>
              </w:rPr>
            </w:pPr>
            <w:r>
              <w:rPr>
                <w:rFonts w:ascii="ARIAL" w:hAnsi="ARIAL"/>
                <w:b/>
                <w:color w:val="231161"/>
                <w:sz w:val="16"/>
              </w:rPr>
              <w:t>Information Security Experience</w:t>
            </w:r>
          </w:p>
          <w:p>
            <w:pPr>
              <w:pStyle w:val="TableContents"/>
              <w:bidi w:val="0"/>
              <w:spacing w:before="0" w:after="20"/>
              <w:jc w:val="left"/>
              <w:rPr>
                <w:rFonts w:ascii="ARIAL" w:hAnsi="ARIAL"/>
                <w:color w:val="3F3F3F"/>
                <w:sz w:val="14"/>
              </w:rPr>
            </w:pPr>
            <w:r>
              <w:rPr>
                <w:rFonts w:ascii="ARIAL" w:hAnsi="ARIAL"/>
                <w:color w:val="3F3F3F"/>
                <w:sz w:val="14"/>
              </w:rPr>
              <w:t>Experience in information security, data privacy, cybersecurity, or use of technology to facilitate business operations</w:t>
            </w:r>
          </w:p>
        </w:tc>
        <w:tc>
          <w:tcPr>
            <w:tcW w:w="60" w:type="dxa"/>
            <w:tcBorders>
              <w:left w:val="single" w:sz="6" w:space="0" w:color="999999"/>
              <w:bottom w:val="single" w:sz="6" w:space="0" w:color="732282"/>
            </w:tcBorders>
            <w:tcMar>
              <w:left w:w="28" w:type="dxa"/>
              <w:bottom w:w="28" w:type="dxa"/>
            </w:tcMar>
            <w:vAlign w:val="center"/>
          </w:tcPr>
          <w:p>
            <w:pPr>
              <w:pStyle w:val="TableContents"/>
              <w:bidi w:val="0"/>
              <w:spacing w:before="0" w:after="283"/>
              <w:jc w:val="left"/>
              <w:rPr/>
            </w:pPr>
            <w:r>
              <w:rPr/>
              <w:t> </w:t>
            </w:r>
          </w:p>
        </w:tc>
        <w:tc>
          <w:tcPr>
            <w:tcW w:w="471" w:type="dxa"/>
            <w:tcBorders>
              <w:bottom w:val="single" w:sz="6" w:space="0" w:color="732282"/>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732282"/>
            </w:tcBorders>
            <w:tcMar>
              <w:left w:w="28" w:type="dxa"/>
              <w:bottom w:w="28" w:type="dxa"/>
            </w:tcMar>
            <w:vAlign w:val="center"/>
          </w:tcPr>
          <w:p>
            <w:pPr>
              <w:pStyle w:val="TableContents"/>
              <w:bidi w:val="0"/>
              <w:spacing w:before="0" w:after="283"/>
              <w:jc w:val="left"/>
              <w:rPr/>
            </w:pPr>
            <w:r>
              <w:rPr/>
              <w:t> </w:t>
            </w:r>
          </w:p>
        </w:tc>
        <w:tc>
          <w:tcPr>
            <w:tcW w:w="381" w:type="dxa"/>
            <w:tcBorders>
              <w:bottom w:val="single" w:sz="6" w:space="0" w:color="732282"/>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732282"/>
            </w:tcBorders>
            <w:tcMar>
              <w:left w:w="28" w:type="dxa"/>
              <w:bottom w:w="28" w:type="dxa"/>
            </w:tcMar>
            <w:vAlign w:val="center"/>
          </w:tcPr>
          <w:p>
            <w:pPr>
              <w:pStyle w:val="TableContents"/>
              <w:bidi w:val="0"/>
              <w:spacing w:before="0" w:after="283"/>
              <w:jc w:val="left"/>
              <w:rPr/>
            </w:pPr>
            <w:r>
              <w:rPr/>
              <w:t> </w:t>
            </w:r>
          </w:p>
        </w:tc>
        <w:tc>
          <w:tcPr>
            <w:tcW w:w="411" w:type="dxa"/>
            <w:tcBorders>
              <w:bottom w:val="single" w:sz="6" w:space="0" w:color="732282"/>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732282"/>
            </w:tcBorders>
            <w:tcMar>
              <w:left w:w="28" w:type="dxa"/>
              <w:bottom w:w="28" w:type="dxa"/>
            </w:tcMar>
            <w:vAlign w:val="center"/>
          </w:tcPr>
          <w:p>
            <w:pPr>
              <w:pStyle w:val="TableContents"/>
              <w:bidi w:val="0"/>
              <w:spacing w:before="0" w:after="283"/>
              <w:jc w:val="left"/>
              <w:rPr/>
            </w:pPr>
            <w:r>
              <w:rPr/>
              <w:t> </w:t>
            </w:r>
          </w:p>
        </w:tc>
        <w:tc>
          <w:tcPr>
            <w:tcW w:w="516" w:type="dxa"/>
            <w:tcBorders>
              <w:bottom w:val="single" w:sz="6" w:space="0" w:color="732282"/>
            </w:tcBorders>
            <w:tcMar>
              <w:bottom w:w="28" w:type="dxa"/>
            </w:tcMar>
            <w:vAlign w:val="center"/>
          </w:tcPr>
          <w:p>
            <w:pPr>
              <w:pStyle w:val="TableContents"/>
              <w:bidi w:val="0"/>
              <w:spacing w:before="0" w:after="283"/>
              <w:jc w:val="left"/>
              <w:rPr/>
            </w:pPr>
            <w:r>
              <w:rPr/>
              <w:t> </w:t>
            </w:r>
          </w:p>
        </w:tc>
        <w:tc>
          <w:tcPr>
            <w:tcW w:w="60" w:type="dxa"/>
            <w:tcBorders>
              <w:left w:val="single" w:sz="6" w:space="0" w:color="999999"/>
              <w:bottom w:val="single" w:sz="6" w:space="0" w:color="732282"/>
            </w:tcBorders>
            <w:tcMar>
              <w:left w:w="28" w:type="dxa"/>
              <w:bottom w:w="28" w:type="dxa"/>
            </w:tcMar>
            <w:vAlign w:val="center"/>
          </w:tcPr>
          <w:p>
            <w:pPr>
              <w:pStyle w:val="TableContents"/>
              <w:bidi w:val="0"/>
              <w:spacing w:before="0" w:after="283"/>
              <w:jc w:val="left"/>
              <w:rPr/>
            </w:pPr>
            <w:r>
              <w:rPr/>
              <w:t> </w:t>
            </w:r>
          </w:p>
        </w:tc>
        <w:tc>
          <w:tcPr>
            <w:tcW w:w="441" w:type="dxa"/>
            <w:tcBorders>
              <w:bottom w:val="single" w:sz="6" w:space="0" w:color="732282"/>
            </w:tcBorders>
            <w:tcMar>
              <w:bottom w:w="28" w:type="dxa"/>
            </w:tcMar>
            <w:vAlign w:val="center"/>
          </w:tcPr>
          <w:p>
            <w:pPr>
              <w:pStyle w:val="TableContents"/>
              <w:bidi w:val="0"/>
              <w:spacing w:before="0" w:after="283"/>
              <w:jc w:val="left"/>
              <w:rPr/>
            </w:pPr>
            <w:r>
              <w:rPr/>
              <w:t> </w:t>
            </w:r>
          </w:p>
        </w:tc>
        <w:tc>
          <w:tcPr>
            <w:tcW w:w="60" w:type="dxa"/>
            <w:tcBorders>
              <w:left w:val="single" w:sz="6" w:space="0" w:color="999999"/>
              <w:bottom w:val="single" w:sz="6" w:space="0" w:color="732282"/>
            </w:tcBorders>
            <w:tcMar>
              <w:left w:w="28" w:type="dxa"/>
              <w:bottom w:w="28" w:type="dxa"/>
            </w:tcMar>
            <w:vAlign w:val="center"/>
          </w:tcPr>
          <w:p>
            <w:pPr>
              <w:pStyle w:val="TableContents"/>
              <w:bidi w:val="0"/>
              <w:spacing w:before="0" w:after="283"/>
              <w:jc w:val="left"/>
              <w:rPr/>
            </w:pPr>
            <w:r>
              <w:rPr/>
              <w:t> </w:t>
            </w:r>
          </w:p>
        </w:tc>
        <w:tc>
          <w:tcPr>
            <w:tcW w:w="336" w:type="dxa"/>
            <w:tcBorders>
              <w:bottom w:val="single" w:sz="6" w:space="0" w:color="732282"/>
            </w:tcBorders>
            <w:tcMar>
              <w:bottom w:w="28" w:type="dxa"/>
            </w:tcMar>
            <w:vAlign w:val="center"/>
          </w:tcPr>
          <w:p>
            <w:pPr>
              <w:pStyle w:val="TableContents"/>
              <w:bidi w:val="0"/>
              <w:spacing w:before="0" w:after="283"/>
              <w:jc w:val="left"/>
              <w:rPr/>
            </w:pPr>
            <w:r>
              <w:rPr/>
              <w:t> </w:t>
            </w:r>
          </w:p>
        </w:tc>
        <w:tc>
          <w:tcPr>
            <w:tcW w:w="60" w:type="dxa"/>
            <w:tcBorders>
              <w:left w:val="single" w:sz="6" w:space="0" w:color="999999"/>
              <w:bottom w:val="single" w:sz="6" w:space="0" w:color="732282"/>
            </w:tcBorders>
            <w:tcMar>
              <w:left w:w="28" w:type="dxa"/>
              <w:bottom w:w="28" w:type="dxa"/>
            </w:tcMar>
            <w:vAlign w:val="center"/>
          </w:tcPr>
          <w:p>
            <w:pPr>
              <w:pStyle w:val="TableContents"/>
              <w:bidi w:val="0"/>
              <w:spacing w:before="0" w:after="283"/>
              <w:jc w:val="left"/>
              <w:rPr/>
            </w:pPr>
            <w:r>
              <w:rPr/>
              <w:t> </w:t>
            </w:r>
          </w:p>
        </w:tc>
        <w:tc>
          <w:tcPr>
            <w:tcW w:w="441" w:type="dxa"/>
            <w:tcBorders>
              <w:bottom w:val="single" w:sz="6" w:space="0" w:color="732282"/>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732282"/>
            </w:tcBorders>
            <w:tcMar>
              <w:left w:w="28" w:type="dxa"/>
              <w:bottom w:w="28" w:type="dxa"/>
            </w:tcMar>
            <w:vAlign w:val="center"/>
          </w:tcPr>
          <w:p>
            <w:pPr>
              <w:pStyle w:val="TableContents"/>
              <w:bidi w:val="0"/>
              <w:spacing w:before="0" w:after="283"/>
              <w:jc w:val="left"/>
              <w:rPr/>
            </w:pPr>
            <w:r>
              <w:rPr/>
              <w:t> </w:t>
            </w:r>
          </w:p>
        </w:tc>
        <w:tc>
          <w:tcPr>
            <w:tcW w:w="351" w:type="dxa"/>
            <w:tcBorders>
              <w:bottom w:val="single" w:sz="6" w:space="0" w:color="732282"/>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732282"/>
            </w:tcBorders>
            <w:tcMar>
              <w:left w:w="28" w:type="dxa"/>
              <w:bottom w:w="28" w:type="dxa"/>
            </w:tcMar>
            <w:vAlign w:val="center"/>
          </w:tcPr>
          <w:p>
            <w:pPr>
              <w:pStyle w:val="TableContents"/>
              <w:bidi w:val="0"/>
              <w:spacing w:before="0" w:after="283"/>
              <w:jc w:val="left"/>
              <w:rPr/>
            </w:pPr>
            <w:r>
              <w:rPr/>
              <w:t> </w:t>
            </w:r>
          </w:p>
        </w:tc>
        <w:tc>
          <w:tcPr>
            <w:tcW w:w="351" w:type="dxa"/>
            <w:tcBorders>
              <w:bottom w:val="single" w:sz="6" w:space="0" w:color="732282"/>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732282"/>
            </w:tcBorders>
            <w:tcMar>
              <w:left w:w="28" w:type="dxa"/>
              <w:bottom w:w="28" w:type="dxa"/>
            </w:tcMar>
            <w:vAlign w:val="center"/>
          </w:tcPr>
          <w:p>
            <w:pPr>
              <w:pStyle w:val="TableContents"/>
              <w:bidi w:val="0"/>
              <w:spacing w:before="0" w:after="283"/>
              <w:jc w:val="left"/>
              <w:rPr/>
            </w:pPr>
            <w:r>
              <w:rPr/>
              <w:t> </w:t>
            </w:r>
          </w:p>
        </w:tc>
        <w:tc>
          <w:tcPr>
            <w:tcW w:w="426" w:type="dxa"/>
            <w:tcBorders>
              <w:bottom w:val="single" w:sz="6" w:space="0" w:color="732282"/>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732282"/>
            </w:tcBorders>
            <w:tcMar>
              <w:left w:w="28" w:type="dxa"/>
              <w:bottom w:w="28" w:type="dxa"/>
            </w:tcMar>
            <w:vAlign w:val="center"/>
          </w:tcPr>
          <w:p>
            <w:pPr>
              <w:pStyle w:val="TableContents"/>
              <w:bidi w:val="0"/>
              <w:spacing w:before="0" w:after="283"/>
              <w:jc w:val="left"/>
              <w:rPr/>
            </w:pPr>
            <w:r>
              <w:rPr/>
              <w:t> </w:t>
            </w:r>
          </w:p>
        </w:tc>
        <w:tc>
          <w:tcPr>
            <w:tcW w:w="381" w:type="dxa"/>
            <w:tcBorders>
              <w:bottom w:val="single" w:sz="6" w:space="0" w:color="732282"/>
            </w:tcBorders>
            <w:tcMar>
              <w:bottom w:w="28" w:type="dxa"/>
            </w:tcMar>
            <w:vAlign w:val="center"/>
          </w:tcPr>
          <w:p>
            <w:pPr>
              <w:pStyle w:val="TableContents"/>
              <w:bidi w:val="0"/>
              <w:spacing w:before="0" w:after="283"/>
              <w:jc w:val="left"/>
              <w:rPr/>
            </w:pPr>
            <w:r>
              <w:rPr/>
              <w:t> </w:t>
            </w:r>
          </w:p>
        </w:tc>
        <w:tc>
          <w:tcPr>
            <w:tcW w:w="60" w:type="dxa"/>
            <w:tcBorders>
              <w:left w:val="single" w:sz="6" w:space="0" w:color="999999"/>
              <w:bottom w:val="single" w:sz="6" w:space="0" w:color="732282"/>
            </w:tcBorders>
            <w:shd w:fill="EADDEC" w:val="clear"/>
            <w:tcMar>
              <w:left w:w="28" w:type="dxa"/>
              <w:bottom w:w="28" w:type="dxa"/>
            </w:tcMar>
            <w:vAlign w:val="center"/>
          </w:tcPr>
          <w:p>
            <w:pPr>
              <w:pStyle w:val="TableContents"/>
              <w:bidi w:val="0"/>
              <w:spacing w:before="0" w:after="283"/>
              <w:jc w:val="left"/>
              <w:rPr/>
            </w:pPr>
            <w:r>
              <w:rPr/>
              <w:t> </w:t>
            </w:r>
          </w:p>
        </w:tc>
        <w:tc>
          <w:tcPr>
            <w:tcW w:w="466" w:type="dxa"/>
            <w:tcBorders>
              <w:bottom w:val="single" w:sz="6" w:space="0" w:color="732282"/>
              <w:right w:val="single" w:sz="6" w:space="0" w:color="732282"/>
            </w:tcBorders>
            <w:shd w:fill="EADDEC" w:val="clear"/>
            <w:tcMar>
              <w:bottom w:w="28" w:type="dxa"/>
              <w:right w:w="40" w:type="dxa"/>
            </w:tcMar>
            <w:vAlign w:val="center"/>
          </w:tcPr>
          <w:p>
            <w:pPr>
              <w:pStyle w:val="TableContents"/>
              <w:bidi w:val="0"/>
              <w:spacing w:before="0" w:after="283"/>
              <w:jc w:val="center"/>
              <w:rPr>
                <w:sz w:val="16"/>
              </w:rPr>
            </w:pPr>
            <w:r>
              <w:rPr>
                <w:sz w:val="16"/>
              </w:rPr>
              <w:t>7/11</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4453"/>
        <w:gridCol w:w="60"/>
        <w:gridCol w:w="476"/>
        <w:gridCol w:w="60"/>
        <w:gridCol w:w="386"/>
        <w:gridCol w:w="60"/>
        <w:gridCol w:w="416"/>
        <w:gridCol w:w="60"/>
        <w:gridCol w:w="521"/>
        <w:gridCol w:w="60"/>
        <w:gridCol w:w="446"/>
        <w:gridCol w:w="60"/>
        <w:gridCol w:w="341"/>
        <w:gridCol w:w="60"/>
        <w:gridCol w:w="446"/>
        <w:gridCol w:w="60"/>
        <w:gridCol w:w="356"/>
        <w:gridCol w:w="60"/>
        <w:gridCol w:w="356"/>
        <w:gridCol w:w="60"/>
        <w:gridCol w:w="431"/>
        <w:gridCol w:w="60"/>
        <w:gridCol w:w="386"/>
        <w:gridCol w:w="60"/>
        <w:gridCol w:w="471"/>
      </w:tblGrid>
      <w:tr>
        <w:trPr/>
        <w:tc>
          <w:tcPr>
            <w:tcW w:w="44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53" w:type="dxa"/>
            <w:tcBorders>
              <w:top w:val="single" w:sz="6" w:space="0" w:color="732282"/>
              <w:left w:val="single" w:sz="6" w:space="0" w:color="732282"/>
            </w:tcBorders>
            <w:shd w:fill="732282" w:val="clear"/>
            <w:tcMar>
              <w:top w:w="28" w:type="dxa"/>
              <w:left w:w="160" w:type="dxa"/>
            </w:tcMar>
            <w:vAlign w:val="center"/>
          </w:tcPr>
          <w:p>
            <w:pPr>
              <w:pStyle w:val="TableContents"/>
              <w:bidi w:val="0"/>
              <w:spacing w:before="0" w:after="283"/>
              <w:jc w:val="left"/>
              <w:rPr/>
            </w:pPr>
            <w:r>
              <w:rPr/>
              <w:t> </w:t>
            </w:r>
          </w:p>
        </w:tc>
        <w:tc>
          <w:tcPr>
            <w:tcW w:w="536" w:type="dxa"/>
            <w:gridSpan w:val="2"/>
            <w:tcBorders>
              <w:top w:val="single" w:sz="6" w:space="0" w:color="732282"/>
            </w:tcBorders>
            <w:shd w:fill="732282" w:val="clear"/>
            <w:tcMar>
              <w:top w:w="28" w:type="dxa"/>
            </w:tcMar>
            <w:vAlign w:val="center"/>
          </w:tcPr>
          <w:p>
            <w:pPr>
              <w:pStyle w:val="TableContents"/>
              <w:bidi w:val="0"/>
              <w:spacing w:before="0" w:after="283"/>
              <w:jc w:val="left"/>
              <w:rPr/>
            </w:pPr>
            <w:r>
              <w:rPr/>
              <w:t> </w:t>
            </w:r>
          </w:p>
        </w:tc>
        <w:tc>
          <w:tcPr>
            <w:tcW w:w="446" w:type="dxa"/>
            <w:gridSpan w:val="2"/>
            <w:tcBorders>
              <w:top w:val="single" w:sz="6" w:space="0" w:color="732282"/>
            </w:tcBorders>
            <w:shd w:fill="732282" w:val="clear"/>
            <w:tcMar>
              <w:top w:w="28" w:type="dxa"/>
            </w:tcMar>
            <w:vAlign w:val="center"/>
          </w:tcPr>
          <w:p>
            <w:pPr>
              <w:pStyle w:val="TableContents"/>
              <w:bidi w:val="0"/>
              <w:spacing w:before="0" w:after="283"/>
              <w:jc w:val="left"/>
              <w:rPr/>
            </w:pPr>
            <w:r>
              <w:rPr/>
              <w:t> </w:t>
            </w:r>
          </w:p>
        </w:tc>
        <w:tc>
          <w:tcPr>
            <w:tcW w:w="476" w:type="dxa"/>
            <w:gridSpan w:val="2"/>
            <w:tcBorders>
              <w:top w:val="single" w:sz="6" w:space="0" w:color="732282"/>
            </w:tcBorders>
            <w:shd w:fill="732282" w:val="clear"/>
            <w:tcMar>
              <w:top w:w="28" w:type="dxa"/>
            </w:tcMar>
            <w:vAlign w:val="center"/>
          </w:tcPr>
          <w:p>
            <w:pPr>
              <w:pStyle w:val="TableContents"/>
              <w:bidi w:val="0"/>
              <w:spacing w:before="0" w:after="283"/>
              <w:jc w:val="left"/>
              <w:rPr/>
            </w:pPr>
            <w:r>
              <w:rPr/>
              <w:t> </w:t>
            </w:r>
          </w:p>
        </w:tc>
        <w:tc>
          <w:tcPr>
            <w:tcW w:w="581" w:type="dxa"/>
            <w:gridSpan w:val="2"/>
            <w:tcBorders>
              <w:top w:val="single" w:sz="6" w:space="0" w:color="732282"/>
            </w:tcBorders>
            <w:shd w:fill="732282" w:val="clear"/>
            <w:tcMar>
              <w:top w:w="28" w:type="dxa"/>
            </w:tcMar>
            <w:vAlign w:val="center"/>
          </w:tcPr>
          <w:p>
            <w:pPr>
              <w:pStyle w:val="TableContents"/>
              <w:bidi w:val="0"/>
              <w:spacing w:before="0" w:after="283"/>
              <w:jc w:val="left"/>
              <w:rPr/>
            </w:pPr>
            <w:r>
              <w:rPr/>
              <w:t> </w:t>
            </w:r>
          </w:p>
        </w:tc>
        <w:tc>
          <w:tcPr>
            <w:tcW w:w="506" w:type="dxa"/>
            <w:gridSpan w:val="2"/>
            <w:tcBorders>
              <w:top w:val="single" w:sz="6" w:space="0" w:color="732282"/>
            </w:tcBorders>
            <w:shd w:fill="732282" w:val="clear"/>
            <w:tcMar>
              <w:top w:w="28" w:type="dxa"/>
            </w:tcMar>
            <w:vAlign w:val="center"/>
          </w:tcPr>
          <w:p>
            <w:pPr>
              <w:pStyle w:val="TableContents"/>
              <w:bidi w:val="0"/>
              <w:spacing w:before="0" w:after="283"/>
              <w:jc w:val="left"/>
              <w:rPr/>
            </w:pPr>
            <w:r>
              <w:rPr/>
              <w:t> </w:t>
            </w:r>
          </w:p>
        </w:tc>
        <w:tc>
          <w:tcPr>
            <w:tcW w:w="401" w:type="dxa"/>
            <w:gridSpan w:val="2"/>
            <w:tcBorders>
              <w:top w:val="single" w:sz="6" w:space="0" w:color="732282"/>
            </w:tcBorders>
            <w:shd w:fill="732282" w:val="clear"/>
            <w:tcMar>
              <w:top w:w="28" w:type="dxa"/>
            </w:tcMar>
            <w:vAlign w:val="center"/>
          </w:tcPr>
          <w:p>
            <w:pPr>
              <w:pStyle w:val="TableContents"/>
              <w:bidi w:val="0"/>
              <w:spacing w:before="0" w:after="283"/>
              <w:jc w:val="left"/>
              <w:rPr/>
            </w:pPr>
            <w:r>
              <w:rPr/>
              <w:t> </w:t>
            </w:r>
          </w:p>
        </w:tc>
        <w:tc>
          <w:tcPr>
            <w:tcW w:w="506" w:type="dxa"/>
            <w:gridSpan w:val="2"/>
            <w:tcBorders>
              <w:top w:val="single" w:sz="6" w:space="0" w:color="732282"/>
            </w:tcBorders>
            <w:shd w:fill="732282" w:val="clear"/>
            <w:tcMar>
              <w:top w:w="28" w:type="dxa"/>
            </w:tcMar>
            <w:vAlign w:val="center"/>
          </w:tcPr>
          <w:p>
            <w:pPr>
              <w:pStyle w:val="TableContents"/>
              <w:bidi w:val="0"/>
              <w:spacing w:before="0" w:after="283"/>
              <w:jc w:val="left"/>
              <w:rPr/>
            </w:pPr>
            <w:r>
              <w:rPr/>
              <w:t> </w:t>
            </w:r>
          </w:p>
        </w:tc>
        <w:tc>
          <w:tcPr>
            <w:tcW w:w="416" w:type="dxa"/>
            <w:gridSpan w:val="2"/>
            <w:tcBorders>
              <w:top w:val="single" w:sz="6" w:space="0" w:color="732282"/>
            </w:tcBorders>
            <w:shd w:fill="732282" w:val="clear"/>
            <w:tcMar>
              <w:top w:w="28" w:type="dxa"/>
            </w:tcMar>
            <w:vAlign w:val="center"/>
          </w:tcPr>
          <w:p>
            <w:pPr>
              <w:pStyle w:val="TableContents"/>
              <w:bidi w:val="0"/>
              <w:spacing w:before="0" w:after="283"/>
              <w:jc w:val="left"/>
              <w:rPr/>
            </w:pPr>
            <w:r>
              <w:rPr/>
              <w:t> </w:t>
            </w:r>
          </w:p>
        </w:tc>
        <w:tc>
          <w:tcPr>
            <w:tcW w:w="416" w:type="dxa"/>
            <w:gridSpan w:val="2"/>
            <w:tcBorders>
              <w:top w:val="single" w:sz="6" w:space="0" w:color="732282"/>
            </w:tcBorders>
            <w:shd w:fill="732282" w:val="clear"/>
            <w:tcMar>
              <w:top w:w="28" w:type="dxa"/>
            </w:tcMar>
            <w:vAlign w:val="center"/>
          </w:tcPr>
          <w:p>
            <w:pPr>
              <w:pStyle w:val="TableContents"/>
              <w:bidi w:val="0"/>
              <w:spacing w:before="0" w:after="283"/>
              <w:jc w:val="left"/>
              <w:rPr/>
            </w:pPr>
            <w:r>
              <w:rPr/>
              <w:t> </w:t>
            </w:r>
          </w:p>
        </w:tc>
        <w:tc>
          <w:tcPr>
            <w:tcW w:w="491" w:type="dxa"/>
            <w:gridSpan w:val="2"/>
            <w:tcBorders>
              <w:top w:val="single" w:sz="6" w:space="0" w:color="732282"/>
            </w:tcBorders>
            <w:shd w:fill="732282" w:val="clear"/>
            <w:tcMar>
              <w:top w:w="28" w:type="dxa"/>
            </w:tcMar>
            <w:vAlign w:val="center"/>
          </w:tcPr>
          <w:p>
            <w:pPr>
              <w:pStyle w:val="TableContents"/>
              <w:bidi w:val="0"/>
              <w:spacing w:before="0" w:after="283"/>
              <w:jc w:val="left"/>
              <w:rPr/>
            </w:pPr>
            <w:r>
              <w:rPr/>
              <w:t> </w:t>
            </w:r>
          </w:p>
        </w:tc>
        <w:tc>
          <w:tcPr>
            <w:tcW w:w="446" w:type="dxa"/>
            <w:gridSpan w:val="2"/>
            <w:tcBorders>
              <w:top w:val="single" w:sz="6" w:space="0" w:color="732282"/>
            </w:tcBorders>
            <w:shd w:fill="732282" w:val="clear"/>
            <w:tcMar>
              <w:top w:w="28" w:type="dxa"/>
            </w:tcMar>
            <w:vAlign w:val="center"/>
          </w:tcPr>
          <w:p>
            <w:pPr>
              <w:pStyle w:val="TableContents"/>
              <w:bidi w:val="0"/>
              <w:spacing w:before="0" w:after="283"/>
              <w:jc w:val="left"/>
              <w:rPr/>
            </w:pPr>
            <w:r>
              <w:rPr/>
              <w:t> </w:t>
            </w:r>
          </w:p>
        </w:tc>
        <w:tc>
          <w:tcPr>
            <w:tcW w:w="531" w:type="dxa"/>
            <w:gridSpan w:val="2"/>
            <w:tcBorders>
              <w:top w:val="single" w:sz="6" w:space="0" w:color="732282"/>
              <w:right w:val="single" w:sz="6" w:space="0" w:color="732282"/>
            </w:tcBorders>
            <w:shd w:fill="732282" w:val="clear"/>
            <w:tcMar>
              <w:top w:w="28" w:type="dxa"/>
              <w:right w:w="28" w:type="dxa"/>
            </w:tcMar>
            <w:vAlign w:val="center"/>
          </w:tcPr>
          <w:p>
            <w:pPr>
              <w:pStyle w:val="TableContents"/>
              <w:bidi w:val="0"/>
              <w:spacing w:before="0" w:after="283"/>
              <w:jc w:val="left"/>
              <w:rPr/>
            </w:pPr>
            <w:r>
              <w:rPr/>
              <w:t> </w:t>
            </w:r>
          </w:p>
        </w:tc>
      </w:tr>
      <w:tr>
        <w:trPr/>
        <w:tc>
          <w:tcPr>
            <w:tcW w:w="4453" w:type="dxa"/>
            <w:tcBorders>
              <w:left w:val="single" w:sz="6" w:space="0" w:color="732282"/>
            </w:tcBorders>
            <w:shd w:fill="732282" w:val="clear"/>
            <w:tcMar>
              <w:left w:w="160" w:type="dxa"/>
            </w:tcMar>
            <w:vAlign w:val="center"/>
          </w:tcPr>
          <w:p>
            <w:pPr>
              <w:pStyle w:val="TableContents"/>
              <w:bidi w:val="0"/>
              <w:spacing w:before="0" w:after="283"/>
              <w:jc w:val="left"/>
              <w:rPr/>
            </w:pPr>
            <w:r>
              <w:rPr/>
              <w:t>  </w:t>
            </w:r>
          </w:p>
        </w:tc>
        <w:tc>
          <w:tcPr>
            <w:tcW w:w="60" w:type="dxa"/>
            <w:tcBorders/>
            <w:shd w:fill="732282" w:val="clear"/>
            <w:vAlign w:val="center"/>
          </w:tcPr>
          <w:p>
            <w:pPr>
              <w:pStyle w:val="TableContents"/>
              <w:bidi w:val="0"/>
              <w:spacing w:before="0" w:after="283"/>
              <w:jc w:val="left"/>
              <w:rPr/>
            </w:pPr>
            <w:r>
              <w:rPr/>
              <w:t> </w:t>
            </w:r>
          </w:p>
        </w:tc>
        <w:tc>
          <w:tcPr>
            <w:tcW w:w="476" w:type="dxa"/>
            <w:tcBorders/>
            <w:shd w:fill="732282" w:val="clear"/>
            <w:vAlign w:val="center"/>
          </w:tcPr>
          <w:p>
            <w:pPr>
              <w:pStyle w:val="TableContents"/>
              <w:bidi w:val="0"/>
              <w:spacing w:before="0" w:after="283"/>
              <w:jc w:val="left"/>
              <w:rPr/>
            </w:pPr>
            <w:r>
              <w:rPr/>
              <w:drawing>
                <wp:inline distT="0" distB="0" distL="0" distR="0">
                  <wp:extent cx="295275" cy="4857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5275" cy="485775"/>
                          </a:xfrm>
                          <a:prstGeom prst="rect">
                            <a:avLst/>
                          </a:prstGeom>
                        </pic:spPr>
                      </pic:pic>
                    </a:graphicData>
                  </a:graphic>
                </wp:inline>
              </w:drawing>
            </w:r>
            <w:r>
              <w:rPr/>
              <w:t xml:space="preserve"> </w:t>
            </w:r>
          </w:p>
        </w:tc>
        <w:tc>
          <w:tcPr>
            <w:tcW w:w="60" w:type="dxa"/>
            <w:tcBorders/>
            <w:shd w:fill="732282" w:val="clear"/>
            <w:vAlign w:val="center"/>
          </w:tcPr>
          <w:p>
            <w:pPr>
              <w:pStyle w:val="TableContents"/>
              <w:bidi w:val="0"/>
              <w:spacing w:before="0" w:after="283"/>
              <w:jc w:val="left"/>
              <w:rPr/>
            </w:pPr>
            <w:r>
              <w:rPr/>
              <w:t> </w:t>
            </w:r>
          </w:p>
        </w:tc>
        <w:tc>
          <w:tcPr>
            <w:tcW w:w="386" w:type="dxa"/>
            <w:tcBorders/>
            <w:shd w:fill="732282" w:val="clear"/>
            <w:vAlign w:val="center"/>
          </w:tcPr>
          <w:p>
            <w:pPr>
              <w:pStyle w:val="TableContents"/>
              <w:bidi w:val="0"/>
              <w:spacing w:before="0" w:after="283"/>
              <w:jc w:val="left"/>
              <w:rPr/>
            </w:pPr>
            <w:r>
              <w:rPr/>
              <w:drawing>
                <wp:inline distT="0" distB="0" distL="0" distR="0">
                  <wp:extent cx="238125" cy="3524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38125" cy="352425"/>
                          </a:xfrm>
                          <a:prstGeom prst="rect">
                            <a:avLst/>
                          </a:prstGeom>
                        </pic:spPr>
                      </pic:pic>
                    </a:graphicData>
                  </a:graphic>
                </wp:inline>
              </w:drawing>
            </w:r>
            <w:r>
              <w:rPr/>
              <w:t xml:space="preserve"> </w:t>
            </w:r>
          </w:p>
        </w:tc>
        <w:tc>
          <w:tcPr>
            <w:tcW w:w="60" w:type="dxa"/>
            <w:tcBorders/>
            <w:shd w:fill="732282" w:val="clear"/>
            <w:vAlign w:val="center"/>
          </w:tcPr>
          <w:p>
            <w:pPr>
              <w:pStyle w:val="TableContents"/>
              <w:bidi w:val="0"/>
              <w:spacing w:before="0" w:after="283"/>
              <w:jc w:val="left"/>
              <w:rPr/>
            </w:pPr>
            <w:r>
              <w:rPr/>
              <w:t> </w:t>
            </w:r>
          </w:p>
        </w:tc>
        <w:tc>
          <w:tcPr>
            <w:tcW w:w="416" w:type="dxa"/>
            <w:tcBorders/>
            <w:shd w:fill="732282" w:val="clear"/>
            <w:vAlign w:val="center"/>
          </w:tcPr>
          <w:p>
            <w:pPr>
              <w:pStyle w:val="TableContents"/>
              <w:bidi w:val="0"/>
              <w:spacing w:before="0" w:after="283"/>
              <w:jc w:val="left"/>
              <w:rPr/>
            </w:pPr>
            <w:r>
              <w:rPr/>
              <w:drawing>
                <wp:inline distT="0" distB="0" distL="0" distR="0">
                  <wp:extent cx="257175" cy="381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57175" cy="381000"/>
                          </a:xfrm>
                          <a:prstGeom prst="rect">
                            <a:avLst/>
                          </a:prstGeom>
                        </pic:spPr>
                      </pic:pic>
                    </a:graphicData>
                  </a:graphic>
                </wp:inline>
              </w:drawing>
            </w:r>
            <w:r>
              <w:rPr/>
              <w:t xml:space="preserve"> </w:t>
            </w:r>
          </w:p>
        </w:tc>
        <w:tc>
          <w:tcPr>
            <w:tcW w:w="60" w:type="dxa"/>
            <w:tcBorders/>
            <w:shd w:fill="732282" w:val="clear"/>
            <w:vAlign w:val="center"/>
          </w:tcPr>
          <w:p>
            <w:pPr>
              <w:pStyle w:val="TableContents"/>
              <w:bidi w:val="0"/>
              <w:spacing w:before="0" w:after="283"/>
              <w:jc w:val="left"/>
              <w:rPr/>
            </w:pPr>
            <w:r>
              <w:rPr/>
              <w:t> </w:t>
            </w:r>
          </w:p>
        </w:tc>
        <w:tc>
          <w:tcPr>
            <w:tcW w:w="521" w:type="dxa"/>
            <w:tcBorders/>
            <w:shd w:fill="732282" w:val="clear"/>
            <w:vAlign w:val="center"/>
          </w:tcPr>
          <w:p>
            <w:pPr>
              <w:pStyle w:val="TableContents"/>
              <w:bidi w:val="0"/>
              <w:spacing w:before="0" w:after="283"/>
              <w:jc w:val="left"/>
              <w:rPr/>
            </w:pPr>
            <w:r>
              <w:rPr/>
              <w:drawing>
                <wp:inline distT="0" distB="0" distL="0" distR="0">
                  <wp:extent cx="323850" cy="533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23850" cy="533400"/>
                          </a:xfrm>
                          <a:prstGeom prst="rect">
                            <a:avLst/>
                          </a:prstGeom>
                        </pic:spPr>
                      </pic:pic>
                    </a:graphicData>
                  </a:graphic>
                </wp:inline>
              </w:drawing>
            </w:r>
            <w:r>
              <w:rPr/>
              <w:t xml:space="preserve"> </w:t>
            </w:r>
          </w:p>
        </w:tc>
        <w:tc>
          <w:tcPr>
            <w:tcW w:w="60" w:type="dxa"/>
            <w:tcBorders/>
            <w:shd w:fill="732282" w:val="clear"/>
            <w:vAlign w:val="center"/>
          </w:tcPr>
          <w:p>
            <w:pPr>
              <w:pStyle w:val="TableContents"/>
              <w:bidi w:val="0"/>
              <w:spacing w:before="0" w:after="283"/>
              <w:jc w:val="left"/>
              <w:rPr/>
            </w:pPr>
            <w:r>
              <w:rPr/>
              <w:t> </w:t>
            </w:r>
          </w:p>
        </w:tc>
        <w:tc>
          <w:tcPr>
            <w:tcW w:w="446" w:type="dxa"/>
            <w:tcBorders/>
            <w:shd w:fill="732282" w:val="clear"/>
            <w:vAlign w:val="center"/>
          </w:tcPr>
          <w:p>
            <w:pPr>
              <w:pStyle w:val="TableContents"/>
              <w:bidi w:val="0"/>
              <w:spacing w:before="0" w:after="283"/>
              <w:jc w:val="left"/>
              <w:rPr/>
            </w:pPr>
            <w:r>
              <w:rPr/>
              <w:drawing>
                <wp:inline distT="0" distB="0" distL="0" distR="0">
                  <wp:extent cx="276225" cy="447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76225" cy="447675"/>
                          </a:xfrm>
                          <a:prstGeom prst="rect">
                            <a:avLst/>
                          </a:prstGeom>
                        </pic:spPr>
                      </pic:pic>
                    </a:graphicData>
                  </a:graphic>
                </wp:inline>
              </w:drawing>
            </w:r>
            <w:r>
              <w:rPr/>
              <w:t xml:space="preserve"> </w:t>
            </w:r>
          </w:p>
        </w:tc>
        <w:tc>
          <w:tcPr>
            <w:tcW w:w="60" w:type="dxa"/>
            <w:tcBorders/>
            <w:shd w:fill="732282" w:val="clear"/>
            <w:vAlign w:val="center"/>
          </w:tcPr>
          <w:p>
            <w:pPr>
              <w:pStyle w:val="TableContents"/>
              <w:bidi w:val="0"/>
              <w:spacing w:before="0" w:after="283"/>
              <w:jc w:val="left"/>
              <w:rPr/>
            </w:pPr>
            <w:r>
              <w:rPr/>
              <w:t> </w:t>
            </w:r>
          </w:p>
        </w:tc>
        <w:tc>
          <w:tcPr>
            <w:tcW w:w="341" w:type="dxa"/>
            <w:tcBorders/>
            <w:shd w:fill="732282" w:val="clear"/>
            <w:vAlign w:val="center"/>
          </w:tcPr>
          <w:p>
            <w:pPr>
              <w:pStyle w:val="TableContents"/>
              <w:bidi w:val="0"/>
              <w:spacing w:before="0" w:after="283"/>
              <w:jc w:val="left"/>
              <w:rPr/>
            </w:pPr>
            <w:r>
              <w:rPr/>
              <w:drawing>
                <wp:inline distT="0" distB="0" distL="0" distR="0">
                  <wp:extent cx="209550" cy="2952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09550" cy="295275"/>
                          </a:xfrm>
                          <a:prstGeom prst="rect">
                            <a:avLst/>
                          </a:prstGeom>
                        </pic:spPr>
                      </pic:pic>
                    </a:graphicData>
                  </a:graphic>
                </wp:inline>
              </w:drawing>
            </w:r>
            <w:r>
              <w:rPr/>
              <w:t xml:space="preserve"> </w:t>
            </w:r>
          </w:p>
        </w:tc>
        <w:tc>
          <w:tcPr>
            <w:tcW w:w="60" w:type="dxa"/>
            <w:tcBorders/>
            <w:shd w:fill="732282" w:val="clear"/>
            <w:vAlign w:val="center"/>
          </w:tcPr>
          <w:p>
            <w:pPr>
              <w:pStyle w:val="TableContents"/>
              <w:bidi w:val="0"/>
              <w:spacing w:before="0" w:after="283"/>
              <w:jc w:val="left"/>
              <w:rPr/>
            </w:pPr>
            <w:r>
              <w:rPr/>
              <w:t> </w:t>
            </w:r>
          </w:p>
        </w:tc>
        <w:tc>
          <w:tcPr>
            <w:tcW w:w="446" w:type="dxa"/>
            <w:tcBorders/>
            <w:shd w:fill="732282" w:val="clear"/>
            <w:vAlign w:val="center"/>
          </w:tcPr>
          <w:p>
            <w:pPr>
              <w:pStyle w:val="TableContents"/>
              <w:bidi w:val="0"/>
              <w:spacing w:before="0" w:after="283"/>
              <w:jc w:val="left"/>
              <w:rPr/>
            </w:pPr>
            <w:r>
              <w:rPr/>
              <w:drawing>
                <wp:inline distT="0" distB="0" distL="0" distR="0">
                  <wp:extent cx="276225" cy="4000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76225" cy="400050"/>
                          </a:xfrm>
                          <a:prstGeom prst="rect">
                            <a:avLst/>
                          </a:prstGeom>
                        </pic:spPr>
                      </pic:pic>
                    </a:graphicData>
                  </a:graphic>
                </wp:inline>
              </w:drawing>
            </w:r>
            <w:r>
              <w:rPr/>
              <w:t xml:space="preserve"> </w:t>
            </w:r>
          </w:p>
        </w:tc>
        <w:tc>
          <w:tcPr>
            <w:tcW w:w="60" w:type="dxa"/>
            <w:tcBorders/>
            <w:shd w:fill="732282" w:val="clear"/>
            <w:vAlign w:val="center"/>
          </w:tcPr>
          <w:p>
            <w:pPr>
              <w:pStyle w:val="TableContents"/>
              <w:bidi w:val="0"/>
              <w:spacing w:before="0" w:after="283"/>
              <w:jc w:val="left"/>
              <w:rPr/>
            </w:pPr>
            <w:r>
              <w:rPr/>
              <w:t> </w:t>
            </w:r>
          </w:p>
        </w:tc>
        <w:tc>
          <w:tcPr>
            <w:tcW w:w="356" w:type="dxa"/>
            <w:tcBorders/>
            <w:shd w:fill="732282" w:val="clear"/>
            <w:vAlign w:val="center"/>
          </w:tcPr>
          <w:p>
            <w:pPr>
              <w:pStyle w:val="TableContents"/>
              <w:bidi w:val="0"/>
              <w:spacing w:before="0" w:after="283"/>
              <w:jc w:val="left"/>
              <w:rPr/>
            </w:pPr>
            <w:r>
              <w:rPr/>
              <w:drawing>
                <wp:inline distT="0" distB="0" distL="0" distR="0">
                  <wp:extent cx="219075" cy="2857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19075" cy="285750"/>
                          </a:xfrm>
                          <a:prstGeom prst="rect">
                            <a:avLst/>
                          </a:prstGeom>
                        </pic:spPr>
                      </pic:pic>
                    </a:graphicData>
                  </a:graphic>
                </wp:inline>
              </w:drawing>
            </w:r>
            <w:r>
              <w:rPr/>
              <w:t xml:space="preserve"> </w:t>
            </w:r>
          </w:p>
        </w:tc>
        <w:tc>
          <w:tcPr>
            <w:tcW w:w="60" w:type="dxa"/>
            <w:tcBorders/>
            <w:shd w:fill="732282" w:val="clear"/>
            <w:vAlign w:val="center"/>
          </w:tcPr>
          <w:p>
            <w:pPr>
              <w:pStyle w:val="TableContents"/>
              <w:bidi w:val="0"/>
              <w:spacing w:before="0" w:after="283"/>
              <w:jc w:val="left"/>
              <w:rPr/>
            </w:pPr>
            <w:r>
              <w:rPr/>
              <w:t> </w:t>
            </w:r>
          </w:p>
        </w:tc>
        <w:tc>
          <w:tcPr>
            <w:tcW w:w="356" w:type="dxa"/>
            <w:tcBorders/>
            <w:shd w:fill="732282" w:val="clear"/>
            <w:vAlign w:val="center"/>
          </w:tcPr>
          <w:p>
            <w:pPr>
              <w:pStyle w:val="TableContents"/>
              <w:bidi w:val="0"/>
              <w:spacing w:before="0" w:after="283"/>
              <w:jc w:val="left"/>
              <w:rPr/>
            </w:pPr>
            <w:r>
              <w:rPr/>
              <w:drawing>
                <wp:inline distT="0" distB="0" distL="0" distR="0">
                  <wp:extent cx="219075" cy="2952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19075" cy="295275"/>
                          </a:xfrm>
                          <a:prstGeom prst="rect">
                            <a:avLst/>
                          </a:prstGeom>
                        </pic:spPr>
                      </pic:pic>
                    </a:graphicData>
                  </a:graphic>
                </wp:inline>
              </w:drawing>
            </w:r>
            <w:r>
              <w:rPr/>
              <w:t xml:space="preserve"> </w:t>
            </w:r>
          </w:p>
        </w:tc>
        <w:tc>
          <w:tcPr>
            <w:tcW w:w="60" w:type="dxa"/>
            <w:tcBorders/>
            <w:shd w:fill="732282" w:val="clear"/>
            <w:vAlign w:val="center"/>
          </w:tcPr>
          <w:p>
            <w:pPr>
              <w:pStyle w:val="TableContents"/>
              <w:bidi w:val="0"/>
              <w:spacing w:before="0" w:after="283"/>
              <w:jc w:val="left"/>
              <w:rPr/>
            </w:pPr>
            <w:r>
              <w:rPr/>
              <w:t> </w:t>
            </w:r>
          </w:p>
        </w:tc>
        <w:tc>
          <w:tcPr>
            <w:tcW w:w="431" w:type="dxa"/>
            <w:tcBorders/>
            <w:shd w:fill="732282" w:val="clear"/>
            <w:vAlign w:val="center"/>
          </w:tcPr>
          <w:p>
            <w:pPr>
              <w:pStyle w:val="TableContents"/>
              <w:bidi w:val="0"/>
              <w:spacing w:before="0" w:after="283"/>
              <w:jc w:val="left"/>
              <w:rPr/>
            </w:pPr>
            <w:r>
              <w:rPr/>
              <w:drawing>
                <wp:inline distT="0" distB="0" distL="0" distR="0">
                  <wp:extent cx="266700" cy="4095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66700" cy="409575"/>
                          </a:xfrm>
                          <a:prstGeom prst="rect">
                            <a:avLst/>
                          </a:prstGeom>
                        </pic:spPr>
                      </pic:pic>
                    </a:graphicData>
                  </a:graphic>
                </wp:inline>
              </w:drawing>
            </w:r>
            <w:r>
              <w:rPr/>
              <w:t xml:space="preserve"> </w:t>
            </w:r>
          </w:p>
        </w:tc>
        <w:tc>
          <w:tcPr>
            <w:tcW w:w="60" w:type="dxa"/>
            <w:tcBorders/>
            <w:shd w:fill="732282" w:val="clear"/>
            <w:vAlign w:val="center"/>
          </w:tcPr>
          <w:p>
            <w:pPr>
              <w:pStyle w:val="TableContents"/>
              <w:bidi w:val="0"/>
              <w:spacing w:before="0" w:after="283"/>
              <w:jc w:val="left"/>
              <w:rPr/>
            </w:pPr>
            <w:r>
              <w:rPr/>
              <w:t> </w:t>
            </w:r>
          </w:p>
        </w:tc>
        <w:tc>
          <w:tcPr>
            <w:tcW w:w="386" w:type="dxa"/>
            <w:tcBorders/>
            <w:shd w:fill="732282" w:val="clear"/>
            <w:vAlign w:val="center"/>
          </w:tcPr>
          <w:p>
            <w:pPr>
              <w:pStyle w:val="TableContents"/>
              <w:bidi w:val="0"/>
              <w:spacing w:before="0" w:after="283"/>
              <w:jc w:val="left"/>
              <w:rPr/>
            </w:pPr>
            <w:r>
              <w:rPr/>
              <w:drawing>
                <wp:inline distT="0" distB="0" distL="0" distR="0">
                  <wp:extent cx="238125" cy="3524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38125" cy="352425"/>
                          </a:xfrm>
                          <a:prstGeom prst="rect">
                            <a:avLst/>
                          </a:prstGeom>
                        </pic:spPr>
                      </pic:pic>
                    </a:graphicData>
                  </a:graphic>
                </wp:inline>
              </w:drawing>
            </w:r>
            <w:r>
              <w:rPr/>
              <w:t xml:space="preserve"> </w:t>
            </w:r>
          </w:p>
        </w:tc>
        <w:tc>
          <w:tcPr>
            <w:tcW w:w="60" w:type="dxa"/>
            <w:tcBorders/>
            <w:shd w:fill="732282" w:val="clear"/>
            <w:vAlign w:val="center"/>
          </w:tcPr>
          <w:p>
            <w:pPr>
              <w:pStyle w:val="TableContents"/>
              <w:bidi w:val="0"/>
              <w:spacing w:before="0" w:after="283"/>
              <w:jc w:val="left"/>
              <w:rPr/>
            </w:pPr>
            <w:r>
              <w:rPr/>
              <w:t> </w:t>
            </w:r>
          </w:p>
        </w:tc>
        <w:tc>
          <w:tcPr>
            <w:tcW w:w="471" w:type="dxa"/>
            <w:tcBorders>
              <w:right w:val="single" w:sz="6" w:space="0" w:color="732282"/>
            </w:tcBorders>
            <w:shd w:fill="732282" w:val="clear"/>
            <w:tcMar>
              <w:right w:w="40" w:type="dxa"/>
            </w:tcMar>
            <w:vAlign w:val="center"/>
          </w:tcPr>
          <w:p>
            <w:pPr>
              <w:pStyle w:val="TableContents"/>
              <w:bidi w:val="0"/>
              <w:spacing w:before="0" w:after="283"/>
              <w:jc w:val="left"/>
              <w:rPr/>
            </w:pPr>
            <w:r>
              <w:rPr/>
              <w:drawing>
                <wp:inline distT="0" distB="0" distL="0" distR="0">
                  <wp:extent cx="276225" cy="3619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76225" cy="361950"/>
                          </a:xfrm>
                          <a:prstGeom prst="rect">
                            <a:avLst/>
                          </a:prstGeom>
                        </pic:spPr>
                      </pic:pic>
                    </a:graphicData>
                  </a:graphic>
                </wp:inline>
              </w:drawing>
            </w:r>
            <w:r>
              <w:rPr/>
              <w:t xml:space="preserve"> </w:t>
            </w:r>
          </w:p>
        </w:tc>
      </w:tr>
      <w:tr>
        <w:trPr/>
        <w:tc>
          <w:tcPr>
            <w:tcW w:w="4453" w:type="dxa"/>
            <w:tcBorders>
              <w:left w:val="single" w:sz="6" w:space="0" w:color="732282"/>
              <w:bottom w:val="single" w:sz="6" w:space="0" w:color="999999"/>
            </w:tcBorders>
            <w:tcMar>
              <w:left w:w="160" w:type="dxa"/>
              <w:bottom w:w="28" w:type="dxa"/>
            </w:tcMar>
            <w:vAlign w:val="center"/>
          </w:tcPr>
          <w:p>
            <w:pPr>
              <w:pStyle w:val="TableContents"/>
              <w:bidi w:val="0"/>
              <w:spacing w:before="0" w:after="0"/>
              <w:jc w:val="left"/>
              <w:rPr>
                <w:rFonts w:ascii="ARIAL" w:hAnsi="ARIAL"/>
                <w:b/>
                <w:color w:val="231161"/>
                <w:sz w:val="16"/>
              </w:rPr>
            </w:pPr>
            <w:r>
              <w:rPr>
                <w:rFonts w:ascii="ARIAL" w:hAnsi="ARIAL"/>
                <w:b/>
                <w:color w:val="231161"/>
                <w:sz w:val="16"/>
              </w:rPr>
              <w:t>Legal and Regulatory Oversight Experience</w:t>
            </w:r>
          </w:p>
          <w:p>
            <w:pPr>
              <w:pStyle w:val="TableContents"/>
              <w:bidi w:val="0"/>
              <w:spacing w:before="0" w:after="20"/>
              <w:jc w:val="left"/>
              <w:rPr>
                <w:rFonts w:ascii="ARIAL" w:hAnsi="ARIAL"/>
                <w:color w:val="3F3F3F"/>
                <w:sz w:val="14"/>
              </w:rPr>
            </w:pPr>
            <w:r>
              <w:rPr>
                <w:rFonts w:ascii="ARIAL" w:hAnsi="ARIAL"/>
                <w:color w:val="3F3F3F"/>
                <w:sz w:val="14"/>
              </w:rPr>
              <w:t>We operate in an industry that is closely scrutinized and highly regulated. Directors who have experience navigating challenges associated with this environment provide valuable insight to our Board and management team</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76"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86"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16"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52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46"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41"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46"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56"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56"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31"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86"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left w:val="single" w:sz="6" w:space="0" w:color="999999"/>
              <w:bottom w:val="single" w:sz="6" w:space="0" w:color="999999"/>
            </w:tcBorders>
            <w:shd w:fill="EADDEC" w:val="clear"/>
            <w:tcMar>
              <w:left w:w="28" w:type="dxa"/>
              <w:bottom w:w="28" w:type="dxa"/>
            </w:tcMar>
            <w:vAlign w:val="center"/>
          </w:tcPr>
          <w:p>
            <w:pPr>
              <w:pStyle w:val="TableContents"/>
              <w:bidi w:val="0"/>
              <w:spacing w:before="0" w:after="283"/>
              <w:jc w:val="left"/>
              <w:rPr/>
            </w:pPr>
            <w:r>
              <w:rPr/>
              <w:t> </w:t>
            </w:r>
          </w:p>
        </w:tc>
        <w:tc>
          <w:tcPr>
            <w:tcW w:w="471" w:type="dxa"/>
            <w:tcBorders>
              <w:bottom w:val="single" w:sz="6" w:space="0" w:color="999999"/>
              <w:right w:val="single" w:sz="6" w:space="0" w:color="732282"/>
            </w:tcBorders>
            <w:shd w:fill="EADDEC" w:val="clear"/>
            <w:tcMar>
              <w:bottom w:w="28" w:type="dxa"/>
              <w:right w:w="40" w:type="dxa"/>
            </w:tcMar>
            <w:vAlign w:val="center"/>
          </w:tcPr>
          <w:p>
            <w:pPr>
              <w:pStyle w:val="TableContents"/>
              <w:bidi w:val="0"/>
              <w:spacing w:before="0" w:after="283"/>
              <w:jc w:val="center"/>
              <w:rPr>
                <w:sz w:val="16"/>
              </w:rPr>
            </w:pPr>
            <w:r>
              <w:rPr>
                <w:sz w:val="16"/>
              </w:rPr>
              <w:t>4/11</w:t>
            </w:r>
          </w:p>
        </w:tc>
      </w:tr>
      <w:tr>
        <w:trPr/>
        <w:tc>
          <w:tcPr>
            <w:tcW w:w="4453" w:type="dxa"/>
            <w:tcBorders>
              <w:left w:val="single" w:sz="6" w:space="0" w:color="732282"/>
              <w:bottom w:val="single" w:sz="6" w:space="0" w:color="999999"/>
            </w:tcBorders>
            <w:tcMar>
              <w:left w:w="160" w:type="dxa"/>
              <w:bottom w:w="28" w:type="dxa"/>
            </w:tcMar>
            <w:vAlign w:val="center"/>
          </w:tcPr>
          <w:p>
            <w:pPr>
              <w:pStyle w:val="TableContents"/>
              <w:bidi w:val="0"/>
              <w:spacing w:before="0" w:after="0"/>
              <w:jc w:val="left"/>
              <w:rPr>
                <w:rFonts w:ascii="ARIAL" w:hAnsi="ARIAL"/>
                <w:b/>
                <w:color w:val="231161"/>
                <w:sz w:val="16"/>
              </w:rPr>
            </w:pPr>
            <w:r>
              <w:rPr>
                <w:rFonts w:ascii="ARIAL" w:hAnsi="ARIAL"/>
                <w:b/>
                <w:color w:val="231161"/>
                <w:sz w:val="16"/>
              </w:rPr>
              <w:t>Risk Oversight/Compliance Experience</w:t>
            </w:r>
          </w:p>
          <w:p>
            <w:pPr>
              <w:pStyle w:val="TableContents"/>
              <w:bidi w:val="0"/>
              <w:spacing w:before="0" w:after="20"/>
              <w:jc w:val="left"/>
              <w:rPr>
                <w:rFonts w:ascii="ARIAL" w:hAnsi="ARIAL"/>
                <w:color w:val="3F3F3F"/>
                <w:sz w:val="14"/>
              </w:rPr>
            </w:pPr>
            <w:r>
              <w:rPr>
                <w:rFonts w:ascii="ARIAL" w:hAnsi="ARIAL"/>
                <w:color w:val="3F3F3F"/>
                <w:sz w:val="14"/>
              </w:rPr>
              <w:t>Pharmaceutical companies face a variety of complex opportunities, risks and compliance challenges. Directors who have experience monitoring and creating plans to address risk provide important insights that assist our Board and management in ensuring the long-term sustainability of our business</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76"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86"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16"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52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46"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41"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46"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56"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56"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431"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tcMar>
              <w:left w:w="28" w:type="dxa"/>
              <w:bottom w:w="28" w:type="dxa"/>
            </w:tcMar>
            <w:vAlign w:val="center"/>
          </w:tcPr>
          <w:p>
            <w:pPr>
              <w:pStyle w:val="TableContents"/>
              <w:bidi w:val="0"/>
              <w:spacing w:before="0" w:after="283"/>
              <w:jc w:val="left"/>
              <w:rPr/>
            </w:pPr>
            <w:r>
              <w:rPr/>
              <w:t> </w:t>
            </w:r>
          </w:p>
        </w:tc>
        <w:tc>
          <w:tcPr>
            <w:tcW w:w="386" w:type="dxa"/>
            <w:tcBorders>
              <w:bottom w:val="single" w:sz="6" w:space="0" w:color="999999"/>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999999"/>
            </w:tcBorders>
            <w:shd w:fill="EADDEC" w:val="clear"/>
            <w:tcMar>
              <w:left w:w="28" w:type="dxa"/>
              <w:bottom w:w="28" w:type="dxa"/>
            </w:tcMar>
            <w:vAlign w:val="center"/>
          </w:tcPr>
          <w:p>
            <w:pPr>
              <w:pStyle w:val="TableContents"/>
              <w:bidi w:val="0"/>
              <w:spacing w:before="0" w:after="283"/>
              <w:jc w:val="left"/>
              <w:rPr/>
            </w:pPr>
            <w:r>
              <w:rPr/>
              <w:t> </w:t>
            </w:r>
          </w:p>
        </w:tc>
        <w:tc>
          <w:tcPr>
            <w:tcW w:w="471" w:type="dxa"/>
            <w:tcBorders>
              <w:bottom w:val="single" w:sz="6" w:space="0" w:color="999999"/>
              <w:right w:val="single" w:sz="6" w:space="0" w:color="732282"/>
            </w:tcBorders>
            <w:shd w:fill="EADDEC" w:val="clear"/>
            <w:tcMar>
              <w:bottom w:w="28" w:type="dxa"/>
              <w:right w:w="40" w:type="dxa"/>
            </w:tcMar>
            <w:vAlign w:val="center"/>
          </w:tcPr>
          <w:p>
            <w:pPr>
              <w:pStyle w:val="TableContents"/>
              <w:bidi w:val="0"/>
              <w:spacing w:before="0" w:after="283"/>
              <w:jc w:val="center"/>
              <w:rPr>
                <w:sz w:val="16"/>
              </w:rPr>
            </w:pPr>
            <w:r>
              <w:rPr>
                <w:sz w:val="16"/>
              </w:rPr>
              <w:t>9/11</w:t>
            </w:r>
          </w:p>
        </w:tc>
      </w:tr>
      <w:tr>
        <w:trPr/>
        <w:tc>
          <w:tcPr>
            <w:tcW w:w="4453" w:type="dxa"/>
            <w:tcBorders>
              <w:left w:val="single" w:sz="6" w:space="0" w:color="732282"/>
              <w:bottom w:val="single" w:sz="6" w:space="0" w:color="732282"/>
            </w:tcBorders>
            <w:tcMar>
              <w:left w:w="160" w:type="dxa"/>
              <w:bottom w:w="28" w:type="dxa"/>
            </w:tcMar>
            <w:vAlign w:val="center"/>
          </w:tcPr>
          <w:p>
            <w:pPr>
              <w:pStyle w:val="TableContents"/>
              <w:bidi w:val="0"/>
              <w:spacing w:before="0" w:after="0"/>
              <w:jc w:val="left"/>
              <w:rPr>
                <w:rFonts w:ascii="ARIAL" w:hAnsi="ARIAL"/>
                <w:b/>
                <w:color w:val="231161"/>
                <w:sz w:val="16"/>
              </w:rPr>
            </w:pPr>
            <w:r>
              <w:rPr>
                <w:rFonts w:ascii="ARIAL" w:hAnsi="ARIAL"/>
                <w:b/>
                <w:color w:val="231161"/>
                <w:sz w:val="16"/>
              </w:rPr>
              <w:t>Strategy and M&amp;A Experience</w:t>
            </w:r>
          </w:p>
          <w:p>
            <w:pPr>
              <w:pStyle w:val="TableContents"/>
              <w:bidi w:val="0"/>
              <w:spacing w:before="0" w:after="20"/>
              <w:jc w:val="left"/>
              <w:rPr>
                <w:rFonts w:ascii="ARIAL" w:hAnsi="ARIAL"/>
                <w:color w:val="3F3F3F"/>
                <w:sz w:val="14"/>
              </w:rPr>
            </w:pPr>
            <w:r>
              <w:rPr>
                <w:rFonts w:ascii="ARIAL" w:hAnsi="ARIAL"/>
                <w:color w:val="3F3F3F"/>
                <w:sz w:val="14"/>
              </w:rPr>
              <w:t>Viatris’ directors are responsible for developing the Company’s successful differentiated strategy, both organically and through strategic and opportunistic acquisitions</w:t>
            </w:r>
          </w:p>
        </w:tc>
        <w:tc>
          <w:tcPr>
            <w:tcW w:w="60" w:type="dxa"/>
            <w:tcBorders>
              <w:left w:val="single" w:sz="6" w:space="0" w:color="999999"/>
              <w:bottom w:val="single" w:sz="6" w:space="0" w:color="732282"/>
            </w:tcBorders>
            <w:tcMar>
              <w:left w:w="28" w:type="dxa"/>
              <w:bottom w:w="28" w:type="dxa"/>
            </w:tcMar>
            <w:vAlign w:val="center"/>
          </w:tcPr>
          <w:p>
            <w:pPr>
              <w:pStyle w:val="TableContents"/>
              <w:bidi w:val="0"/>
              <w:spacing w:before="0" w:after="283"/>
              <w:jc w:val="left"/>
              <w:rPr/>
            </w:pPr>
            <w:r>
              <w:rPr/>
              <w:t> </w:t>
            </w:r>
          </w:p>
        </w:tc>
        <w:tc>
          <w:tcPr>
            <w:tcW w:w="476" w:type="dxa"/>
            <w:tcBorders>
              <w:bottom w:val="single" w:sz="6" w:space="0" w:color="732282"/>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732282"/>
            </w:tcBorders>
            <w:tcMar>
              <w:left w:w="28" w:type="dxa"/>
              <w:bottom w:w="28" w:type="dxa"/>
            </w:tcMar>
            <w:vAlign w:val="center"/>
          </w:tcPr>
          <w:p>
            <w:pPr>
              <w:pStyle w:val="TableContents"/>
              <w:bidi w:val="0"/>
              <w:spacing w:before="0" w:after="283"/>
              <w:jc w:val="left"/>
              <w:rPr/>
            </w:pPr>
            <w:r>
              <w:rPr/>
              <w:t> </w:t>
            </w:r>
          </w:p>
        </w:tc>
        <w:tc>
          <w:tcPr>
            <w:tcW w:w="386" w:type="dxa"/>
            <w:tcBorders>
              <w:bottom w:val="single" w:sz="6" w:space="0" w:color="732282"/>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732282"/>
            </w:tcBorders>
            <w:tcMar>
              <w:left w:w="28" w:type="dxa"/>
              <w:bottom w:w="28" w:type="dxa"/>
            </w:tcMar>
            <w:vAlign w:val="center"/>
          </w:tcPr>
          <w:p>
            <w:pPr>
              <w:pStyle w:val="TableContents"/>
              <w:bidi w:val="0"/>
              <w:spacing w:before="0" w:after="283"/>
              <w:jc w:val="left"/>
              <w:rPr/>
            </w:pPr>
            <w:r>
              <w:rPr/>
              <w:t> </w:t>
            </w:r>
          </w:p>
        </w:tc>
        <w:tc>
          <w:tcPr>
            <w:tcW w:w="416" w:type="dxa"/>
            <w:tcBorders>
              <w:bottom w:val="single" w:sz="6" w:space="0" w:color="732282"/>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732282"/>
            </w:tcBorders>
            <w:tcMar>
              <w:left w:w="28" w:type="dxa"/>
              <w:bottom w:w="28" w:type="dxa"/>
            </w:tcMar>
            <w:vAlign w:val="center"/>
          </w:tcPr>
          <w:p>
            <w:pPr>
              <w:pStyle w:val="TableContents"/>
              <w:bidi w:val="0"/>
              <w:spacing w:before="0" w:after="283"/>
              <w:jc w:val="left"/>
              <w:rPr/>
            </w:pPr>
            <w:r>
              <w:rPr/>
              <w:t> </w:t>
            </w:r>
          </w:p>
        </w:tc>
        <w:tc>
          <w:tcPr>
            <w:tcW w:w="521" w:type="dxa"/>
            <w:tcBorders>
              <w:bottom w:val="single" w:sz="6" w:space="0" w:color="732282"/>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732282"/>
            </w:tcBorders>
            <w:tcMar>
              <w:left w:w="28" w:type="dxa"/>
              <w:bottom w:w="28" w:type="dxa"/>
            </w:tcMar>
            <w:vAlign w:val="center"/>
          </w:tcPr>
          <w:p>
            <w:pPr>
              <w:pStyle w:val="TableContents"/>
              <w:bidi w:val="0"/>
              <w:spacing w:before="0" w:after="283"/>
              <w:jc w:val="left"/>
              <w:rPr/>
            </w:pPr>
            <w:r>
              <w:rPr/>
              <w:t> </w:t>
            </w:r>
          </w:p>
        </w:tc>
        <w:tc>
          <w:tcPr>
            <w:tcW w:w="446" w:type="dxa"/>
            <w:tcBorders>
              <w:bottom w:val="single" w:sz="6" w:space="0" w:color="732282"/>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732282"/>
            </w:tcBorders>
            <w:tcMar>
              <w:left w:w="28" w:type="dxa"/>
              <w:bottom w:w="28" w:type="dxa"/>
            </w:tcMar>
            <w:vAlign w:val="center"/>
          </w:tcPr>
          <w:p>
            <w:pPr>
              <w:pStyle w:val="TableContents"/>
              <w:bidi w:val="0"/>
              <w:spacing w:before="0" w:after="283"/>
              <w:jc w:val="left"/>
              <w:rPr/>
            </w:pPr>
            <w:r>
              <w:rPr/>
              <w:t> </w:t>
            </w:r>
          </w:p>
        </w:tc>
        <w:tc>
          <w:tcPr>
            <w:tcW w:w="341" w:type="dxa"/>
            <w:tcBorders>
              <w:bottom w:val="single" w:sz="6" w:space="0" w:color="732282"/>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732282"/>
            </w:tcBorders>
            <w:tcMar>
              <w:left w:w="28" w:type="dxa"/>
              <w:bottom w:w="28" w:type="dxa"/>
            </w:tcMar>
            <w:vAlign w:val="center"/>
          </w:tcPr>
          <w:p>
            <w:pPr>
              <w:pStyle w:val="TableContents"/>
              <w:bidi w:val="0"/>
              <w:spacing w:before="0" w:after="283"/>
              <w:jc w:val="left"/>
              <w:rPr/>
            </w:pPr>
            <w:r>
              <w:rPr/>
              <w:t> </w:t>
            </w:r>
          </w:p>
        </w:tc>
        <w:tc>
          <w:tcPr>
            <w:tcW w:w="446" w:type="dxa"/>
            <w:tcBorders>
              <w:bottom w:val="single" w:sz="6" w:space="0" w:color="732282"/>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732282"/>
            </w:tcBorders>
            <w:tcMar>
              <w:left w:w="28" w:type="dxa"/>
              <w:bottom w:w="28" w:type="dxa"/>
            </w:tcMar>
            <w:vAlign w:val="center"/>
          </w:tcPr>
          <w:p>
            <w:pPr>
              <w:pStyle w:val="TableContents"/>
              <w:bidi w:val="0"/>
              <w:spacing w:before="0" w:after="283"/>
              <w:jc w:val="left"/>
              <w:rPr/>
            </w:pPr>
            <w:r>
              <w:rPr/>
              <w:t> </w:t>
            </w:r>
          </w:p>
        </w:tc>
        <w:tc>
          <w:tcPr>
            <w:tcW w:w="356" w:type="dxa"/>
            <w:tcBorders>
              <w:bottom w:val="single" w:sz="6" w:space="0" w:color="732282"/>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732282"/>
            </w:tcBorders>
            <w:tcMar>
              <w:left w:w="28" w:type="dxa"/>
              <w:bottom w:w="28" w:type="dxa"/>
            </w:tcMar>
            <w:vAlign w:val="center"/>
          </w:tcPr>
          <w:p>
            <w:pPr>
              <w:pStyle w:val="TableContents"/>
              <w:bidi w:val="0"/>
              <w:spacing w:before="0" w:after="283"/>
              <w:jc w:val="left"/>
              <w:rPr/>
            </w:pPr>
            <w:r>
              <w:rPr/>
              <w:t> </w:t>
            </w:r>
          </w:p>
        </w:tc>
        <w:tc>
          <w:tcPr>
            <w:tcW w:w="356" w:type="dxa"/>
            <w:tcBorders>
              <w:bottom w:val="single" w:sz="6" w:space="0" w:color="732282"/>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732282"/>
            </w:tcBorders>
            <w:tcMar>
              <w:left w:w="28" w:type="dxa"/>
              <w:bottom w:w="28" w:type="dxa"/>
            </w:tcMar>
            <w:vAlign w:val="center"/>
          </w:tcPr>
          <w:p>
            <w:pPr>
              <w:pStyle w:val="TableContents"/>
              <w:bidi w:val="0"/>
              <w:spacing w:before="0" w:after="283"/>
              <w:jc w:val="left"/>
              <w:rPr/>
            </w:pPr>
            <w:r>
              <w:rPr/>
              <w:t> </w:t>
            </w:r>
          </w:p>
        </w:tc>
        <w:tc>
          <w:tcPr>
            <w:tcW w:w="431" w:type="dxa"/>
            <w:tcBorders>
              <w:bottom w:val="single" w:sz="6" w:space="0" w:color="732282"/>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732282"/>
            </w:tcBorders>
            <w:tcMar>
              <w:left w:w="28" w:type="dxa"/>
              <w:bottom w:w="28" w:type="dxa"/>
            </w:tcMar>
            <w:vAlign w:val="center"/>
          </w:tcPr>
          <w:p>
            <w:pPr>
              <w:pStyle w:val="TableContents"/>
              <w:bidi w:val="0"/>
              <w:spacing w:before="0" w:after="283"/>
              <w:jc w:val="left"/>
              <w:rPr/>
            </w:pPr>
            <w:r>
              <w:rPr/>
              <w:t> </w:t>
            </w:r>
          </w:p>
        </w:tc>
        <w:tc>
          <w:tcPr>
            <w:tcW w:w="386" w:type="dxa"/>
            <w:tcBorders>
              <w:bottom w:val="single" w:sz="6" w:space="0" w:color="732282"/>
            </w:tcBorders>
            <w:tcMar>
              <w:bottom w:w="28" w:type="dxa"/>
            </w:tcMar>
            <w:vAlign w:val="center"/>
          </w:tcPr>
          <w:p>
            <w:pPr>
              <w:pStyle w:val="TableContents"/>
              <w:bidi w:val="0"/>
              <w:spacing w:before="0" w:after="283"/>
              <w:jc w:val="center"/>
              <w:rPr>
                <w:color w:val="732282"/>
              </w:rPr>
            </w:pPr>
            <w:r>
              <w:rPr>
                <w:color w:val="732282"/>
              </w:rPr>
              <w:t>●</w:t>
            </w:r>
          </w:p>
        </w:tc>
        <w:tc>
          <w:tcPr>
            <w:tcW w:w="60" w:type="dxa"/>
            <w:tcBorders>
              <w:left w:val="single" w:sz="6" w:space="0" w:color="999999"/>
              <w:bottom w:val="single" w:sz="6" w:space="0" w:color="732282"/>
            </w:tcBorders>
            <w:shd w:fill="EADDEC" w:val="clear"/>
            <w:tcMar>
              <w:left w:w="28" w:type="dxa"/>
              <w:bottom w:w="28" w:type="dxa"/>
            </w:tcMar>
            <w:vAlign w:val="center"/>
          </w:tcPr>
          <w:p>
            <w:pPr>
              <w:pStyle w:val="TableContents"/>
              <w:bidi w:val="0"/>
              <w:spacing w:before="0" w:after="283"/>
              <w:jc w:val="left"/>
              <w:rPr/>
            </w:pPr>
            <w:r>
              <w:rPr/>
              <w:t> </w:t>
            </w:r>
          </w:p>
        </w:tc>
        <w:tc>
          <w:tcPr>
            <w:tcW w:w="471" w:type="dxa"/>
            <w:tcBorders>
              <w:bottom w:val="single" w:sz="6" w:space="0" w:color="732282"/>
              <w:right w:val="single" w:sz="6" w:space="0" w:color="732282"/>
            </w:tcBorders>
            <w:shd w:fill="EADDEC" w:val="clear"/>
            <w:tcMar>
              <w:bottom w:w="28" w:type="dxa"/>
              <w:right w:w="40" w:type="dxa"/>
            </w:tcMar>
            <w:vAlign w:val="center"/>
          </w:tcPr>
          <w:p>
            <w:pPr>
              <w:pStyle w:val="TableContents"/>
              <w:bidi w:val="0"/>
              <w:spacing w:before="0" w:after="283"/>
              <w:jc w:val="center"/>
              <w:rPr>
                <w:sz w:val="16"/>
              </w:rPr>
            </w:pPr>
            <w:r>
              <w:rPr>
                <w:sz w:val="16"/>
              </w:rPr>
              <w:t>11/11</w:t>
            </w:r>
          </w:p>
        </w:tc>
      </w:tr>
    </w:tbl>
    <w:p>
      <w:pPr>
        <w:pStyle w:val="TextBody"/>
        <w:bidi w:val="0"/>
        <w:spacing w:before="160" w:after="0"/>
        <w:jc w:val="both"/>
        <w:rPr>
          <w:rFonts w:ascii="arial" w:hAnsi="arial"/>
          <w:sz w:val="18"/>
        </w:rPr>
      </w:pPr>
      <w:r>
        <w:rPr>
          <w:rFonts w:ascii="arial" w:hAnsi="arial"/>
          <w:sz w:val="18"/>
        </w:rPr>
        <w:t xml:space="preserve">Additional background information for each Director is set forth immediately below.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383"/>
        <w:gridCol w:w="60"/>
        <w:gridCol w:w="8762"/>
      </w:tblGrid>
      <w:tr>
        <w:trPr/>
        <w:tc>
          <w:tcPr>
            <w:tcW w:w="1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62" w:type="dxa"/>
            <w:tcBorders/>
            <w:vAlign w:val="center"/>
          </w:tcPr>
          <w:p>
            <w:pPr>
              <w:pStyle w:val="TableContents"/>
              <w:bidi w:val="0"/>
              <w:spacing w:before="0" w:after="283"/>
              <w:jc w:val="left"/>
              <w:rPr>
                <w:sz w:val="4"/>
                <w:szCs w:val="4"/>
              </w:rPr>
            </w:pPr>
            <w:r>
              <w:rPr>
                <w:sz w:val="4"/>
                <w:szCs w:val="4"/>
              </w:rPr>
            </w:r>
          </w:p>
        </w:tc>
      </w:tr>
      <w:tr>
        <w:trPr/>
        <w:tc>
          <w:tcPr>
            <w:tcW w:w="1383" w:type="dxa"/>
            <w:tcBorders/>
            <w:vAlign w:val="center"/>
          </w:tcPr>
          <w:p>
            <w:pPr>
              <w:pStyle w:val="TableContents"/>
              <w:bidi w:val="0"/>
              <w:spacing w:before="0" w:after="0"/>
              <w:jc w:val="left"/>
              <w:rPr/>
            </w:pPr>
            <w:r>
              <w:rPr/>
              <w:t> </w:t>
            </w:r>
          </w:p>
          <w:p>
            <w:pPr>
              <w:pStyle w:val="TableContents"/>
              <w:bidi w:val="0"/>
              <w:spacing w:before="0" w:after="0"/>
              <w:jc w:val="both"/>
              <w:rPr/>
            </w:pPr>
            <w:r>
              <w:rPr/>
              <w:drawing>
                <wp:inline distT="0" distB="0" distL="0" distR="0">
                  <wp:extent cx="133350" cy="1365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33350" cy="1365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231161"/>
                <w:sz w:val="18"/>
              </w:rPr>
              <w:t>Director since</w:t>
            </w:r>
            <w:r>
              <w:rPr>
                <w:rFonts w:ascii="ARIAL" w:hAnsi="ARIAL"/>
                <w:color w:val="3F3F3F"/>
                <w:sz w:val="18"/>
              </w:rPr>
              <w:t xml:space="preserve"> 2020</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231161"/>
                <w:sz w:val="18"/>
              </w:rPr>
              <w:t xml:space="preserve">Age: </w:t>
            </w:r>
            <w:r>
              <w:rPr>
                <w:rFonts w:ascii="ARIAL" w:hAnsi="ARIAL"/>
                <w:color w:val="3F3F3F"/>
                <w:sz w:val="18"/>
              </w:rPr>
              <w:t>76</w:t>
            </w:r>
            <w:r>
              <w:rPr>
                <w:rFonts w:ascii="ARIAL" w:hAnsi="ARIAL"/>
                <w:color w:val="231161"/>
                <w:sz w:val="18"/>
              </w:rPr>
              <w:t>*</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Board Committees:</w:t>
            </w:r>
          </w:p>
          <w:p>
            <w:pPr>
              <w:pStyle w:val="TableContents"/>
              <w:bidi w:val="0"/>
              <w:spacing w:before="0" w:after="0"/>
              <w:jc w:val="both"/>
              <w:rPr>
                <w:color w:val="3F3F3F"/>
              </w:rPr>
            </w:pPr>
            <w:r>
              <w:rPr>
                <w:color w:val="3F3F3F"/>
              </w:rPr>
              <w:t>•  </w:t>
            </w:r>
            <w:r>
              <w:rPr>
                <w:rFonts w:ascii="ARIAL" w:hAnsi="ARIAL"/>
                <w:color w:val="3F3F3F"/>
                <w:sz w:val="18"/>
              </w:rPr>
              <w:t>Audit</w:t>
            </w:r>
          </w:p>
          <w:p>
            <w:pPr>
              <w:pStyle w:val="TableContents"/>
              <w:bidi w:val="0"/>
              <w:spacing w:before="0" w:after="0"/>
              <w:jc w:val="both"/>
              <w:rPr>
                <w:color w:val="3F3F3F"/>
              </w:rPr>
            </w:pPr>
            <w:r>
              <w:rPr>
                <w:color w:val="3F3F3F"/>
              </w:rPr>
              <w:t>•  </w:t>
            </w:r>
            <w:r>
              <w:rPr>
                <w:rFonts w:ascii="ARIAL" w:hAnsi="ARIAL"/>
                <w:color w:val="3F3F3F"/>
                <w:sz w:val="18"/>
              </w:rPr>
              <w:t>Compliance and Risk Oversight</w:t>
            </w:r>
          </w:p>
          <w:p>
            <w:pPr>
              <w:pStyle w:val="TableContents"/>
              <w:bidi w:val="0"/>
              <w:spacing w:before="0" w:after="0"/>
              <w:jc w:val="left"/>
              <w:rPr/>
            </w:pPr>
            <w:r>
              <w:rPr/>
              <w:t> </w:t>
            </w:r>
          </w:p>
          <w:p>
            <w:pPr>
              <w:pStyle w:val="TableContents"/>
              <w:bidi w:val="0"/>
              <w:spacing w:before="0" w:after="20"/>
              <w:jc w:val="left"/>
              <w:rPr>
                <w:rFonts w:ascii="ARIAL" w:hAnsi="ARIAL"/>
                <w:b/>
                <w:color w:val="231161"/>
                <w:sz w:val="18"/>
              </w:rPr>
            </w:pPr>
            <w:r>
              <w:rPr>
                <w:rFonts w:ascii="ARIAL" w:hAnsi="ARIAL"/>
                <w:b/>
                <w:color w:val="231161"/>
                <w:sz w:val="18"/>
              </w:rPr>
              <w:t>Independent Director</w:t>
            </w:r>
          </w:p>
        </w:tc>
        <w:tc>
          <w:tcPr>
            <w:tcW w:w="60" w:type="dxa"/>
            <w:tcBorders/>
            <w:vAlign w:val="center"/>
          </w:tcPr>
          <w:p>
            <w:pPr>
              <w:pStyle w:val="TableContents"/>
              <w:bidi w:val="0"/>
              <w:spacing w:before="0" w:after="283"/>
              <w:jc w:val="left"/>
              <w:rPr/>
            </w:pPr>
            <w:r>
              <w:rPr/>
              <w:t> </w:t>
            </w:r>
          </w:p>
        </w:tc>
        <w:tc>
          <w:tcPr>
            <w:tcW w:w="8762" w:type="dxa"/>
            <w:tcBorders/>
            <w:vAlign w:val="center"/>
          </w:tcPr>
          <w:p>
            <w:pPr>
              <w:pStyle w:val="TableContents"/>
              <w:bidi w:val="0"/>
              <w:spacing w:before="0" w:after="0"/>
              <w:jc w:val="left"/>
              <w:rPr>
                <w:rFonts w:ascii="ARIAL" w:hAnsi="ARIAL"/>
                <w:b/>
                <w:color w:val="231161"/>
                <w:sz w:val="24"/>
              </w:rPr>
            </w:pPr>
            <w:r>
              <w:rPr>
                <w:rFonts w:ascii="ARIAL" w:hAnsi="ARIAL"/>
                <w:b/>
                <w:color w:val="231161"/>
                <w:sz w:val="24"/>
              </w:rPr>
              <w:t>W. Don Cornwell</w:t>
            </w:r>
          </w:p>
          <w:p>
            <w:pPr>
              <w:pStyle w:val="TableContents"/>
              <w:bidi w:val="0"/>
              <w:spacing w:before="0" w:after="0"/>
              <w:jc w:val="left"/>
              <w:rPr/>
            </w:pPr>
            <w:r>
              <w:rPr/>
              <w:t> </w:t>
            </w:r>
          </w:p>
          <w:p>
            <w:pPr>
              <w:pStyle w:val="TableContents"/>
              <w:bidi w:val="0"/>
              <w:spacing w:before="0" w:after="0"/>
              <w:jc w:val="both"/>
              <w:rPr>
                <w:color w:val="3F3F3F"/>
              </w:rPr>
            </w:pPr>
            <w:r>
              <w:rPr>
                <w:color w:val="3F3F3F"/>
              </w:rPr>
              <w:t>•  </w:t>
            </w:r>
            <w:r>
              <w:rPr>
                <w:rFonts w:ascii="ARIAL" w:hAnsi="ARIAL"/>
                <w:color w:val="3F3F3F"/>
                <w:sz w:val="18"/>
              </w:rPr>
              <w:t xml:space="preserve">Vice Chair (2009), Founder, Chairman and Chief Executive Officer (1988 - 2009), </w:t>
            </w:r>
            <w:r>
              <w:rPr>
                <w:rFonts w:ascii="ARIAL" w:hAnsi="ARIAL"/>
                <w:b/>
                <w:color w:val="3F3F3F"/>
                <w:sz w:val="18"/>
              </w:rPr>
              <w:t>Granite Broadcasting Corporation</w:t>
            </w:r>
          </w:p>
          <w:p>
            <w:pPr>
              <w:pStyle w:val="TableContents"/>
              <w:bidi w:val="0"/>
              <w:spacing w:before="0" w:after="0"/>
              <w:jc w:val="both"/>
              <w:rPr>
                <w:color w:val="3F3F3F"/>
              </w:rPr>
            </w:pPr>
            <w:r>
              <w:rPr>
                <w:color w:val="3F3F3F"/>
              </w:rPr>
              <w:t>•  </w:t>
            </w:r>
            <w:r>
              <w:rPr>
                <w:rFonts w:ascii="ARIAL" w:hAnsi="ARIAL"/>
                <w:color w:val="3F3F3F"/>
                <w:sz w:val="18"/>
              </w:rPr>
              <w:t xml:space="preserve">Chief Operating Officer (“COO”), Corporate Finance Department (1980 - 1988), Vice President, Investment Banking (1976 - 1988); joined the company in 1971, </w:t>
            </w:r>
            <w:r>
              <w:rPr>
                <w:rFonts w:ascii="ARIAL" w:hAnsi="ARIAL"/>
                <w:b/>
                <w:color w:val="3F3F3F"/>
                <w:sz w:val="18"/>
              </w:rPr>
              <w:t>Goldman, Sachs</w:t>
            </w:r>
            <w:r>
              <w:rPr>
                <w:rFonts w:ascii="ARIAL" w:hAnsi="ARIAL"/>
                <w:color w:val="3F3F3F"/>
                <w:sz w:val="18"/>
              </w:rPr>
              <w:t> </w:t>
            </w:r>
            <w:r>
              <w:rPr>
                <w:rFonts w:ascii="ARIAL" w:hAnsi="ARIAL"/>
                <w:b/>
                <w:color w:val="3F3F3F"/>
                <w:sz w:val="18"/>
              </w:rPr>
              <w:t>&amp; Co.</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Key Skills and Experience:</w:t>
            </w:r>
          </w:p>
          <w:p>
            <w:pPr>
              <w:pStyle w:val="TableContents"/>
              <w:bidi w:val="0"/>
              <w:spacing w:before="0" w:after="0"/>
              <w:jc w:val="both"/>
              <w:rPr>
                <w:color w:val="3F3F3F"/>
              </w:rPr>
            </w:pPr>
            <w:r>
              <w:rPr>
                <w:color w:val="3F3F3F"/>
              </w:rPr>
              <w:t>•  </w:t>
            </w:r>
            <w:r>
              <w:rPr>
                <w:rFonts w:ascii="ARIAL" w:hAnsi="ARIAL"/>
                <w:b/>
                <w:color w:val="3F3F3F"/>
                <w:sz w:val="18"/>
              </w:rPr>
              <w:t xml:space="preserve">CEO and Public Company Management, Corporate Governance, Global Business, Finance, Accounting and Capital Markets, </w:t>
            </w:r>
            <w:r>
              <w:rPr>
                <w:rFonts w:ascii="ARIAL" w:hAnsi="ARIAL"/>
                <w:color w:val="3F3F3F"/>
                <w:sz w:val="18"/>
              </w:rPr>
              <w:t xml:space="preserve">and </w:t>
            </w:r>
            <w:r>
              <w:rPr>
                <w:rFonts w:ascii="ARIAL" w:hAnsi="ARIAL"/>
                <w:b/>
                <w:color w:val="3F3F3F"/>
                <w:sz w:val="18"/>
              </w:rPr>
              <w:t xml:space="preserve">Strategy and M&amp;A Experience </w:t>
            </w:r>
            <w:r>
              <w:rPr>
                <w:rFonts w:ascii="ARIAL" w:hAnsi="ARIAL"/>
                <w:color w:val="3F3F3F"/>
                <w:sz w:val="18"/>
              </w:rPr>
              <w:t>developed during his various executive roles, more specifically during his years at Goldman Sachs, where he engaged in public and private financing and advised M&amp;A transactions for publicly traded and privately owned companies, and further advanced through his founding and leadership of Granite Broadcasting</w:t>
            </w:r>
          </w:p>
          <w:p>
            <w:pPr>
              <w:pStyle w:val="TableContents"/>
              <w:bidi w:val="0"/>
              <w:spacing w:before="0" w:after="0"/>
              <w:jc w:val="both"/>
              <w:rPr>
                <w:color w:val="3F3F3F"/>
              </w:rPr>
            </w:pPr>
            <w:r>
              <w:rPr>
                <w:color w:val="3F3F3F"/>
              </w:rPr>
              <w:t>•  </w:t>
            </w:r>
            <w:r>
              <w:rPr>
                <w:rFonts w:ascii="ARIAL" w:hAnsi="ARIAL"/>
                <w:b/>
                <w:color w:val="3F3F3F"/>
                <w:sz w:val="18"/>
              </w:rPr>
              <w:t xml:space="preserve">Human Capital Management </w:t>
            </w:r>
            <w:r>
              <w:rPr>
                <w:rFonts w:ascii="ARIAL" w:hAnsi="ARIAL"/>
                <w:color w:val="3F3F3F"/>
                <w:sz w:val="18"/>
              </w:rPr>
              <w:t xml:space="preserve">and </w:t>
            </w:r>
            <w:r>
              <w:rPr>
                <w:rFonts w:ascii="ARIAL" w:hAnsi="ARIAL"/>
                <w:b/>
                <w:color w:val="3F3F3F"/>
                <w:sz w:val="18"/>
              </w:rPr>
              <w:t>Information Security Experience</w:t>
            </w:r>
            <w:r>
              <w:rPr>
                <w:rFonts w:ascii="ARIAL" w:hAnsi="ARIAL"/>
                <w:color w:val="3F3F3F"/>
                <w:sz w:val="18"/>
              </w:rPr>
              <w:t xml:space="preserve"> gained while serving as the COO of the Corporate Finance Department of the Investment Banking Division of Goldman Sachs where he was responsible for the management of the department including building the operational infrastructure—IT, document production, training and recruiting—while the department of over 150 investment banking professionals was experiencing significant staffing growth in response to a dramatic increase in the volume of transactions they were handling</w:t>
            </w:r>
          </w:p>
          <w:p>
            <w:pPr>
              <w:pStyle w:val="TableContents"/>
              <w:bidi w:val="0"/>
              <w:spacing w:before="0" w:after="0"/>
              <w:jc w:val="both"/>
              <w:rPr>
                <w:color w:val="3F3F3F"/>
              </w:rPr>
            </w:pPr>
            <w:r>
              <w:rPr>
                <w:color w:val="3F3F3F"/>
              </w:rPr>
              <w:t>•  </w:t>
            </w:r>
            <w:r>
              <w:rPr>
                <w:rFonts w:ascii="ARIAL" w:hAnsi="ARIAL"/>
                <w:color w:val="3F3F3F"/>
                <w:sz w:val="18"/>
              </w:rPr>
              <w:t xml:space="preserve">Mr. Cornwell also brings </w:t>
            </w:r>
            <w:r>
              <w:rPr>
                <w:rFonts w:ascii="ARIAL" w:hAnsi="ARIAL"/>
                <w:b/>
                <w:color w:val="3F3F3F"/>
                <w:sz w:val="18"/>
              </w:rPr>
              <w:t xml:space="preserve">Healthcare Industry </w:t>
            </w:r>
            <w:r>
              <w:rPr>
                <w:rFonts w:ascii="ARIAL" w:hAnsi="ARIAL"/>
                <w:color w:val="3F3F3F"/>
                <w:sz w:val="18"/>
              </w:rPr>
              <w:t xml:space="preserve">and </w:t>
            </w:r>
            <w:r>
              <w:rPr>
                <w:rFonts w:ascii="ARIAL" w:hAnsi="ARIAL"/>
                <w:b/>
                <w:color w:val="3F3F3F"/>
                <w:sz w:val="18"/>
              </w:rPr>
              <w:t>Legal and Regulatory Oversight Experience</w:t>
            </w:r>
            <w:r>
              <w:rPr>
                <w:rFonts w:ascii="ARIAL" w:hAnsi="ARIAL"/>
                <w:color w:val="3F3F3F"/>
                <w:sz w:val="18"/>
              </w:rPr>
              <w:t xml:space="preserve"> to the Board</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Other Current Public Company Boards:</w:t>
            </w:r>
          </w:p>
          <w:p>
            <w:pPr>
              <w:pStyle w:val="TableContents"/>
              <w:bidi w:val="0"/>
              <w:spacing w:before="0" w:after="0"/>
              <w:jc w:val="both"/>
              <w:rPr>
                <w:color w:val="3F3F3F"/>
              </w:rPr>
            </w:pPr>
            <w:r>
              <w:rPr>
                <w:color w:val="3F3F3F"/>
              </w:rPr>
              <w:t>•  </w:t>
            </w:r>
            <w:r>
              <w:rPr>
                <w:rFonts w:ascii="ARIAL" w:hAnsi="ARIAL"/>
                <w:b/>
                <w:color w:val="3F3F3F"/>
                <w:sz w:val="18"/>
              </w:rPr>
              <w:t>American International Group, Inc.</w:t>
            </w:r>
            <w:r>
              <w:rPr>
                <w:rFonts w:ascii="ARIAL" w:hAnsi="ARIAL"/>
                <w:color w:val="3F3F3F"/>
                <w:sz w:val="18"/>
              </w:rPr>
              <w:t xml:space="preserve"> (NYSE: AIG) (since 2011), Director and member of the Audit and Nominating and Corporate Governance Committees</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Former Public Company Boards:</w:t>
            </w:r>
          </w:p>
          <w:p>
            <w:pPr>
              <w:pStyle w:val="TableContents"/>
              <w:bidi w:val="0"/>
              <w:spacing w:before="0" w:after="0"/>
              <w:jc w:val="both"/>
              <w:rPr>
                <w:color w:val="3F3F3F"/>
              </w:rPr>
            </w:pPr>
            <w:r>
              <w:rPr>
                <w:color w:val="3F3F3F"/>
              </w:rPr>
              <w:t>•  </w:t>
            </w:r>
            <w:r>
              <w:rPr>
                <w:rFonts w:ascii="ARIAL" w:hAnsi="ARIAL"/>
                <w:b/>
                <w:color w:val="3F3F3F"/>
                <w:sz w:val="18"/>
              </w:rPr>
              <w:t>Natura</w:t>
            </w:r>
            <w:r>
              <w:rPr>
                <w:rFonts w:ascii="ARIAL" w:hAnsi="ARIAL"/>
                <w:color w:val="3F3F3F"/>
                <w:sz w:val="18"/>
              </w:rPr>
              <w:t> </w:t>
            </w:r>
            <w:r>
              <w:rPr>
                <w:rFonts w:ascii="ARIAL" w:hAnsi="ARIAL"/>
                <w:b/>
                <w:color w:val="3F3F3F"/>
                <w:sz w:val="18"/>
              </w:rPr>
              <w:t>&amp; Co Holding S.A.</w:t>
            </w:r>
            <w:r>
              <w:rPr>
                <w:rFonts w:ascii="ARIAL" w:hAnsi="ARIAL"/>
                <w:color w:val="3F3F3F"/>
                <w:sz w:val="18"/>
              </w:rPr>
              <w:t xml:space="preserve"> (NYSE: NTCO) (2020 - 2023), Director and most recently member of the Corporate Governance Committee</w:t>
            </w:r>
          </w:p>
          <w:p>
            <w:pPr>
              <w:pStyle w:val="TableContents"/>
              <w:bidi w:val="0"/>
              <w:spacing w:before="0" w:after="0"/>
              <w:jc w:val="both"/>
              <w:rPr>
                <w:color w:val="3F3F3F"/>
              </w:rPr>
            </w:pPr>
            <w:r>
              <w:rPr>
                <w:color w:val="3F3F3F"/>
              </w:rPr>
              <w:t>•  </w:t>
            </w:r>
            <w:r>
              <w:rPr>
                <w:rFonts w:ascii="ARIAL" w:hAnsi="ARIAL"/>
                <w:b/>
                <w:color w:val="3F3F3F"/>
                <w:sz w:val="18"/>
              </w:rPr>
              <w:t>Avon Products, Inc.</w:t>
            </w:r>
            <w:r>
              <w:rPr>
                <w:rFonts w:ascii="ARIAL" w:hAnsi="ARIAL"/>
                <w:color w:val="3F3F3F"/>
                <w:sz w:val="18"/>
              </w:rPr>
              <w:t xml:space="preserve"> (2002 - 2020 when acquired by Natura), Director</w:t>
            </w:r>
          </w:p>
          <w:p>
            <w:pPr>
              <w:pStyle w:val="TableContents"/>
              <w:bidi w:val="0"/>
              <w:spacing w:before="0" w:after="0"/>
              <w:jc w:val="both"/>
              <w:rPr>
                <w:color w:val="3F3F3F"/>
              </w:rPr>
            </w:pPr>
            <w:r>
              <w:rPr>
                <w:color w:val="3F3F3F"/>
              </w:rPr>
              <w:t>•  </w:t>
            </w:r>
            <w:r>
              <w:rPr>
                <w:rFonts w:ascii="ARIAL" w:hAnsi="ARIAL"/>
                <w:b/>
                <w:color w:val="3F3F3F"/>
                <w:sz w:val="18"/>
              </w:rPr>
              <w:t xml:space="preserve">Pfizer Inc. </w:t>
            </w:r>
            <w:r>
              <w:rPr>
                <w:rFonts w:ascii="ARIAL" w:hAnsi="ARIAL"/>
                <w:color w:val="3F3F3F"/>
                <w:sz w:val="18"/>
              </w:rPr>
              <w:t>(NYSE: PFE) (1997 - the closing of the Combination in 2020), Director and most recently Chair of the Regulatory and Compliance Committee and member of the Governance and Sustainability Committee</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Other Organizations:</w:t>
            </w:r>
          </w:p>
          <w:p>
            <w:pPr>
              <w:pStyle w:val="TableContents"/>
              <w:bidi w:val="0"/>
              <w:spacing w:before="0" w:after="0"/>
              <w:jc w:val="both"/>
              <w:rPr>
                <w:color w:val="3F3F3F"/>
              </w:rPr>
            </w:pPr>
            <w:r>
              <w:rPr>
                <w:color w:val="3F3F3F"/>
              </w:rPr>
              <w:t>•  </w:t>
            </w:r>
            <w:r>
              <w:rPr>
                <w:rFonts w:ascii="ARIAL" w:hAnsi="ARIAL"/>
                <w:color w:val="3F3F3F"/>
                <w:sz w:val="18"/>
              </w:rPr>
              <w:t xml:space="preserve">Board of Trustees, </w:t>
            </w:r>
            <w:r>
              <w:rPr>
                <w:rFonts w:ascii="ARIAL" w:hAnsi="ARIAL"/>
                <w:b/>
                <w:color w:val="3F3F3F"/>
                <w:sz w:val="18"/>
              </w:rPr>
              <w:t>Big Brothers Big Sisters of New York City</w:t>
            </w:r>
          </w:p>
          <w:p>
            <w:pPr>
              <w:pStyle w:val="TableContents"/>
              <w:bidi w:val="0"/>
              <w:spacing w:before="0" w:after="0"/>
              <w:jc w:val="both"/>
              <w:rPr>
                <w:color w:val="3F3F3F"/>
              </w:rPr>
            </w:pPr>
            <w:r>
              <w:rPr>
                <w:color w:val="3F3F3F"/>
              </w:rPr>
              <w:t>•  </w:t>
            </w:r>
            <w:r>
              <w:rPr>
                <w:rFonts w:ascii="ARIAL" w:hAnsi="ARIAL"/>
                <w:color w:val="3F3F3F"/>
                <w:sz w:val="18"/>
              </w:rPr>
              <w:t xml:space="preserve">Vice Chairman of the Board of Directors, </w:t>
            </w:r>
            <w:r>
              <w:rPr>
                <w:rFonts w:ascii="ARIAL" w:hAnsi="ARIAL"/>
                <w:b/>
                <w:color w:val="3F3F3F"/>
                <w:sz w:val="18"/>
              </w:rPr>
              <w:t>Blue Meridian Partners</w:t>
            </w:r>
            <w:r>
              <w:rPr>
                <w:rFonts w:ascii="ARIAL" w:hAnsi="ARIAL"/>
                <w:color w:val="3F3F3F"/>
                <w:sz w:val="18"/>
              </w:rPr>
              <w:t>, a partnership of philanthropists that invests in strategies to impact social problems confronting young people and families in poverty</w:t>
            </w:r>
          </w:p>
          <w:p>
            <w:pPr>
              <w:pStyle w:val="TableContents"/>
              <w:bidi w:val="0"/>
              <w:spacing w:before="0" w:after="0"/>
              <w:jc w:val="both"/>
              <w:rPr>
                <w:color w:val="3F3F3F"/>
                <w:u w:val="single"/>
              </w:rPr>
            </w:pPr>
            <w:r>
              <w:rPr>
                <w:color w:val="3F3F3F"/>
                <w:u w:val="single"/>
              </w:rPr>
              <w:t>        </w:t>
            </w:r>
          </w:p>
          <w:p>
            <w:pPr>
              <w:pStyle w:val="TableContents"/>
              <w:bidi w:val="0"/>
              <w:spacing w:before="0" w:after="20"/>
              <w:jc w:val="both"/>
              <w:rPr>
                <w:rFonts w:ascii="ARIAL" w:hAnsi="ARIAL"/>
                <w:color w:val="3F3F3F"/>
                <w:sz w:val="16"/>
              </w:rPr>
            </w:pPr>
            <w:r>
              <w:rPr>
                <w:rFonts w:ascii="ARIAL" w:hAnsi="ARIAL"/>
                <w:color w:val="3F3F3F"/>
                <w:sz w:val="16"/>
              </w:rPr>
              <w:t>*   The Board, on the recommendation of the Governance and Sustainability Committee, has, in accordance with its Corporate Governance Principles, approved a waiver to the mandatory retirement age for Directors for Mr. Cornwell and determined that such waiver was in the best interests of the Company because of his continued extensive contributions to the Board and his knowledge and familiarity with the legacy Upjohn Business.</w:t>
            </w:r>
          </w:p>
        </w:tc>
      </w:tr>
      <w:tr>
        <w:trPr/>
        <w:tc>
          <w:tcPr>
            <w:tcW w:w="10205" w:type="dxa"/>
            <w:gridSpan w:val="3"/>
            <w:tcBorders>
              <w:bottom w:val="dotted" w:sz="8" w:space="0" w:color="732282"/>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412"/>
        <w:gridCol w:w="60"/>
        <w:gridCol w:w="8733"/>
      </w:tblGrid>
      <w:tr>
        <w:trPr/>
        <w:tc>
          <w:tcPr>
            <w:tcW w:w="14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33" w:type="dxa"/>
            <w:tcBorders/>
            <w:vAlign w:val="center"/>
          </w:tcPr>
          <w:p>
            <w:pPr>
              <w:pStyle w:val="TableContents"/>
              <w:bidi w:val="0"/>
              <w:spacing w:before="0" w:after="283"/>
              <w:jc w:val="left"/>
              <w:rPr>
                <w:sz w:val="4"/>
                <w:szCs w:val="4"/>
              </w:rPr>
            </w:pPr>
            <w:r>
              <w:rPr>
                <w:sz w:val="4"/>
                <w:szCs w:val="4"/>
              </w:rPr>
            </w:r>
          </w:p>
        </w:tc>
      </w:tr>
      <w:tr>
        <w:trPr/>
        <w:tc>
          <w:tcPr>
            <w:tcW w:w="1412" w:type="dxa"/>
            <w:tcBorders/>
            <w:vAlign w:val="center"/>
          </w:tcPr>
          <w:p>
            <w:pPr>
              <w:pStyle w:val="TableContents"/>
              <w:bidi w:val="0"/>
              <w:spacing w:before="0" w:after="0"/>
              <w:jc w:val="left"/>
              <w:rPr/>
            </w:pPr>
            <w:r>
              <w:rPr/>
              <w:t> </w:t>
            </w:r>
          </w:p>
          <w:p>
            <w:pPr>
              <w:pStyle w:val="TableContents"/>
              <w:bidi w:val="0"/>
              <w:spacing w:before="0" w:after="0"/>
              <w:jc w:val="both"/>
              <w:rPr/>
            </w:pPr>
            <w:r>
              <w:rPr/>
              <w:drawing>
                <wp:inline distT="0" distB="0" distL="0" distR="0">
                  <wp:extent cx="133350" cy="1365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33350" cy="1365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231161"/>
                <w:sz w:val="18"/>
              </w:rPr>
              <w:t xml:space="preserve">Director since </w:t>
            </w:r>
            <w:r>
              <w:rPr>
                <w:rFonts w:ascii="ARIAL" w:hAnsi="ARIAL"/>
                <w:color w:val="3F3F3F"/>
                <w:sz w:val="18"/>
              </w:rPr>
              <w:t>2020</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231161"/>
                <w:sz w:val="18"/>
              </w:rPr>
              <w:t xml:space="preserve">Age: </w:t>
            </w:r>
            <w:r>
              <w:rPr>
                <w:rFonts w:ascii="ARIAL" w:hAnsi="ARIAL"/>
                <w:color w:val="3F3F3F"/>
                <w:sz w:val="18"/>
              </w:rPr>
              <w:t>60</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Board Committees:</w:t>
            </w:r>
          </w:p>
          <w:p>
            <w:pPr>
              <w:pStyle w:val="TableContents"/>
              <w:bidi w:val="0"/>
              <w:spacing w:before="0" w:after="0"/>
              <w:jc w:val="both"/>
              <w:rPr>
                <w:color w:val="3F3F3F"/>
              </w:rPr>
            </w:pPr>
            <w:r>
              <w:rPr>
                <w:color w:val="3F3F3F"/>
              </w:rPr>
              <w:t>• </w:t>
            </w:r>
            <w:r>
              <w:rPr>
                <w:rFonts w:ascii="ARIAL" w:hAnsi="ARIAL"/>
                <w:color w:val="3F3F3F"/>
                <w:sz w:val="18"/>
              </w:rPr>
              <w:t>Audit</w:t>
            </w:r>
          </w:p>
          <w:p>
            <w:pPr>
              <w:pStyle w:val="TableContents"/>
              <w:bidi w:val="0"/>
              <w:spacing w:before="0" w:after="0"/>
              <w:jc w:val="both"/>
              <w:rPr>
                <w:color w:val="3F3F3F"/>
              </w:rPr>
            </w:pPr>
            <w:r>
              <w:rPr>
                <w:color w:val="3F3F3F"/>
              </w:rPr>
              <w:t>• </w:t>
            </w:r>
            <w:r>
              <w:rPr>
                <w:rFonts w:ascii="ARIAL" w:hAnsi="ARIAL"/>
                <w:color w:val="3F3F3F"/>
                <w:sz w:val="18"/>
              </w:rPr>
              <w:t>Compensation</w:t>
            </w:r>
          </w:p>
          <w:p>
            <w:pPr>
              <w:pStyle w:val="TableContents"/>
              <w:bidi w:val="0"/>
              <w:spacing w:before="0" w:after="0"/>
              <w:jc w:val="both"/>
              <w:rPr>
                <w:color w:val="3F3F3F"/>
              </w:rPr>
            </w:pPr>
            <w:r>
              <w:rPr>
                <w:color w:val="3F3F3F"/>
              </w:rPr>
              <w:t>• </w:t>
            </w:r>
            <w:r>
              <w:rPr>
                <w:rFonts w:ascii="ARIAL" w:hAnsi="ARIAL"/>
                <w:color w:val="3F3F3F"/>
                <w:sz w:val="18"/>
              </w:rPr>
              <w:t>Executive</w:t>
            </w:r>
          </w:p>
          <w:p>
            <w:pPr>
              <w:pStyle w:val="TableContents"/>
              <w:bidi w:val="0"/>
              <w:spacing w:before="0" w:after="0"/>
              <w:jc w:val="left"/>
              <w:rPr>
                <w:color w:val="3F3F3F"/>
              </w:rPr>
            </w:pPr>
            <w:r>
              <w:rPr>
                <w:color w:val="3F3F3F"/>
              </w:rPr>
              <w:t>• </w:t>
            </w:r>
            <w:r>
              <w:rPr>
                <w:rFonts w:ascii="ARIAL" w:hAnsi="ARIAL"/>
                <w:color w:val="3F3F3F"/>
                <w:sz w:val="18"/>
              </w:rPr>
              <w:t>Governance and Sustainability (Chair)</w:t>
            </w:r>
          </w:p>
          <w:p>
            <w:pPr>
              <w:pStyle w:val="TableContents"/>
              <w:bidi w:val="0"/>
              <w:spacing w:before="0" w:after="0"/>
              <w:jc w:val="left"/>
              <w:rPr/>
            </w:pPr>
            <w:r>
              <w:rPr/>
              <w:t> </w:t>
            </w:r>
          </w:p>
          <w:p>
            <w:pPr>
              <w:pStyle w:val="TableContents"/>
              <w:bidi w:val="0"/>
              <w:spacing w:before="0" w:after="20"/>
              <w:jc w:val="both"/>
              <w:rPr>
                <w:rFonts w:ascii="ARIAL" w:hAnsi="ARIAL"/>
                <w:b/>
                <w:color w:val="231161"/>
                <w:sz w:val="18"/>
              </w:rPr>
            </w:pPr>
            <w:r>
              <w:rPr>
                <w:rFonts w:ascii="ARIAL" w:hAnsi="ARIAL"/>
                <w:b/>
                <w:color w:val="231161"/>
                <w:sz w:val="18"/>
              </w:rPr>
              <w:t>Independent Director</w:t>
            </w:r>
          </w:p>
        </w:tc>
        <w:tc>
          <w:tcPr>
            <w:tcW w:w="60" w:type="dxa"/>
            <w:tcBorders/>
            <w:vAlign w:val="center"/>
          </w:tcPr>
          <w:p>
            <w:pPr>
              <w:pStyle w:val="TableContents"/>
              <w:bidi w:val="0"/>
              <w:spacing w:before="0" w:after="283"/>
              <w:jc w:val="left"/>
              <w:rPr/>
            </w:pPr>
            <w:r>
              <w:rPr/>
              <w:t> </w:t>
            </w:r>
          </w:p>
        </w:tc>
        <w:tc>
          <w:tcPr>
            <w:tcW w:w="8733"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231161"/>
                <w:sz w:val="24"/>
              </w:rPr>
            </w:pPr>
            <w:r>
              <w:rPr>
                <w:rFonts w:ascii="ARIAL" w:hAnsi="ARIAL"/>
                <w:b/>
                <w:color w:val="231161"/>
                <w:sz w:val="24"/>
              </w:rPr>
              <w:t>JoEllen Lyons Dillon</w:t>
            </w:r>
          </w:p>
          <w:p>
            <w:pPr>
              <w:pStyle w:val="TableContents"/>
              <w:bidi w:val="0"/>
              <w:spacing w:before="0" w:after="0"/>
              <w:jc w:val="left"/>
              <w:rPr/>
            </w:pPr>
            <w:r>
              <w:rPr/>
              <w:t> </w:t>
            </w:r>
          </w:p>
          <w:p>
            <w:pPr>
              <w:pStyle w:val="TableContents"/>
              <w:bidi w:val="0"/>
              <w:spacing w:before="0" w:after="0"/>
              <w:jc w:val="both"/>
              <w:rPr>
                <w:color w:val="3F3F3F"/>
              </w:rPr>
            </w:pPr>
            <w:r>
              <w:rPr>
                <w:color w:val="3F3F3F"/>
              </w:rPr>
              <w:t>•  </w:t>
            </w:r>
            <w:r>
              <w:rPr>
                <w:rFonts w:ascii="ARIAL" w:hAnsi="ARIAL"/>
                <w:color w:val="3F3F3F"/>
                <w:sz w:val="18"/>
              </w:rPr>
              <w:t xml:space="preserve">Executive Vice President, Strategic Developments and Capital Markets (2014-2017); Chief Legal Officer and Corporate Secretary, </w:t>
            </w:r>
            <w:r>
              <w:rPr>
                <w:rFonts w:ascii="ARIAL" w:hAnsi="ARIAL"/>
                <w:b/>
                <w:color w:val="3F3F3F"/>
                <w:sz w:val="18"/>
              </w:rPr>
              <w:t>The ExOne Company</w:t>
            </w:r>
            <w:r>
              <w:rPr>
                <w:rFonts w:ascii="ARIAL" w:hAnsi="ARIAL"/>
                <w:color w:val="3F3F3F"/>
                <w:sz w:val="18"/>
              </w:rPr>
              <w:t xml:space="preserve"> (2013-2017). ExOne merged with Desktop Metal (NYSE: DM) in November 2021. ExOne was a global provider of three-dimensional (3D) printing machines and printed products, materials and other services to industrial customers creating products in metal on a worldwide basis.</w:t>
            </w:r>
          </w:p>
          <w:p>
            <w:pPr>
              <w:pStyle w:val="TableContents"/>
              <w:bidi w:val="0"/>
              <w:spacing w:before="0" w:after="0"/>
              <w:jc w:val="both"/>
              <w:rPr>
                <w:color w:val="3F3F3F"/>
              </w:rPr>
            </w:pPr>
            <w:r>
              <w:rPr>
                <w:color w:val="3F3F3F"/>
              </w:rPr>
              <w:t>•  </w:t>
            </w:r>
            <w:r>
              <w:rPr>
                <w:rFonts w:ascii="ARIAL" w:hAnsi="ARIAL"/>
                <w:color w:val="3F3F3F"/>
                <w:sz w:val="18"/>
              </w:rPr>
              <w:t xml:space="preserve">Partner (2002 - 2011), </w:t>
            </w:r>
            <w:r>
              <w:rPr>
                <w:rFonts w:ascii="ARIAL" w:hAnsi="ARIAL"/>
                <w:b/>
                <w:color w:val="3F3F3F"/>
                <w:sz w:val="18"/>
              </w:rPr>
              <w:t>Reed Smith LLP</w:t>
            </w:r>
            <w:r>
              <w:rPr>
                <w:rFonts w:ascii="ARIAL" w:hAnsi="ARIAL"/>
                <w:color w:val="3F3F3F"/>
                <w:sz w:val="18"/>
              </w:rPr>
              <w:t>, a law firm</w:t>
            </w:r>
          </w:p>
          <w:p>
            <w:pPr>
              <w:pStyle w:val="TableContents"/>
              <w:bidi w:val="0"/>
              <w:spacing w:before="0" w:after="0"/>
              <w:jc w:val="both"/>
              <w:rPr>
                <w:color w:val="3F3F3F"/>
              </w:rPr>
            </w:pPr>
            <w:r>
              <w:rPr>
                <w:color w:val="3F3F3F"/>
              </w:rPr>
              <w:t>•  </w:t>
            </w:r>
            <w:r>
              <w:rPr>
                <w:rFonts w:ascii="ARIAL" w:hAnsi="ARIAL"/>
                <w:color w:val="3F3F3F"/>
                <w:sz w:val="18"/>
              </w:rPr>
              <w:t xml:space="preserve">Partner (1997 - 2002), </w:t>
            </w:r>
            <w:r>
              <w:rPr>
                <w:rFonts w:ascii="ARIAL" w:hAnsi="ARIAL"/>
                <w:b/>
                <w:color w:val="3F3F3F"/>
                <w:sz w:val="18"/>
              </w:rPr>
              <w:t>Buchanan Ingersoll</w:t>
            </w:r>
            <w:r>
              <w:rPr>
                <w:rFonts w:ascii="ARIAL" w:hAnsi="ARIAL"/>
                <w:color w:val="3F3F3F"/>
                <w:sz w:val="18"/>
              </w:rPr>
              <w:t> </w:t>
            </w:r>
            <w:r>
              <w:rPr>
                <w:rFonts w:ascii="ARIAL" w:hAnsi="ARIAL"/>
                <w:b/>
                <w:color w:val="3F3F3F"/>
                <w:sz w:val="18"/>
              </w:rPr>
              <w:t>&amp; Rooney PC</w:t>
            </w:r>
            <w:r>
              <w:rPr>
                <w:rFonts w:ascii="ARIAL" w:hAnsi="ARIAL"/>
                <w:color w:val="3F3F3F"/>
                <w:sz w:val="18"/>
              </w:rPr>
              <w:t>, a law firm (joined the firm in 1988)</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Key Skills and Experience:</w:t>
            </w:r>
          </w:p>
          <w:p>
            <w:pPr>
              <w:pStyle w:val="TableContents"/>
              <w:bidi w:val="0"/>
              <w:spacing w:before="0" w:after="0"/>
              <w:jc w:val="both"/>
              <w:rPr>
                <w:color w:val="3F3F3F"/>
              </w:rPr>
            </w:pPr>
            <w:r>
              <w:rPr>
                <w:color w:val="3F3F3F"/>
              </w:rPr>
              <w:t>•  </w:t>
            </w:r>
            <w:r>
              <w:rPr>
                <w:rFonts w:ascii="ARIAL" w:hAnsi="ARIAL"/>
                <w:b/>
                <w:color w:val="3F3F3F"/>
                <w:sz w:val="18"/>
              </w:rPr>
              <w:t xml:space="preserve">Public Company Management, Corporate Governance, Finance, Accounting and Capital Markets, Global Business, Human Capital Management, Information Security, Legal and Regulatory Oversight, Risk Oversight/Compliance, </w:t>
            </w:r>
            <w:r>
              <w:rPr>
                <w:rFonts w:ascii="ARIAL" w:hAnsi="ARIAL"/>
                <w:color w:val="3F3F3F"/>
                <w:sz w:val="18"/>
              </w:rPr>
              <w:t xml:space="preserve">and </w:t>
            </w:r>
            <w:r>
              <w:rPr>
                <w:rFonts w:ascii="ARIAL" w:hAnsi="ARIAL"/>
                <w:b/>
                <w:color w:val="3F3F3F"/>
                <w:sz w:val="18"/>
              </w:rPr>
              <w:t xml:space="preserve">Strategy and M&amp;A Experience </w:t>
            </w:r>
            <w:r>
              <w:rPr>
                <w:rFonts w:ascii="ARIAL" w:hAnsi="ARIAL"/>
                <w:color w:val="3F3F3F"/>
                <w:sz w:val="18"/>
              </w:rPr>
              <w:t>gained during her almost 25-year legal career in corporate M&amp;A and securities, where she represented both public and private companies in a variety of complex matters, and further developed while at ExOne, where she was responsible for capital markets development, corporate strategic planning, human resources including oversight of diversity, equity and inclusion (“DEI”), global compliance, investor relations, and international business development within Europe and Asia, through which she became a thought leader in the areas of corporate governance, legal and regulatory oversight, capital markets and M&amp;A and is regularly invited to speak at major conferences, including, among others, the 2023 Stanford Directors’ College, on such topics</w:t>
            </w:r>
          </w:p>
          <w:p>
            <w:pPr>
              <w:pStyle w:val="TableContents"/>
              <w:bidi w:val="0"/>
              <w:spacing w:before="0" w:after="0"/>
              <w:jc w:val="both"/>
              <w:rPr>
                <w:color w:val="3F3F3F"/>
              </w:rPr>
            </w:pPr>
            <w:r>
              <w:rPr>
                <w:color w:val="3F3F3F"/>
              </w:rPr>
              <w:t>•  </w:t>
            </w:r>
            <w:r>
              <w:rPr>
                <w:rFonts w:ascii="ARIAL" w:hAnsi="ARIAL"/>
                <w:color w:val="3F3F3F"/>
                <w:sz w:val="18"/>
              </w:rPr>
              <w:t>Completing a certification “Board Governance: Navigating Emerging Technologies and Future Frontiers” at Cornell University</w:t>
            </w:r>
          </w:p>
          <w:p>
            <w:pPr>
              <w:pStyle w:val="TableContents"/>
              <w:bidi w:val="0"/>
              <w:spacing w:before="0" w:after="0"/>
              <w:jc w:val="both"/>
              <w:rPr>
                <w:color w:val="3F3F3F"/>
              </w:rPr>
            </w:pPr>
            <w:r>
              <w:rPr>
                <w:color w:val="3F3F3F"/>
              </w:rPr>
              <w:t>•  </w:t>
            </w:r>
            <w:r>
              <w:rPr>
                <w:rFonts w:ascii="ARIAL" w:hAnsi="ARIAL"/>
                <w:b/>
                <w:color w:val="3F3F3F"/>
                <w:sz w:val="18"/>
              </w:rPr>
              <w:t>CSR Experience</w:t>
            </w:r>
            <w:r>
              <w:rPr>
                <w:rFonts w:ascii="ARIAL" w:hAnsi="ARIAL"/>
                <w:color w:val="3F3F3F"/>
                <w:sz w:val="18"/>
              </w:rPr>
              <w:t xml:space="preserve"> obtained through her legal and regulatory background, in addition to ongoing education programs</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Former Public Company Boards:</w:t>
            </w:r>
          </w:p>
          <w:p>
            <w:pPr>
              <w:pStyle w:val="TableContents"/>
              <w:bidi w:val="0"/>
              <w:spacing w:before="0" w:after="0"/>
              <w:jc w:val="both"/>
              <w:rPr>
                <w:color w:val="3F3F3F"/>
              </w:rPr>
            </w:pPr>
            <w:r>
              <w:rPr>
                <w:color w:val="3F3F3F"/>
              </w:rPr>
              <w:t>•  </w:t>
            </w:r>
            <w:r>
              <w:rPr>
                <w:rFonts w:ascii="ARIAL" w:hAnsi="ARIAL"/>
                <w:b/>
                <w:color w:val="3F3F3F"/>
                <w:sz w:val="18"/>
              </w:rPr>
              <w:t>World Wrestling Entertainment, Inc.</w:t>
            </w:r>
            <w:r>
              <w:rPr>
                <w:rFonts w:ascii="ARIAL" w:hAnsi="ARIAL"/>
                <w:color w:val="3F3F3F"/>
                <w:sz w:val="18"/>
              </w:rPr>
              <w:t xml:space="preserve"> (NYSE: WWE) (2022 - 2023), Director</w:t>
            </w:r>
          </w:p>
          <w:p>
            <w:pPr>
              <w:pStyle w:val="TableContents"/>
              <w:bidi w:val="0"/>
              <w:spacing w:before="0" w:after="20"/>
              <w:jc w:val="both"/>
              <w:rPr>
                <w:color w:val="3F3F3F"/>
              </w:rPr>
            </w:pPr>
            <w:r>
              <w:rPr>
                <w:color w:val="3F3F3F"/>
              </w:rPr>
              <w:t>•  </w:t>
            </w:r>
            <w:r>
              <w:rPr>
                <w:rFonts w:ascii="ARIAL" w:hAnsi="ARIAL"/>
                <w:b/>
                <w:color w:val="3F3F3F"/>
                <w:sz w:val="18"/>
              </w:rPr>
              <w:t>Mylan</w:t>
            </w:r>
            <w:r>
              <w:rPr>
                <w:rFonts w:ascii="ARIAL" w:hAnsi="ARIAL"/>
                <w:color w:val="3F3F3F"/>
                <w:sz w:val="18"/>
              </w:rPr>
              <w:t xml:space="preserve"> (2014 - the closing of the Combination in 2020), Director, most recently Chair of the Compensation and Governance and Nominating Committees and member of the Audit, Compliance and Executive Committees</w:t>
            </w:r>
          </w:p>
        </w:tc>
      </w:tr>
      <w:tr>
        <w:trPr/>
        <w:tc>
          <w:tcPr>
            <w:tcW w:w="10205" w:type="dxa"/>
            <w:gridSpan w:val="3"/>
            <w:tcBorders>
              <w:bottom w:val="dotted" w:sz="8" w:space="0" w:color="732282"/>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204"/>
        <w:gridCol w:w="60"/>
        <w:gridCol w:w="8941"/>
      </w:tblGrid>
      <w:tr>
        <w:trPr/>
        <w:tc>
          <w:tcPr>
            <w:tcW w:w="12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41" w:type="dxa"/>
            <w:tcBorders/>
            <w:vAlign w:val="center"/>
          </w:tcPr>
          <w:p>
            <w:pPr>
              <w:pStyle w:val="TableContents"/>
              <w:bidi w:val="0"/>
              <w:spacing w:before="0" w:after="283"/>
              <w:jc w:val="left"/>
              <w:rPr>
                <w:sz w:val="4"/>
                <w:szCs w:val="4"/>
              </w:rPr>
            </w:pPr>
            <w:r>
              <w:rPr>
                <w:sz w:val="4"/>
                <w:szCs w:val="4"/>
              </w:rPr>
            </w:r>
          </w:p>
        </w:tc>
      </w:tr>
      <w:tr>
        <w:trPr/>
        <w:tc>
          <w:tcPr>
            <w:tcW w:w="1204" w:type="dxa"/>
            <w:tcBorders/>
            <w:vAlign w:val="center"/>
          </w:tcPr>
          <w:p>
            <w:pPr>
              <w:pStyle w:val="TableContents"/>
              <w:bidi w:val="0"/>
              <w:spacing w:before="0" w:after="0"/>
              <w:jc w:val="left"/>
              <w:rPr/>
            </w:pPr>
            <w:r>
              <w:rPr/>
              <w:t> </w:t>
            </w:r>
          </w:p>
          <w:p>
            <w:pPr>
              <w:pStyle w:val="TableContents"/>
              <w:bidi w:val="0"/>
              <w:spacing w:before="0" w:after="0"/>
              <w:jc w:val="both"/>
              <w:rPr/>
            </w:pPr>
            <w:r>
              <w:rPr/>
              <w:drawing>
                <wp:inline distT="0" distB="0" distL="0" distR="0">
                  <wp:extent cx="133350" cy="1365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33350" cy="1365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231161"/>
                <w:sz w:val="18"/>
              </w:rPr>
              <w:t xml:space="preserve">Director since </w:t>
            </w:r>
            <w:r>
              <w:rPr>
                <w:rFonts w:ascii="ARIAL" w:hAnsi="ARIAL"/>
                <w:color w:val="3F3F3F"/>
                <w:sz w:val="18"/>
              </w:rPr>
              <w:t>2022</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231161"/>
                <w:sz w:val="18"/>
              </w:rPr>
              <w:t xml:space="preserve">Age: </w:t>
            </w:r>
            <w:r>
              <w:rPr>
                <w:rFonts w:ascii="ARIAL" w:hAnsi="ARIAL"/>
                <w:color w:val="3F3F3F"/>
                <w:sz w:val="18"/>
              </w:rPr>
              <w:t>62</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Board Committees:</w:t>
            </w:r>
          </w:p>
          <w:p>
            <w:pPr>
              <w:pStyle w:val="TableContents"/>
              <w:bidi w:val="0"/>
              <w:spacing w:before="0" w:after="0"/>
              <w:jc w:val="both"/>
              <w:rPr>
                <w:color w:val="3F3F3F"/>
              </w:rPr>
            </w:pPr>
            <w:r>
              <w:rPr>
                <w:color w:val="3F3F3F"/>
              </w:rPr>
              <w:t>• </w:t>
            </w:r>
            <w:r>
              <w:rPr>
                <w:rFonts w:ascii="ARIAL" w:hAnsi="ARIAL"/>
                <w:color w:val="3F3F3F"/>
                <w:sz w:val="18"/>
              </w:rPr>
              <w:t>Audit*</w:t>
            </w:r>
          </w:p>
          <w:p>
            <w:pPr>
              <w:pStyle w:val="TableContents"/>
              <w:bidi w:val="0"/>
              <w:spacing w:before="0" w:after="0"/>
              <w:jc w:val="both"/>
              <w:rPr>
                <w:color w:val="3F3F3F"/>
              </w:rPr>
            </w:pPr>
            <w:r>
              <w:rPr>
                <w:color w:val="3F3F3F"/>
              </w:rPr>
              <w:t>• </w:t>
            </w:r>
            <w:r>
              <w:rPr>
                <w:rFonts w:ascii="ARIAL" w:hAnsi="ARIAL"/>
                <w:color w:val="3F3F3F"/>
                <w:sz w:val="18"/>
              </w:rPr>
              <w:t>Finance</w:t>
            </w:r>
          </w:p>
          <w:p>
            <w:pPr>
              <w:pStyle w:val="TableContents"/>
              <w:bidi w:val="0"/>
              <w:spacing w:before="0" w:after="0"/>
              <w:jc w:val="left"/>
              <w:rPr/>
            </w:pPr>
            <w:r>
              <w:rPr/>
              <w:t> </w:t>
            </w:r>
          </w:p>
          <w:p>
            <w:pPr>
              <w:pStyle w:val="TableContents"/>
              <w:bidi w:val="0"/>
              <w:spacing w:before="0" w:after="20"/>
              <w:jc w:val="left"/>
              <w:rPr>
                <w:rFonts w:ascii="ARIAL" w:hAnsi="ARIAL"/>
                <w:b/>
                <w:color w:val="231161"/>
                <w:sz w:val="18"/>
              </w:rPr>
            </w:pPr>
            <w:r>
              <w:rPr>
                <w:rFonts w:ascii="ARIAL" w:hAnsi="ARIAL"/>
                <w:b/>
                <w:color w:val="231161"/>
                <w:sz w:val="18"/>
              </w:rPr>
              <w:t>Independent Director</w:t>
            </w:r>
          </w:p>
        </w:tc>
        <w:tc>
          <w:tcPr>
            <w:tcW w:w="60"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231161"/>
                <w:sz w:val="24"/>
              </w:rPr>
            </w:pPr>
            <w:r>
              <w:rPr>
                <w:rFonts w:ascii="ARIAL" w:hAnsi="ARIAL"/>
                <w:b/>
                <w:color w:val="231161"/>
                <w:sz w:val="24"/>
              </w:rPr>
              <w:t>Elisha Finney</w:t>
            </w:r>
          </w:p>
          <w:p>
            <w:pPr>
              <w:pStyle w:val="TableContents"/>
              <w:bidi w:val="0"/>
              <w:spacing w:before="0" w:after="0"/>
              <w:jc w:val="left"/>
              <w:rPr/>
            </w:pPr>
            <w:r>
              <w:rPr/>
              <w:t> </w:t>
            </w:r>
          </w:p>
          <w:p>
            <w:pPr>
              <w:pStyle w:val="TableContents"/>
              <w:bidi w:val="0"/>
              <w:spacing w:before="0" w:after="0"/>
              <w:jc w:val="both"/>
              <w:rPr>
                <w:color w:val="3F3F3F"/>
              </w:rPr>
            </w:pPr>
            <w:r>
              <w:rPr>
                <w:color w:val="3F3F3F"/>
              </w:rPr>
              <w:t>•  </w:t>
            </w:r>
            <w:r>
              <w:rPr>
                <w:rFonts w:ascii="ARIAL" w:hAnsi="ARIAL"/>
                <w:color w:val="3F3F3F"/>
                <w:sz w:val="18"/>
              </w:rPr>
              <w:t xml:space="preserve">Executive Vice President (2012 - 2017), Chief Financial Officer (April 1999 - May 2017), Senior Vice President (2005 - 2012), Vice President of Finance (1999 - 2005), joined the company in 1988, </w:t>
            </w:r>
            <w:r>
              <w:rPr>
                <w:rFonts w:ascii="ARIAL" w:hAnsi="ARIAL"/>
                <w:b/>
                <w:color w:val="3F3F3F"/>
                <w:sz w:val="18"/>
              </w:rPr>
              <w:t>Varian Medical Systems, Inc.</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Key Skills and Experience:</w:t>
            </w:r>
          </w:p>
          <w:p>
            <w:pPr>
              <w:pStyle w:val="TableContents"/>
              <w:bidi w:val="0"/>
              <w:spacing w:before="0" w:after="0"/>
              <w:jc w:val="both"/>
              <w:rPr>
                <w:color w:val="3F3F3F"/>
              </w:rPr>
            </w:pPr>
            <w:r>
              <w:rPr>
                <w:color w:val="3F3F3F"/>
              </w:rPr>
              <w:t>•  </w:t>
            </w:r>
            <w:r>
              <w:rPr>
                <w:rFonts w:ascii="ARIAL" w:hAnsi="ARIAL"/>
                <w:b/>
                <w:color w:val="3F3F3F"/>
                <w:sz w:val="18"/>
              </w:rPr>
              <w:t xml:space="preserve">Public Company Management, Corporate Governance, Healthcare Industry, Human Capital Management, Finance, Accounting and Capital Markets, Information Security, </w:t>
            </w:r>
            <w:r>
              <w:rPr>
                <w:rFonts w:ascii="ARIAL" w:hAnsi="ARIAL"/>
                <w:color w:val="3F3F3F"/>
                <w:sz w:val="18"/>
              </w:rPr>
              <w:t xml:space="preserve">and </w:t>
            </w:r>
            <w:r>
              <w:rPr>
                <w:rFonts w:ascii="ARIAL" w:hAnsi="ARIAL"/>
                <w:b/>
                <w:color w:val="3F3F3F"/>
                <w:sz w:val="18"/>
              </w:rPr>
              <w:t xml:space="preserve">Risk Oversight/Compliance Experience </w:t>
            </w:r>
            <w:r>
              <w:rPr>
                <w:rFonts w:ascii="ARIAL" w:hAnsi="ARIAL"/>
                <w:color w:val="3F3F3F"/>
                <w:sz w:val="18"/>
              </w:rPr>
              <w:t>gained during her time at Varian Medical Systems, where she oversaw corporate accounting, corporate communications and investor relations, internal audit, risk management, tax and treasury, and corporate information systems and helped the company grow to be a world-leading manufacturer of medical devices and software for treating cancer and other medical conditions</w:t>
            </w:r>
          </w:p>
          <w:p>
            <w:pPr>
              <w:pStyle w:val="TableContents"/>
              <w:bidi w:val="0"/>
              <w:spacing w:before="0" w:after="0"/>
              <w:jc w:val="both"/>
              <w:rPr>
                <w:color w:val="3F3F3F"/>
              </w:rPr>
            </w:pPr>
            <w:r>
              <w:rPr>
                <w:color w:val="3F3F3F"/>
              </w:rPr>
              <w:t>•  </w:t>
            </w:r>
            <w:r>
              <w:rPr>
                <w:rFonts w:ascii="ARIAL" w:hAnsi="ARIAL"/>
                <w:color w:val="3F3F3F"/>
                <w:sz w:val="18"/>
              </w:rPr>
              <w:t xml:space="preserve">Ms. Finney also brings </w:t>
            </w:r>
            <w:r>
              <w:rPr>
                <w:rFonts w:ascii="ARIAL" w:hAnsi="ARIAL"/>
                <w:b/>
                <w:color w:val="3F3F3F"/>
                <w:sz w:val="18"/>
              </w:rPr>
              <w:t xml:space="preserve">Global Business </w:t>
            </w:r>
            <w:r>
              <w:rPr>
                <w:rFonts w:ascii="ARIAL" w:hAnsi="ARIAL"/>
                <w:color w:val="3F3F3F"/>
                <w:sz w:val="18"/>
              </w:rPr>
              <w:t xml:space="preserve">and </w:t>
            </w:r>
            <w:r>
              <w:rPr>
                <w:rFonts w:ascii="ARIAL" w:hAnsi="ARIAL"/>
                <w:b/>
                <w:color w:val="3F3F3F"/>
                <w:sz w:val="18"/>
              </w:rPr>
              <w:t xml:space="preserve">Strategy and M&amp;A Experience </w:t>
            </w:r>
            <w:r>
              <w:rPr>
                <w:rFonts w:ascii="ARIAL" w:hAnsi="ARIAL"/>
                <w:color w:val="3F3F3F"/>
                <w:sz w:val="18"/>
              </w:rPr>
              <w:t>to the Board</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Other Current Public Company Boards:</w:t>
            </w:r>
          </w:p>
          <w:p>
            <w:pPr>
              <w:pStyle w:val="TableContents"/>
              <w:bidi w:val="0"/>
              <w:spacing w:before="0" w:after="0"/>
              <w:jc w:val="both"/>
              <w:rPr>
                <w:color w:val="3F3F3F"/>
              </w:rPr>
            </w:pPr>
            <w:r>
              <w:rPr>
                <w:color w:val="3F3F3F"/>
              </w:rPr>
              <w:t>•  </w:t>
            </w:r>
            <w:r>
              <w:rPr>
                <w:rFonts w:ascii="ARIAL" w:hAnsi="ARIAL"/>
                <w:b/>
                <w:color w:val="3F3F3F"/>
                <w:sz w:val="18"/>
              </w:rPr>
              <w:t>Mettler-Toledo International Inc.</w:t>
            </w:r>
            <w:r>
              <w:rPr>
                <w:rFonts w:ascii="ARIAL" w:hAnsi="ARIAL"/>
                <w:color w:val="3F3F3F"/>
                <w:sz w:val="18"/>
              </w:rPr>
              <w:t xml:space="preserve"> (NYSE: MTD) (since 2017), Director and Chair of the Audit Committee</w:t>
            </w:r>
          </w:p>
          <w:p>
            <w:pPr>
              <w:pStyle w:val="TableContents"/>
              <w:bidi w:val="0"/>
              <w:spacing w:before="0" w:after="0"/>
              <w:jc w:val="both"/>
              <w:rPr>
                <w:color w:val="3F3F3F"/>
              </w:rPr>
            </w:pPr>
            <w:r>
              <w:rPr>
                <w:color w:val="3F3F3F"/>
              </w:rPr>
              <w:t>•  </w:t>
            </w:r>
            <w:r>
              <w:rPr>
                <w:rFonts w:ascii="ARIAL" w:hAnsi="ARIAL"/>
                <w:b/>
                <w:color w:val="3F3F3F"/>
                <w:sz w:val="18"/>
              </w:rPr>
              <w:t xml:space="preserve">NanoString Technologies, Inc. </w:t>
            </w:r>
            <w:r>
              <w:rPr>
                <w:rFonts w:ascii="ARIAL" w:hAnsi="ARIAL"/>
                <w:color w:val="3F3F3F"/>
                <w:sz w:val="18"/>
              </w:rPr>
              <w:t>(NASDAQ: NSTG) (since 2017), Director and Chair of the Audit Committee</w:t>
            </w:r>
          </w:p>
          <w:p>
            <w:pPr>
              <w:pStyle w:val="TableContents"/>
              <w:bidi w:val="0"/>
              <w:spacing w:before="0" w:after="0"/>
              <w:jc w:val="both"/>
              <w:rPr>
                <w:color w:val="3F3F3F"/>
              </w:rPr>
            </w:pPr>
            <w:r>
              <w:rPr>
                <w:color w:val="3F3F3F"/>
              </w:rPr>
              <w:t>•  </w:t>
            </w:r>
            <w:r>
              <w:rPr>
                <w:rFonts w:ascii="ARIAL" w:hAnsi="ARIAL"/>
                <w:b/>
                <w:color w:val="3F3F3F"/>
                <w:sz w:val="18"/>
              </w:rPr>
              <w:t xml:space="preserve">ICU Medical, Inc. </w:t>
            </w:r>
            <w:r>
              <w:rPr>
                <w:rFonts w:ascii="ARIAL" w:hAnsi="ARIAL"/>
                <w:color w:val="3F3F3F"/>
                <w:sz w:val="18"/>
              </w:rPr>
              <w:t>(NASDAQ: ICUI) (since 2016), Director, Chair of the Nominating and Governance Committee, and member of the Audit and Compliance Committees</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Former Public Company Boards:</w:t>
            </w:r>
          </w:p>
          <w:p>
            <w:pPr>
              <w:pStyle w:val="TableContents"/>
              <w:bidi w:val="0"/>
              <w:spacing w:before="0" w:after="0"/>
              <w:jc w:val="both"/>
              <w:rPr>
                <w:color w:val="3F3F3F"/>
              </w:rPr>
            </w:pPr>
            <w:r>
              <w:rPr>
                <w:color w:val="3F3F3F"/>
              </w:rPr>
              <w:t>•  </w:t>
            </w:r>
            <w:r>
              <w:rPr>
                <w:rFonts w:ascii="ARIAL" w:hAnsi="ARIAL"/>
                <w:b/>
                <w:color w:val="3F3F3F"/>
                <w:sz w:val="18"/>
              </w:rPr>
              <w:t>iRobot Corporation</w:t>
            </w:r>
            <w:r>
              <w:rPr>
                <w:rFonts w:ascii="ARIAL" w:hAnsi="ARIAL"/>
                <w:color w:val="3F3F3F"/>
                <w:sz w:val="18"/>
              </w:rPr>
              <w:t xml:space="preserve"> (NASDAQ: IRBT) (2017 - 2021), Director and member of the Audit and Compensation and Talent Committees</w:t>
            </w:r>
          </w:p>
          <w:p>
            <w:pPr>
              <w:pStyle w:val="TableContents"/>
              <w:bidi w:val="0"/>
              <w:spacing w:before="0" w:after="0"/>
              <w:jc w:val="both"/>
              <w:rPr>
                <w:color w:val="3F3F3F"/>
              </w:rPr>
            </w:pPr>
            <w:r>
              <w:rPr>
                <w:color w:val="3F3F3F"/>
              </w:rPr>
              <w:t>•  </w:t>
            </w:r>
            <w:r>
              <w:rPr>
                <w:rFonts w:ascii="ARIAL" w:hAnsi="ARIAL"/>
                <w:b/>
                <w:color w:val="3F3F3F"/>
                <w:sz w:val="18"/>
              </w:rPr>
              <w:t xml:space="preserve">Cutera, Inc. </w:t>
            </w:r>
            <w:r>
              <w:rPr>
                <w:rFonts w:ascii="ARIAL" w:hAnsi="ARIAL"/>
                <w:color w:val="3F3F3F"/>
                <w:sz w:val="18"/>
              </w:rPr>
              <w:t>(NASDAQ: CUTR) (2017 - 2019), Director, Chair of the Audit Committee, and member of the Enterprise Risk Committee</w:t>
            </w:r>
          </w:p>
          <w:p>
            <w:pPr>
              <w:pStyle w:val="TableContents"/>
              <w:bidi w:val="0"/>
              <w:spacing w:before="0" w:after="0"/>
              <w:jc w:val="both"/>
              <w:rPr>
                <w:color w:val="3F3F3F"/>
              </w:rPr>
            </w:pPr>
            <w:r>
              <w:rPr>
                <w:color w:val="3F3F3F"/>
              </w:rPr>
              <w:t>•  </w:t>
            </w:r>
            <w:r>
              <w:rPr>
                <w:rFonts w:ascii="ARIAL" w:hAnsi="ARIAL"/>
                <w:b/>
                <w:color w:val="3F3F3F"/>
                <w:sz w:val="18"/>
              </w:rPr>
              <w:t>Altera Corporation</w:t>
            </w:r>
            <w:r>
              <w:rPr>
                <w:rFonts w:ascii="ARIAL" w:hAnsi="ARIAL"/>
                <w:color w:val="3F3F3F"/>
                <w:sz w:val="18"/>
              </w:rPr>
              <w:t xml:space="preserve"> (2011 - 2015 when acquired by Intel Corporation), Director and Chair of the Audit Committee</w:t>
            </w:r>
          </w:p>
          <w:p>
            <w:pPr>
              <w:pStyle w:val="TableContents"/>
              <w:bidi w:val="0"/>
              <w:spacing w:before="0" w:after="0"/>
              <w:jc w:val="both"/>
              <w:rPr>
                <w:color w:val="3F3F3F"/>
              </w:rPr>
            </w:pPr>
            <w:r>
              <w:rPr>
                <w:color w:val="3F3F3F"/>
              </w:rPr>
              <w:t>•  </w:t>
            </w:r>
            <w:r>
              <w:rPr>
                <w:rFonts w:ascii="ARIAL" w:hAnsi="ARIAL"/>
                <w:b/>
                <w:color w:val="3F3F3F"/>
                <w:sz w:val="18"/>
              </w:rPr>
              <w:t>Thoratec Corporation</w:t>
            </w:r>
            <w:r>
              <w:rPr>
                <w:rFonts w:ascii="ARIAL" w:hAnsi="ARIAL"/>
                <w:color w:val="3F3F3F"/>
                <w:sz w:val="18"/>
              </w:rPr>
              <w:t xml:space="preserve"> (2007 - 2013), Director and Chair of the Audit Committee</w:t>
            </w:r>
          </w:p>
          <w:p>
            <w:pPr>
              <w:pStyle w:val="TableContents"/>
              <w:bidi w:val="0"/>
              <w:spacing w:before="0" w:after="0"/>
              <w:jc w:val="both"/>
              <w:rPr>
                <w:color w:val="3F3F3F"/>
                <w:u w:val="single"/>
              </w:rPr>
            </w:pPr>
            <w:r>
              <w:rPr>
                <w:color w:val="3F3F3F"/>
                <w:u w:val="single"/>
              </w:rPr>
              <w:t>        </w:t>
            </w:r>
          </w:p>
          <w:p>
            <w:pPr>
              <w:pStyle w:val="TableContents"/>
              <w:bidi w:val="0"/>
              <w:spacing w:before="0" w:after="20"/>
              <w:jc w:val="both"/>
              <w:rPr>
                <w:rFonts w:ascii="ARIAL" w:hAnsi="ARIAL"/>
                <w:color w:val="3F3F3F"/>
                <w:sz w:val="16"/>
              </w:rPr>
            </w:pPr>
            <w:r>
              <w:rPr>
                <w:rFonts w:ascii="ARIAL" w:hAnsi="ARIAL"/>
                <w:color w:val="3F3F3F"/>
                <w:sz w:val="16"/>
              </w:rPr>
              <w:t>*   The Board has, in accordance with its Corporate Governance Principles, approved Ms. Finney’s concurrent service on the Audit Committee and the audit committees of more than two other public companies and determined that such service does not impair her ability to effectively serve on the Audit Committee.</w:t>
            </w:r>
          </w:p>
        </w:tc>
      </w:tr>
      <w:tr>
        <w:trPr/>
        <w:tc>
          <w:tcPr>
            <w:tcW w:w="10205" w:type="dxa"/>
            <w:gridSpan w:val="3"/>
            <w:tcBorders>
              <w:bottom w:val="dotted" w:sz="8" w:space="0" w:color="732282"/>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403"/>
        <w:gridCol w:w="120"/>
        <w:gridCol w:w="8682"/>
      </w:tblGrid>
      <w:tr>
        <w:trPr/>
        <w:tc>
          <w:tcPr>
            <w:tcW w:w="14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82" w:type="dxa"/>
            <w:tcBorders/>
            <w:vAlign w:val="center"/>
          </w:tcPr>
          <w:p>
            <w:pPr>
              <w:pStyle w:val="TableContents"/>
              <w:bidi w:val="0"/>
              <w:spacing w:before="0" w:after="283"/>
              <w:jc w:val="left"/>
              <w:rPr>
                <w:sz w:val="4"/>
                <w:szCs w:val="4"/>
              </w:rPr>
            </w:pPr>
            <w:r>
              <w:rPr>
                <w:sz w:val="4"/>
                <w:szCs w:val="4"/>
              </w:rPr>
            </w:r>
          </w:p>
        </w:tc>
      </w:tr>
      <w:tr>
        <w:trPr/>
        <w:tc>
          <w:tcPr>
            <w:tcW w:w="1403"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133350" cy="1365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33350" cy="1365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231161"/>
                <w:sz w:val="18"/>
              </w:rPr>
              <w:t>Director since</w:t>
            </w:r>
            <w:r>
              <w:rPr>
                <w:rFonts w:ascii="ARIAL" w:hAnsi="ARIAL"/>
                <w:color w:val="3F3F3F"/>
                <w:sz w:val="18"/>
              </w:rPr>
              <w:t xml:space="preserve"> 2023</w:t>
            </w:r>
          </w:p>
          <w:p>
            <w:pPr>
              <w:pStyle w:val="TableContents"/>
              <w:bidi w:val="0"/>
              <w:spacing w:before="0" w:after="0"/>
              <w:jc w:val="left"/>
              <w:rPr>
                <w:rFonts w:ascii="ARIAL" w:hAnsi="ARIAL"/>
                <w:sz w:val="18"/>
              </w:rPr>
            </w:pPr>
            <w:r>
              <w:rPr>
                <w:rFonts w:ascii="ARIAL" w:hAnsi="ARIAL"/>
                <w:b/>
                <w:color w:val="231161"/>
                <w:sz w:val="18"/>
              </w:rPr>
              <w:t xml:space="preserve">Age: </w:t>
            </w:r>
            <w:r>
              <w:rPr>
                <w:rFonts w:ascii="ARIAL" w:hAnsi="ARIAL"/>
                <w:color w:val="3F3F3F"/>
                <w:sz w:val="18"/>
              </w:rPr>
              <w:t>51</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Board Committees:</w:t>
            </w:r>
          </w:p>
          <w:p>
            <w:pPr>
              <w:pStyle w:val="TableContents"/>
              <w:bidi w:val="0"/>
              <w:spacing w:before="0" w:after="0"/>
              <w:jc w:val="left"/>
              <w:rPr>
                <w:color w:val="3F3F3F"/>
              </w:rPr>
            </w:pPr>
            <w:r>
              <w:rPr>
                <w:color w:val="3F3F3F"/>
              </w:rPr>
              <w:t>•  </w:t>
            </w:r>
            <w:r>
              <w:rPr>
                <w:rFonts w:ascii="ARIAL" w:hAnsi="ARIAL"/>
                <w:color w:val="3F3F3F"/>
                <w:sz w:val="18"/>
              </w:rPr>
              <w:t>Compliance and Risk Oversight</w:t>
            </w:r>
          </w:p>
          <w:p>
            <w:pPr>
              <w:pStyle w:val="TableContents"/>
              <w:bidi w:val="0"/>
              <w:spacing w:before="0" w:after="0"/>
              <w:jc w:val="left"/>
              <w:rPr>
                <w:color w:val="3F3F3F"/>
              </w:rPr>
            </w:pPr>
            <w:r>
              <w:rPr>
                <w:color w:val="3F3F3F"/>
              </w:rPr>
              <w:t>•  </w:t>
            </w:r>
            <w:r>
              <w:rPr>
                <w:rFonts w:ascii="ARIAL" w:hAnsi="ARIAL"/>
                <w:color w:val="3F3F3F"/>
                <w:sz w:val="18"/>
              </w:rPr>
              <w:t>Executive</w:t>
            </w:r>
          </w:p>
          <w:p>
            <w:pPr>
              <w:pStyle w:val="TableContents"/>
              <w:bidi w:val="0"/>
              <w:spacing w:before="0" w:after="0"/>
              <w:jc w:val="left"/>
              <w:rPr>
                <w:color w:val="3F3F3F"/>
              </w:rPr>
            </w:pPr>
            <w:r>
              <w:rPr>
                <w:color w:val="3F3F3F"/>
              </w:rPr>
              <w:t>•  </w:t>
            </w:r>
            <w:r>
              <w:rPr>
                <w:rFonts w:ascii="ARIAL" w:hAnsi="ARIAL"/>
                <w:color w:val="3F3F3F"/>
                <w:sz w:val="18"/>
              </w:rPr>
              <w:t>Governance and Sustainability</w:t>
            </w:r>
          </w:p>
          <w:p>
            <w:pPr>
              <w:pStyle w:val="TableContents"/>
              <w:bidi w:val="0"/>
              <w:spacing w:before="0" w:after="0"/>
              <w:jc w:val="left"/>
              <w:rPr/>
            </w:pPr>
            <w:r>
              <w:rPr/>
              <w:t> </w:t>
            </w:r>
          </w:p>
          <w:p>
            <w:pPr>
              <w:pStyle w:val="TableContents"/>
              <w:bidi w:val="0"/>
              <w:spacing w:before="0" w:after="20"/>
              <w:jc w:val="left"/>
              <w:rPr>
                <w:rFonts w:ascii="ARIAL" w:hAnsi="ARIAL"/>
                <w:b/>
                <w:color w:val="231161"/>
                <w:sz w:val="18"/>
              </w:rPr>
            </w:pPr>
            <w:r>
              <w:rPr>
                <w:rFonts w:ascii="ARIAL" w:hAnsi="ARIAL"/>
                <w:b/>
                <w:color w:val="231161"/>
                <w:sz w:val="18"/>
              </w:rPr>
              <w:t>Independent Director</w:t>
            </w:r>
          </w:p>
        </w:tc>
        <w:tc>
          <w:tcPr>
            <w:tcW w:w="120" w:type="dxa"/>
            <w:tcBorders/>
            <w:vAlign w:val="center"/>
          </w:tcPr>
          <w:p>
            <w:pPr>
              <w:pStyle w:val="TableContents"/>
              <w:bidi w:val="0"/>
              <w:spacing w:before="0" w:after="283"/>
              <w:jc w:val="left"/>
              <w:rPr/>
            </w:pPr>
            <w:r>
              <w:rPr/>
              <w:t>  </w:t>
            </w:r>
          </w:p>
        </w:tc>
        <w:tc>
          <w:tcPr>
            <w:tcW w:w="8682" w:type="dxa"/>
            <w:tcBorders/>
            <w:vAlign w:val="center"/>
          </w:tcPr>
          <w:p>
            <w:pPr>
              <w:pStyle w:val="TableContents"/>
              <w:bidi w:val="0"/>
              <w:spacing w:before="0" w:after="0"/>
              <w:jc w:val="left"/>
              <w:rPr>
                <w:rFonts w:ascii="ARIAL" w:hAnsi="ARIAL"/>
                <w:b/>
                <w:color w:val="231161"/>
                <w:sz w:val="24"/>
              </w:rPr>
            </w:pPr>
            <w:r>
              <w:rPr>
                <w:rFonts w:ascii="ARIAL" w:hAnsi="ARIAL"/>
                <w:b/>
                <w:color w:val="231161"/>
                <w:sz w:val="24"/>
              </w:rPr>
              <w:t>Leo Groothuis</w:t>
            </w:r>
          </w:p>
          <w:p>
            <w:pPr>
              <w:pStyle w:val="TableContents"/>
              <w:bidi w:val="0"/>
              <w:spacing w:before="0" w:after="0"/>
              <w:jc w:val="left"/>
              <w:rPr/>
            </w:pPr>
            <w:r>
              <w:rPr/>
              <w:t> </w:t>
            </w:r>
          </w:p>
          <w:p>
            <w:pPr>
              <w:pStyle w:val="TableContents"/>
              <w:bidi w:val="0"/>
              <w:spacing w:before="0" w:after="0"/>
              <w:jc w:val="both"/>
              <w:rPr>
                <w:color w:val="3F3F3F"/>
              </w:rPr>
            </w:pPr>
            <w:r>
              <w:rPr>
                <w:color w:val="3F3F3F"/>
              </w:rPr>
              <w:t>•  </w:t>
            </w:r>
            <w:r>
              <w:rPr>
                <w:rFonts w:ascii="ARIAL" w:hAnsi="ARIAL"/>
                <w:color w:val="3F3F3F"/>
                <w:sz w:val="18"/>
              </w:rPr>
              <w:t xml:space="preserve">General Counsel (2022 - present), </w:t>
            </w:r>
            <w:r>
              <w:rPr>
                <w:rFonts w:ascii="ARIAL" w:hAnsi="ARIAL"/>
                <w:b/>
                <w:color w:val="3F3F3F"/>
                <w:sz w:val="18"/>
              </w:rPr>
              <w:t>HAL Investments</w:t>
            </w:r>
            <w:r>
              <w:rPr>
                <w:rFonts w:ascii="ARIAL" w:hAnsi="ARIAL"/>
                <w:color w:val="3F3F3F"/>
                <w:sz w:val="18"/>
              </w:rPr>
              <w:t>, the Dutch investment subsidiary of HAL Holding N.V., a public international investment company listed on the Amsterdam stock exchange, which is focused on increasing shareholder value</w:t>
            </w:r>
          </w:p>
          <w:p>
            <w:pPr>
              <w:pStyle w:val="TableContents"/>
              <w:bidi w:val="0"/>
              <w:spacing w:before="0" w:after="0"/>
              <w:jc w:val="both"/>
              <w:rPr>
                <w:color w:val="3F3F3F"/>
              </w:rPr>
            </w:pPr>
            <w:r>
              <w:rPr>
                <w:color w:val="3F3F3F"/>
              </w:rPr>
              <w:t>•  </w:t>
            </w:r>
            <w:r>
              <w:rPr>
                <w:rFonts w:ascii="ARIAL" w:hAnsi="ARIAL"/>
                <w:color w:val="3F3F3F"/>
                <w:sz w:val="18"/>
              </w:rPr>
              <w:t xml:space="preserve">Partner (2006 - 2022), </w:t>
            </w:r>
            <w:r>
              <w:rPr>
                <w:rFonts w:ascii="ARIAL" w:hAnsi="ARIAL"/>
                <w:b/>
                <w:color w:val="3F3F3F"/>
                <w:sz w:val="18"/>
              </w:rPr>
              <w:t>NautaDutilh</w:t>
            </w:r>
            <w:r>
              <w:rPr>
                <w:rFonts w:ascii="ARIAL" w:hAnsi="ARIAL"/>
                <w:color w:val="3F3F3F"/>
                <w:sz w:val="18"/>
              </w:rPr>
              <w:t>, a law firm (joined the firm in October 1996)</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Key Skills and Experience:</w:t>
            </w:r>
          </w:p>
          <w:p>
            <w:pPr>
              <w:pStyle w:val="TableContents"/>
              <w:bidi w:val="0"/>
              <w:spacing w:before="0" w:after="0"/>
              <w:jc w:val="both"/>
              <w:rPr>
                <w:color w:val="3F3F3F"/>
              </w:rPr>
            </w:pPr>
            <w:r>
              <w:rPr>
                <w:color w:val="3F3F3F"/>
              </w:rPr>
              <w:t>•  </w:t>
            </w:r>
            <w:r>
              <w:rPr>
                <w:rFonts w:ascii="ARIAL" w:hAnsi="ARIAL"/>
                <w:b/>
                <w:color w:val="3F3F3F"/>
                <w:sz w:val="18"/>
              </w:rPr>
              <w:t xml:space="preserve">Corporate Governance, Global Business, Legal and Regulatory Oversight, Risk Oversight/Compliance, </w:t>
            </w:r>
            <w:r>
              <w:rPr>
                <w:rFonts w:ascii="ARIAL" w:hAnsi="ARIAL"/>
                <w:color w:val="3F3F3F"/>
                <w:sz w:val="18"/>
              </w:rPr>
              <w:t xml:space="preserve">and </w:t>
            </w:r>
            <w:r>
              <w:rPr>
                <w:rFonts w:ascii="ARIAL" w:hAnsi="ARIAL"/>
                <w:b/>
                <w:color w:val="3F3F3F"/>
                <w:sz w:val="18"/>
              </w:rPr>
              <w:t xml:space="preserve">Strategy and M&amp;A Experience </w:t>
            </w:r>
            <w:r>
              <w:rPr>
                <w:rFonts w:ascii="ARIAL" w:hAnsi="ARIAL"/>
                <w:color w:val="3F3F3F"/>
                <w:sz w:val="18"/>
              </w:rPr>
              <w:t>acquired during his legal career at NautaDutilh, where he had been a trusted C-suite and board advisor to some of the largest companies in both Europe and the U.S., which resulted in him being recognized as a top lawyer and thought leader in corporate governance, capital markets and M&amp;A for the guidance he had provided to numerous multi-national private and public companies on significant complex strategic transactions</w:t>
            </w:r>
          </w:p>
          <w:p>
            <w:pPr>
              <w:pStyle w:val="TableContents"/>
              <w:bidi w:val="0"/>
              <w:spacing w:before="0" w:after="0"/>
              <w:jc w:val="both"/>
              <w:rPr>
                <w:color w:val="3F3F3F"/>
              </w:rPr>
            </w:pPr>
            <w:r>
              <w:rPr>
                <w:color w:val="3F3F3F"/>
              </w:rPr>
              <w:t>•  </w:t>
            </w:r>
            <w:r>
              <w:rPr>
                <w:rFonts w:ascii="ARIAL" w:hAnsi="ARIAL"/>
                <w:b/>
                <w:color w:val="3F3F3F"/>
                <w:sz w:val="18"/>
              </w:rPr>
              <w:t xml:space="preserve">CSR Experience </w:t>
            </w:r>
            <w:r>
              <w:rPr>
                <w:rFonts w:ascii="ARIAL" w:hAnsi="ARIAL"/>
                <w:color w:val="3F3F3F"/>
                <w:sz w:val="18"/>
              </w:rPr>
              <w:t>obtained through his active involvement in the development and execution of HAL Investments’ environmental, social and governance strategy</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Other Organizations:</w:t>
            </w:r>
          </w:p>
          <w:p>
            <w:pPr>
              <w:pStyle w:val="TableContents"/>
              <w:bidi w:val="0"/>
              <w:spacing w:before="0" w:after="20"/>
              <w:jc w:val="both"/>
              <w:rPr>
                <w:color w:val="3F3F3F"/>
              </w:rPr>
            </w:pPr>
            <w:r>
              <w:rPr>
                <w:color w:val="3F3F3F"/>
              </w:rPr>
              <w:t>•  </w:t>
            </w:r>
            <w:r>
              <w:rPr>
                <w:rFonts w:ascii="ARIAL" w:hAnsi="ARIAL"/>
                <w:color w:val="3F3F3F"/>
                <w:sz w:val="18"/>
              </w:rPr>
              <w:t xml:space="preserve">Director, </w:t>
            </w:r>
            <w:r>
              <w:rPr>
                <w:rFonts w:ascii="ARIAL" w:hAnsi="ARIAL"/>
                <w:b/>
                <w:color w:val="3F3F3F"/>
                <w:sz w:val="18"/>
              </w:rPr>
              <w:t>Stichting Continuiteit IHC</w:t>
            </w:r>
            <w:r>
              <w:rPr>
                <w:rFonts w:ascii="ARIAL" w:hAnsi="ARIAL"/>
                <w:color w:val="3F3F3F"/>
                <w:sz w:val="18"/>
              </w:rPr>
              <w:t xml:space="preserve"> and </w:t>
            </w:r>
            <w:r>
              <w:rPr>
                <w:rFonts w:ascii="ARIAL" w:hAnsi="ARIAL"/>
                <w:b/>
                <w:color w:val="3F3F3F"/>
                <w:sz w:val="18"/>
              </w:rPr>
              <w:t>B.V. Finance Continuiteit IHC</w:t>
            </w:r>
            <w:r>
              <w:rPr>
                <w:rFonts w:ascii="ARIAL" w:hAnsi="ARIAL"/>
                <w:color w:val="3F3F3F"/>
                <w:sz w:val="18"/>
              </w:rPr>
              <w:t>, Dutch foundations that together are the sole shareholders of Royal IHC, a private international shipbuilding company</w:t>
            </w:r>
          </w:p>
        </w:tc>
      </w:tr>
      <w:tr>
        <w:trPr/>
        <w:tc>
          <w:tcPr>
            <w:tcW w:w="10205" w:type="dxa"/>
            <w:gridSpan w:val="3"/>
            <w:tcBorders>
              <w:bottom w:val="dotted" w:sz="8" w:space="0" w:color="732282"/>
            </w:tcBorders>
            <w:tcMar>
              <w:bottom w:w="28" w:type="dxa"/>
            </w:tcMar>
            <w:vAlign w:val="center"/>
          </w:tcPr>
          <w:p>
            <w:pPr>
              <w:pStyle w:val="TableContents"/>
              <w:bidi w:val="0"/>
              <w:spacing w:before="0" w:after="283"/>
              <w:jc w:val="left"/>
              <w:rPr/>
            </w:pPr>
            <w:r>
              <w:rPr/>
              <w:t> </w:t>
            </w:r>
          </w:p>
        </w:tc>
      </w:tr>
      <w:tr>
        <w:trPr/>
        <w:tc>
          <w:tcPr>
            <w:tcW w:w="1403"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133350" cy="1365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33350" cy="1365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231161"/>
                <w:sz w:val="18"/>
              </w:rPr>
              <w:t>Director since</w:t>
            </w:r>
            <w:r>
              <w:rPr>
                <w:rFonts w:ascii="ARIAL" w:hAnsi="ARIAL"/>
                <w:color w:val="3F3F3F"/>
                <w:sz w:val="18"/>
              </w:rPr>
              <w:t xml:space="preserve"> 2020</w:t>
            </w:r>
          </w:p>
          <w:p>
            <w:pPr>
              <w:pStyle w:val="TableContents"/>
              <w:bidi w:val="0"/>
              <w:spacing w:before="0" w:after="0"/>
              <w:jc w:val="left"/>
              <w:rPr>
                <w:rFonts w:ascii="ARIAL" w:hAnsi="ARIAL"/>
                <w:sz w:val="18"/>
              </w:rPr>
            </w:pPr>
            <w:r>
              <w:rPr>
                <w:rFonts w:ascii="ARIAL" w:hAnsi="ARIAL"/>
                <w:b/>
                <w:color w:val="231161"/>
                <w:sz w:val="18"/>
              </w:rPr>
              <w:t xml:space="preserve">Age: </w:t>
            </w:r>
            <w:r>
              <w:rPr>
                <w:rFonts w:ascii="ARIAL" w:hAnsi="ARIAL"/>
                <w:color w:val="3F3F3F"/>
                <w:sz w:val="18"/>
              </w:rPr>
              <w:t>56</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Board Committees:</w:t>
            </w:r>
          </w:p>
          <w:p>
            <w:pPr>
              <w:pStyle w:val="TableContents"/>
              <w:bidi w:val="0"/>
              <w:spacing w:before="0" w:after="0"/>
              <w:jc w:val="left"/>
              <w:rPr>
                <w:color w:val="3F3F3F"/>
              </w:rPr>
            </w:pPr>
            <w:r>
              <w:rPr>
                <w:color w:val="3F3F3F"/>
              </w:rPr>
              <w:t>•  </w:t>
            </w:r>
            <w:r>
              <w:rPr>
                <w:rFonts w:ascii="ARIAL" w:hAnsi="ARIAL"/>
                <w:color w:val="3F3F3F"/>
                <w:sz w:val="18"/>
              </w:rPr>
              <w:t>Executive (Chair)</w:t>
            </w:r>
          </w:p>
          <w:p>
            <w:pPr>
              <w:pStyle w:val="TableContents"/>
              <w:bidi w:val="0"/>
              <w:spacing w:before="0" w:after="0"/>
              <w:jc w:val="left"/>
              <w:rPr>
                <w:color w:val="3F3F3F"/>
              </w:rPr>
            </w:pPr>
            <w:r>
              <w:rPr>
                <w:color w:val="3F3F3F"/>
              </w:rPr>
              <w:t>•  </w:t>
            </w:r>
            <w:r>
              <w:rPr>
                <w:rFonts w:ascii="ARIAL" w:hAnsi="ARIAL"/>
                <w:color w:val="3F3F3F"/>
                <w:sz w:val="18"/>
              </w:rPr>
              <w:t>Finance (Chair)</w:t>
            </w:r>
          </w:p>
          <w:p>
            <w:pPr>
              <w:pStyle w:val="TableContents"/>
              <w:bidi w:val="0"/>
              <w:spacing w:before="0" w:after="20"/>
              <w:jc w:val="left"/>
              <w:rPr>
                <w:rFonts w:ascii="ARIAL" w:hAnsi="ARIAL"/>
                <w:b/>
                <w:color w:val="231161"/>
                <w:sz w:val="18"/>
              </w:rPr>
            </w:pPr>
            <w:r>
              <w:rPr>
                <w:rFonts w:ascii="ARIAL" w:hAnsi="ARIAL"/>
                <w:b/>
                <w:color w:val="231161"/>
                <w:sz w:val="18"/>
              </w:rPr>
              <w:t>Board Chair and Independent Director</w:t>
            </w:r>
          </w:p>
        </w:tc>
        <w:tc>
          <w:tcPr>
            <w:tcW w:w="120" w:type="dxa"/>
            <w:tcBorders/>
            <w:vAlign w:val="center"/>
          </w:tcPr>
          <w:p>
            <w:pPr>
              <w:pStyle w:val="TableContents"/>
              <w:bidi w:val="0"/>
              <w:spacing w:before="0" w:after="283"/>
              <w:jc w:val="left"/>
              <w:rPr/>
            </w:pPr>
            <w:r>
              <w:rPr/>
              <w:t>  </w:t>
            </w:r>
          </w:p>
        </w:tc>
        <w:tc>
          <w:tcPr>
            <w:tcW w:w="8682" w:type="dxa"/>
            <w:tcBorders/>
            <w:vAlign w:val="center"/>
          </w:tcPr>
          <w:p>
            <w:pPr>
              <w:pStyle w:val="TableContents"/>
              <w:bidi w:val="0"/>
              <w:spacing w:before="0" w:after="0"/>
              <w:jc w:val="left"/>
              <w:rPr>
                <w:rFonts w:ascii="ARIAL" w:hAnsi="ARIAL"/>
                <w:b/>
                <w:color w:val="231161"/>
                <w:sz w:val="24"/>
              </w:rPr>
            </w:pPr>
            <w:r>
              <w:rPr>
                <w:rFonts w:ascii="ARIAL" w:hAnsi="ARIAL"/>
                <w:b/>
                <w:color w:val="231161"/>
                <w:sz w:val="24"/>
              </w:rPr>
              <w:t>Melina Higgins</w:t>
            </w:r>
          </w:p>
          <w:p>
            <w:pPr>
              <w:pStyle w:val="TableContents"/>
              <w:bidi w:val="0"/>
              <w:spacing w:before="0" w:after="0"/>
              <w:jc w:val="left"/>
              <w:rPr/>
            </w:pPr>
            <w:r>
              <w:rPr/>
              <w:t> </w:t>
            </w:r>
          </w:p>
          <w:p>
            <w:pPr>
              <w:pStyle w:val="TableContents"/>
              <w:bidi w:val="0"/>
              <w:spacing w:before="0" w:after="0"/>
              <w:jc w:val="both"/>
              <w:rPr>
                <w:color w:val="3F3F3F"/>
              </w:rPr>
            </w:pPr>
            <w:r>
              <w:rPr>
                <w:color w:val="3F3F3F"/>
              </w:rPr>
              <w:t>•  </w:t>
            </w:r>
            <w:r>
              <w:rPr>
                <w:rFonts w:ascii="ARIAL" w:hAnsi="ARIAL"/>
                <w:color w:val="3F3F3F"/>
                <w:sz w:val="18"/>
              </w:rPr>
              <w:t xml:space="preserve">Held senior roles of increasing responsibility including Partner (2002 - 2010) and Managing Director (2001 - 2010) and served as a member of the Investment Committee of the Principal Investment Area, Head of the Americas for Private Debt and co-Chairperson of the Investment Advisory Committee for GS Mezzanine Partners funds, </w:t>
            </w:r>
            <w:r>
              <w:rPr>
                <w:rFonts w:ascii="ARIAL" w:hAnsi="ARIAL"/>
                <w:b/>
                <w:color w:val="3F3F3F"/>
                <w:sz w:val="18"/>
              </w:rPr>
              <w:t>The Goldman Sachs Group, Inc.</w:t>
            </w:r>
            <w:r>
              <w:rPr>
                <w:rFonts w:ascii="ARIAL" w:hAnsi="ARIAL"/>
                <w:color w:val="3F3F3F"/>
                <w:sz w:val="18"/>
              </w:rPr>
              <w:t xml:space="preserve"> (NYSE: GS)</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Key Skills and Experience:</w:t>
            </w:r>
          </w:p>
          <w:p>
            <w:pPr>
              <w:pStyle w:val="TableContents"/>
              <w:bidi w:val="0"/>
              <w:spacing w:before="0" w:after="0"/>
              <w:jc w:val="both"/>
              <w:rPr>
                <w:color w:val="3F3F3F"/>
              </w:rPr>
            </w:pPr>
            <w:r>
              <w:rPr>
                <w:color w:val="3F3F3F"/>
              </w:rPr>
              <w:t>•  </w:t>
            </w:r>
            <w:r>
              <w:rPr>
                <w:rFonts w:ascii="ARIAL" w:hAnsi="ARIAL"/>
                <w:b/>
                <w:color w:val="3F3F3F"/>
                <w:sz w:val="18"/>
              </w:rPr>
              <w:t>Corporate Governance, Finance, Accounting and Capital Markets, Global Business,</w:t>
            </w:r>
            <w:r>
              <w:rPr>
                <w:rFonts w:ascii="ARIAL" w:hAnsi="ARIAL"/>
                <w:color w:val="3F3F3F"/>
                <w:sz w:val="18"/>
              </w:rPr>
              <w:t xml:space="preserve"> </w:t>
            </w:r>
            <w:r>
              <w:rPr>
                <w:rFonts w:ascii="ARIAL" w:hAnsi="ARIAL"/>
                <w:b/>
                <w:color w:val="3F3F3F"/>
                <w:sz w:val="18"/>
              </w:rPr>
              <w:t xml:space="preserve">Risk Oversight/Compliance, </w:t>
            </w:r>
            <w:r>
              <w:rPr>
                <w:rFonts w:ascii="ARIAL" w:hAnsi="ARIAL"/>
                <w:color w:val="3F3F3F"/>
                <w:sz w:val="18"/>
              </w:rPr>
              <w:t xml:space="preserve">and </w:t>
            </w:r>
            <w:r>
              <w:rPr>
                <w:rFonts w:ascii="ARIAL" w:hAnsi="ARIAL"/>
                <w:b/>
                <w:color w:val="3F3F3F"/>
                <w:sz w:val="18"/>
              </w:rPr>
              <w:t>Strategy and M&amp;A Experience</w:t>
            </w:r>
            <w:r>
              <w:rPr>
                <w:rFonts w:ascii="ARIAL" w:hAnsi="ARIAL"/>
                <w:color w:val="3F3F3F"/>
                <w:sz w:val="18"/>
              </w:rPr>
              <w:t xml:space="preserve"> obtained during her nearly 20 years at Goldman Sachs, where she built and led a successful investment business and became well-versed in portfolio management, assessing market risks and building businesses, especially during her time as a member of Goldman’s Investment Committee of the Principal Investment Area, one of the largest alternative asset managers in the world, where she oversaw and approved global private equity and private debt investments</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Other Current Public Company Boards:</w:t>
            </w:r>
          </w:p>
          <w:p>
            <w:pPr>
              <w:pStyle w:val="TableContents"/>
              <w:bidi w:val="0"/>
              <w:spacing w:before="0" w:after="0"/>
              <w:jc w:val="both"/>
              <w:rPr>
                <w:color w:val="3F3F3F"/>
              </w:rPr>
            </w:pPr>
            <w:r>
              <w:rPr>
                <w:color w:val="3F3F3F"/>
              </w:rPr>
              <w:t>•  </w:t>
            </w:r>
            <w:r>
              <w:rPr>
                <w:rFonts w:ascii="ARIAL" w:hAnsi="ARIAL"/>
                <w:b/>
                <w:color w:val="3F3F3F"/>
                <w:sz w:val="18"/>
              </w:rPr>
              <w:t>Genworth Financial Inc</w:t>
            </w:r>
            <w:r>
              <w:rPr>
                <w:rFonts w:ascii="ARIAL" w:hAnsi="ARIAL"/>
                <w:color w:val="3F3F3F"/>
                <w:sz w:val="18"/>
              </w:rPr>
              <w:t>. (NYSE: GNW) (since 2013), non-executive Chair (since 2021) and member of the Audit and Management Development &amp; Compensation Committees</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Current Private Company Boards:</w:t>
            </w:r>
          </w:p>
          <w:p>
            <w:pPr>
              <w:pStyle w:val="TableContents"/>
              <w:bidi w:val="0"/>
              <w:spacing w:before="0" w:after="0"/>
              <w:jc w:val="both"/>
              <w:rPr>
                <w:color w:val="3F3F3F"/>
              </w:rPr>
            </w:pPr>
            <w:r>
              <w:rPr>
                <w:color w:val="3F3F3F"/>
              </w:rPr>
              <w:t>•  </w:t>
            </w:r>
            <w:r>
              <w:rPr>
                <w:rFonts w:ascii="ARIAL" w:hAnsi="ARIAL"/>
                <w:color w:val="3F3F3F"/>
                <w:sz w:val="18"/>
              </w:rPr>
              <w:t xml:space="preserve">Director and non-executive chair of the Board (since 2016), </w:t>
            </w:r>
            <w:r>
              <w:rPr>
                <w:rFonts w:ascii="ARIAL" w:hAnsi="ARIAL"/>
                <w:b/>
                <w:color w:val="3F3F3F"/>
                <w:sz w:val="18"/>
              </w:rPr>
              <w:t>Antares Midco Inc.</w:t>
            </w:r>
            <w:r>
              <w:rPr>
                <w:rFonts w:ascii="ARIAL" w:hAnsi="ARIAL"/>
                <w:color w:val="3F3F3F"/>
                <w:sz w:val="18"/>
              </w:rPr>
              <w:t>, a private company that provides financing solutions for middle market, private equity-backed transactions</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Former Public Company Boards:</w:t>
            </w:r>
          </w:p>
          <w:p>
            <w:pPr>
              <w:pStyle w:val="TableContents"/>
              <w:bidi w:val="0"/>
              <w:spacing w:before="0" w:after="0"/>
              <w:jc w:val="both"/>
              <w:rPr>
                <w:color w:val="3F3F3F"/>
              </w:rPr>
            </w:pPr>
            <w:r>
              <w:rPr>
                <w:color w:val="3F3F3F"/>
              </w:rPr>
              <w:t>•  </w:t>
            </w:r>
            <w:r>
              <w:rPr>
                <w:rFonts w:ascii="ARIAL" w:hAnsi="ARIAL"/>
                <w:b/>
                <w:color w:val="3F3F3F"/>
                <w:sz w:val="18"/>
              </w:rPr>
              <w:t xml:space="preserve">Mylan </w:t>
            </w:r>
            <w:r>
              <w:rPr>
                <w:rFonts w:ascii="ARIAL" w:hAnsi="ARIAL"/>
                <w:color w:val="3F3F3F"/>
                <w:sz w:val="18"/>
              </w:rPr>
              <w:t>(2013 - the closing of the Combination in 2020), Director, most recently Chair of the Finance Committee, and member of the Audit, Compensation, and Executive Committees</w:t>
            </w:r>
          </w:p>
          <w:p>
            <w:pPr>
              <w:pStyle w:val="TableContents"/>
              <w:bidi w:val="0"/>
              <w:spacing w:before="0" w:after="0"/>
              <w:jc w:val="both"/>
              <w:rPr>
                <w:color w:val="3F3F3F"/>
              </w:rPr>
            </w:pPr>
            <w:r>
              <w:rPr>
                <w:color w:val="3F3F3F"/>
              </w:rPr>
              <w:t>•  </w:t>
            </w:r>
            <w:r>
              <w:rPr>
                <w:rFonts w:ascii="ARIAL" w:hAnsi="ARIAL"/>
                <w:b/>
                <w:color w:val="3F3F3F"/>
                <w:sz w:val="18"/>
              </w:rPr>
              <w:t xml:space="preserve">NextGen Acquisition Corp. II </w:t>
            </w:r>
            <w:r>
              <w:rPr>
                <w:rFonts w:ascii="ARIAL" w:hAnsi="ARIAL"/>
                <w:color w:val="3F3F3F"/>
                <w:sz w:val="18"/>
              </w:rPr>
              <w:t>(March 2021 until its merger with Virgin Orbit in December 2021) (a special purpose acquisition company), Director, Chair of the Nominating and Corporate Governance Committee and member of the Audit and Compensation Committees</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Other Organizations:</w:t>
            </w:r>
          </w:p>
          <w:p>
            <w:pPr>
              <w:pStyle w:val="TableContents"/>
              <w:bidi w:val="0"/>
              <w:spacing w:before="0" w:after="20"/>
              <w:jc w:val="both"/>
              <w:rPr>
                <w:color w:val="3F3F3F"/>
              </w:rPr>
            </w:pPr>
            <w:r>
              <w:rPr>
                <w:color w:val="3F3F3F"/>
              </w:rPr>
              <w:t>•  </w:t>
            </w:r>
            <w:r>
              <w:rPr>
                <w:rFonts w:ascii="ARIAL" w:hAnsi="ARIAL"/>
                <w:color w:val="3F3F3F"/>
                <w:sz w:val="18"/>
              </w:rPr>
              <w:t xml:space="preserve">Member, </w:t>
            </w:r>
            <w:r>
              <w:rPr>
                <w:rFonts w:ascii="ARIAL" w:hAnsi="ARIAL"/>
                <w:b/>
                <w:color w:val="3F3F3F"/>
                <w:sz w:val="18"/>
              </w:rPr>
              <w:t>Women’s Leadership Board of Harvard University’s John F. Kennedy School of Government</w:t>
            </w:r>
          </w:p>
        </w:tc>
      </w:tr>
      <w:tr>
        <w:trPr/>
        <w:tc>
          <w:tcPr>
            <w:tcW w:w="10205" w:type="dxa"/>
            <w:gridSpan w:val="3"/>
            <w:tcBorders>
              <w:bottom w:val="dotted" w:sz="8" w:space="0" w:color="732282"/>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344"/>
        <w:gridCol w:w="60"/>
        <w:gridCol w:w="8801"/>
      </w:tblGrid>
      <w:tr>
        <w:trPr/>
        <w:tc>
          <w:tcPr>
            <w:tcW w:w="13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01" w:type="dxa"/>
            <w:tcBorders/>
            <w:vAlign w:val="center"/>
          </w:tcPr>
          <w:p>
            <w:pPr>
              <w:pStyle w:val="TableContents"/>
              <w:bidi w:val="0"/>
              <w:spacing w:before="0" w:after="283"/>
              <w:jc w:val="left"/>
              <w:rPr>
                <w:sz w:val="4"/>
                <w:szCs w:val="4"/>
              </w:rPr>
            </w:pPr>
            <w:r>
              <w:rPr>
                <w:sz w:val="4"/>
                <w:szCs w:val="4"/>
              </w:rPr>
            </w:r>
          </w:p>
        </w:tc>
      </w:tr>
      <w:tr>
        <w:trPr/>
        <w:tc>
          <w:tcPr>
            <w:tcW w:w="1344" w:type="dxa"/>
            <w:tcBorders/>
            <w:vAlign w:val="center"/>
          </w:tcPr>
          <w:p>
            <w:pPr>
              <w:pStyle w:val="TableContents"/>
              <w:bidi w:val="0"/>
              <w:spacing w:before="0" w:after="0"/>
              <w:jc w:val="left"/>
              <w:rPr/>
            </w:pPr>
            <w:r>
              <w:rPr/>
              <w:t> </w:t>
            </w:r>
          </w:p>
          <w:p>
            <w:pPr>
              <w:pStyle w:val="TableContents"/>
              <w:bidi w:val="0"/>
              <w:spacing w:before="0" w:after="0"/>
              <w:jc w:val="both"/>
              <w:rPr/>
            </w:pPr>
            <w:r>
              <w:rPr/>
              <w:drawing>
                <wp:inline distT="0" distB="0" distL="0" distR="0">
                  <wp:extent cx="133350" cy="1365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33350" cy="1365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231161"/>
                <w:sz w:val="18"/>
              </w:rPr>
              <w:t>Director since</w:t>
            </w:r>
            <w:r>
              <w:rPr>
                <w:rFonts w:ascii="ARIAL" w:hAnsi="ARIAL"/>
                <w:color w:val="3F3F3F"/>
                <w:sz w:val="18"/>
              </w:rPr>
              <w:t xml:space="preserve"> 2020</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231161"/>
                <w:sz w:val="18"/>
              </w:rPr>
              <w:t xml:space="preserve">Age: </w:t>
            </w:r>
            <w:r>
              <w:rPr>
                <w:rFonts w:ascii="ARIAL" w:hAnsi="ARIAL"/>
                <w:color w:val="3F3F3F"/>
                <w:sz w:val="18"/>
              </w:rPr>
              <w:t>76</w:t>
            </w:r>
            <w:r>
              <w:rPr>
                <w:rFonts w:ascii="ARIAL" w:hAnsi="ARIAL"/>
                <w:color w:val="231161"/>
                <w:sz w:val="18"/>
              </w:rPr>
              <w:t>*</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Board Committees:</w:t>
            </w:r>
          </w:p>
          <w:p>
            <w:pPr>
              <w:pStyle w:val="TableContents"/>
              <w:bidi w:val="0"/>
              <w:spacing w:before="0" w:after="0"/>
              <w:jc w:val="both"/>
              <w:rPr>
                <w:color w:val="3F3F3F"/>
              </w:rPr>
            </w:pPr>
            <w:r>
              <w:rPr>
                <w:color w:val="3F3F3F"/>
              </w:rPr>
              <w:t>•  </w:t>
            </w:r>
            <w:r>
              <w:rPr>
                <w:rFonts w:ascii="ARIAL" w:hAnsi="ARIAL"/>
                <w:color w:val="3F3F3F"/>
                <w:sz w:val="18"/>
              </w:rPr>
              <w:t>Compensation</w:t>
            </w:r>
          </w:p>
          <w:p>
            <w:pPr>
              <w:pStyle w:val="TableContents"/>
              <w:bidi w:val="0"/>
              <w:spacing w:before="0" w:after="0"/>
              <w:jc w:val="both"/>
              <w:rPr>
                <w:color w:val="3F3F3F"/>
              </w:rPr>
            </w:pPr>
            <w:r>
              <w:rPr>
                <w:color w:val="3F3F3F"/>
              </w:rPr>
              <w:t>•  </w:t>
            </w:r>
            <w:r>
              <w:rPr>
                <w:rFonts w:ascii="ARIAL" w:hAnsi="ARIAL"/>
                <w:color w:val="3F3F3F"/>
                <w:sz w:val="18"/>
              </w:rPr>
              <w:t>Finance</w:t>
            </w:r>
          </w:p>
          <w:p>
            <w:pPr>
              <w:pStyle w:val="TableContents"/>
              <w:bidi w:val="0"/>
              <w:spacing w:before="0" w:after="0"/>
              <w:jc w:val="left"/>
              <w:rPr/>
            </w:pPr>
            <w:r>
              <w:rPr/>
              <w:t> </w:t>
            </w:r>
          </w:p>
          <w:p>
            <w:pPr>
              <w:pStyle w:val="TableContents"/>
              <w:bidi w:val="0"/>
              <w:spacing w:before="0" w:after="20"/>
              <w:jc w:val="left"/>
              <w:rPr>
                <w:rFonts w:ascii="ARIAL" w:hAnsi="ARIAL"/>
                <w:b/>
                <w:color w:val="231161"/>
                <w:sz w:val="18"/>
              </w:rPr>
            </w:pPr>
            <w:r>
              <w:rPr>
                <w:rFonts w:ascii="ARIAL" w:hAnsi="ARIAL"/>
                <w:b/>
                <w:color w:val="231161"/>
                <w:sz w:val="18"/>
              </w:rPr>
              <w:t>Independent Director</w:t>
            </w:r>
          </w:p>
        </w:tc>
        <w:tc>
          <w:tcPr>
            <w:tcW w:w="60" w:type="dxa"/>
            <w:tcBorders/>
            <w:vAlign w:val="center"/>
          </w:tcPr>
          <w:p>
            <w:pPr>
              <w:pStyle w:val="TableContents"/>
              <w:bidi w:val="0"/>
              <w:spacing w:before="0" w:after="283"/>
              <w:jc w:val="left"/>
              <w:rPr/>
            </w:pPr>
            <w:r>
              <w:rPr/>
              <w:t> </w:t>
            </w:r>
          </w:p>
        </w:tc>
        <w:tc>
          <w:tcPr>
            <w:tcW w:w="8801" w:type="dxa"/>
            <w:tcBorders/>
            <w:vAlign w:val="center"/>
          </w:tcPr>
          <w:p>
            <w:pPr>
              <w:pStyle w:val="TableContents"/>
              <w:bidi w:val="0"/>
              <w:spacing w:before="0" w:after="0"/>
              <w:jc w:val="left"/>
              <w:rPr>
                <w:rFonts w:ascii="ARIAL" w:hAnsi="ARIAL"/>
                <w:b/>
                <w:color w:val="231161"/>
                <w:sz w:val="24"/>
              </w:rPr>
            </w:pPr>
            <w:r>
              <w:rPr>
                <w:rFonts w:ascii="ARIAL" w:hAnsi="ARIAL"/>
                <w:b/>
                <w:color w:val="231161"/>
                <w:sz w:val="24"/>
              </w:rPr>
              <w:t>James Kilts</w:t>
            </w:r>
          </w:p>
          <w:p>
            <w:pPr>
              <w:pStyle w:val="TableContents"/>
              <w:bidi w:val="0"/>
              <w:spacing w:before="0" w:after="0"/>
              <w:jc w:val="left"/>
              <w:rPr/>
            </w:pPr>
            <w:r>
              <w:rPr/>
              <w:t> </w:t>
            </w:r>
          </w:p>
          <w:p>
            <w:pPr>
              <w:pStyle w:val="TableContents"/>
              <w:bidi w:val="0"/>
              <w:spacing w:before="0" w:after="0"/>
              <w:jc w:val="both"/>
              <w:rPr>
                <w:color w:val="3F3F3F"/>
              </w:rPr>
            </w:pPr>
            <w:r>
              <w:rPr>
                <w:color w:val="3F3F3F"/>
              </w:rPr>
              <w:t>•  </w:t>
            </w:r>
            <w:r>
              <w:rPr>
                <w:rFonts w:ascii="ARIAL" w:hAnsi="ARIAL"/>
                <w:color w:val="3F3F3F"/>
                <w:sz w:val="18"/>
              </w:rPr>
              <w:t xml:space="preserve">Founding Partner (since 2006), </w:t>
            </w:r>
            <w:r>
              <w:rPr>
                <w:rFonts w:ascii="ARIAL" w:hAnsi="ARIAL"/>
                <w:b/>
                <w:color w:val="3F3F3F"/>
                <w:sz w:val="18"/>
              </w:rPr>
              <w:t>Centerview Capital</w:t>
            </w:r>
            <w:r>
              <w:rPr>
                <w:rFonts w:ascii="ARIAL" w:hAnsi="ARIAL"/>
                <w:color w:val="3F3F3F"/>
                <w:sz w:val="18"/>
              </w:rPr>
              <w:t>, a private equity firm</w:t>
            </w:r>
          </w:p>
          <w:p>
            <w:pPr>
              <w:pStyle w:val="TableContents"/>
              <w:bidi w:val="0"/>
              <w:spacing w:before="0" w:after="0"/>
              <w:jc w:val="both"/>
              <w:rPr>
                <w:color w:val="3F3F3F"/>
              </w:rPr>
            </w:pPr>
            <w:r>
              <w:rPr>
                <w:color w:val="3F3F3F"/>
              </w:rPr>
              <w:t>•  </w:t>
            </w:r>
            <w:r>
              <w:rPr>
                <w:rFonts w:ascii="ARIAL" w:hAnsi="ARIAL"/>
                <w:color w:val="3F3F3F"/>
                <w:sz w:val="18"/>
              </w:rPr>
              <w:t xml:space="preserve">Special Advisor to the Board (since 2023), Co-Chief Executive Officer (2021-2023), </w:t>
            </w:r>
            <w:r>
              <w:rPr>
                <w:rFonts w:ascii="ARIAL" w:hAnsi="ARIAL"/>
                <w:b/>
                <w:color w:val="3F3F3F"/>
                <w:sz w:val="18"/>
              </w:rPr>
              <w:t>Conyers Park III Acquisition Corp.</w:t>
            </w:r>
            <w:r>
              <w:rPr>
                <w:rFonts w:ascii="ARIAL" w:hAnsi="ARIAL"/>
                <w:color w:val="3F3F3F"/>
                <w:sz w:val="18"/>
              </w:rPr>
              <w:t xml:space="preserve"> (a special purpose acquisition company)</w:t>
            </w:r>
          </w:p>
          <w:p>
            <w:pPr>
              <w:pStyle w:val="TableContents"/>
              <w:bidi w:val="0"/>
              <w:spacing w:before="0" w:after="0"/>
              <w:jc w:val="both"/>
              <w:rPr>
                <w:color w:val="3F3F3F"/>
              </w:rPr>
            </w:pPr>
            <w:r>
              <w:rPr>
                <w:color w:val="3F3F3F"/>
              </w:rPr>
              <w:t>•  </w:t>
            </w:r>
            <w:r>
              <w:rPr>
                <w:rFonts w:ascii="ARIAL" w:hAnsi="ARIAL"/>
                <w:color w:val="3F3F3F"/>
                <w:sz w:val="18"/>
              </w:rPr>
              <w:t xml:space="preserve">Chairman and Chief Executive Officer (2001 - 2005 when it merged with The Procter &amp; Gamble Company), President (2003 - 2005), </w:t>
            </w:r>
            <w:r>
              <w:rPr>
                <w:rFonts w:ascii="ARIAL" w:hAnsi="ARIAL"/>
                <w:b/>
                <w:color w:val="3F3F3F"/>
                <w:sz w:val="18"/>
              </w:rPr>
              <w:t>The Gillette Company</w:t>
            </w:r>
          </w:p>
          <w:p>
            <w:pPr>
              <w:pStyle w:val="TableContents"/>
              <w:bidi w:val="0"/>
              <w:spacing w:before="0" w:after="0"/>
              <w:jc w:val="both"/>
              <w:rPr>
                <w:color w:val="3F3F3F"/>
              </w:rPr>
            </w:pPr>
            <w:r>
              <w:rPr>
                <w:color w:val="3F3F3F"/>
              </w:rPr>
              <w:t>•  </w:t>
            </w:r>
            <w:r>
              <w:rPr>
                <w:rFonts w:ascii="ARIAL" w:hAnsi="ARIAL"/>
                <w:color w:val="3F3F3F"/>
                <w:sz w:val="18"/>
              </w:rPr>
              <w:t xml:space="preserve">President and Chief Executive Officer (1998 - 2000 when it was acquired by The Philip Morris Companies), </w:t>
            </w:r>
            <w:r>
              <w:rPr>
                <w:rFonts w:ascii="ARIAL" w:hAnsi="ARIAL"/>
                <w:b/>
                <w:color w:val="3F3F3F"/>
                <w:sz w:val="18"/>
              </w:rPr>
              <w:t>Nabisco Group Holdings Corporation</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Key Skills and Experience:</w:t>
            </w:r>
          </w:p>
          <w:p>
            <w:pPr>
              <w:pStyle w:val="TableContents"/>
              <w:bidi w:val="0"/>
              <w:spacing w:before="0" w:after="0"/>
              <w:jc w:val="both"/>
              <w:rPr>
                <w:color w:val="3F3F3F"/>
              </w:rPr>
            </w:pPr>
            <w:r>
              <w:rPr>
                <w:color w:val="3F3F3F"/>
              </w:rPr>
              <w:t>•  </w:t>
            </w:r>
            <w:r>
              <w:rPr>
                <w:rFonts w:ascii="ARIAL" w:hAnsi="ARIAL"/>
                <w:b/>
                <w:color w:val="3F3F3F"/>
                <w:sz w:val="18"/>
              </w:rPr>
              <w:t xml:space="preserve">CEO and Public Company Management, Corporate Governance, Finance, Accounting and Capital Markets, Global Business, </w:t>
            </w:r>
            <w:r>
              <w:rPr>
                <w:rFonts w:ascii="ARIAL" w:hAnsi="ARIAL"/>
                <w:color w:val="3F3F3F"/>
                <w:sz w:val="18"/>
              </w:rPr>
              <w:t xml:space="preserve">and </w:t>
            </w:r>
            <w:r>
              <w:rPr>
                <w:rFonts w:ascii="ARIAL" w:hAnsi="ARIAL"/>
                <w:b/>
                <w:color w:val="3F3F3F"/>
                <w:sz w:val="18"/>
              </w:rPr>
              <w:t xml:space="preserve">Strategy and M&amp;A Experience, </w:t>
            </w:r>
            <w:r>
              <w:rPr>
                <w:rFonts w:ascii="ARIAL" w:hAnsi="ARIAL"/>
                <w:color w:val="3F3F3F"/>
                <w:sz w:val="18"/>
              </w:rPr>
              <w:t>acquired during his more than 40 years leading a range of multi-national companies and iconic brands, where he is credited with building domestic and international strategies to increase sales and successfully overseeing organizations through significant M&amp;A activity resulting in him being sought out for his business expertise and advice</w:t>
            </w:r>
          </w:p>
          <w:p>
            <w:pPr>
              <w:pStyle w:val="TableContents"/>
              <w:bidi w:val="0"/>
              <w:spacing w:before="0" w:after="0"/>
              <w:jc w:val="both"/>
              <w:rPr>
                <w:color w:val="3F3F3F"/>
              </w:rPr>
            </w:pPr>
            <w:r>
              <w:rPr>
                <w:color w:val="3F3F3F"/>
              </w:rPr>
              <w:t>•  </w:t>
            </w:r>
            <w:r>
              <w:rPr>
                <w:rFonts w:ascii="ARIAL" w:hAnsi="ARIAL"/>
                <w:color w:val="3F3F3F"/>
                <w:sz w:val="18"/>
              </w:rPr>
              <w:t xml:space="preserve">Mr. Kilts also brings </w:t>
            </w:r>
            <w:r>
              <w:rPr>
                <w:rFonts w:ascii="ARIAL" w:hAnsi="ARIAL"/>
                <w:b/>
                <w:color w:val="3F3F3F"/>
                <w:sz w:val="18"/>
              </w:rPr>
              <w:t xml:space="preserve">Healthcare Industry </w:t>
            </w:r>
            <w:r>
              <w:rPr>
                <w:rFonts w:ascii="ARIAL" w:hAnsi="ARIAL"/>
                <w:color w:val="3F3F3F"/>
                <w:sz w:val="18"/>
              </w:rPr>
              <w:t xml:space="preserve">and </w:t>
            </w:r>
            <w:r>
              <w:rPr>
                <w:rFonts w:ascii="ARIAL" w:hAnsi="ARIAL"/>
                <w:b/>
                <w:color w:val="3F3F3F"/>
                <w:sz w:val="18"/>
              </w:rPr>
              <w:t xml:space="preserve">Human Capital Management Experience </w:t>
            </w:r>
            <w:r>
              <w:rPr>
                <w:rFonts w:ascii="ARIAL" w:hAnsi="ARIAL"/>
                <w:color w:val="3F3F3F"/>
                <w:sz w:val="18"/>
              </w:rPr>
              <w:t>to the Board</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Other Current Public Company Boards:</w:t>
            </w:r>
          </w:p>
          <w:p>
            <w:pPr>
              <w:pStyle w:val="TableContents"/>
              <w:bidi w:val="0"/>
              <w:spacing w:before="0" w:after="0"/>
              <w:jc w:val="both"/>
              <w:rPr>
                <w:color w:val="3F3F3F"/>
              </w:rPr>
            </w:pPr>
            <w:r>
              <w:rPr>
                <w:color w:val="3F3F3F"/>
              </w:rPr>
              <w:t>•  </w:t>
            </w:r>
            <w:r>
              <w:rPr>
                <w:rFonts w:ascii="ARIAL" w:hAnsi="ARIAL"/>
                <w:b/>
                <w:color w:val="3F3F3F"/>
                <w:sz w:val="18"/>
              </w:rPr>
              <w:t>Advantage Solutions Inc.</w:t>
            </w:r>
            <w:r>
              <w:rPr>
                <w:rFonts w:ascii="ARIAL" w:hAnsi="ARIAL"/>
                <w:color w:val="3F3F3F"/>
                <w:sz w:val="18"/>
              </w:rPr>
              <w:t xml:space="preserve"> (NASDAQ: ADV) (since 2020 when it combined with Conyers Park II Acquisition Corp.), non-executive Chairman and previously Lead Director</w:t>
            </w:r>
          </w:p>
          <w:p>
            <w:pPr>
              <w:pStyle w:val="TableContents"/>
              <w:bidi w:val="0"/>
              <w:spacing w:before="0" w:after="0"/>
              <w:jc w:val="both"/>
              <w:rPr>
                <w:color w:val="3F3F3F"/>
              </w:rPr>
            </w:pPr>
            <w:r>
              <w:rPr>
                <w:color w:val="3F3F3F"/>
              </w:rPr>
              <w:t>•  </w:t>
            </w:r>
            <w:r>
              <w:rPr>
                <w:rFonts w:ascii="ARIAL" w:hAnsi="ARIAL"/>
                <w:b/>
                <w:color w:val="3F3F3F"/>
                <w:sz w:val="18"/>
              </w:rPr>
              <w:t>The Simply Good Foods Company</w:t>
            </w:r>
            <w:r>
              <w:rPr>
                <w:rFonts w:ascii="ARIAL" w:hAnsi="ARIAL"/>
                <w:color w:val="3F3F3F"/>
                <w:sz w:val="18"/>
              </w:rPr>
              <w:t xml:space="preserve"> (NASDAQ: SMPL) (since 2017), Chairman and member of the Nominating and Corporate Governance Committee</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Former Public Company Boards:</w:t>
            </w:r>
          </w:p>
          <w:p>
            <w:pPr>
              <w:pStyle w:val="TableContents"/>
              <w:bidi w:val="0"/>
              <w:spacing w:before="0" w:after="0"/>
              <w:jc w:val="both"/>
              <w:rPr>
                <w:color w:val="3F3F3F"/>
              </w:rPr>
            </w:pPr>
            <w:r>
              <w:rPr>
                <w:color w:val="3F3F3F"/>
              </w:rPr>
              <w:t>•  </w:t>
            </w:r>
            <w:r>
              <w:rPr>
                <w:rFonts w:ascii="ARIAL" w:hAnsi="ARIAL"/>
                <w:b/>
                <w:color w:val="3F3F3F"/>
                <w:sz w:val="18"/>
              </w:rPr>
              <w:t xml:space="preserve">Unifi Inc. </w:t>
            </w:r>
            <w:r>
              <w:rPr>
                <w:rFonts w:ascii="ARIAL" w:hAnsi="ARIAL"/>
                <w:color w:val="3F3F3F"/>
                <w:sz w:val="18"/>
              </w:rPr>
              <w:t>(NYSE: UFI) (2016 - 2022), Director and most recently member of the Compensation Committee</w:t>
            </w:r>
          </w:p>
          <w:p>
            <w:pPr>
              <w:pStyle w:val="TableContents"/>
              <w:bidi w:val="0"/>
              <w:spacing w:before="0" w:after="0"/>
              <w:jc w:val="both"/>
              <w:rPr>
                <w:color w:val="3F3F3F"/>
              </w:rPr>
            </w:pPr>
            <w:r>
              <w:rPr>
                <w:color w:val="3F3F3F"/>
              </w:rPr>
              <w:t>•  </w:t>
            </w:r>
            <w:r>
              <w:rPr>
                <w:rFonts w:ascii="ARIAL" w:hAnsi="ARIAL"/>
                <w:b/>
                <w:color w:val="3F3F3F"/>
                <w:sz w:val="18"/>
              </w:rPr>
              <w:t xml:space="preserve">Pfizer Inc. </w:t>
            </w:r>
            <w:r>
              <w:rPr>
                <w:rFonts w:ascii="ARIAL" w:hAnsi="ARIAL"/>
                <w:color w:val="3F3F3F"/>
                <w:sz w:val="18"/>
              </w:rPr>
              <w:t>(NYSE: PFE) (2007 - the closing of the Combination in 2020), Director and most recently member of Compensation Committee</w:t>
            </w:r>
          </w:p>
          <w:p>
            <w:pPr>
              <w:pStyle w:val="TableContents"/>
              <w:bidi w:val="0"/>
              <w:spacing w:before="0" w:after="0"/>
              <w:jc w:val="both"/>
              <w:rPr>
                <w:color w:val="3F3F3F"/>
              </w:rPr>
            </w:pPr>
            <w:r>
              <w:rPr>
                <w:color w:val="3F3F3F"/>
              </w:rPr>
              <w:t>•  </w:t>
            </w:r>
            <w:r>
              <w:rPr>
                <w:rFonts w:ascii="ARIAL" w:hAnsi="ARIAL"/>
                <w:b/>
                <w:color w:val="3F3F3F"/>
                <w:sz w:val="18"/>
              </w:rPr>
              <w:t>Conyers Park II Acquisition Corp.</w:t>
            </w:r>
            <w:r>
              <w:rPr>
                <w:rFonts w:ascii="ARIAL" w:hAnsi="ARIAL"/>
                <w:color w:val="3F3F3F"/>
                <w:sz w:val="18"/>
              </w:rPr>
              <w:t xml:space="preserve"> (2019 to 2020 when it combined with Advantage Solutions Inc.), Executive Chairman</w:t>
            </w:r>
          </w:p>
          <w:p>
            <w:pPr>
              <w:pStyle w:val="TableContents"/>
              <w:bidi w:val="0"/>
              <w:spacing w:before="0" w:after="0"/>
              <w:jc w:val="both"/>
              <w:rPr>
                <w:color w:val="3F3F3F"/>
              </w:rPr>
            </w:pPr>
            <w:r>
              <w:rPr>
                <w:color w:val="3F3F3F"/>
              </w:rPr>
              <w:t>•  </w:t>
            </w:r>
            <w:r>
              <w:rPr>
                <w:rFonts w:ascii="ARIAL" w:hAnsi="ARIAL"/>
                <w:b/>
                <w:color w:val="3F3F3F"/>
                <w:sz w:val="18"/>
              </w:rPr>
              <w:t xml:space="preserve">MetLife, Inc. </w:t>
            </w:r>
            <w:r>
              <w:rPr>
                <w:rFonts w:ascii="ARIAL" w:hAnsi="ARIAL"/>
                <w:color w:val="3F3F3F"/>
                <w:sz w:val="18"/>
              </w:rPr>
              <w:t>(NYSE: MET) (2005 - 2020), Director, most recently Chair of the Compensation Committee and member of the Governance and Corporate Responsibility Committee</w:t>
            </w:r>
          </w:p>
          <w:p>
            <w:pPr>
              <w:pStyle w:val="TableContents"/>
              <w:bidi w:val="0"/>
              <w:spacing w:before="0" w:after="0"/>
              <w:jc w:val="both"/>
              <w:rPr>
                <w:color w:val="3F3F3F"/>
              </w:rPr>
            </w:pPr>
            <w:r>
              <w:rPr>
                <w:color w:val="3F3F3F"/>
              </w:rPr>
              <w:t>•  </w:t>
            </w:r>
            <w:r>
              <w:rPr>
                <w:rFonts w:ascii="ARIAL" w:hAnsi="ARIAL"/>
                <w:b/>
                <w:color w:val="3F3F3F"/>
                <w:sz w:val="18"/>
              </w:rPr>
              <w:t>The Procter</w:t>
            </w:r>
            <w:r>
              <w:rPr>
                <w:rFonts w:ascii="ARIAL" w:hAnsi="ARIAL"/>
                <w:color w:val="3F3F3F"/>
                <w:sz w:val="18"/>
              </w:rPr>
              <w:t> </w:t>
            </w:r>
            <w:r>
              <w:rPr>
                <w:rFonts w:ascii="ARIAL" w:hAnsi="ARIAL"/>
                <w:b/>
                <w:color w:val="3F3F3F"/>
                <w:sz w:val="18"/>
              </w:rPr>
              <w:t>&amp; Gamble Company</w:t>
            </w:r>
            <w:r>
              <w:rPr>
                <w:rFonts w:ascii="ARIAL" w:hAnsi="ARIAL"/>
                <w:color w:val="3F3F3F"/>
                <w:sz w:val="18"/>
              </w:rPr>
              <w:t xml:space="preserve"> (NYSE: PG) (2005 - 2006), Director</w:t>
            </w:r>
          </w:p>
          <w:p>
            <w:pPr>
              <w:pStyle w:val="TableContents"/>
              <w:bidi w:val="0"/>
              <w:spacing w:before="0" w:after="0"/>
              <w:jc w:val="both"/>
              <w:rPr>
                <w:color w:val="3F3F3F"/>
              </w:rPr>
            </w:pPr>
            <w:r>
              <w:rPr>
                <w:color w:val="3F3F3F"/>
              </w:rPr>
              <w:t>•  </w:t>
            </w:r>
            <w:r>
              <w:rPr>
                <w:rFonts w:ascii="ARIAL" w:hAnsi="ARIAL"/>
                <w:b/>
                <w:color w:val="3F3F3F"/>
                <w:sz w:val="18"/>
              </w:rPr>
              <w:t>Conyers Park Acquisition Corporation</w:t>
            </w:r>
            <w:r>
              <w:rPr>
                <w:rFonts w:ascii="ARIAL" w:hAnsi="ARIAL"/>
                <w:color w:val="3F3F3F"/>
                <w:sz w:val="18"/>
              </w:rPr>
              <w:t xml:space="preserve"> (2016 - 2017 when it merged with The Simply Good Foods Company), Chairman</w:t>
            </w:r>
          </w:p>
          <w:p>
            <w:pPr>
              <w:pStyle w:val="TableContents"/>
              <w:bidi w:val="0"/>
              <w:spacing w:before="0" w:after="0"/>
              <w:jc w:val="both"/>
              <w:rPr>
                <w:color w:val="3F3F3F"/>
              </w:rPr>
            </w:pPr>
            <w:r>
              <w:rPr>
                <w:color w:val="3F3F3F"/>
              </w:rPr>
              <w:t>•  </w:t>
            </w:r>
            <w:r>
              <w:rPr>
                <w:rFonts w:ascii="ARIAL" w:hAnsi="ARIAL"/>
                <w:b/>
                <w:color w:val="3F3F3F"/>
                <w:sz w:val="18"/>
              </w:rPr>
              <w:t>Nielsen Holdings plc</w:t>
            </w:r>
            <w:r>
              <w:rPr>
                <w:rFonts w:ascii="ARIAL" w:hAnsi="ARIAL"/>
                <w:color w:val="3F3F3F"/>
                <w:sz w:val="18"/>
              </w:rPr>
              <w:t>, (NYSE: NLSN) non-executive Director (2006 - 2017) and Chairman (2011 - 2013)</w:t>
            </w:r>
          </w:p>
          <w:p>
            <w:pPr>
              <w:pStyle w:val="TableContents"/>
              <w:bidi w:val="0"/>
              <w:spacing w:before="0" w:after="0"/>
              <w:jc w:val="both"/>
              <w:rPr>
                <w:color w:val="3F3F3F"/>
              </w:rPr>
            </w:pPr>
            <w:r>
              <w:rPr>
                <w:color w:val="3F3F3F"/>
              </w:rPr>
              <w:t>•  </w:t>
            </w:r>
            <w:r>
              <w:rPr>
                <w:rFonts w:ascii="ARIAL" w:hAnsi="ARIAL"/>
                <w:b/>
                <w:color w:val="3F3F3F"/>
                <w:sz w:val="18"/>
              </w:rPr>
              <w:t>Nielsen Company B.V.</w:t>
            </w:r>
            <w:r>
              <w:rPr>
                <w:rFonts w:ascii="ARIAL" w:hAnsi="ARIAL"/>
                <w:color w:val="3F3F3F"/>
                <w:sz w:val="18"/>
              </w:rPr>
              <w:t xml:space="preserve"> (2009 - 2014), Chairman</w:t>
            </w:r>
          </w:p>
          <w:p>
            <w:pPr>
              <w:pStyle w:val="TableContents"/>
              <w:bidi w:val="0"/>
              <w:spacing w:before="0" w:after="0"/>
              <w:jc w:val="both"/>
              <w:rPr>
                <w:color w:val="3F3F3F"/>
              </w:rPr>
            </w:pPr>
            <w:r>
              <w:rPr>
                <w:color w:val="3F3F3F"/>
              </w:rPr>
              <w:t>•  </w:t>
            </w:r>
            <w:r>
              <w:rPr>
                <w:rFonts w:ascii="ARIAL" w:hAnsi="ARIAL"/>
                <w:b/>
                <w:color w:val="3F3F3F"/>
                <w:sz w:val="18"/>
              </w:rPr>
              <w:t xml:space="preserve">MeadWestvaco Corporation </w:t>
            </w:r>
            <w:r>
              <w:rPr>
                <w:rFonts w:ascii="ARIAL" w:hAnsi="ARIAL"/>
                <w:color w:val="3F3F3F"/>
                <w:sz w:val="18"/>
              </w:rPr>
              <w:t>(2006 - 2014), Director</w:t>
            </w:r>
          </w:p>
          <w:p>
            <w:pPr>
              <w:pStyle w:val="TableContents"/>
              <w:bidi w:val="0"/>
              <w:spacing w:before="0" w:after="0"/>
              <w:jc w:val="both"/>
              <w:rPr>
                <w:color w:val="3F3F3F"/>
                <w:u w:val="single"/>
              </w:rPr>
            </w:pPr>
            <w:r>
              <w:rPr>
                <w:color w:val="3F3F3F"/>
                <w:u w:val="single"/>
              </w:rPr>
              <w:t>        </w:t>
            </w:r>
          </w:p>
          <w:p>
            <w:pPr>
              <w:pStyle w:val="TableContents"/>
              <w:bidi w:val="0"/>
              <w:spacing w:before="0" w:after="20"/>
              <w:jc w:val="both"/>
              <w:rPr>
                <w:rFonts w:ascii="ARIAL" w:hAnsi="ARIAL"/>
                <w:color w:val="3F3F3F"/>
                <w:sz w:val="16"/>
              </w:rPr>
            </w:pPr>
            <w:r>
              <w:rPr>
                <w:rFonts w:ascii="ARIAL" w:hAnsi="ARIAL"/>
                <w:color w:val="3F3F3F"/>
                <w:sz w:val="16"/>
              </w:rPr>
              <w:t>*   The Board, on the recommendation of the Governance and Sustainability Committee, has, in accordance with its Corporate Governance Principles, approved a waiver to the mandatory retirement age for Directors for Mr. Kilts and determined that such waiver was in the best interests of the Company because of his continued extensive contributions to the Board and his knowledge and familiarity with the legacy Upjohn Business.</w:t>
            </w:r>
          </w:p>
        </w:tc>
      </w:tr>
      <w:tr>
        <w:trPr/>
        <w:tc>
          <w:tcPr>
            <w:tcW w:w="10205" w:type="dxa"/>
            <w:gridSpan w:val="3"/>
            <w:tcBorders>
              <w:bottom w:val="dotted" w:sz="8" w:space="0" w:color="732282"/>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356"/>
        <w:gridCol w:w="120"/>
        <w:gridCol w:w="8729"/>
      </w:tblGrid>
      <w:tr>
        <w:trPr/>
        <w:tc>
          <w:tcPr>
            <w:tcW w:w="13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29" w:type="dxa"/>
            <w:tcBorders/>
            <w:vAlign w:val="center"/>
          </w:tcPr>
          <w:p>
            <w:pPr>
              <w:pStyle w:val="TableContents"/>
              <w:bidi w:val="0"/>
              <w:spacing w:before="0" w:after="283"/>
              <w:jc w:val="left"/>
              <w:rPr>
                <w:sz w:val="4"/>
                <w:szCs w:val="4"/>
              </w:rPr>
            </w:pPr>
            <w:r>
              <w:rPr>
                <w:sz w:val="4"/>
                <w:szCs w:val="4"/>
              </w:rPr>
            </w:r>
          </w:p>
        </w:tc>
      </w:tr>
      <w:tr>
        <w:trPr/>
        <w:tc>
          <w:tcPr>
            <w:tcW w:w="1356"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133350" cy="1365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33350" cy="1365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231161"/>
                <w:sz w:val="18"/>
              </w:rPr>
              <w:t>Director since</w:t>
            </w:r>
            <w:r>
              <w:rPr>
                <w:rFonts w:ascii="ARIAL" w:hAnsi="ARIAL"/>
                <w:color w:val="3F3F3F"/>
                <w:sz w:val="18"/>
              </w:rPr>
              <w:t xml:space="preserve"> 2020</w:t>
            </w:r>
          </w:p>
          <w:p>
            <w:pPr>
              <w:pStyle w:val="TableContents"/>
              <w:bidi w:val="0"/>
              <w:spacing w:before="0" w:after="0"/>
              <w:jc w:val="left"/>
              <w:rPr>
                <w:rFonts w:ascii="ARIAL" w:hAnsi="ARIAL"/>
                <w:sz w:val="18"/>
              </w:rPr>
            </w:pPr>
            <w:r>
              <w:rPr>
                <w:rFonts w:ascii="ARIAL" w:hAnsi="ARIAL"/>
                <w:b/>
                <w:color w:val="231161"/>
                <w:sz w:val="18"/>
              </w:rPr>
              <w:t xml:space="preserve">Age: </w:t>
            </w:r>
            <w:r>
              <w:rPr>
                <w:rFonts w:ascii="ARIAL" w:hAnsi="ARIAL"/>
                <w:color w:val="3F3F3F"/>
                <w:sz w:val="18"/>
              </w:rPr>
              <w:t>66</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Board Committees:</w:t>
            </w:r>
          </w:p>
          <w:p>
            <w:pPr>
              <w:pStyle w:val="TableContents"/>
              <w:bidi w:val="0"/>
              <w:spacing w:before="0" w:after="0"/>
              <w:jc w:val="left"/>
              <w:rPr>
                <w:color w:val="3F3F3F"/>
              </w:rPr>
            </w:pPr>
            <w:r>
              <w:rPr>
                <w:color w:val="3F3F3F"/>
              </w:rPr>
              <w:t>•  </w:t>
            </w:r>
            <w:r>
              <w:rPr>
                <w:rFonts w:ascii="ARIAL" w:hAnsi="ARIAL"/>
                <w:color w:val="3F3F3F"/>
                <w:sz w:val="18"/>
              </w:rPr>
              <w:t>Compensation (Chair)</w:t>
            </w:r>
          </w:p>
          <w:p>
            <w:pPr>
              <w:pStyle w:val="TableContents"/>
              <w:bidi w:val="0"/>
              <w:spacing w:before="0" w:after="0"/>
              <w:jc w:val="left"/>
              <w:rPr>
                <w:color w:val="3F3F3F"/>
              </w:rPr>
            </w:pPr>
            <w:r>
              <w:rPr>
                <w:color w:val="3F3F3F"/>
              </w:rPr>
              <w:t>•  </w:t>
            </w:r>
            <w:r>
              <w:rPr>
                <w:rFonts w:ascii="ARIAL" w:hAnsi="ARIAL"/>
                <w:color w:val="3F3F3F"/>
                <w:sz w:val="18"/>
              </w:rPr>
              <w:t>Compliance and Risk Oversight</w:t>
            </w:r>
          </w:p>
          <w:p>
            <w:pPr>
              <w:pStyle w:val="TableContents"/>
              <w:bidi w:val="0"/>
              <w:spacing w:before="0" w:after="0"/>
              <w:jc w:val="left"/>
              <w:rPr>
                <w:color w:val="3F3F3F"/>
              </w:rPr>
            </w:pPr>
            <w:r>
              <w:rPr>
                <w:color w:val="3F3F3F"/>
              </w:rPr>
              <w:t>•  </w:t>
            </w:r>
            <w:r>
              <w:rPr>
                <w:rFonts w:ascii="ARIAL" w:hAnsi="ARIAL"/>
                <w:color w:val="3F3F3F"/>
                <w:sz w:val="18"/>
              </w:rPr>
              <w:t>Governance and Sustainability</w:t>
            </w:r>
          </w:p>
          <w:p>
            <w:pPr>
              <w:pStyle w:val="TableContents"/>
              <w:bidi w:val="0"/>
              <w:spacing w:before="0" w:after="0"/>
              <w:jc w:val="left"/>
              <w:rPr/>
            </w:pPr>
            <w:r>
              <w:rPr/>
              <w:t> </w:t>
            </w:r>
          </w:p>
          <w:p>
            <w:pPr>
              <w:pStyle w:val="TableContents"/>
              <w:bidi w:val="0"/>
              <w:spacing w:before="0" w:after="20"/>
              <w:jc w:val="left"/>
              <w:rPr>
                <w:rFonts w:ascii="ARIAL" w:hAnsi="ARIAL"/>
                <w:b/>
                <w:color w:val="231161"/>
                <w:sz w:val="18"/>
              </w:rPr>
            </w:pPr>
            <w:r>
              <w:rPr>
                <w:rFonts w:ascii="ARIAL" w:hAnsi="ARIAL"/>
                <w:b/>
                <w:color w:val="231161"/>
                <w:sz w:val="18"/>
              </w:rPr>
              <w:t>Independent Director</w:t>
            </w:r>
          </w:p>
        </w:tc>
        <w:tc>
          <w:tcPr>
            <w:tcW w:w="120" w:type="dxa"/>
            <w:tcBorders/>
            <w:vAlign w:val="center"/>
          </w:tcPr>
          <w:p>
            <w:pPr>
              <w:pStyle w:val="TableContents"/>
              <w:bidi w:val="0"/>
              <w:spacing w:before="0" w:after="283"/>
              <w:jc w:val="left"/>
              <w:rPr/>
            </w:pPr>
            <w:r>
              <w:rPr/>
              <w:t>  </w:t>
            </w:r>
          </w:p>
        </w:tc>
        <w:tc>
          <w:tcPr>
            <w:tcW w:w="8729" w:type="dxa"/>
            <w:tcBorders/>
            <w:vAlign w:val="center"/>
          </w:tcPr>
          <w:p>
            <w:pPr>
              <w:pStyle w:val="TableContents"/>
              <w:bidi w:val="0"/>
              <w:spacing w:before="0" w:after="0"/>
              <w:jc w:val="left"/>
              <w:rPr>
                <w:rFonts w:ascii="ARIAL" w:hAnsi="ARIAL"/>
                <w:b/>
                <w:color w:val="231161"/>
                <w:sz w:val="24"/>
              </w:rPr>
            </w:pPr>
            <w:r>
              <w:rPr>
                <w:rFonts w:ascii="ARIAL" w:hAnsi="ARIAL"/>
                <w:b/>
                <w:color w:val="231161"/>
                <w:sz w:val="24"/>
              </w:rPr>
              <w:t>Harry Korman</w:t>
            </w:r>
          </w:p>
          <w:p>
            <w:pPr>
              <w:pStyle w:val="TableContents"/>
              <w:bidi w:val="0"/>
              <w:spacing w:before="0" w:after="0"/>
              <w:jc w:val="left"/>
              <w:rPr/>
            </w:pPr>
            <w:r>
              <w:rPr/>
              <w:t> </w:t>
            </w:r>
          </w:p>
          <w:p>
            <w:pPr>
              <w:pStyle w:val="TableContents"/>
              <w:bidi w:val="0"/>
              <w:spacing w:before="0" w:after="0"/>
              <w:jc w:val="both"/>
              <w:rPr>
                <w:color w:val="3F3F3F"/>
              </w:rPr>
            </w:pPr>
            <w:r>
              <w:rPr>
                <w:color w:val="3F3F3F"/>
              </w:rPr>
              <w:t>•  </w:t>
            </w:r>
            <w:r>
              <w:rPr>
                <w:rFonts w:ascii="ARIAL" w:hAnsi="ARIAL"/>
                <w:color w:val="3F3F3F"/>
                <w:sz w:val="18"/>
              </w:rPr>
              <w:t xml:space="preserve">Held senior executive roles of increasing responsibility, including Global Chief Operating Officer (2012 - 2014, after which he served as a consultant (2014 - 2015)), President, North America (2007 - 2012), President, Mylan Pharmaceuticals Inc. (2005 - 2009); joined in 1996 after the company’s acquisition of UDL Laboratories, Inc. (n/k/a Mylan Institutional Inc.), </w:t>
            </w:r>
            <w:r>
              <w:rPr>
                <w:rFonts w:ascii="ARIAL" w:hAnsi="ARIAL"/>
                <w:b/>
                <w:color w:val="3F3F3F"/>
                <w:sz w:val="18"/>
              </w:rPr>
              <w:t>Mylan Inc.</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Key Skills and Experience:</w:t>
            </w:r>
          </w:p>
          <w:p>
            <w:pPr>
              <w:pStyle w:val="TableContents"/>
              <w:bidi w:val="0"/>
              <w:spacing w:before="0" w:after="0"/>
              <w:jc w:val="both"/>
              <w:rPr>
                <w:color w:val="3F3F3F"/>
              </w:rPr>
            </w:pPr>
            <w:r>
              <w:rPr>
                <w:color w:val="3F3F3F"/>
              </w:rPr>
              <w:t>•  </w:t>
            </w:r>
            <w:r>
              <w:rPr>
                <w:rFonts w:ascii="ARIAL" w:hAnsi="ARIAL"/>
                <w:b/>
                <w:color w:val="3F3F3F"/>
                <w:sz w:val="18"/>
              </w:rPr>
              <w:t>Public Company Management, Corporate Governance/CSR, Healthcare Industry, Risk Oversight/Compliance, Strategy and M&amp;A,</w:t>
            </w:r>
            <w:r>
              <w:rPr>
                <w:rFonts w:ascii="ARIAL" w:hAnsi="ARIAL"/>
                <w:color w:val="3F3F3F"/>
                <w:sz w:val="18"/>
              </w:rPr>
              <w:t xml:space="preserve"> and </w:t>
            </w:r>
            <w:r>
              <w:rPr>
                <w:rFonts w:ascii="ARIAL" w:hAnsi="ARIAL"/>
                <w:b/>
                <w:color w:val="3F3F3F"/>
                <w:sz w:val="18"/>
              </w:rPr>
              <w:t>Global Business Experience</w:t>
            </w:r>
            <w:r>
              <w:rPr>
                <w:rFonts w:ascii="ARIAL" w:hAnsi="ARIAL"/>
                <w:color w:val="3F3F3F"/>
                <w:sz w:val="18"/>
              </w:rPr>
              <w:t xml:space="preserve"> gained during his almost 20 years serving in leadership roles at Mylan, where he helped grow their generics business and ultimately had responsibility for all operations as Global Chief Operating Officer</w:t>
            </w:r>
          </w:p>
          <w:p>
            <w:pPr>
              <w:pStyle w:val="TableContents"/>
              <w:bidi w:val="0"/>
              <w:spacing w:before="0" w:after="0"/>
              <w:jc w:val="both"/>
              <w:rPr>
                <w:color w:val="3F3F3F"/>
              </w:rPr>
            </w:pPr>
            <w:r>
              <w:rPr>
                <w:color w:val="3F3F3F"/>
              </w:rPr>
              <w:t>•  </w:t>
            </w:r>
            <w:r>
              <w:rPr>
                <w:rFonts w:ascii="ARIAL" w:hAnsi="ARIAL"/>
                <w:color w:val="3F3F3F"/>
                <w:sz w:val="18"/>
              </w:rPr>
              <w:t xml:space="preserve">Mr. Korman also brings </w:t>
            </w:r>
            <w:r>
              <w:rPr>
                <w:rFonts w:ascii="ARIAL" w:hAnsi="ARIAL"/>
                <w:b/>
                <w:color w:val="3F3F3F"/>
                <w:sz w:val="18"/>
              </w:rPr>
              <w:t xml:space="preserve">Information Security Experience </w:t>
            </w:r>
            <w:r>
              <w:rPr>
                <w:rFonts w:ascii="ARIAL" w:hAnsi="ARIAL"/>
                <w:color w:val="3F3F3F"/>
                <w:sz w:val="18"/>
              </w:rPr>
              <w:t>to the Board</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Former Public Company Boards:</w:t>
            </w:r>
          </w:p>
          <w:p>
            <w:pPr>
              <w:pStyle w:val="TableContents"/>
              <w:bidi w:val="0"/>
              <w:spacing w:before="0" w:after="0"/>
              <w:jc w:val="both"/>
              <w:rPr>
                <w:color w:val="3F3F3F"/>
              </w:rPr>
            </w:pPr>
            <w:r>
              <w:rPr>
                <w:color w:val="3F3F3F"/>
              </w:rPr>
              <w:t>•  </w:t>
            </w:r>
            <w:r>
              <w:rPr>
                <w:rFonts w:ascii="ARIAL" w:hAnsi="ARIAL"/>
                <w:b/>
                <w:color w:val="3F3F3F"/>
                <w:sz w:val="18"/>
              </w:rPr>
              <w:t xml:space="preserve">Mylan </w:t>
            </w:r>
            <w:r>
              <w:rPr>
                <w:rFonts w:ascii="ARIAL" w:hAnsi="ARIAL"/>
                <w:color w:val="3F3F3F"/>
                <w:sz w:val="18"/>
              </w:rPr>
              <w:t>(2018 - the closing of the Combination in 2020), Director, most recently Chair of the Risk Oversight Committee and member of the Compliance, Governance and Nominating, and Science and Technology Committees</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Other Organizations:</w:t>
            </w:r>
          </w:p>
          <w:p>
            <w:pPr>
              <w:pStyle w:val="TableContents"/>
              <w:bidi w:val="0"/>
              <w:spacing w:before="0" w:after="0"/>
              <w:jc w:val="both"/>
              <w:rPr>
                <w:color w:val="3F3F3F"/>
              </w:rPr>
            </w:pPr>
            <w:r>
              <w:rPr>
                <w:color w:val="3F3F3F"/>
              </w:rPr>
              <w:t>•  </w:t>
            </w:r>
            <w:r>
              <w:rPr>
                <w:rFonts w:ascii="ARIAL" w:hAnsi="ARIAL"/>
                <w:color w:val="3F3F3F"/>
                <w:sz w:val="18"/>
              </w:rPr>
              <w:t xml:space="preserve">Past Director and Vice Chairman, </w:t>
            </w:r>
            <w:r>
              <w:rPr>
                <w:rFonts w:ascii="ARIAL" w:hAnsi="ARIAL"/>
                <w:b/>
                <w:color w:val="3F3F3F"/>
                <w:sz w:val="18"/>
              </w:rPr>
              <w:t>Generic Pharmaceutical Association,</w:t>
            </w:r>
            <w:r>
              <w:rPr>
                <w:rFonts w:ascii="ARIAL" w:hAnsi="ARIAL"/>
                <w:color w:val="3F3F3F"/>
                <w:sz w:val="18"/>
              </w:rPr>
              <w:t xml:space="preserve"> now known as the Association for Accessible Medicines</w:t>
            </w:r>
          </w:p>
          <w:p>
            <w:pPr>
              <w:pStyle w:val="TableContents"/>
              <w:bidi w:val="0"/>
              <w:spacing w:before="0" w:after="20"/>
              <w:jc w:val="both"/>
              <w:rPr>
                <w:color w:val="3F3F3F"/>
              </w:rPr>
            </w:pPr>
            <w:r>
              <w:rPr>
                <w:color w:val="3F3F3F"/>
              </w:rPr>
              <w:t>•  </w:t>
            </w:r>
            <w:r>
              <w:rPr>
                <w:rFonts w:ascii="ARIAL" w:hAnsi="ARIAL"/>
                <w:color w:val="3F3F3F"/>
                <w:sz w:val="18"/>
              </w:rPr>
              <w:t xml:space="preserve">Previous Director and Vice Chairman, </w:t>
            </w:r>
            <w:r>
              <w:rPr>
                <w:rFonts w:ascii="ARIAL" w:hAnsi="ARIAL"/>
                <w:b/>
                <w:color w:val="3F3F3F"/>
                <w:sz w:val="18"/>
              </w:rPr>
              <w:t>HDMA Foundation,</w:t>
            </w:r>
            <w:r>
              <w:rPr>
                <w:rFonts w:ascii="ARIAL" w:hAnsi="ARIAL"/>
                <w:color w:val="3F3F3F"/>
                <w:sz w:val="18"/>
              </w:rPr>
              <w:t xml:space="preserve"> which serves the healthcare industry by providing research and education focused on healthcare supply issues</w:t>
            </w:r>
          </w:p>
        </w:tc>
      </w:tr>
      <w:tr>
        <w:trPr/>
        <w:tc>
          <w:tcPr>
            <w:tcW w:w="10205" w:type="dxa"/>
            <w:gridSpan w:val="3"/>
            <w:tcBorders>
              <w:bottom w:val="dotted" w:sz="8" w:space="0" w:color="732282"/>
            </w:tcBorders>
            <w:tcMar>
              <w:bottom w:w="28" w:type="dxa"/>
            </w:tcMar>
            <w:vAlign w:val="center"/>
          </w:tcPr>
          <w:p>
            <w:pPr>
              <w:pStyle w:val="TableContents"/>
              <w:bidi w:val="0"/>
              <w:spacing w:before="0" w:after="283"/>
              <w:jc w:val="left"/>
              <w:rPr/>
            </w:pPr>
            <w:r>
              <w:rPr/>
              <w:t> </w:t>
            </w:r>
          </w:p>
        </w:tc>
      </w:tr>
      <w:tr>
        <w:trPr/>
        <w:tc>
          <w:tcPr>
            <w:tcW w:w="1356"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133350" cy="1365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33350" cy="1365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231161"/>
                <w:sz w:val="18"/>
              </w:rPr>
              <w:t>Director since</w:t>
            </w:r>
            <w:r>
              <w:rPr>
                <w:rFonts w:ascii="ARIAL" w:hAnsi="ARIAL"/>
                <w:color w:val="3F3F3F"/>
                <w:sz w:val="18"/>
              </w:rPr>
              <w:t xml:space="preserve"> 2020</w:t>
            </w:r>
          </w:p>
          <w:p>
            <w:pPr>
              <w:pStyle w:val="TableContents"/>
              <w:bidi w:val="0"/>
              <w:spacing w:before="0" w:after="0"/>
              <w:jc w:val="left"/>
              <w:rPr>
                <w:rFonts w:ascii="ARIAL" w:hAnsi="ARIAL"/>
                <w:sz w:val="18"/>
              </w:rPr>
            </w:pPr>
            <w:r>
              <w:rPr>
                <w:rFonts w:ascii="ARIAL" w:hAnsi="ARIAL"/>
                <w:b/>
                <w:color w:val="231161"/>
                <w:sz w:val="18"/>
              </w:rPr>
              <w:t xml:space="preserve">Age: </w:t>
            </w:r>
            <w:r>
              <w:rPr>
                <w:rFonts w:ascii="ARIAL" w:hAnsi="ARIAL"/>
                <w:color w:val="3F3F3F"/>
                <w:sz w:val="18"/>
              </w:rPr>
              <w:t>63</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Board Committees:</w:t>
            </w:r>
          </w:p>
          <w:p>
            <w:pPr>
              <w:pStyle w:val="TableContents"/>
              <w:bidi w:val="0"/>
              <w:spacing w:before="0" w:after="0"/>
              <w:jc w:val="both"/>
              <w:rPr>
                <w:rFonts w:ascii="ARIAL" w:hAnsi="ARIAL"/>
                <w:color w:val="3F3F3F"/>
                <w:sz w:val="18"/>
              </w:rPr>
            </w:pPr>
            <w:r>
              <w:rPr>
                <w:rFonts w:ascii="ARIAL" w:hAnsi="ARIAL"/>
                <w:color w:val="3F3F3F"/>
                <w:sz w:val="18"/>
              </w:rPr>
              <w:t>N/A</w:t>
            </w:r>
          </w:p>
          <w:p>
            <w:pPr>
              <w:pStyle w:val="TableContents"/>
              <w:bidi w:val="0"/>
              <w:spacing w:before="0" w:after="0"/>
              <w:jc w:val="left"/>
              <w:rPr/>
            </w:pPr>
            <w:r>
              <w:rPr/>
              <w:t> </w:t>
            </w:r>
          </w:p>
          <w:p>
            <w:pPr>
              <w:pStyle w:val="TableContents"/>
              <w:bidi w:val="0"/>
              <w:spacing w:before="0" w:after="20"/>
              <w:jc w:val="left"/>
              <w:rPr>
                <w:rFonts w:ascii="ARIAL" w:hAnsi="ARIAL"/>
                <w:b/>
                <w:color w:val="231161"/>
                <w:sz w:val="18"/>
              </w:rPr>
            </w:pPr>
            <w:r>
              <w:rPr>
                <w:rFonts w:ascii="ARIAL" w:hAnsi="ARIAL"/>
                <w:b/>
                <w:color w:val="231161"/>
                <w:sz w:val="18"/>
              </w:rPr>
              <w:t>Director</w:t>
            </w:r>
          </w:p>
        </w:tc>
        <w:tc>
          <w:tcPr>
            <w:tcW w:w="120" w:type="dxa"/>
            <w:tcBorders/>
            <w:vAlign w:val="center"/>
          </w:tcPr>
          <w:p>
            <w:pPr>
              <w:pStyle w:val="TableContents"/>
              <w:bidi w:val="0"/>
              <w:spacing w:before="0" w:after="283"/>
              <w:jc w:val="left"/>
              <w:rPr/>
            </w:pPr>
            <w:r>
              <w:rPr/>
              <w:t>  </w:t>
            </w:r>
          </w:p>
        </w:tc>
        <w:tc>
          <w:tcPr>
            <w:tcW w:w="8729"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231161"/>
                <w:sz w:val="24"/>
              </w:rPr>
            </w:pPr>
            <w:r>
              <w:rPr>
                <w:rFonts w:ascii="ARIAL" w:hAnsi="ARIAL"/>
                <w:b/>
                <w:color w:val="231161"/>
                <w:sz w:val="24"/>
              </w:rPr>
              <w:t>Rajiv Malik</w:t>
            </w:r>
          </w:p>
          <w:p>
            <w:pPr>
              <w:pStyle w:val="TableContents"/>
              <w:bidi w:val="0"/>
              <w:spacing w:before="0" w:after="0"/>
              <w:jc w:val="left"/>
              <w:rPr/>
            </w:pPr>
            <w:r>
              <w:rPr/>
              <w:t> </w:t>
            </w:r>
          </w:p>
          <w:p>
            <w:pPr>
              <w:pStyle w:val="TableContents"/>
              <w:bidi w:val="0"/>
              <w:spacing w:before="0" w:after="0"/>
              <w:jc w:val="both"/>
              <w:rPr>
                <w:color w:val="3F3F3F"/>
              </w:rPr>
            </w:pPr>
            <w:r>
              <w:rPr>
                <w:color w:val="3F3F3F"/>
              </w:rPr>
              <w:t>•  </w:t>
            </w:r>
            <w:r>
              <w:rPr>
                <w:rFonts w:ascii="ARIAL" w:hAnsi="ARIAL"/>
                <w:color w:val="3F3F3F"/>
                <w:sz w:val="18"/>
              </w:rPr>
              <w:t xml:space="preserve">Retired President (from the closing of the Combination in 2020 to April 2024), </w:t>
            </w:r>
            <w:r>
              <w:rPr>
                <w:rFonts w:ascii="ARIAL" w:hAnsi="ARIAL"/>
                <w:b/>
                <w:color w:val="3F3F3F"/>
                <w:sz w:val="18"/>
              </w:rPr>
              <w:t>Viatris</w:t>
            </w:r>
          </w:p>
          <w:p>
            <w:pPr>
              <w:pStyle w:val="TableContents"/>
              <w:bidi w:val="0"/>
              <w:spacing w:before="0" w:after="0"/>
              <w:jc w:val="both"/>
              <w:rPr>
                <w:color w:val="3F3F3F"/>
              </w:rPr>
            </w:pPr>
            <w:r>
              <w:rPr>
                <w:color w:val="3F3F3F"/>
              </w:rPr>
              <w:t>•  </w:t>
            </w:r>
            <w:r>
              <w:rPr>
                <w:rFonts w:ascii="ARIAL" w:hAnsi="ARIAL"/>
                <w:color w:val="3F3F3F"/>
                <w:sz w:val="18"/>
              </w:rPr>
              <w:t xml:space="preserve">President (2012 - the closing of the Combination in 2020), Executive Vice President and Chief Operating Officer (2009 - 2012), Head of Global Technical Operations (2007 - 2009); joined the company in 2007, </w:t>
            </w:r>
            <w:r>
              <w:rPr>
                <w:rFonts w:ascii="ARIAL" w:hAnsi="ARIAL"/>
                <w:b/>
                <w:color w:val="3F3F3F"/>
                <w:sz w:val="18"/>
              </w:rPr>
              <w:t>Mylan</w:t>
            </w:r>
          </w:p>
          <w:p>
            <w:pPr>
              <w:pStyle w:val="TableContents"/>
              <w:bidi w:val="0"/>
              <w:spacing w:before="0" w:after="0"/>
              <w:jc w:val="both"/>
              <w:rPr>
                <w:color w:val="3F3F3F"/>
              </w:rPr>
            </w:pPr>
            <w:r>
              <w:rPr>
                <w:color w:val="3F3F3F"/>
              </w:rPr>
              <w:t>•  </w:t>
            </w:r>
            <w:r>
              <w:rPr>
                <w:rFonts w:ascii="ARIAL" w:hAnsi="ARIAL"/>
                <w:color w:val="3F3F3F"/>
                <w:sz w:val="18"/>
              </w:rPr>
              <w:t xml:space="preserve">Chief Executive Officer (2005 - 2008), </w:t>
            </w:r>
            <w:r>
              <w:rPr>
                <w:rFonts w:ascii="ARIAL" w:hAnsi="ARIAL"/>
                <w:b/>
                <w:color w:val="3F3F3F"/>
                <w:sz w:val="18"/>
              </w:rPr>
              <w:t>Matrix Laboratories Limited</w:t>
            </w:r>
            <w:r>
              <w:rPr>
                <w:rFonts w:ascii="ARIAL" w:hAnsi="ARIAL"/>
                <w:color w:val="3F3F3F"/>
                <w:sz w:val="18"/>
              </w:rPr>
              <w:t xml:space="preserve"> (now Mylan Laboratories Limited)</w:t>
            </w:r>
          </w:p>
          <w:p>
            <w:pPr>
              <w:pStyle w:val="TableContents"/>
              <w:bidi w:val="0"/>
              <w:spacing w:before="0" w:after="0"/>
              <w:jc w:val="both"/>
              <w:rPr>
                <w:color w:val="3F3F3F"/>
              </w:rPr>
            </w:pPr>
            <w:r>
              <w:rPr>
                <w:color w:val="3F3F3F"/>
              </w:rPr>
              <w:t>•  </w:t>
            </w:r>
            <w:r>
              <w:rPr>
                <w:rFonts w:ascii="ARIAL" w:hAnsi="ARIAL"/>
                <w:color w:val="3F3F3F"/>
                <w:sz w:val="18"/>
              </w:rPr>
              <w:t xml:space="preserve">Head of Global Development and Registrations (2003 - 2005), </w:t>
            </w:r>
            <w:r>
              <w:rPr>
                <w:rFonts w:ascii="ARIAL" w:hAnsi="ARIAL"/>
                <w:b/>
                <w:color w:val="3F3F3F"/>
                <w:sz w:val="18"/>
              </w:rPr>
              <w:t>Sandoz GmbH</w:t>
            </w:r>
          </w:p>
          <w:p>
            <w:pPr>
              <w:pStyle w:val="TableContents"/>
              <w:bidi w:val="0"/>
              <w:spacing w:before="0" w:after="0"/>
              <w:jc w:val="both"/>
              <w:rPr>
                <w:color w:val="3F3F3F"/>
              </w:rPr>
            </w:pPr>
            <w:r>
              <w:rPr>
                <w:color w:val="3F3F3F"/>
              </w:rPr>
              <w:t>•  </w:t>
            </w:r>
            <w:r>
              <w:rPr>
                <w:rFonts w:ascii="ARIAL" w:hAnsi="ARIAL"/>
                <w:color w:val="3F3F3F"/>
                <w:sz w:val="18"/>
              </w:rPr>
              <w:t xml:space="preserve">Head of Global Regulatory Affairs and Head of Pharma Research (1999 - 2003), </w:t>
            </w:r>
            <w:r>
              <w:rPr>
                <w:rFonts w:ascii="ARIAL" w:hAnsi="ARIAL"/>
                <w:b/>
                <w:color w:val="3F3F3F"/>
                <w:sz w:val="18"/>
              </w:rPr>
              <w:t>Ranbaxy</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Key Skills and Experience:</w:t>
            </w:r>
          </w:p>
          <w:p>
            <w:pPr>
              <w:pStyle w:val="TableContents"/>
              <w:bidi w:val="0"/>
              <w:spacing w:before="0" w:after="0"/>
              <w:jc w:val="both"/>
              <w:rPr>
                <w:color w:val="3F3F3F"/>
              </w:rPr>
            </w:pPr>
            <w:r>
              <w:rPr>
                <w:color w:val="3F3F3F"/>
              </w:rPr>
              <w:t>•  </w:t>
            </w:r>
            <w:r>
              <w:rPr>
                <w:rFonts w:ascii="ARIAL" w:hAnsi="ARIAL"/>
                <w:b/>
                <w:color w:val="3F3F3F"/>
                <w:sz w:val="18"/>
              </w:rPr>
              <w:t>Public Company Management, Finance, Accounting and Capital Markets, Healthcare Industry, Information Security, Legal and Regulatory Oversight, Risk Oversight/Compliance, Strategy and M&amp;A,</w:t>
            </w:r>
            <w:r>
              <w:rPr>
                <w:rFonts w:ascii="ARIAL" w:hAnsi="ARIAL"/>
                <w:color w:val="3F3F3F"/>
                <w:sz w:val="18"/>
              </w:rPr>
              <w:t xml:space="preserve"> and </w:t>
            </w:r>
            <w:r>
              <w:rPr>
                <w:rFonts w:ascii="ARIAL" w:hAnsi="ARIAL"/>
                <w:b/>
                <w:color w:val="3F3F3F"/>
                <w:sz w:val="18"/>
              </w:rPr>
              <w:t>Global Business Experience</w:t>
            </w:r>
            <w:r>
              <w:rPr>
                <w:rFonts w:ascii="ARIAL" w:hAnsi="ARIAL"/>
                <w:color w:val="3F3F3F"/>
                <w:sz w:val="18"/>
              </w:rPr>
              <w:t xml:space="preserve"> acquired over his extensive career in the healthcare industry, including at Mylan where he was integral in helping to develop the strategies for the company’s acquisitions for over 10 years, as well as the execution and integration of those acquisitions, and was responsible for leading global commercial, scientific, operational, IT and business development activities in more than 165 countries and territories, a portfolio of more than 7,500 products, a pipeline of approximately 1,200 products, and more than 40 manufacturing facilities around the world and further enhanced in his most recent role, where he was responsible for the day-to-day operations of the Company, overseeing the Company’s commercial business units, the Commercial Development, Medical, IT and Quality functions, as well as R&amp;D and Operations and where he played a leading role in integrating the two legacy companies while stabilizing the business until his retirement in April 2024</w:t>
            </w:r>
          </w:p>
          <w:p>
            <w:pPr>
              <w:pStyle w:val="TableContents"/>
              <w:bidi w:val="0"/>
              <w:spacing w:before="0" w:after="0"/>
              <w:jc w:val="both"/>
              <w:rPr>
                <w:color w:val="3F3F3F"/>
              </w:rPr>
            </w:pPr>
            <w:r>
              <w:rPr>
                <w:color w:val="3F3F3F"/>
              </w:rPr>
              <w:t>•  </w:t>
            </w:r>
            <w:r>
              <w:rPr>
                <w:rFonts w:ascii="ARIAL" w:hAnsi="ARIAL"/>
                <w:color w:val="3F3F3F"/>
                <w:sz w:val="18"/>
              </w:rPr>
              <w:t xml:space="preserve">Mr. Malik also brings </w:t>
            </w:r>
            <w:r>
              <w:rPr>
                <w:rFonts w:ascii="ARIAL" w:hAnsi="ARIAL"/>
                <w:b/>
                <w:color w:val="3F3F3F"/>
                <w:sz w:val="18"/>
              </w:rPr>
              <w:t>Human Capital Management Experience</w:t>
            </w:r>
            <w:r>
              <w:rPr>
                <w:rFonts w:ascii="ARIAL" w:hAnsi="ARIAL"/>
                <w:color w:val="3F3F3F"/>
                <w:sz w:val="18"/>
              </w:rPr>
              <w:t>, including oversight of DEI, to the Board</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Current Private Company Boards:</w:t>
            </w:r>
          </w:p>
          <w:p>
            <w:pPr>
              <w:pStyle w:val="TableContents"/>
              <w:bidi w:val="0"/>
              <w:spacing w:before="0" w:after="0"/>
              <w:jc w:val="both"/>
              <w:rPr>
                <w:color w:val="3F3F3F"/>
              </w:rPr>
            </w:pPr>
            <w:r>
              <w:rPr>
                <w:color w:val="3F3F3F"/>
              </w:rPr>
              <w:t>•  </w:t>
            </w:r>
            <w:r>
              <w:rPr>
                <w:rFonts w:ascii="ARIAL" w:hAnsi="ARIAL"/>
                <w:color w:val="3F3F3F"/>
                <w:sz w:val="18"/>
              </w:rPr>
              <w:t xml:space="preserve">Non-executive non-independent and Viatris nominee director (since 2022), </w:t>
            </w:r>
            <w:r>
              <w:rPr>
                <w:rFonts w:ascii="ARIAL" w:hAnsi="ARIAL"/>
                <w:b/>
                <w:color w:val="3F3F3F"/>
                <w:sz w:val="18"/>
              </w:rPr>
              <w:t xml:space="preserve">Biocon Biologics Limited, </w:t>
            </w:r>
            <w:r>
              <w:rPr>
                <w:rFonts w:ascii="ARIAL" w:hAnsi="ARIAL"/>
                <w:color w:val="3F3F3F"/>
                <w:sz w:val="18"/>
              </w:rPr>
              <w:t>a majority owned subsidiary of Biocon Limited</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Former Public Company Boards:</w:t>
            </w:r>
          </w:p>
          <w:p>
            <w:pPr>
              <w:pStyle w:val="TableContents"/>
              <w:bidi w:val="0"/>
              <w:spacing w:before="0" w:after="20"/>
              <w:jc w:val="both"/>
              <w:rPr>
                <w:color w:val="3F3F3F"/>
              </w:rPr>
            </w:pPr>
            <w:r>
              <w:rPr>
                <w:color w:val="3F3F3F"/>
              </w:rPr>
              <w:t>•  </w:t>
            </w:r>
            <w:r>
              <w:rPr>
                <w:rFonts w:ascii="ARIAL" w:hAnsi="ARIAL"/>
                <w:b/>
                <w:color w:val="3F3F3F"/>
                <w:sz w:val="18"/>
              </w:rPr>
              <w:t xml:space="preserve">Mylan </w:t>
            </w:r>
            <w:r>
              <w:rPr>
                <w:rFonts w:ascii="ARIAL" w:hAnsi="ARIAL"/>
                <w:color w:val="3F3F3F"/>
                <w:sz w:val="18"/>
              </w:rPr>
              <w:t>(2012 - the closing of the Combination in 2020), Director</w:t>
            </w:r>
          </w:p>
        </w:tc>
      </w:tr>
      <w:tr>
        <w:trPr/>
        <w:tc>
          <w:tcPr>
            <w:tcW w:w="10205" w:type="dxa"/>
            <w:gridSpan w:val="3"/>
            <w:tcBorders>
              <w:bottom w:val="dotted" w:sz="8" w:space="0" w:color="732282"/>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473"/>
        <w:gridCol w:w="120"/>
        <w:gridCol w:w="8612"/>
      </w:tblGrid>
      <w:tr>
        <w:trPr/>
        <w:tc>
          <w:tcPr>
            <w:tcW w:w="14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12" w:type="dxa"/>
            <w:tcBorders/>
            <w:vAlign w:val="center"/>
          </w:tcPr>
          <w:p>
            <w:pPr>
              <w:pStyle w:val="TableContents"/>
              <w:bidi w:val="0"/>
              <w:spacing w:before="0" w:after="283"/>
              <w:jc w:val="left"/>
              <w:rPr>
                <w:sz w:val="4"/>
                <w:szCs w:val="4"/>
              </w:rPr>
            </w:pPr>
            <w:r>
              <w:rPr>
                <w:sz w:val="4"/>
                <w:szCs w:val="4"/>
              </w:rPr>
            </w:r>
          </w:p>
        </w:tc>
      </w:tr>
      <w:tr>
        <w:trPr/>
        <w:tc>
          <w:tcPr>
            <w:tcW w:w="1473" w:type="dxa"/>
            <w:tcBorders/>
            <w:vAlign w:val="center"/>
          </w:tcPr>
          <w:p>
            <w:pPr>
              <w:pStyle w:val="TableContents"/>
              <w:bidi w:val="0"/>
              <w:spacing w:before="0" w:after="0"/>
              <w:jc w:val="left"/>
              <w:rPr/>
            </w:pPr>
            <w:r>
              <w:rPr/>
              <w:t> </w:t>
            </w:r>
          </w:p>
          <w:p>
            <w:pPr>
              <w:pStyle w:val="TableContents"/>
              <w:bidi w:val="0"/>
              <w:spacing w:before="0" w:after="0"/>
              <w:jc w:val="both"/>
              <w:rPr/>
            </w:pPr>
            <w:r>
              <w:rPr/>
              <w:drawing>
                <wp:inline distT="0" distB="0" distL="0" distR="0">
                  <wp:extent cx="133350" cy="1365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33350" cy="1365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231161"/>
                <w:sz w:val="18"/>
              </w:rPr>
              <w:t>Director since</w:t>
            </w:r>
            <w:r>
              <w:rPr>
                <w:rFonts w:ascii="ARIAL" w:hAnsi="ARIAL"/>
                <w:color w:val="3F3F3F"/>
                <w:sz w:val="18"/>
              </w:rPr>
              <w:t xml:space="preserve"> 2020</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231161"/>
                <w:sz w:val="18"/>
              </w:rPr>
              <w:t xml:space="preserve">Age: </w:t>
            </w:r>
            <w:r>
              <w:rPr>
                <w:rFonts w:ascii="ARIAL" w:hAnsi="ARIAL"/>
                <w:color w:val="3F3F3F"/>
                <w:sz w:val="18"/>
              </w:rPr>
              <w:t>70</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Board Committees:</w:t>
            </w:r>
          </w:p>
          <w:p>
            <w:pPr>
              <w:pStyle w:val="TableContents"/>
              <w:bidi w:val="0"/>
              <w:spacing w:before="0" w:after="0"/>
              <w:jc w:val="left"/>
              <w:rPr>
                <w:color w:val="3F3F3F"/>
              </w:rPr>
            </w:pPr>
            <w:r>
              <w:rPr>
                <w:color w:val="3F3F3F"/>
              </w:rPr>
              <w:t>•  </w:t>
            </w:r>
            <w:r>
              <w:rPr>
                <w:rFonts w:ascii="ARIAL" w:hAnsi="ARIAL"/>
                <w:color w:val="3F3F3F"/>
                <w:sz w:val="18"/>
              </w:rPr>
              <w:t>Audit* (Chair)</w:t>
            </w:r>
          </w:p>
          <w:p>
            <w:pPr>
              <w:pStyle w:val="TableContents"/>
              <w:bidi w:val="0"/>
              <w:spacing w:before="0" w:after="0"/>
              <w:jc w:val="left"/>
              <w:rPr>
                <w:color w:val="3F3F3F"/>
              </w:rPr>
            </w:pPr>
            <w:r>
              <w:rPr>
                <w:color w:val="3F3F3F"/>
              </w:rPr>
              <w:t>•  </w:t>
            </w:r>
            <w:r>
              <w:rPr>
                <w:rFonts w:ascii="ARIAL" w:hAnsi="ARIAL"/>
                <w:color w:val="3F3F3F"/>
                <w:sz w:val="18"/>
              </w:rPr>
              <w:t>Compliance and Risk Oversight</w:t>
            </w:r>
          </w:p>
          <w:p>
            <w:pPr>
              <w:pStyle w:val="TableContents"/>
              <w:bidi w:val="0"/>
              <w:spacing w:before="0" w:after="0"/>
              <w:jc w:val="left"/>
              <w:rPr>
                <w:color w:val="3F3F3F"/>
              </w:rPr>
            </w:pPr>
            <w:r>
              <w:rPr>
                <w:color w:val="3F3F3F"/>
              </w:rPr>
              <w:t>•  </w:t>
            </w:r>
            <w:r>
              <w:rPr>
                <w:rFonts w:ascii="ARIAL" w:hAnsi="ARIAL"/>
                <w:color w:val="3F3F3F"/>
                <w:sz w:val="18"/>
              </w:rPr>
              <w:t>Executive</w:t>
            </w:r>
          </w:p>
          <w:p>
            <w:pPr>
              <w:pStyle w:val="TableContents"/>
              <w:bidi w:val="0"/>
              <w:spacing w:before="0" w:after="0"/>
              <w:jc w:val="left"/>
              <w:rPr>
                <w:color w:val="3F3F3F"/>
              </w:rPr>
            </w:pPr>
            <w:r>
              <w:rPr>
                <w:color w:val="3F3F3F"/>
              </w:rPr>
              <w:t>•  </w:t>
            </w:r>
            <w:r>
              <w:rPr>
                <w:rFonts w:ascii="ARIAL" w:hAnsi="ARIAL"/>
                <w:color w:val="3F3F3F"/>
                <w:sz w:val="18"/>
              </w:rPr>
              <w:t>Finance</w:t>
            </w:r>
          </w:p>
          <w:p>
            <w:pPr>
              <w:pStyle w:val="TableContents"/>
              <w:bidi w:val="0"/>
              <w:spacing w:before="0" w:after="0"/>
              <w:jc w:val="left"/>
              <w:rPr/>
            </w:pPr>
            <w:r>
              <w:rPr/>
              <w:t> </w:t>
            </w:r>
          </w:p>
          <w:p>
            <w:pPr>
              <w:pStyle w:val="TableContents"/>
              <w:bidi w:val="0"/>
              <w:spacing w:before="0" w:after="20"/>
              <w:jc w:val="left"/>
              <w:rPr>
                <w:rFonts w:ascii="ARIAL" w:hAnsi="ARIAL"/>
                <w:b/>
                <w:color w:val="231161"/>
                <w:sz w:val="18"/>
              </w:rPr>
            </w:pPr>
            <w:r>
              <w:rPr>
                <w:rFonts w:ascii="ARIAL" w:hAnsi="ARIAL"/>
                <w:b/>
                <w:color w:val="231161"/>
                <w:sz w:val="18"/>
              </w:rPr>
              <w:t>Independent Director</w:t>
            </w:r>
          </w:p>
        </w:tc>
        <w:tc>
          <w:tcPr>
            <w:tcW w:w="120" w:type="dxa"/>
            <w:tcBorders/>
            <w:vAlign w:val="center"/>
          </w:tcPr>
          <w:p>
            <w:pPr>
              <w:pStyle w:val="TableContents"/>
              <w:bidi w:val="0"/>
              <w:spacing w:before="0" w:after="283"/>
              <w:jc w:val="left"/>
              <w:rPr/>
            </w:pPr>
            <w:r>
              <w:rPr/>
              <w:t>  </w:t>
            </w:r>
          </w:p>
        </w:tc>
        <w:tc>
          <w:tcPr>
            <w:tcW w:w="8612" w:type="dxa"/>
            <w:tcBorders/>
            <w:vAlign w:val="center"/>
          </w:tcPr>
          <w:p>
            <w:pPr>
              <w:pStyle w:val="TableContents"/>
              <w:bidi w:val="0"/>
              <w:spacing w:before="0" w:after="0"/>
              <w:jc w:val="left"/>
              <w:rPr>
                <w:rFonts w:ascii="ARIAL" w:hAnsi="ARIAL"/>
                <w:b/>
                <w:color w:val="231161"/>
                <w:sz w:val="24"/>
              </w:rPr>
            </w:pPr>
            <w:r>
              <w:rPr>
                <w:rFonts w:ascii="ARIAL" w:hAnsi="ARIAL"/>
                <w:b/>
                <w:color w:val="231161"/>
                <w:sz w:val="24"/>
              </w:rPr>
              <w:t>Richard Mark, C.P.A.</w:t>
            </w:r>
          </w:p>
          <w:p>
            <w:pPr>
              <w:pStyle w:val="TableContents"/>
              <w:bidi w:val="0"/>
              <w:spacing w:before="0" w:after="0"/>
              <w:jc w:val="left"/>
              <w:rPr/>
            </w:pPr>
            <w:r>
              <w:rPr/>
              <w:t> </w:t>
            </w:r>
          </w:p>
          <w:p>
            <w:pPr>
              <w:pStyle w:val="TableContents"/>
              <w:bidi w:val="0"/>
              <w:spacing w:before="0" w:after="0"/>
              <w:jc w:val="both"/>
              <w:rPr>
                <w:color w:val="3F3F3F"/>
              </w:rPr>
            </w:pPr>
            <w:r>
              <w:rPr>
                <w:color w:val="3F3F3F"/>
              </w:rPr>
              <w:t>•  </w:t>
            </w:r>
            <w:r>
              <w:rPr>
                <w:rFonts w:ascii="ARIAL" w:hAnsi="ARIAL"/>
                <w:color w:val="3F3F3F"/>
                <w:sz w:val="18"/>
              </w:rPr>
              <w:t xml:space="preserve">Partner (2002 - 2015), </w:t>
            </w:r>
            <w:r>
              <w:rPr>
                <w:rFonts w:ascii="ARIAL" w:hAnsi="ARIAL"/>
                <w:b/>
                <w:color w:val="3F3F3F"/>
                <w:sz w:val="18"/>
              </w:rPr>
              <w:t>Deloitte</w:t>
            </w:r>
            <w:r>
              <w:rPr>
                <w:rFonts w:ascii="ARIAL" w:hAnsi="ARIAL"/>
                <w:color w:val="3F3F3F"/>
                <w:sz w:val="18"/>
              </w:rPr>
              <w:t> </w:t>
            </w:r>
            <w:r>
              <w:rPr>
                <w:rFonts w:ascii="ARIAL" w:hAnsi="ARIAL"/>
                <w:b/>
                <w:color w:val="3F3F3F"/>
                <w:sz w:val="18"/>
              </w:rPr>
              <w:t>&amp; Touche LLP</w:t>
            </w:r>
            <w:r>
              <w:rPr>
                <w:rFonts w:ascii="ARIAL" w:hAnsi="ARIAL"/>
                <w:color w:val="3F3F3F"/>
                <w:sz w:val="18"/>
              </w:rPr>
              <w:t xml:space="preserve"> </w:t>
            </w:r>
            <w:r>
              <w:rPr>
                <w:rFonts w:ascii="ARIAL" w:hAnsi="ARIAL"/>
                <w:b/>
                <w:color w:val="3F3F3F"/>
                <w:sz w:val="18"/>
              </w:rPr>
              <w:t>(“Deloitte”)</w:t>
            </w:r>
          </w:p>
          <w:p>
            <w:pPr>
              <w:pStyle w:val="TableContents"/>
              <w:bidi w:val="0"/>
              <w:spacing w:before="0" w:after="0"/>
              <w:jc w:val="both"/>
              <w:rPr>
                <w:color w:val="3F3F3F"/>
              </w:rPr>
            </w:pPr>
            <w:r>
              <w:rPr>
                <w:color w:val="3F3F3F"/>
              </w:rPr>
              <w:t>•  </w:t>
            </w:r>
            <w:r>
              <w:rPr>
                <w:rFonts w:ascii="ARIAL" w:hAnsi="ARIAL"/>
                <w:color w:val="3F3F3F"/>
                <w:sz w:val="18"/>
              </w:rPr>
              <w:t xml:space="preserve">Audit Partner (1988 - 2002), Audit Manager (1981 - 1988), Senior Auditor (1977 - 1981), </w:t>
            </w:r>
            <w:r>
              <w:rPr>
                <w:rFonts w:ascii="ARIAL" w:hAnsi="ARIAL"/>
                <w:b/>
                <w:color w:val="3F3F3F"/>
                <w:sz w:val="18"/>
              </w:rPr>
              <w:t>Arthur Andersen</w:t>
            </w:r>
            <w:r>
              <w:rPr>
                <w:rFonts w:ascii="ARIAL" w:hAnsi="ARIAL"/>
                <w:color w:val="3F3F3F"/>
                <w:sz w:val="18"/>
              </w:rPr>
              <w:t> </w:t>
            </w:r>
            <w:r>
              <w:rPr>
                <w:rFonts w:ascii="ARIAL" w:hAnsi="ARIAL"/>
                <w:b/>
                <w:color w:val="3F3F3F"/>
                <w:sz w:val="18"/>
              </w:rPr>
              <w:t>&amp; Co.</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Key Skills and Experience:</w:t>
            </w:r>
          </w:p>
          <w:p>
            <w:pPr>
              <w:pStyle w:val="TableContents"/>
              <w:bidi w:val="0"/>
              <w:spacing w:lineRule="atLeast" w:line="200" w:before="0" w:after="0"/>
              <w:jc w:val="both"/>
              <w:rPr>
                <w:color w:val="3F3F3F"/>
              </w:rPr>
            </w:pPr>
            <w:r>
              <w:rPr>
                <w:color w:val="3F3F3F"/>
              </w:rPr>
              <w:t>•  </w:t>
            </w:r>
            <w:r>
              <w:rPr>
                <w:rFonts w:ascii="ARIAL" w:hAnsi="ARIAL"/>
                <w:b/>
                <w:color w:val="3F3F3F"/>
                <w:sz w:val="18"/>
              </w:rPr>
              <w:t>Public Company Management, Corporate Governance, Finance, Accounting and Capital Markets, Risk Oversight/Compliance, Strategy and M&amp;A,</w:t>
            </w:r>
            <w:r>
              <w:rPr>
                <w:rFonts w:ascii="ARIAL" w:hAnsi="ARIAL"/>
                <w:color w:val="3F3F3F"/>
                <w:sz w:val="18"/>
              </w:rPr>
              <w:t xml:space="preserve"> and </w:t>
            </w:r>
            <w:r>
              <w:rPr>
                <w:rFonts w:ascii="ARIAL" w:hAnsi="ARIAL"/>
                <w:b/>
                <w:color w:val="3F3F3F"/>
                <w:sz w:val="18"/>
              </w:rPr>
              <w:t>Global Business Experience</w:t>
            </w:r>
            <w:r>
              <w:rPr>
                <w:rFonts w:ascii="ARIAL" w:hAnsi="ARIAL"/>
                <w:color w:val="3F3F3F"/>
                <w:sz w:val="18"/>
              </w:rPr>
              <w:t xml:space="preserve"> gained over his extensive career auditing financial statements of public and private companies, consulting on financial issues with companies, and performing transaction diligence on behalf of financial and strategic buyers</w:t>
            </w:r>
          </w:p>
          <w:p>
            <w:pPr>
              <w:pStyle w:val="TableContents"/>
              <w:bidi w:val="0"/>
              <w:spacing w:lineRule="atLeast" w:line="200" w:before="0" w:after="0"/>
              <w:jc w:val="both"/>
              <w:rPr>
                <w:color w:val="3F3F3F"/>
              </w:rPr>
            </w:pPr>
            <w:r>
              <w:rPr>
                <w:color w:val="3F3F3F"/>
              </w:rPr>
              <w:t>•  </w:t>
            </w:r>
            <w:r>
              <w:rPr>
                <w:rFonts w:ascii="ARIAL" w:hAnsi="ARIAL"/>
                <w:color w:val="3F3F3F"/>
                <w:sz w:val="18"/>
              </w:rPr>
              <w:t xml:space="preserve">Mr. Mark also brings </w:t>
            </w:r>
            <w:r>
              <w:rPr>
                <w:rFonts w:ascii="ARIAL" w:hAnsi="ARIAL"/>
                <w:b/>
                <w:color w:val="3F3F3F"/>
                <w:sz w:val="18"/>
              </w:rPr>
              <w:t xml:space="preserve">Healthcare Industry </w:t>
            </w:r>
            <w:r>
              <w:rPr>
                <w:rFonts w:ascii="ARIAL" w:hAnsi="ARIAL"/>
                <w:color w:val="3F3F3F"/>
                <w:sz w:val="18"/>
              </w:rPr>
              <w:t xml:space="preserve">and </w:t>
            </w:r>
            <w:r>
              <w:rPr>
                <w:rFonts w:ascii="ARIAL" w:hAnsi="ARIAL"/>
                <w:b/>
                <w:color w:val="3F3F3F"/>
                <w:sz w:val="18"/>
              </w:rPr>
              <w:t xml:space="preserve">Information Security Experience </w:t>
            </w:r>
            <w:r>
              <w:rPr>
                <w:rFonts w:ascii="ARIAL" w:hAnsi="ARIAL"/>
                <w:color w:val="3F3F3F"/>
                <w:sz w:val="18"/>
              </w:rPr>
              <w:t>to the Board</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Other Current Public Company Boards:</w:t>
            </w:r>
          </w:p>
          <w:p>
            <w:pPr>
              <w:pStyle w:val="TableContents"/>
              <w:bidi w:val="0"/>
              <w:spacing w:lineRule="atLeast" w:line="200" w:before="0" w:after="0"/>
              <w:jc w:val="both"/>
              <w:rPr>
                <w:color w:val="3F3F3F"/>
              </w:rPr>
            </w:pPr>
            <w:r>
              <w:rPr>
                <w:color w:val="3F3F3F"/>
              </w:rPr>
              <w:t>•  </w:t>
            </w:r>
            <w:r>
              <w:rPr>
                <w:rFonts w:ascii="ARIAL" w:hAnsi="ARIAL"/>
                <w:b/>
                <w:color w:val="3F3F3F"/>
                <w:sz w:val="18"/>
              </w:rPr>
              <w:t>Goldman Sachs BDC, Inc.</w:t>
            </w:r>
            <w:r>
              <w:rPr>
                <w:rFonts w:ascii="ARIAL" w:hAnsi="ARIAL"/>
                <w:color w:val="3F3F3F"/>
                <w:sz w:val="18"/>
              </w:rPr>
              <w:t xml:space="preserve"> (“GSBDC”) (NYSE: GSBD) (since 2020), Director, Chair of the Audit Committee and member of the Compliance, Governance and Nominating, and Contract Review Committees</w:t>
            </w:r>
          </w:p>
          <w:p>
            <w:pPr>
              <w:pStyle w:val="TableContents"/>
              <w:bidi w:val="0"/>
              <w:spacing w:lineRule="atLeast" w:line="200" w:before="0" w:after="0"/>
              <w:jc w:val="both"/>
              <w:rPr>
                <w:color w:val="3F3F3F"/>
              </w:rPr>
            </w:pPr>
            <w:r>
              <w:rPr>
                <w:color w:val="3F3F3F"/>
              </w:rPr>
              <w:t>•  </w:t>
            </w:r>
            <w:r>
              <w:rPr>
                <w:rFonts w:ascii="ARIAL" w:hAnsi="ARIAL"/>
                <w:b/>
                <w:color w:val="3F3F3F"/>
                <w:sz w:val="18"/>
              </w:rPr>
              <w:t>Goldman Sachs Private Credit Corp.</w:t>
            </w:r>
            <w:r>
              <w:rPr>
                <w:rFonts w:ascii="ARIAL" w:hAnsi="ARIAL"/>
                <w:color w:val="3F3F3F"/>
                <w:sz w:val="18"/>
              </w:rPr>
              <w:t xml:space="preserve"> (since 2022) and </w:t>
            </w:r>
            <w:r>
              <w:rPr>
                <w:rFonts w:ascii="ARIAL" w:hAnsi="ARIAL"/>
                <w:b/>
                <w:color w:val="3F3F3F"/>
                <w:sz w:val="18"/>
              </w:rPr>
              <w:t>Goldman Sachs Middle Market Lending Corp. II</w:t>
            </w:r>
            <w:r>
              <w:rPr>
                <w:rFonts w:ascii="ARIAL" w:hAnsi="ARIAL"/>
                <w:color w:val="3F3F3F"/>
                <w:sz w:val="18"/>
              </w:rPr>
              <w:t xml:space="preserve"> (since 2020), Director, Chair of the Audit Committee and member of the Compliance, Governance and Nominating, and Contract Review Committees</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Former Public Company Boards:</w:t>
            </w:r>
          </w:p>
          <w:p>
            <w:pPr>
              <w:pStyle w:val="TableContents"/>
              <w:bidi w:val="0"/>
              <w:spacing w:lineRule="atLeast" w:line="200" w:before="0" w:after="0"/>
              <w:jc w:val="both"/>
              <w:rPr>
                <w:color w:val="3F3F3F"/>
              </w:rPr>
            </w:pPr>
            <w:r>
              <w:rPr>
                <w:color w:val="3F3F3F"/>
              </w:rPr>
              <w:t>•  </w:t>
            </w:r>
            <w:r>
              <w:rPr>
                <w:rFonts w:ascii="ARIAL" w:hAnsi="ARIAL"/>
                <w:b/>
                <w:color w:val="3F3F3F"/>
                <w:sz w:val="18"/>
              </w:rPr>
              <w:t>Mylan</w:t>
            </w:r>
            <w:r>
              <w:rPr>
                <w:rFonts w:ascii="ARIAL" w:hAnsi="ARIAL"/>
                <w:color w:val="3F3F3F"/>
                <w:sz w:val="18"/>
              </w:rPr>
              <w:t xml:space="preserve"> (2019 - the closing of the Combination in 2020), Director and most recently member of the Audit and Finance Committees</w:t>
            </w:r>
          </w:p>
          <w:p>
            <w:pPr>
              <w:pStyle w:val="TableContents"/>
              <w:bidi w:val="0"/>
              <w:spacing w:lineRule="atLeast" w:line="200" w:before="0" w:after="0"/>
              <w:jc w:val="both"/>
              <w:rPr>
                <w:color w:val="3F3F3F"/>
              </w:rPr>
            </w:pPr>
            <w:r>
              <w:rPr>
                <w:color w:val="3F3F3F"/>
              </w:rPr>
              <w:t>•  </w:t>
            </w:r>
            <w:r>
              <w:rPr>
                <w:rFonts w:ascii="ARIAL" w:hAnsi="ARIAL"/>
                <w:b/>
                <w:color w:val="3F3F3F"/>
                <w:sz w:val="18"/>
              </w:rPr>
              <w:t xml:space="preserve">Goldman Sachs Middle Market Lending Corp. </w:t>
            </w:r>
            <w:r>
              <w:rPr>
                <w:rFonts w:ascii="ARIAL" w:hAnsi="ARIAL"/>
                <w:color w:val="3F3F3F"/>
                <w:sz w:val="18"/>
              </w:rPr>
              <w:t>(2016 - 2020 when it merged with GSBDC), Director, most recently Chair of the Audit Committee and member of Compliance, Governance and Nominating, and Contract Review Committees</w:t>
            </w:r>
          </w:p>
          <w:p>
            <w:pPr>
              <w:pStyle w:val="TableContents"/>
              <w:bidi w:val="0"/>
              <w:spacing w:lineRule="atLeast" w:line="200" w:before="0" w:after="0"/>
              <w:jc w:val="both"/>
              <w:rPr>
                <w:color w:val="3F3F3F"/>
              </w:rPr>
            </w:pPr>
            <w:r>
              <w:rPr>
                <w:color w:val="3F3F3F"/>
              </w:rPr>
              <w:t>•  </w:t>
            </w:r>
            <w:r>
              <w:rPr>
                <w:rFonts w:ascii="ARIAL" w:hAnsi="ARIAL"/>
                <w:b/>
                <w:color w:val="3F3F3F"/>
                <w:sz w:val="18"/>
              </w:rPr>
              <w:t xml:space="preserve">Katy Industries, Inc. </w:t>
            </w:r>
            <w:r>
              <w:rPr>
                <w:rFonts w:ascii="ARIAL" w:hAnsi="ARIAL"/>
                <w:color w:val="3F3F3F"/>
                <w:sz w:val="18"/>
              </w:rPr>
              <w:t>(2015 - 2016), Chairman and most recently member of the Audit Committee</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Former Private Company Boards:</w:t>
            </w:r>
          </w:p>
          <w:p>
            <w:pPr>
              <w:pStyle w:val="TableContents"/>
              <w:bidi w:val="0"/>
              <w:spacing w:lineRule="atLeast" w:line="200" w:before="0" w:after="0"/>
              <w:jc w:val="both"/>
              <w:rPr>
                <w:color w:val="3F3F3F"/>
              </w:rPr>
            </w:pPr>
            <w:r>
              <w:rPr>
                <w:color w:val="3F3F3F"/>
              </w:rPr>
              <w:t>•  </w:t>
            </w:r>
            <w:r>
              <w:rPr>
                <w:rFonts w:ascii="ARIAL" w:hAnsi="ARIAL"/>
                <w:b/>
                <w:color w:val="3F3F3F"/>
                <w:sz w:val="18"/>
              </w:rPr>
              <w:t>Northwestern Memorial Healthcare</w:t>
            </w:r>
            <w:r>
              <w:rPr>
                <w:rFonts w:ascii="ARIAL" w:hAnsi="ARIAL"/>
                <w:color w:val="3F3F3F"/>
                <w:sz w:val="18"/>
              </w:rPr>
              <w:t xml:space="preserve"> (2014 - 2015), Director and member of the Executive and Nominating and Governance Committees</w:t>
            </w:r>
          </w:p>
          <w:p>
            <w:pPr>
              <w:pStyle w:val="TableContents"/>
              <w:bidi w:val="0"/>
              <w:spacing w:lineRule="atLeast" w:line="200" w:before="0" w:after="0"/>
              <w:jc w:val="both"/>
              <w:rPr>
                <w:color w:val="3F3F3F"/>
              </w:rPr>
            </w:pPr>
            <w:r>
              <w:rPr>
                <w:color w:val="3F3F3F"/>
              </w:rPr>
              <w:t>•  </w:t>
            </w:r>
            <w:r>
              <w:rPr>
                <w:rFonts w:ascii="ARIAL" w:hAnsi="ARIAL"/>
                <w:b/>
                <w:color w:val="3F3F3F"/>
                <w:sz w:val="18"/>
              </w:rPr>
              <w:t xml:space="preserve">Cadence Health </w:t>
            </w:r>
            <w:r>
              <w:rPr>
                <w:rFonts w:ascii="ARIAL" w:hAnsi="ARIAL"/>
                <w:color w:val="3F3F3F"/>
                <w:sz w:val="18"/>
              </w:rPr>
              <w:t>(1993 - 2014 when acquired by Northwestern), Director</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Other Organizations:</w:t>
            </w:r>
          </w:p>
          <w:p>
            <w:pPr>
              <w:pStyle w:val="TableContents"/>
              <w:bidi w:val="0"/>
              <w:spacing w:lineRule="atLeast" w:line="200" w:before="0" w:after="0"/>
              <w:jc w:val="both"/>
              <w:rPr>
                <w:color w:val="3F3F3F"/>
              </w:rPr>
            </w:pPr>
            <w:r>
              <w:rPr>
                <w:color w:val="3F3F3F"/>
              </w:rPr>
              <w:t>•  </w:t>
            </w:r>
            <w:r>
              <w:rPr>
                <w:rFonts w:ascii="ARIAL" w:hAnsi="ARIAL"/>
                <w:color w:val="3F3F3F"/>
                <w:sz w:val="18"/>
              </w:rPr>
              <w:t xml:space="preserve">Director and Chair of the Finance Committee, </w:t>
            </w:r>
            <w:r>
              <w:rPr>
                <w:rFonts w:ascii="ARIAL" w:hAnsi="ARIAL"/>
                <w:b/>
                <w:color w:val="3F3F3F"/>
                <w:sz w:val="18"/>
              </w:rPr>
              <w:t>Home Centered Care Institute,</w:t>
            </w:r>
            <w:r>
              <w:rPr>
                <w:rFonts w:ascii="ARIAL" w:hAnsi="ARIAL"/>
                <w:color w:val="3F3F3F"/>
                <w:sz w:val="18"/>
              </w:rPr>
              <w:t xml:space="preserve"> a not-for-profit corporation, which promotes access to home-based primary care for medically complex patients who are either homebound or home-limited</w:t>
            </w:r>
          </w:p>
          <w:p>
            <w:pPr>
              <w:pStyle w:val="TableContents"/>
              <w:bidi w:val="0"/>
              <w:spacing w:lineRule="atLeast" w:line="200" w:before="0" w:after="0"/>
              <w:jc w:val="both"/>
              <w:rPr>
                <w:color w:val="3F3F3F"/>
              </w:rPr>
            </w:pPr>
            <w:r>
              <w:rPr>
                <w:color w:val="3F3F3F"/>
              </w:rPr>
              <w:t>•  </w:t>
            </w:r>
            <w:r>
              <w:rPr>
                <w:rFonts w:ascii="ARIAL" w:hAnsi="ARIAL"/>
                <w:color w:val="3F3F3F"/>
                <w:sz w:val="18"/>
              </w:rPr>
              <w:t xml:space="preserve">Former Director, </w:t>
            </w:r>
            <w:r>
              <w:rPr>
                <w:rFonts w:ascii="ARIAL" w:hAnsi="ARIAL"/>
                <w:b/>
                <w:color w:val="3F3F3F"/>
                <w:sz w:val="18"/>
              </w:rPr>
              <w:t>Almost Home Kids,</w:t>
            </w:r>
            <w:r>
              <w:rPr>
                <w:rFonts w:ascii="ARIAL" w:hAnsi="ARIAL"/>
                <w:color w:val="3F3F3F"/>
                <w:sz w:val="18"/>
              </w:rPr>
              <w:t xml:space="preserve"> a not-for-profit corporation affiliated with Lurie Children’s Hospital of Chicago, a provider of transitional care to children with complicated health needs, training for their families, and respite care</w:t>
            </w:r>
          </w:p>
          <w:p>
            <w:pPr>
              <w:pStyle w:val="TableContents"/>
              <w:bidi w:val="0"/>
              <w:spacing w:before="0" w:after="0"/>
              <w:jc w:val="both"/>
              <w:rPr>
                <w:color w:val="3F3F3F"/>
                <w:u w:val="single"/>
              </w:rPr>
            </w:pPr>
            <w:r>
              <w:rPr>
                <w:color w:val="3F3F3F"/>
                <w:u w:val="single"/>
              </w:rPr>
              <w:t>        </w:t>
            </w:r>
          </w:p>
          <w:p>
            <w:pPr>
              <w:pStyle w:val="TableContents"/>
              <w:bidi w:val="0"/>
              <w:spacing w:before="0" w:after="20"/>
              <w:jc w:val="both"/>
              <w:rPr>
                <w:rFonts w:ascii="ARIAL" w:hAnsi="ARIAL"/>
                <w:color w:val="3F3F3F"/>
                <w:sz w:val="16"/>
              </w:rPr>
            </w:pPr>
            <w:r>
              <w:rPr>
                <w:rFonts w:ascii="ARIAL" w:hAnsi="ARIAL"/>
                <w:color w:val="3F3F3F"/>
                <w:sz w:val="16"/>
              </w:rPr>
              <w:t>*   The Board has, in accordance with its Corporate Governance Principles, approved Mr. Mark’s concurrent service on the Audit Committee and the audit committees of more than two other public companies and determined that such service does not impair his ability to effectively serve on the Audit Committee.</w:t>
            </w:r>
          </w:p>
        </w:tc>
      </w:tr>
      <w:tr>
        <w:trPr/>
        <w:tc>
          <w:tcPr>
            <w:tcW w:w="10205" w:type="dxa"/>
            <w:gridSpan w:val="3"/>
            <w:tcBorders>
              <w:bottom w:val="dotted" w:sz="8" w:space="0" w:color="732282"/>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635"/>
        <w:gridCol w:w="120"/>
        <w:gridCol w:w="8450"/>
      </w:tblGrid>
      <w:tr>
        <w:trPr/>
        <w:tc>
          <w:tcPr>
            <w:tcW w:w="1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50" w:type="dxa"/>
            <w:tcBorders/>
            <w:vAlign w:val="center"/>
          </w:tcPr>
          <w:p>
            <w:pPr>
              <w:pStyle w:val="TableContents"/>
              <w:bidi w:val="0"/>
              <w:spacing w:before="0" w:after="283"/>
              <w:jc w:val="left"/>
              <w:rPr>
                <w:sz w:val="4"/>
                <w:szCs w:val="4"/>
              </w:rPr>
            </w:pPr>
            <w:r>
              <w:rPr>
                <w:sz w:val="4"/>
                <w:szCs w:val="4"/>
              </w:rPr>
            </w:r>
          </w:p>
        </w:tc>
      </w:tr>
      <w:tr>
        <w:trPr/>
        <w:tc>
          <w:tcPr>
            <w:tcW w:w="1635" w:type="dxa"/>
            <w:tcBorders/>
            <w:vAlign w:val="center"/>
          </w:tcPr>
          <w:p>
            <w:pPr>
              <w:pStyle w:val="TableContents"/>
              <w:bidi w:val="0"/>
              <w:spacing w:before="0" w:after="0"/>
              <w:jc w:val="left"/>
              <w:rPr/>
            </w:pPr>
            <w:r>
              <w:rPr/>
              <w:t> </w:t>
            </w:r>
          </w:p>
          <w:p>
            <w:pPr>
              <w:pStyle w:val="TableContents"/>
              <w:bidi w:val="0"/>
              <w:spacing w:before="0" w:after="0"/>
              <w:jc w:val="both"/>
              <w:rPr/>
            </w:pPr>
            <w:r>
              <w:rPr/>
              <w:drawing>
                <wp:inline distT="0" distB="0" distL="0" distR="0">
                  <wp:extent cx="133350" cy="1365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33350" cy="1365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231161"/>
                <w:sz w:val="18"/>
              </w:rPr>
            </w:pPr>
            <w:r>
              <w:rPr>
                <w:rFonts w:ascii="ARIAL" w:hAnsi="ARIAL"/>
                <w:b/>
                <w:color w:val="231161"/>
                <w:sz w:val="18"/>
              </w:rPr>
              <w:t>Director since </w:t>
            </w:r>
            <w:r>
              <w:rPr>
                <w:rFonts w:ascii="ARIAL" w:hAnsi="ARIAL"/>
                <w:color w:val="231161"/>
                <w:sz w:val="18"/>
              </w:rPr>
              <w:t>2020</w:t>
            </w:r>
          </w:p>
          <w:p>
            <w:pPr>
              <w:pStyle w:val="TableContents"/>
              <w:bidi w:val="0"/>
              <w:spacing w:before="0" w:after="0"/>
              <w:jc w:val="left"/>
              <w:rPr/>
            </w:pPr>
            <w:r>
              <w:rPr/>
              <w:t> </w:t>
            </w:r>
          </w:p>
          <w:p>
            <w:pPr>
              <w:pStyle w:val="TableContents"/>
              <w:bidi w:val="0"/>
              <w:spacing w:before="0" w:after="0"/>
              <w:jc w:val="left"/>
              <w:rPr>
                <w:rFonts w:ascii="ARIAL" w:hAnsi="ARIAL"/>
                <w:color w:val="231161"/>
                <w:sz w:val="18"/>
              </w:rPr>
            </w:pPr>
            <w:r>
              <w:rPr>
                <w:rFonts w:ascii="ARIAL" w:hAnsi="ARIAL"/>
                <w:b/>
                <w:color w:val="231161"/>
                <w:sz w:val="18"/>
              </w:rPr>
              <w:t xml:space="preserve">Age: </w:t>
            </w:r>
            <w:r>
              <w:rPr>
                <w:rFonts w:ascii="ARIAL" w:hAnsi="ARIAL"/>
                <w:color w:val="231161"/>
                <w:sz w:val="18"/>
              </w:rPr>
              <w:t>68</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Board Committees:</w:t>
            </w:r>
          </w:p>
          <w:p>
            <w:pPr>
              <w:pStyle w:val="TableContents"/>
              <w:bidi w:val="0"/>
              <w:spacing w:before="0" w:after="0"/>
              <w:jc w:val="both"/>
              <w:rPr>
                <w:color w:val="3F3F3F"/>
              </w:rPr>
            </w:pPr>
            <w:r>
              <w:rPr>
                <w:color w:val="3F3F3F"/>
              </w:rPr>
              <w:t>•  </w:t>
            </w:r>
            <w:r>
              <w:rPr>
                <w:rFonts w:ascii="ARIAL" w:hAnsi="ARIAL"/>
                <w:color w:val="3F3F3F"/>
                <w:sz w:val="18"/>
              </w:rPr>
              <w:t>Audit</w:t>
            </w:r>
          </w:p>
          <w:p>
            <w:pPr>
              <w:pStyle w:val="TableContents"/>
              <w:bidi w:val="0"/>
              <w:spacing w:before="0" w:after="0"/>
              <w:jc w:val="left"/>
              <w:rPr>
                <w:color w:val="3F3F3F"/>
              </w:rPr>
            </w:pPr>
            <w:r>
              <w:rPr>
                <w:color w:val="3F3F3F"/>
              </w:rPr>
              <w:t>•  </w:t>
            </w:r>
            <w:r>
              <w:rPr>
                <w:rFonts w:ascii="ARIAL" w:hAnsi="ARIAL"/>
                <w:color w:val="3F3F3F"/>
                <w:sz w:val="18"/>
              </w:rPr>
              <w:t>Compliance and Risk Oversight (Chair)</w:t>
            </w:r>
          </w:p>
          <w:p>
            <w:pPr>
              <w:pStyle w:val="TableContents"/>
              <w:bidi w:val="0"/>
              <w:spacing w:before="0" w:after="0"/>
              <w:jc w:val="both"/>
              <w:rPr>
                <w:color w:val="3F3F3F"/>
              </w:rPr>
            </w:pPr>
            <w:r>
              <w:rPr>
                <w:color w:val="3F3F3F"/>
              </w:rPr>
              <w:t>•  </w:t>
            </w:r>
            <w:r>
              <w:rPr>
                <w:rFonts w:ascii="ARIAL" w:hAnsi="ARIAL"/>
                <w:color w:val="3F3F3F"/>
                <w:sz w:val="18"/>
              </w:rPr>
              <w:t>Executive</w:t>
            </w:r>
          </w:p>
          <w:p>
            <w:pPr>
              <w:pStyle w:val="TableContents"/>
              <w:bidi w:val="0"/>
              <w:spacing w:before="0" w:after="0"/>
              <w:jc w:val="left"/>
              <w:rPr>
                <w:color w:val="3F3F3F"/>
              </w:rPr>
            </w:pPr>
            <w:r>
              <w:rPr>
                <w:color w:val="3F3F3F"/>
              </w:rPr>
              <w:t>•  </w:t>
            </w:r>
            <w:r>
              <w:rPr>
                <w:rFonts w:ascii="ARIAL" w:hAnsi="ARIAL"/>
                <w:color w:val="3F3F3F"/>
                <w:sz w:val="18"/>
              </w:rPr>
              <w:t>Governance and Sustainability</w:t>
            </w:r>
          </w:p>
          <w:p>
            <w:pPr>
              <w:pStyle w:val="TableContents"/>
              <w:bidi w:val="0"/>
              <w:spacing w:before="0" w:after="0"/>
              <w:jc w:val="left"/>
              <w:rPr/>
            </w:pPr>
            <w:r>
              <w:rPr/>
              <w:t> </w:t>
            </w:r>
          </w:p>
          <w:p>
            <w:pPr>
              <w:pStyle w:val="TableContents"/>
              <w:bidi w:val="0"/>
              <w:spacing w:before="0" w:after="20"/>
              <w:jc w:val="left"/>
              <w:rPr>
                <w:rFonts w:ascii="ARIAL" w:hAnsi="ARIAL"/>
                <w:b/>
                <w:color w:val="231161"/>
                <w:sz w:val="18"/>
              </w:rPr>
            </w:pPr>
            <w:r>
              <w:rPr>
                <w:rFonts w:ascii="ARIAL" w:hAnsi="ARIAL"/>
                <w:b/>
                <w:color w:val="231161"/>
                <w:sz w:val="18"/>
              </w:rPr>
              <w:t>Vice Chairman</w:t>
            </w:r>
          </w:p>
        </w:tc>
        <w:tc>
          <w:tcPr>
            <w:tcW w:w="120" w:type="dxa"/>
            <w:tcBorders/>
            <w:vAlign w:val="center"/>
          </w:tcPr>
          <w:p>
            <w:pPr>
              <w:pStyle w:val="TableContents"/>
              <w:bidi w:val="0"/>
              <w:spacing w:before="0" w:after="283"/>
              <w:jc w:val="left"/>
              <w:rPr/>
            </w:pPr>
            <w:r>
              <w:rPr/>
              <w:t>  </w:t>
            </w:r>
          </w:p>
        </w:tc>
        <w:tc>
          <w:tcPr>
            <w:tcW w:w="8450" w:type="dxa"/>
            <w:tcBorders/>
            <w:vAlign w:val="center"/>
          </w:tcPr>
          <w:p>
            <w:pPr>
              <w:pStyle w:val="TableContents"/>
              <w:bidi w:val="0"/>
              <w:spacing w:before="0" w:after="0"/>
              <w:jc w:val="left"/>
              <w:rPr>
                <w:rFonts w:ascii="ARIAL" w:hAnsi="ARIAL"/>
                <w:b/>
                <w:color w:val="231161"/>
                <w:sz w:val="24"/>
              </w:rPr>
            </w:pPr>
            <w:r>
              <w:rPr>
                <w:rFonts w:ascii="ARIAL" w:hAnsi="ARIAL"/>
                <w:b/>
                <w:color w:val="231161"/>
                <w:sz w:val="24"/>
              </w:rPr>
              <w:t>Mark Parrish</w:t>
            </w:r>
          </w:p>
          <w:p>
            <w:pPr>
              <w:pStyle w:val="TableContents"/>
              <w:bidi w:val="0"/>
              <w:spacing w:before="0" w:after="0"/>
              <w:jc w:val="left"/>
              <w:rPr/>
            </w:pPr>
            <w:r>
              <w:rPr/>
              <w:t> </w:t>
            </w:r>
          </w:p>
          <w:p>
            <w:pPr>
              <w:pStyle w:val="TableContents"/>
              <w:bidi w:val="0"/>
              <w:spacing w:before="0" w:after="0"/>
              <w:jc w:val="both"/>
              <w:rPr>
                <w:color w:val="3F3F3F"/>
              </w:rPr>
            </w:pPr>
            <w:r>
              <w:rPr>
                <w:color w:val="3F3F3F"/>
              </w:rPr>
              <w:t>•  </w:t>
            </w:r>
            <w:r>
              <w:rPr>
                <w:rFonts w:ascii="ARIAL" w:hAnsi="ARIAL"/>
                <w:color w:val="3F3F3F"/>
                <w:sz w:val="18"/>
              </w:rPr>
              <w:t xml:space="preserve">Executive Chairman (2018 - 2019), Chief Executive Officer (2008 - 2018), Executive Chairman (2008 - 2013), </w:t>
            </w:r>
            <w:r>
              <w:rPr>
                <w:rFonts w:ascii="ARIAL" w:hAnsi="ARIAL"/>
                <w:b/>
                <w:color w:val="3F3F3F"/>
                <w:sz w:val="18"/>
              </w:rPr>
              <w:t xml:space="preserve">TridentUSA Health Services, </w:t>
            </w:r>
            <w:r>
              <w:rPr>
                <w:rFonts w:ascii="ARIAL" w:hAnsi="ARIAL"/>
                <w:color w:val="3F3F3F"/>
                <w:sz w:val="18"/>
              </w:rPr>
              <w:t>a provider of mobile X-ray and laboratory services to the long-term care industry. In February 2019, TridentUSA filed for protection under Chapter 11 of the U.S. Bankruptcy Code and emerged from bankruptcy in September 2019</w:t>
            </w:r>
          </w:p>
          <w:p>
            <w:pPr>
              <w:pStyle w:val="TableContents"/>
              <w:bidi w:val="0"/>
              <w:spacing w:before="0" w:after="0"/>
              <w:jc w:val="both"/>
              <w:rPr>
                <w:color w:val="3F3F3F"/>
              </w:rPr>
            </w:pPr>
            <w:r>
              <w:rPr>
                <w:color w:val="3F3F3F"/>
              </w:rPr>
              <w:t>•  </w:t>
            </w:r>
            <w:r>
              <w:rPr>
                <w:rFonts w:ascii="ARIAL" w:hAnsi="ARIAL"/>
                <w:color w:val="3F3F3F"/>
                <w:sz w:val="18"/>
              </w:rPr>
              <w:t xml:space="preserve">Held management roles of increasing responsibility (1993 - 2007) including Chief Executive Officer, Healthcare Supply Chain Services (2006 - 2007), </w:t>
            </w:r>
            <w:r>
              <w:rPr>
                <w:rFonts w:ascii="ARIAL" w:hAnsi="ARIAL"/>
                <w:b/>
                <w:color w:val="3F3F3F"/>
                <w:sz w:val="18"/>
              </w:rPr>
              <w:t>Cardinal Health Inc.</w:t>
            </w:r>
            <w:r>
              <w:rPr>
                <w:rFonts w:ascii="ARIAL" w:hAnsi="ARIAL"/>
                <w:color w:val="3F3F3F"/>
                <w:sz w:val="18"/>
              </w:rPr>
              <w:t xml:space="preserve"> and its affiliates</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Key Skills and Experience:</w:t>
            </w:r>
          </w:p>
          <w:p>
            <w:pPr>
              <w:pStyle w:val="TableContents"/>
              <w:bidi w:val="0"/>
              <w:spacing w:before="0" w:after="0"/>
              <w:jc w:val="both"/>
              <w:rPr>
                <w:color w:val="3F3F3F"/>
              </w:rPr>
            </w:pPr>
            <w:r>
              <w:rPr>
                <w:color w:val="3F3F3F"/>
              </w:rPr>
              <w:t>•  </w:t>
            </w:r>
            <w:r>
              <w:rPr>
                <w:rFonts w:ascii="ARIAL" w:hAnsi="ARIAL"/>
                <w:b/>
                <w:color w:val="3F3F3F"/>
                <w:sz w:val="18"/>
              </w:rPr>
              <w:t>Public Company Management, Corporate Governance, Healthcare Industry, Finance, Accounting and Capital Markets, Risk Oversight/Compliance,</w:t>
            </w:r>
            <w:r>
              <w:rPr>
                <w:rFonts w:ascii="ARIAL" w:hAnsi="ARIAL"/>
                <w:color w:val="3F3F3F"/>
                <w:sz w:val="18"/>
              </w:rPr>
              <w:t xml:space="preserve"> and </w:t>
            </w:r>
            <w:r>
              <w:rPr>
                <w:rFonts w:ascii="ARIAL" w:hAnsi="ARIAL"/>
                <w:b/>
                <w:color w:val="3F3F3F"/>
                <w:sz w:val="18"/>
              </w:rPr>
              <w:t xml:space="preserve">Strategy and M&amp;A Experience </w:t>
            </w:r>
            <w:r>
              <w:rPr>
                <w:rFonts w:ascii="ARIAL" w:hAnsi="ARIAL"/>
                <w:color w:val="3F3F3F"/>
                <w:sz w:val="18"/>
              </w:rPr>
              <w:t>obtained over his many years in leadership positions in the healthcare industry, where he gained extensive expertise in managing governmental oversight, as well as experience in business restructuring and M&amp;A</w:t>
            </w:r>
          </w:p>
          <w:p>
            <w:pPr>
              <w:pStyle w:val="TableContents"/>
              <w:bidi w:val="0"/>
              <w:spacing w:before="0" w:after="0"/>
              <w:jc w:val="both"/>
              <w:rPr>
                <w:color w:val="3F3F3F"/>
              </w:rPr>
            </w:pPr>
            <w:r>
              <w:rPr>
                <w:color w:val="3F3F3F"/>
              </w:rPr>
              <w:t>•  </w:t>
            </w:r>
            <w:r>
              <w:rPr>
                <w:rFonts w:ascii="ARIAL" w:hAnsi="ARIAL"/>
                <w:b/>
                <w:color w:val="3F3F3F"/>
                <w:sz w:val="18"/>
              </w:rPr>
              <w:t>CSR Experience</w:t>
            </w:r>
            <w:r>
              <w:rPr>
                <w:rFonts w:ascii="ARIAL" w:hAnsi="ARIAL"/>
                <w:color w:val="3F3F3F"/>
                <w:sz w:val="18"/>
              </w:rPr>
              <w:t xml:space="preserve"> obtained through his public company and executive experience and his work in the heavily regulated healthcare industry</w:t>
            </w:r>
          </w:p>
          <w:p>
            <w:pPr>
              <w:pStyle w:val="TableContents"/>
              <w:bidi w:val="0"/>
              <w:spacing w:before="0" w:after="0"/>
              <w:jc w:val="both"/>
              <w:rPr>
                <w:color w:val="3F3F3F"/>
              </w:rPr>
            </w:pPr>
            <w:r>
              <w:rPr>
                <w:color w:val="3F3F3F"/>
              </w:rPr>
              <w:t>•  </w:t>
            </w:r>
            <w:r>
              <w:rPr>
                <w:rFonts w:ascii="ARIAL" w:hAnsi="ARIAL"/>
                <w:color w:val="3F3F3F"/>
                <w:sz w:val="18"/>
              </w:rPr>
              <w:t xml:space="preserve">Mr. Parrish also brings </w:t>
            </w:r>
            <w:r>
              <w:rPr>
                <w:rFonts w:ascii="ARIAL" w:hAnsi="ARIAL"/>
                <w:b/>
                <w:color w:val="3F3F3F"/>
                <w:sz w:val="18"/>
              </w:rPr>
              <w:t>Human Capital Management, Global Business,</w:t>
            </w:r>
            <w:r>
              <w:rPr>
                <w:rFonts w:ascii="ARIAL" w:hAnsi="ARIAL"/>
                <w:color w:val="3F3F3F"/>
                <w:sz w:val="18"/>
              </w:rPr>
              <w:t xml:space="preserve"> and </w:t>
            </w:r>
            <w:r>
              <w:rPr>
                <w:rFonts w:ascii="ARIAL" w:hAnsi="ARIAL"/>
                <w:b/>
                <w:color w:val="3F3F3F"/>
                <w:sz w:val="18"/>
              </w:rPr>
              <w:t>Information Security Experience</w:t>
            </w:r>
            <w:r>
              <w:rPr>
                <w:rFonts w:ascii="ARIAL" w:hAnsi="ARIAL"/>
                <w:color w:val="3F3F3F"/>
                <w:sz w:val="18"/>
              </w:rPr>
              <w:t xml:space="preserve"> to the Board</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Other Current Public Company Boards:</w:t>
            </w:r>
          </w:p>
          <w:p>
            <w:pPr>
              <w:pStyle w:val="TableContents"/>
              <w:bidi w:val="0"/>
              <w:spacing w:before="0" w:after="0"/>
              <w:jc w:val="both"/>
              <w:rPr>
                <w:color w:val="3F3F3F"/>
              </w:rPr>
            </w:pPr>
            <w:r>
              <w:rPr>
                <w:color w:val="3F3F3F"/>
              </w:rPr>
              <w:t>•  </w:t>
            </w:r>
            <w:r>
              <w:rPr>
                <w:rFonts w:ascii="ARIAL" w:hAnsi="ARIAL"/>
                <w:b/>
                <w:color w:val="3F3F3F"/>
                <w:sz w:val="18"/>
              </w:rPr>
              <w:t xml:space="preserve">Omnicell, Inc. </w:t>
            </w:r>
            <w:r>
              <w:rPr>
                <w:rFonts w:ascii="ARIAL" w:hAnsi="ARIAL"/>
                <w:color w:val="3F3F3F"/>
                <w:sz w:val="18"/>
              </w:rPr>
              <w:t>(NASDAQ: OMCL) (since 2013), Director, Chair of the Audit Committee and member of the Compensation Committee</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Current Private Company Boards:</w:t>
            </w:r>
          </w:p>
          <w:p>
            <w:pPr>
              <w:pStyle w:val="TableContents"/>
              <w:bidi w:val="0"/>
              <w:spacing w:before="0" w:after="0"/>
              <w:jc w:val="both"/>
              <w:rPr>
                <w:color w:val="3F3F3F"/>
              </w:rPr>
            </w:pPr>
            <w:r>
              <w:rPr>
                <w:color w:val="3F3F3F"/>
              </w:rPr>
              <w:t>•  </w:t>
            </w:r>
            <w:r>
              <w:rPr>
                <w:rFonts w:ascii="ARIAL" w:hAnsi="ARIAL"/>
                <w:b/>
                <w:color w:val="3F3F3F"/>
                <w:sz w:val="18"/>
              </w:rPr>
              <w:t>Safecor Health, LLC</w:t>
            </w:r>
            <w:r>
              <w:rPr>
                <w:rFonts w:ascii="ARIAL" w:hAnsi="ARIAL"/>
                <w:color w:val="3F3F3F"/>
                <w:sz w:val="18"/>
              </w:rPr>
              <w:t xml:space="preserve"> (since 2022), a private limited liability company that provides unit dose drug packaging services to hospitals and long-term care facilities, Director</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Former Public Company Boards:</w:t>
            </w:r>
          </w:p>
          <w:p>
            <w:pPr>
              <w:pStyle w:val="TableContents"/>
              <w:bidi w:val="0"/>
              <w:spacing w:before="0" w:after="0"/>
              <w:jc w:val="both"/>
              <w:rPr>
                <w:color w:val="3F3F3F"/>
              </w:rPr>
            </w:pPr>
            <w:r>
              <w:rPr>
                <w:color w:val="3F3F3F"/>
              </w:rPr>
              <w:t>•  </w:t>
            </w:r>
            <w:r>
              <w:rPr>
                <w:rFonts w:ascii="ARIAL" w:hAnsi="ARIAL"/>
                <w:b/>
                <w:color w:val="3F3F3F"/>
                <w:sz w:val="18"/>
              </w:rPr>
              <w:t xml:space="preserve">Mylan </w:t>
            </w:r>
            <w:r>
              <w:rPr>
                <w:rFonts w:ascii="ARIAL" w:hAnsi="ARIAL"/>
                <w:color w:val="3F3F3F"/>
                <w:sz w:val="18"/>
              </w:rPr>
              <w:t>(2009 - the closing of the Combination in 2020), most recently Lead Independent Director and Vice Chairman, Chair of the Compliance Committee and member of the Audit, Executive, Governance and Nominating, and Risk Oversight Committees</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Former Private Company Boards:</w:t>
            </w:r>
          </w:p>
          <w:p>
            <w:pPr>
              <w:pStyle w:val="TableContents"/>
              <w:bidi w:val="0"/>
              <w:spacing w:before="0" w:after="0"/>
              <w:jc w:val="both"/>
              <w:rPr>
                <w:color w:val="3F3F3F"/>
              </w:rPr>
            </w:pPr>
            <w:r>
              <w:rPr>
                <w:color w:val="3F3F3F"/>
              </w:rPr>
              <w:t>•  </w:t>
            </w:r>
            <w:r>
              <w:rPr>
                <w:rFonts w:ascii="ARIAL" w:hAnsi="ARIAL"/>
                <w:b/>
                <w:color w:val="3F3F3F"/>
                <w:sz w:val="18"/>
              </w:rPr>
              <w:t>Comprehensive Pharmacy Services</w:t>
            </w:r>
            <w:r>
              <w:rPr>
                <w:rFonts w:ascii="ARIAL" w:hAnsi="ARIAL"/>
                <w:color w:val="3F3F3F"/>
                <w:sz w:val="18"/>
              </w:rPr>
              <w:t xml:space="preserve"> (2019 - 2023), a private company that specializes in the outsourcing of hospital pharmacies, Director</w:t>
            </w:r>
          </w:p>
          <w:p>
            <w:pPr>
              <w:pStyle w:val="TableContents"/>
              <w:bidi w:val="0"/>
              <w:spacing w:before="0" w:after="0"/>
              <w:jc w:val="both"/>
              <w:rPr>
                <w:color w:val="3F3F3F"/>
              </w:rPr>
            </w:pPr>
            <w:r>
              <w:rPr>
                <w:color w:val="3F3F3F"/>
              </w:rPr>
              <w:t>•  </w:t>
            </w:r>
            <w:r>
              <w:rPr>
                <w:rFonts w:ascii="ARIAL" w:hAnsi="ARIAL"/>
                <w:b/>
                <w:color w:val="3F3F3F"/>
                <w:sz w:val="18"/>
              </w:rPr>
              <w:t>Golden State Medical Supply</w:t>
            </w:r>
            <w:r>
              <w:rPr>
                <w:rFonts w:ascii="ARIAL" w:hAnsi="ARIAL"/>
                <w:color w:val="3F3F3F"/>
                <w:sz w:val="18"/>
              </w:rPr>
              <w:t xml:space="preserve"> (2014 - 2019 when it was acquired by Court Square), a private company that specializes in meeting unique labeling and sizing needs and pharmaceutical packaging, serialization and distribution, Director</w:t>
            </w:r>
          </w:p>
          <w:p>
            <w:pPr>
              <w:pStyle w:val="TableContents"/>
              <w:bidi w:val="0"/>
              <w:spacing w:before="0" w:after="0"/>
              <w:jc w:val="both"/>
              <w:rPr>
                <w:color w:val="3F3F3F"/>
              </w:rPr>
            </w:pPr>
            <w:r>
              <w:rPr>
                <w:color w:val="3F3F3F"/>
              </w:rPr>
              <w:t>•  </w:t>
            </w:r>
            <w:r>
              <w:rPr>
                <w:rFonts w:ascii="ARIAL" w:hAnsi="ARIAL"/>
                <w:b/>
                <w:color w:val="3F3F3F"/>
                <w:sz w:val="18"/>
              </w:rPr>
              <w:t>Silvergate Pharmaceuticals</w:t>
            </w:r>
            <w:r>
              <w:rPr>
                <w:rFonts w:ascii="ARIAL" w:hAnsi="ARIAL"/>
                <w:color w:val="3F3F3F"/>
                <w:sz w:val="18"/>
              </w:rPr>
              <w:t xml:space="preserve"> (2013 - 2019), a private company that develops and commercializes pediatric medications, Director</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Other Organizations:</w:t>
            </w:r>
          </w:p>
          <w:p>
            <w:pPr>
              <w:pStyle w:val="TableContents"/>
              <w:bidi w:val="0"/>
              <w:spacing w:before="0" w:after="0"/>
              <w:jc w:val="both"/>
              <w:rPr>
                <w:color w:val="3F3F3F"/>
              </w:rPr>
            </w:pPr>
            <w:r>
              <w:rPr>
                <w:color w:val="3F3F3F"/>
              </w:rPr>
              <w:t>•  </w:t>
            </w:r>
            <w:r>
              <w:rPr>
                <w:rFonts w:ascii="ARIAL" w:hAnsi="ARIAL"/>
                <w:color w:val="3F3F3F"/>
                <w:sz w:val="18"/>
              </w:rPr>
              <w:t xml:space="preserve">President and Chief Executive Officer, </w:t>
            </w:r>
            <w:r>
              <w:rPr>
                <w:rFonts w:ascii="ARIAL" w:hAnsi="ARIAL"/>
                <w:b/>
                <w:color w:val="3F3F3F"/>
                <w:sz w:val="18"/>
              </w:rPr>
              <w:t>International Federation of Pharmaceutical Wholesalers,</w:t>
            </w:r>
            <w:r>
              <w:rPr>
                <w:rFonts w:ascii="ARIAL" w:hAnsi="ARIAL"/>
                <w:color w:val="3F3F3F"/>
                <w:sz w:val="18"/>
              </w:rPr>
              <w:t xml:space="preserve"> an association of pharmaceutical wholesalers and pharmaceutical supply chain service companies</w:t>
            </w:r>
          </w:p>
          <w:p>
            <w:pPr>
              <w:pStyle w:val="TableContents"/>
              <w:bidi w:val="0"/>
              <w:spacing w:before="0" w:after="20"/>
              <w:jc w:val="both"/>
              <w:rPr>
                <w:color w:val="3F3F3F"/>
              </w:rPr>
            </w:pPr>
            <w:r>
              <w:rPr>
                <w:color w:val="3F3F3F"/>
              </w:rPr>
              <w:t>•  </w:t>
            </w:r>
            <w:r>
              <w:rPr>
                <w:rFonts w:ascii="ARIAL" w:hAnsi="ARIAL"/>
                <w:color w:val="3F3F3F"/>
                <w:sz w:val="18"/>
              </w:rPr>
              <w:t xml:space="preserve">Senior Adviser, </w:t>
            </w:r>
            <w:r>
              <w:rPr>
                <w:rFonts w:ascii="ARIAL" w:hAnsi="ARIAL"/>
                <w:b/>
                <w:color w:val="3F3F3F"/>
                <w:sz w:val="18"/>
              </w:rPr>
              <w:t>Frazier Healthcare Ventures</w:t>
            </w:r>
            <w:r>
              <w:rPr>
                <w:rFonts w:ascii="ARIAL" w:hAnsi="ARIAL"/>
                <w:color w:val="3F3F3F"/>
                <w:sz w:val="18"/>
              </w:rPr>
              <w:t>, a healthcare-oriented growth equity firm</w:t>
            </w:r>
          </w:p>
        </w:tc>
      </w:tr>
      <w:tr>
        <w:trPr/>
        <w:tc>
          <w:tcPr>
            <w:tcW w:w="10205" w:type="dxa"/>
            <w:gridSpan w:val="3"/>
            <w:tcBorders>
              <w:bottom w:val="dotted" w:sz="8" w:space="0" w:color="732282"/>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276"/>
        <w:gridCol w:w="60"/>
        <w:gridCol w:w="8869"/>
      </w:tblGrid>
      <w:tr>
        <w:trPr/>
        <w:tc>
          <w:tcPr>
            <w:tcW w:w="1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69" w:type="dxa"/>
            <w:tcBorders/>
            <w:vAlign w:val="center"/>
          </w:tcPr>
          <w:p>
            <w:pPr>
              <w:pStyle w:val="TableContents"/>
              <w:bidi w:val="0"/>
              <w:spacing w:before="0" w:after="283"/>
              <w:jc w:val="left"/>
              <w:rPr>
                <w:sz w:val="4"/>
                <w:szCs w:val="4"/>
              </w:rPr>
            </w:pPr>
            <w:r>
              <w:rPr>
                <w:sz w:val="4"/>
                <w:szCs w:val="4"/>
              </w:rPr>
            </w:r>
          </w:p>
        </w:tc>
      </w:tr>
      <w:tr>
        <w:trPr/>
        <w:tc>
          <w:tcPr>
            <w:tcW w:w="1276"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33350" cy="13589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33350" cy="13589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231161"/>
                <w:sz w:val="18"/>
              </w:rPr>
            </w:pPr>
            <w:r>
              <w:rPr>
                <w:rFonts w:ascii="ARIAL" w:hAnsi="ARIAL"/>
                <w:b/>
                <w:color w:val="231161"/>
                <w:sz w:val="18"/>
              </w:rPr>
              <w:t xml:space="preserve">Director since </w:t>
            </w:r>
            <w:r>
              <w:rPr>
                <w:rFonts w:ascii="ARIAL" w:hAnsi="ARIAL"/>
                <w:color w:val="231161"/>
                <w:sz w:val="18"/>
              </w:rPr>
              <w:t>2022</w:t>
            </w:r>
          </w:p>
          <w:p>
            <w:pPr>
              <w:pStyle w:val="TableContents"/>
              <w:bidi w:val="0"/>
              <w:spacing w:before="0" w:after="0"/>
              <w:jc w:val="left"/>
              <w:rPr/>
            </w:pPr>
            <w:r>
              <w:rPr/>
              <w:t> </w:t>
            </w:r>
          </w:p>
          <w:p>
            <w:pPr>
              <w:pStyle w:val="TableContents"/>
              <w:bidi w:val="0"/>
              <w:spacing w:before="0" w:after="0"/>
              <w:jc w:val="left"/>
              <w:rPr>
                <w:rFonts w:ascii="ARIAL" w:hAnsi="ARIAL"/>
                <w:color w:val="231161"/>
                <w:sz w:val="18"/>
              </w:rPr>
            </w:pPr>
            <w:r>
              <w:rPr>
                <w:rFonts w:ascii="ARIAL" w:hAnsi="ARIAL"/>
                <w:b/>
                <w:color w:val="231161"/>
                <w:sz w:val="18"/>
              </w:rPr>
              <w:t xml:space="preserve">Age: </w:t>
            </w:r>
            <w:r>
              <w:rPr>
                <w:rFonts w:ascii="ARIAL" w:hAnsi="ARIAL"/>
                <w:color w:val="231161"/>
                <w:sz w:val="18"/>
              </w:rPr>
              <w:t>62</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Board Committees:</w:t>
            </w:r>
          </w:p>
          <w:p>
            <w:pPr>
              <w:pStyle w:val="TableContents"/>
              <w:bidi w:val="0"/>
              <w:spacing w:before="0" w:after="0"/>
              <w:jc w:val="both"/>
              <w:rPr>
                <w:rFonts w:ascii="ARIAL" w:hAnsi="ARIAL"/>
                <w:color w:val="3F3F3F"/>
                <w:sz w:val="18"/>
              </w:rPr>
            </w:pPr>
            <w:r>
              <w:rPr>
                <w:rFonts w:ascii="ARIAL" w:hAnsi="ARIAL"/>
                <w:color w:val="3F3F3F"/>
                <w:sz w:val="18"/>
              </w:rPr>
              <w:t>N/A</w:t>
            </w:r>
          </w:p>
          <w:p>
            <w:pPr>
              <w:pStyle w:val="TableContents"/>
              <w:bidi w:val="0"/>
              <w:spacing w:before="0" w:after="0"/>
              <w:jc w:val="left"/>
              <w:rPr/>
            </w:pPr>
            <w:r>
              <w:rPr/>
              <w:t> </w:t>
            </w:r>
          </w:p>
          <w:p>
            <w:pPr>
              <w:pStyle w:val="TableContents"/>
              <w:bidi w:val="0"/>
              <w:spacing w:before="0" w:after="20"/>
              <w:jc w:val="left"/>
              <w:rPr>
                <w:rFonts w:ascii="ARIAL" w:hAnsi="ARIAL"/>
                <w:b/>
                <w:color w:val="231161"/>
                <w:sz w:val="18"/>
              </w:rPr>
            </w:pPr>
            <w:r>
              <w:rPr>
                <w:rFonts w:ascii="ARIAL" w:hAnsi="ARIAL"/>
                <w:b/>
                <w:color w:val="231161"/>
                <w:sz w:val="18"/>
              </w:rPr>
              <w:t>Chief Executive Officer and Director</w:t>
            </w:r>
          </w:p>
        </w:tc>
        <w:tc>
          <w:tcPr>
            <w:tcW w:w="60" w:type="dxa"/>
            <w:tcBorders/>
            <w:vAlign w:val="center"/>
          </w:tcPr>
          <w:p>
            <w:pPr>
              <w:pStyle w:val="TableContents"/>
              <w:bidi w:val="0"/>
              <w:spacing w:before="0" w:after="283"/>
              <w:jc w:val="left"/>
              <w:rPr/>
            </w:pPr>
            <w:r>
              <w:rPr/>
              <w:t> </w:t>
            </w:r>
          </w:p>
        </w:tc>
        <w:tc>
          <w:tcPr>
            <w:tcW w:w="8869" w:type="dxa"/>
            <w:tcBorders/>
            <w:vAlign w:val="center"/>
          </w:tcPr>
          <w:p>
            <w:pPr>
              <w:pStyle w:val="TableContents"/>
              <w:bidi w:val="0"/>
              <w:spacing w:before="0" w:after="0"/>
              <w:jc w:val="left"/>
              <w:rPr>
                <w:rFonts w:ascii="ARIAL" w:hAnsi="ARIAL"/>
                <w:b/>
                <w:color w:val="231161"/>
                <w:sz w:val="24"/>
              </w:rPr>
            </w:pPr>
            <w:r>
              <w:rPr>
                <w:rFonts w:ascii="ARIAL" w:hAnsi="ARIAL"/>
                <w:b/>
                <w:color w:val="231161"/>
                <w:sz w:val="24"/>
              </w:rPr>
              <w:t>Scott A. Smith</w:t>
            </w:r>
          </w:p>
          <w:p>
            <w:pPr>
              <w:pStyle w:val="TableContents"/>
              <w:bidi w:val="0"/>
              <w:spacing w:before="0" w:after="0"/>
              <w:jc w:val="left"/>
              <w:rPr/>
            </w:pPr>
            <w:r>
              <w:rPr/>
              <w:t> </w:t>
            </w:r>
          </w:p>
          <w:p>
            <w:pPr>
              <w:pStyle w:val="TableContents"/>
              <w:bidi w:val="0"/>
              <w:spacing w:before="0" w:after="0"/>
              <w:jc w:val="both"/>
              <w:rPr>
                <w:color w:val="3F3F3F"/>
              </w:rPr>
            </w:pPr>
            <w:r>
              <w:rPr>
                <w:color w:val="3F3F3F"/>
              </w:rPr>
              <w:t>•  </w:t>
            </w:r>
            <w:r>
              <w:rPr>
                <w:rFonts w:ascii="ARIAL" w:hAnsi="ARIAL"/>
                <w:color w:val="3F3F3F"/>
                <w:sz w:val="18"/>
              </w:rPr>
              <w:t xml:space="preserve">Chief Executive Officer (since April 2023), </w:t>
            </w:r>
            <w:r>
              <w:rPr>
                <w:rFonts w:ascii="ARIAL" w:hAnsi="ARIAL"/>
                <w:b/>
                <w:color w:val="3F3F3F"/>
                <w:sz w:val="18"/>
              </w:rPr>
              <w:t>Viatris</w:t>
            </w:r>
          </w:p>
          <w:p>
            <w:pPr>
              <w:pStyle w:val="TableContents"/>
              <w:bidi w:val="0"/>
              <w:spacing w:before="0" w:after="0"/>
              <w:jc w:val="both"/>
              <w:rPr>
                <w:color w:val="3F3F3F"/>
              </w:rPr>
            </w:pPr>
            <w:r>
              <w:rPr>
                <w:color w:val="3F3F3F"/>
              </w:rPr>
              <w:t>•  </w:t>
            </w:r>
            <w:r>
              <w:rPr>
                <w:rFonts w:ascii="ARIAL" w:hAnsi="ARIAL"/>
                <w:color w:val="3F3F3F"/>
                <w:sz w:val="18"/>
              </w:rPr>
              <w:t xml:space="preserve">President (2018 - 2023), </w:t>
            </w:r>
            <w:r>
              <w:rPr>
                <w:rFonts w:ascii="ARIAL" w:hAnsi="ARIAL"/>
                <w:b/>
                <w:color w:val="3F3F3F"/>
                <w:sz w:val="18"/>
              </w:rPr>
              <w:t>BioAtla, Inc.</w:t>
            </w:r>
            <w:r>
              <w:rPr>
                <w:rFonts w:ascii="ARIAL" w:hAnsi="ARIAL"/>
                <w:color w:val="3F3F3F"/>
                <w:sz w:val="18"/>
              </w:rPr>
              <w:t xml:space="preserve"> (NASDAQ: BCAB) (“BioAtla”), a global biotechnology company focused on the development of Conditionally Active Biologics™ antibody therapeutics</w:t>
            </w:r>
          </w:p>
          <w:p>
            <w:pPr>
              <w:pStyle w:val="TableContents"/>
              <w:bidi w:val="0"/>
              <w:spacing w:before="0" w:after="0"/>
              <w:jc w:val="both"/>
              <w:rPr>
                <w:color w:val="3F3F3F"/>
              </w:rPr>
            </w:pPr>
            <w:r>
              <w:rPr>
                <w:color w:val="3F3F3F"/>
              </w:rPr>
              <w:t>•  </w:t>
            </w:r>
            <w:r>
              <w:rPr>
                <w:rFonts w:ascii="ARIAL" w:hAnsi="ARIAL"/>
                <w:color w:val="3F3F3F"/>
                <w:sz w:val="18"/>
              </w:rPr>
              <w:t xml:space="preserve">Served as an executive (2008 - 2018), rising up the ranks from SVP and Global Head of Immunology to President of Inflammation and Immunology and then, beginning in 2017, President and Chief Operating Officer, </w:t>
            </w:r>
            <w:r>
              <w:rPr>
                <w:rFonts w:ascii="ARIAL" w:hAnsi="ARIAL"/>
                <w:b/>
                <w:color w:val="3F3F3F"/>
                <w:sz w:val="18"/>
              </w:rPr>
              <w:t>Celgene Corporation,</w:t>
            </w:r>
            <w:r>
              <w:rPr>
                <w:rFonts w:ascii="ARIAL" w:hAnsi="ARIAL"/>
                <w:color w:val="3F3F3F"/>
                <w:sz w:val="18"/>
              </w:rPr>
              <w:t xml:space="preserve"> a global biopharmaceutical company</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Key Skills and Experience:</w:t>
            </w:r>
          </w:p>
          <w:p>
            <w:pPr>
              <w:pStyle w:val="TableContents"/>
              <w:bidi w:val="0"/>
              <w:spacing w:before="0" w:after="0"/>
              <w:jc w:val="both"/>
              <w:rPr>
                <w:color w:val="3F3F3F"/>
              </w:rPr>
            </w:pPr>
            <w:r>
              <w:rPr>
                <w:color w:val="3F3F3F"/>
              </w:rPr>
              <w:t>•  </w:t>
            </w:r>
            <w:r>
              <w:rPr>
                <w:rFonts w:ascii="ARIAL" w:hAnsi="ARIAL"/>
                <w:b/>
                <w:color w:val="3F3F3F"/>
                <w:sz w:val="18"/>
              </w:rPr>
              <w:t>Public Company Management, Corporate Governance, Global Business, Healthcare Industry,</w:t>
            </w:r>
            <w:r>
              <w:rPr>
                <w:rFonts w:ascii="ARIAL" w:hAnsi="ARIAL"/>
                <w:color w:val="3F3F3F"/>
                <w:sz w:val="18"/>
              </w:rPr>
              <w:t xml:space="preserve"> </w:t>
            </w:r>
            <w:r>
              <w:rPr>
                <w:rFonts w:ascii="ARIAL" w:hAnsi="ARIAL"/>
                <w:b/>
                <w:color w:val="3F3F3F"/>
                <w:sz w:val="18"/>
              </w:rPr>
              <w:t>Risk Oversight/Compliance,</w:t>
            </w:r>
            <w:r>
              <w:rPr>
                <w:rFonts w:ascii="ARIAL" w:hAnsi="ARIAL"/>
                <w:color w:val="3F3F3F"/>
                <w:sz w:val="18"/>
              </w:rPr>
              <w:t xml:space="preserve"> and </w:t>
            </w:r>
            <w:r>
              <w:rPr>
                <w:rFonts w:ascii="ARIAL" w:hAnsi="ARIAL"/>
                <w:b/>
                <w:color w:val="3F3F3F"/>
                <w:sz w:val="18"/>
              </w:rPr>
              <w:t xml:space="preserve">Strategy and M&amp;A Experience </w:t>
            </w:r>
            <w:r>
              <w:rPr>
                <w:rFonts w:ascii="ARIAL" w:hAnsi="ARIAL"/>
                <w:color w:val="3F3F3F"/>
                <w:sz w:val="18"/>
              </w:rPr>
              <w:t>acquired during his more than 35 years in the healthcare industry, which has resulted in him possessing vast global commercial and pharmaceutical expertise and a proven ability to build, grow and manage large complex organizations utilizing his substantial experience in developing and executing regulatory, clinical, and business development strategies as displayed by time at BioAtla, where he built a clinical development structure that moved multiple assets from investigational new drug applications into late stage clinical development, drove the company’s long-term strategic operational plan and led all business development activities and, prior to that, his time at Celgene where he led the company’s oncology, inflammation and immunology franchise, commercial operations and clinical development</w:t>
            </w:r>
          </w:p>
          <w:p>
            <w:pPr>
              <w:pStyle w:val="TableContents"/>
              <w:bidi w:val="0"/>
              <w:spacing w:lineRule="atLeast" w:line="200" w:before="0" w:after="0"/>
              <w:jc w:val="both"/>
              <w:rPr>
                <w:color w:val="3F3F3F"/>
              </w:rPr>
            </w:pPr>
            <w:r>
              <w:rPr>
                <w:color w:val="3F3F3F"/>
              </w:rPr>
              <w:t>•  </w:t>
            </w:r>
            <w:r>
              <w:rPr>
                <w:rFonts w:ascii="ARIAL" w:hAnsi="ARIAL"/>
                <w:color w:val="3F3F3F"/>
                <w:sz w:val="18"/>
              </w:rPr>
              <w:t xml:space="preserve">Mr. Smith also brings </w:t>
            </w:r>
            <w:r>
              <w:rPr>
                <w:rFonts w:ascii="ARIAL" w:hAnsi="ARIAL"/>
                <w:b/>
                <w:color w:val="3F3F3F"/>
                <w:sz w:val="18"/>
              </w:rPr>
              <w:t xml:space="preserve">Finance, Accounting and Capital Markets </w:t>
            </w:r>
            <w:r>
              <w:rPr>
                <w:rFonts w:ascii="ARIAL" w:hAnsi="ARIAL"/>
                <w:color w:val="3F3F3F"/>
                <w:sz w:val="18"/>
              </w:rPr>
              <w:t xml:space="preserve">and </w:t>
            </w:r>
            <w:r>
              <w:rPr>
                <w:rFonts w:ascii="ARIAL" w:hAnsi="ARIAL"/>
                <w:b/>
                <w:color w:val="3F3F3F"/>
                <w:sz w:val="18"/>
              </w:rPr>
              <w:t>Human Capital Management Experience</w:t>
            </w:r>
            <w:r>
              <w:rPr>
                <w:rFonts w:ascii="ARIAL" w:hAnsi="ARIAL"/>
                <w:color w:val="3F3F3F"/>
                <w:sz w:val="18"/>
              </w:rPr>
              <w:t xml:space="preserve"> to the Board</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Other Current Public Company Boards:</w:t>
            </w:r>
          </w:p>
          <w:p>
            <w:pPr>
              <w:pStyle w:val="TableContents"/>
              <w:bidi w:val="0"/>
              <w:spacing w:before="0" w:after="0"/>
              <w:jc w:val="both"/>
              <w:rPr>
                <w:color w:val="3F3F3F"/>
              </w:rPr>
            </w:pPr>
            <w:r>
              <w:rPr>
                <w:color w:val="3F3F3F"/>
              </w:rPr>
              <w:t>•  </w:t>
            </w:r>
            <w:r>
              <w:rPr>
                <w:rFonts w:ascii="ARIAL" w:hAnsi="ARIAL"/>
                <w:b/>
                <w:color w:val="3F3F3F"/>
                <w:sz w:val="18"/>
              </w:rPr>
              <w:t xml:space="preserve">BioAtla, Inc. </w:t>
            </w:r>
            <w:r>
              <w:rPr>
                <w:rFonts w:ascii="ARIAL" w:hAnsi="ARIAL"/>
                <w:color w:val="3F3F3F"/>
                <w:sz w:val="18"/>
              </w:rPr>
              <w:t>(since 2020), Director</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Former Public Company Boards*:</w:t>
            </w:r>
          </w:p>
          <w:p>
            <w:pPr>
              <w:pStyle w:val="TableContents"/>
              <w:bidi w:val="0"/>
              <w:spacing w:lineRule="atLeast" w:line="200" w:before="0" w:after="0"/>
              <w:jc w:val="both"/>
              <w:rPr>
                <w:color w:val="3F3F3F"/>
              </w:rPr>
            </w:pPr>
            <w:r>
              <w:rPr>
                <w:color w:val="3F3F3F"/>
              </w:rPr>
              <w:t>•  </w:t>
            </w:r>
            <w:r>
              <w:rPr>
                <w:rFonts w:ascii="ARIAL" w:hAnsi="ARIAL"/>
                <w:b/>
                <w:color w:val="3F3F3F"/>
                <w:sz w:val="18"/>
              </w:rPr>
              <w:t>Apexigen, Inc.</w:t>
            </w:r>
            <w:r>
              <w:rPr>
                <w:rFonts w:ascii="ARIAL" w:hAnsi="ARIAL"/>
                <w:color w:val="3F3F3F"/>
                <w:sz w:val="18"/>
              </w:rPr>
              <w:t xml:space="preserve"> (2019 - 2023 when it was acquired by Pyxis Oncology, Inc.), Director and most recently member of the Compensation and Corporate Governance and Nominating Committees</w:t>
            </w:r>
          </w:p>
          <w:p>
            <w:pPr>
              <w:pStyle w:val="TableContents"/>
              <w:bidi w:val="0"/>
              <w:spacing w:lineRule="atLeast" w:line="200" w:before="0" w:after="0"/>
              <w:jc w:val="both"/>
              <w:rPr>
                <w:color w:val="3F3F3F"/>
              </w:rPr>
            </w:pPr>
            <w:r>
              <w:rPr>
                <w:color w:val="3F3F3F"/>
              </w:rPr>
              <w:t>•  </w:t>
            </w:r>
            <w:r>
              <w:rPr>
                <w:rFonts w:ascii="ARIAL" w:hAnsi="ARIAL"/>
                <w:b/>
                <w:color w:val="3F3F3F"/>
                <w:sz w:val="18"/>
              </w:rPr>
              <w:t>Titan Pharmaceuticals, Inc.</w:t>
            </w:r>
            <w:r>
              <w:rPr>
                <w:rFonts w:ascii="ARIAL" w:hAnsi="ARIAL"/>
                <w:color w:val="3F3F3F"/>
                <w:sz w:val="18"/>
              </w:rPr>
              <w:t xml:space="preserve"> (NASDAQ: TTNP) (2017 - 2020), Director and Chair of the Compensation and Nominating and Governance Committees</w:t>
            </w:r>
          </w:p>
          <w:p>
            <w:pPr>
              <w:pStyle w:val="TableContents"/>
              <w:bidi w:val="0"/>
              <w:spacing w:before="0" w:after="0"/>
              <w:jc w:val="left"/>
              <w:rPr/>
            </w:pPr>
            <w:r>
              <w:rPr/>
              <w:t> </w:t>
            </w:r>
          </w:p>
          <w:p>
            <w:pPr>
              <w:pStyle w:val="TableContents"/>
              <w:bidi w:val="0"/>
              <w:spacing w:before="0" w:after="0"/>
              <w:jc w:val="left"/>
              <w:rPr>
                <w:rFonts w:ascii="ARIAL" w:hAnsi="ARIAL"/>
                <w:b/>
                <w:color w:val="231161"/>
                <w:sz w:val="18"/>
              </w:rPr>
            </w:pPr>
            <w:r>
              <w:rPr>
                <w:rFonts w:ascii="ARIAL" w:hAnsi="ARIAL"/>
                <w:b/>
                <w:color w:val="231161"/>
                <w:sz w:val="18"/>
              </w:rPr>
              <w:t>Former Private Company Boards:</w:t>
            </w:r>
          </w:p>
          <w:p>
            <w:pPr>
              <w:pStyle w:val="TableContents"/>
              <w:bidi w:val="0"/>
              <w:spacing w:before="0" w:after="0"/>
              <w:jc w:val="both"/>
              <w:rPr>
                <w:color w:val="3F3F3F"/>
              </w:rPr>
            </w:pPr>
            <w:r>
              <w:rPr>
                <w:color w:val="3F3F3F"/>
              </w:rPr>
              <w:t>•  </w:t>
            </w:r>
            <w:r>
              <w:rPr>
                <w:rFonts w:ascii="ARIAL" w:hAnsi="ARIAL"/>
                <w:b/>
                <w:color w:val="3F3F3F"/>
                <w:sz w:val="18"/>
              </w:rPr>
              <w:t>Triumvira Immunologics, Inc.</w:t>
            </w:r>
            <w:r>
              <w:rPr>
                <w:rFonts w:ascii="ARIAL" w:hAnsi="ARIAL"/>
                <w:color w:val="3F3F3F"/>
                <w:sz w:val="18"/>
              </w:rPr>
              <w:t xml:space="preserve"> (2018 - 2023), Director and Chairman</w:t>
            </w:r>
          </w:p>
          <w:p>
            <w:pPr>
              <w:pStyle w:val="TableContents"/>
              <w:bidi w:val="0"/>
              <w:spacing w:before="0" w:after="0"/>
              <w:jc w:val="both"/>
              <w:rPr>
                <w:color w:val="3F3F3F"/>
              </w:rPr>
            </w:pPr>
            <w:r>
              <w:rPr>
                <w:color w:val="3F3F3F"/>
              </w:rPr>
              <w:t>•  </w:t>
            </w:r>
            <w:r>
              <w:rPr>
                <w:rFonts w:ascii="ARIAL" w:hAnsi="ARIAL"/>
                <w:b/>
                <w:color w:val="3F3F3F"/>
                <w:sz w:val="18"/>
              </w:rPr>
              <w:t>Refuge Biotechnologies, Inc.</w:t>
            </w:r>
            <w:r>
              <w:rPr>
                <w:rFonts w:ascii="ARIAL" w:hAnsi="ARIAL"/>
                <w:color w:val="3F3F3F"/>
                <w:sz w:val="18"/>
              </w:rPr>
              <w:t xml:space="preserve"> (2018 - 2022), Director</w:t>
            </w:r>
          </w:p>
          <w:p>
            <w:pPr>
              <w:pStyle w:val="TableContents"/>
              <w:bidi w:val="0"/>
              <w:spacing w:lineRule="atLeast" w:line="200" w:before="0" w:after="0"/>
              <w:jc w:val="both"/>
              <w:rPr>
                <w:color w:val="3F3F3F"/>
              </w:rPr>
            </w:pPr>
            <w:r>
              <w:rPr>
                <w:color w:val="3F3F3F"/>
              </w:rPr>
              <w:t>•  </w:t>
            </w:r>
            <w:r>
              <w:rPr>
                <w:rFonts w:ascii="ARIAL" w:hAnsi="ARIAL"/>
                <w:b/>
                <w:color w:val="3F3F3F"/>
                <w:sz w:val="18"/>
              </w:rPr>
              <w:t>F-star Therapeutics, Inc.</w:t>
            </w:r>
            <w:r>
              <w:rPr>
                <w:rFonts w:ascii="ARIAL" w:hAnsi="ARIAL"/>
                <w:color w:val="3F3F3F"/>
                <w:sz w:val="18"/>
              </w:rPr>
              <w:t xml:space="preserve"> (2018 - 2020), Chairman and member of the Audit and Nominating and Corporate Governance Committees</w:t>
            </w:r>
          </w:p>
          <w:p>
            <w:pPr>
              <w:pStyle w:val="TableContents"/>
              <w:bidi w:val="0"/>
              <w:spacing w:before="0" w:after="20"/>
              <w:jc w:val="both"/>
              <w:rPr>
                <w:rFonts w:ascii="ARIAL" w:hAnsi="ARIAL"/>
                <w:color w:val="3F3F3F"/>
                <w:sz w:val="16"/>
              </w:rPr>
            </w:pPr>
            <w:r>
              <w:rPr>
                <w:rFonts w:ascii="ARIAL" w:hAnsi="ARIAL"/>
                <w:color w:val="3F3F3F"/>
                <w:sz w:val="16"/>
              </w:rPr>
              <w:t>*   The Board had, in accordance with its Corporate Governance Principles, previously approved Mr. Smith’s concurrent service as an executive officer of a public company and on more than one other public company board of directors and determined that it did not impair his ability to effectively serve on the Board.</w:t>
            </w:r>
          </w:p>
        </w:tc>
      </w:tr>
      <w:tr>
        <w:trPr/>
        <w:tc>
          <w:tcPr>
            <w:tcW w:w="10205" w:type="dxa"/>
            <w:gridSpan w:val="3"/>
            <w:tcBorders>
              <w:bottom w:val="dotted" w:sz="8" w:space="0" w:color="732282"/>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 </w:t>
      </w:r>
      <w:r>
        <w:br w:type="page"/>
      </w:r>
    </w:p>
    <w:p>
      <w:pPr>
        <w:pStyle w:val="HorizontalLine"/>
        <w:bidi w:val="0"/>
        <w:jc w:val="left"/>
        <w:rPr/>
      </w:pPr>
      <w:r>
        <w:rPr/>
      </w:r>
    </w:p>
    <w:p>
      <w:pPr>
        <w:pStyle w:val="TextBody"/>
        <w:bidi w:val="0"/>
        <w:spacing w:before="0" w:after="0"/>
        <w:jc w:val="left"/>
        <w:rPr>
          <w:rFonts w:ascii="ARIAL" w:hAnsi="ARIAL"/>
          <w:b/>
          <w:sz w:val="20"/>
        </w:rPr>
      </w:pPr>
      <w:r>
        <w:rPr>
          <w:rFonts w:ascii="ARIAL" w:hAnsi="ARIAL"/>
          <w:b/>
          <w:sz w:val="20"/>
        </w:rPr>
        <w:t xml:space="preserve">Viatris’ Board Structure </w:t>
      </w:r>
    </w:p>
    <w:p>
      <w:pPr>
        <w:pStyle w:val="TextBody"/>
        <w:bidi w:val="0"/>
        <w:spacing w:before="120" w:after="0"/>
        <w:jc w:val="both"/>
        <w:rPr>
          <w:rFonts w:ascii="arial" w:hAnsi="arial"/>
          <w:sz w:val="18"/>
        </w:rPr>
      </w:pPr>
      <w:r>
        <w:rPr>
          <w:rFonts w:ascii="arial" w:hAnsi="arial"/>
          <w:sz w:val="18"/>
        </w:rPr>
        <w:t xml:space="preserve">As set forth in our Bylaws, the Company has a majority vote standard for director elections in the event of an uncontested election and a plurality standard in the event of a contested election. The Bylaws also provide that if a nominee for Director who is an incumbent is not elected and no successor has been elected at such meeting, the Director shall promptly tender their irrevocable resignation to the Board, such resignation to be effective upon acceptance by the Board. Commencing with the Company’s 2023 annual meeting of shareholders (the “2023 Annual Meeting”), the Board was declassified and all Directors are submitted for election at each annual meeting of shareholders. </w:t>
      </w:r>
    </w:p>
    <w:p>
      <w:pPr>
        <w:pStyle w:val="TextBody"/>
        <w:bidi w:val="0"/>
        <w:spacing w:before="240" w:after="0"/>
        <w:jc w:val="both"/>
        <w:rPr>
          <w:rFonts w:ascii="arial" w:hAnsi="arial"/>
          <w:sz w:val="18"/>
        </w:rPr>
      </w:pPr>
      <w:r>
        <w:rPr>
          <w:rFonts w:ascii="arial" w:hAnsi="arial"/>
          <w:sz w:val="18"/>
        </w:rPr>
        <w:t xml:space="preserve">The Board has selected a leadership and management structure that it believes is best suited to meet the needs of the Company and our shareholders. The flexibility to make these decisions serves the interests of the Company and its shareholders, as the Board is best positioned to evaluate the optimal leadership structure for the Company based upon the respective talents of the individual Directors and the Company’s leadership team, strategic objectives, and challenges and opportunities over time. </w:t>
      </w:r>
    </w:p>
    <w:p>
      <w:pPr>
        <w:pStyle w:val="TextBody"/>
        <w:bidi w:val="0"/>
        <w:spacing w:before="360" w:after="0"/>
        <w:jc w:val="left"/>
        <w:rPr>
          <w:rFonts w:ascii="ARIAL" w:hAnsi="ARIAL"/>
          <w:b/>
          <w:sz w:val="20"/>
        </w:rPr>
      </w:pPr>
      <w:r>
        <w:rPr>
          <w:rFonts w:ascii="ARIAL" w:hAnsi="ARIAL"/>
          <w:b/>
          <w:sz w:val="20"/>
        </w:rPr>
        <w:t xml:space="preserve">Our Board Structure </w:t>
      </w:r>
    </w:p>
    <w:p>
      <w:pPr>
        <w:pStyle w:val="TextBody"/>
        <w:bidi w:val="0"/>
        <w:spacing w:before="120" w:after="0"/>
        <w:jc w:val="both"/>
        <w:rPr>
          <w:rFonts w:ascii="arial" w:hAnsi="arial"/>
          <w:sz w:val="18"/>
        </w:rPr>
      </w:pPr>
      <w:r>
        <w:rPr>
          <w:rFonts w:ascii="arial" w:hAnsi="arial"/>
          <w:sz w:val="18"/>
        </w:rPr>
        <w:t xml:space="preserve">The Board believes that its current leadership structure—Mr. Smith as CEO and Ms. Higgins as independent Board Chair (the “Chair”)—provides a clear delineation of responsibilities for each position and fosters greater accountability of management, which remain critical given our enduring focus on execution and results, particularly as we prepare to enter Phase 2 of our previously announced two-phased strategic vision. The Board believes this structure will allow the CEO to continue to focus on running the Company on a day-to-day basis while allowing the Chair to lead the Board in providing advice to, and independent oversight of, management. As set forth below, the independent Chair also has significant authority for all Board matters and serves as Chair of the Executive Committee. </w:t>
      </w:r>
    </w:p>
    <w:p>
      <w:pPr>
        <w:pStyle w:val="TextBody"/>
        <w:bidi w:val="0"/>
        <w:spacing w:before="240" w:after="0"/>
        <w:jc w:val="both"/>
        <w:rPr>
          <w:rFonts w:ascii="arial" w:hAnsi="arial"/>
          <w:sz w:val="18"/>
        </w:rPr>
      </w:pPr>
      <w:r>
        <w:rPr>
          <w:rFonts w:ascii="arial" w:hAnsi="arial"/>
          <w:sz w:val="18"/>
        </w:rPr>
        <w:t xml:space="preserve">In May 2023, in light of the leadership and oversight of Robert J. Coury, our then Executive Chairman, in developing our comprehensive strategies for growth while streamlining the Company, the substantial success and progress on and overall performance with respect to the Company’s Phase 1 objectives, and in preparation for the Company’s move into Phase 2 of our strategic plan, the independent members of the Board believed it was an appropriate time to consider a transition to a more conventional Board leadership structure, which we had previously informed shareholders we would do at the appropriate time for the Company. In 2023, the Board approached Mr. Coury, and Mr. Coury agreed, to transition to a new role as Chairman Emeritus and Senior Strategic Advisor from the conclusion of the 2023 Annual Meeting through the end of 2025 (the same period that Mr. Coury previously committed to the Company under his Executive Employment Agreement when Viatris was created). As a result, Mr. Coury did not stand for re-election at the 2023 Annual Meeting and ceased to be a director and to serve as an officer and employee of the Company, in each case, effective as of the conclusion of the 2023 Annual Meeting. The Board believes that this transition has enabled and will enable the Board and management to continue to benefit from Mr. Coury’s extraordinary strategic vision and knowledge of the Company, management, the industry, and the complex global markets the Company operates in as it continues to adopt this new Board leadership structure and integrate new members of management. </w:t>
      </w:r>
    </w:p>
    <w:p>
      <w:pPr>
        <w:pStyle w:val="TextBody"/>
        <w:bidi w:val="0"/>
        <w:spacing w:before="240" w:after="0"/>
        <w:jc w:val="both"/>
        <w:rPr>
          <w:rFonts w:ascii="arial" w:hAnsi="arial"/>
          <w:sz w:val="18"/>
        </w:rPr>
      </w:pPr>
      <w:r>
        <w:rPr>
          <w:rFonts w:ascii="arial" w:hAnsi="arial"/>
          <w:sz w:val="18"/>
        </w:rPr>
        <w:t xml:space="preserve">At that time, the Board also committed to selecting a new independent Chair whose tenure would begin following the 2023 Annual Meeting and subsequently elected Ms. Higgins, an independent Director, as Chair effective immediately following the 2023 Annual Meeting. As described in “Setting and Overseeing Strategy” on page 21 below, the Board actively discusses, determines and oversees the Company’s strategies intended to unlock value for the Company and its shareholders and ensure the durability, sustainability, and stability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sz w:val="18"/>
        </w:rPr>
        <w:t xml:space="preserve">of the business. The Board believes that Ms. Higgins’ skills and experience detailed on page 8 as well as her deep knowledge of the Company will make the Chair an invaluable leader of the Board and resource to the CEO and management, particularly as the Company prepares to enter Phase 2 of its previously announced two-phased strategic vision. The Chair determines the information sent to Board, its meeting agendas, and meeting schedules to assure that the Board is properly informed with respect to agenda items in advance and that there is sufficient time for discussion of agenda items at the meetings. The Chair presides at all meetings of shareholders and serves as point person for shareholders wishing to communicate with the Board. The Chair of the Board also serves as Chair of the Executive Committee. The independent Chair also presides at executive sessions of the independent Directors and has the authority to call meetings of the independent Directors. As set forth in the Corporate Governance Principles, the independent Chair is responsible for appointing a Director to serve as Vice Chair. The Vice Chair serves on the Executive Committee and, in the absence of the Chair, presides over Board meetings. Upon her election as Chair, Ms. Higgins appointed Mr. Parrish to serve as Vice Chair of the Board. </w:t>
      </w:r>
    </w:p>
    <w:p>
      <w:pPr>
        <w:pStyle w:val="TextBody"/>
        <w:bidi w:val="0"/>
        <w:spacing w:before="240" w:after="0"/>
        <w:jc w:val="both"/>
        <w:rPr>
          <w:rFonts w:ascii="arial" w:hAnsi="arial"/>
          <w:sz w:val="18"/>
        </w:rPr>
      </w:pPr>
      <w:r>
        <w:rPr>
          <w:rFonts w:ascii="arial" w:hAnsi="arial"/>
          <w:sz w:val="18"/>
        </w:rPr>
        <w:t xml:space="preserve">Mr. Smith is tasked with leading the daily management and performance of the business, which include, among other responsibilities, building and enhancing the Company’s commercial excellence and executing on its strategy to increase access to quality medicines and services through the Global Healthcare Gateway® and further move up the value chain by focusing on more complex and innovative products to build a more durable higher margin portfolio, while continuing to explore opportunities to unlock shareholder value. The Board continues to believe that Mr. Smith is well suited to lead the Company as it prepares to enter Phase 2 of its previously announced strategy and that his experience and expertise positions him to manage the global nature and complexity of a business that we believe is on a path to growth. </w:t>
      </w:r>
    </w:p>
    <w:p>
      <w:pPr>
        <w:pStyle w:val="TextBody"/>
        <w:bidi w:val="0"/>
        <w:spacing w:before="240" w:after="0"/>
        <w:jc w:val="both"/>
        <w:rPr>
          <w:rFonts w:ascii="arial" w:hAnsi="arial"/>
          <w:sz w:val="18"/>
        </w:rPr>
      </w:pPr>
      <w:r>
        <w:rPr>
          <w:rFonts w:ascii="arial" w:hAnsi="arial"/>
          <w:sz w:val="18"/>
        </w:rPr>
        <w:t xml:space="preserve">The Board has also adopted the corporate governance policies and practices set forth below that promote a strong and effective Board that provides independent oversight. </w:t>
      </w:r>
    </w:p>
    <w:p>
      <w:pPr>
        <w:pStyle w:val="TextBody"/>
        <w:bidi w:val="0"/>
        <w:spacing w:before="240" w:after="0"/>
        <w:jc w:val="both"/>
        <w:rPr>
          <w:rFonts w:ascii="arial" w:hAnsi="arial"/>
          <w:sz w:val="18"/>
        </w:rPr>
      </w:pPr>
      <w:r>
        <w:rPr>
          <w:rFonts w:ascii="arial" w:hAnsi="arial"/>
          <w:sz w:val="18"/>
        </w:rPr>
        <w:t xml:space="preserve">Among the factors that demonstrate the Board’s commitment to good governance practices and enable it to provide highly effective oversight and direction are: </w:t>
      </w:r>
    </w:p>
    <w:p>
      <w:pPr>
        <w:pStyle w:val="TextBody"/>
        <w:bidi w:val="0"/>
        <w:spacing w:before="0" w:after="0"/>
        <w:jc w:val="left"/>
        <w:rPr/>
      </w:pPr>
      <w:r>
        <w:rPr/>
        <w:t> </w:t>
      </w:r>
    </w:p>
    <w:tbl>
      <w:tblPr>
        <w:tblW w:w="3400" w:type="dxa"/>
        <w:jc w:val="left"/>
        <w:tblInd w:w="0" w:type="dxa"/>
        <w:tblLayout w:type="fixed"/>
        <w:tblCellMar>
          <w:top w:w="0" w:type="dxa"/>
          <w:left w:w="0" w:type="dxa"/>
          <w:bottom w:w="0" w:type="dxa"/>
          <w:right w:w="0" w:type="dxa"/>
        </w:tblCellMar>
      </w:tblPr>
      <w:tblGrid>
        <w:gridCol w:w="75"/>
        <w:gridCol w:w="110"/>
        <w:gridCol w:w="60"/>
        <w:gridCol w:w="3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0"/>
              <w:jc w:val="both"/>
              <w:rPr>
                <w:rFonts w:ascii="arial" w:hAnsi="arial"/>
                <w:sz w:val="18"/>
              </w:rPr>
            </w:pPr>
            <w:r>
              <w:rPr>
                <w:rFonts w:ascii="arial" w:hAnsi="arial"/>
                <w:sz w:val="18"/>
              </w:rPr>
              <w:t xml:space="preserve">9 out of 11 Directors are independent;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Currently, all committees of the Board are composed entirely of independent Directors (as defined in the applicable NASDAQ listing rules and applicable SEC rules), and Board approval of any appointment of members to the Audit, Compensation, Compliance and Risk Oversight, and Governance and Sustainability Committees must include an affirmative vote by at least a majority of the independent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The Board operates pursuant to Corporate Governance Principles, which are reviewed by the Governance and Sustainability Committee at least annually; </w:t>
            </w:r>
          </w:p>
        </w:tc>
      </w:tr>
    </w:tbl>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75"/>
        <w:gridCol w:w="110"/>
        <w:gridCol w:w="60"/>
        <w:gridCol w:w="7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both"/>
              <w:rPr>
                <w:rFonts w:ascii="arial" w:hAnsi="arial"/>
                <w:sz w:val="18"/>
              </w:rPr>
            </w:pPr>
            <w:r>
              <w:rPr>
                <w:rFonts w:ascii="arial" w:hAnsi="arial"/>
                <w:sz w:val="18"/>
              </w:rPr>
              <w:t xml:space="preserve">All Board committees operate pursuant to written charters and conduct annual self-assessments;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The Compliance and Risk Oversight Committee assists the Board in its oversight of management’s efforts with respect to the Company’s enterprise risk framework, and infrastructure and controls. The Committee receives reports, including with respect to related risks, risk management, and relevant legislative, regulatory, and technical developments, from senior management on data security, cybersecurity, information security-related matters, certain litigation-related topics and other topics on at least a quarterly basis. The Board and its other committees also have important roles in the oversight of risk as described in more detail in “Risk Oversight” beginning on page 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The Governance and Sustainability Committee, in addition to its responsibilities for overseeing corporative governance and succession planning, among other matters, assists the Board in its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18"/>
              </w:rPr>
            </w:pPr>
            <w:r>
              <w:rPr>
                <w:rFonts w:ascii="arial" w:hAnsi="arial"/>
                <w:sz w:val="18"/>
              </w:rPr>
              <w:t xml:space="preserve">oversight of management’s efforts with respect to the Company’s corporate environmental and social responsibility matters. The Committee receives reports on these matters on at least a quarterly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The independent Directors on the Board and its committees receive extensive information and input from multiple layers of management and external advisors, engage in detailed discussion and analysis regarding matters brought before them (including in executive session), and actively engage in the development and approval of significant corporate strategies; </w:t>
            </w:r>
          </w:p>
        </w:tc>
      </w:tr>
    </w:tbl>
    <w:p>
      <w:pPr>
        <w:pStyle w:val="TextBody"/>
        <w:bidi w:val="0"/>
        <w:spacing w:before="0" w:after="0"/>
        <w:jc w:val="left"/>
        <w:rPr/>
      </w:pPr>
      <w:r>
        <w:rPr/>
        <w:t> </w:t>
      </w:r>
    </w:p>
    <w:tbl>
      <w:tblPr>
        <w:tblW w:w="7960" w:type="dxa"/>
        <w:jc w:val="left"/>
        <w:tblInd w:w="0" w:type="dxa"/>
        <w:tblLayout w:type="fixed"/>
        <w:tblCellMar>
          <w:top w:w="0" w:type="dxa"/>
          <w:left w:w="0" w:type="dxa"/>
          <w:bottom w:w="0" w:type="dxa"/>
          <w:right w:w="0" w:type="dxa"/>
        </w:tblCellMar>
      </w:tblPr>
      <w:tblGrid>
        <w:gridCol w:w="75"/>
        <w:gridCol w:w="110"/>
        <w:gridCol w:w="60"/>
        <w:gridCol w:w="7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0"/>
              <w:jc w:val="both"/>
              <w:rPr>
                <w:rFonts w:ascii="arial" w:hAnsi="arial"/>
                <w:sz w:val="18"/>
              </w:rPr>
            </w:pPr>
            <w:r>
              <w:rPr>
                <w:rFonts w:ascii="arial" w:hAnsi="arial"/>
                <w:sz w:val="18"/>
              </w:rPr>
              <w:t xml:space="preserve">The Board and its committees have full access to officers and employees of the Company;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The Board and its committees have the authority to select, retain, and supervise advisors as necessary to fulfill their mandates. </w:t>
            </w:r>
          </w:p>
        </w:tc>
      </w:tr>
    </w:tbl>
    <w:p>
      <w:pPr>
        <w:pStyle w:val="TextBody"/>
        <w:bidi w:val="0"/>
        <w:spacing w:before="360" w:after="0"/>
        <w:jc w:val="left"/>
        <w:rPr>
          <w:rFonts w:ascii="ARIAL" w:hAnsi="ARIAL"/>
          <w:b/>
          <w:sz w:val="20"/>
        </w:rPr>
      </w:pPr>
      <w:r>
        <w:rPr>
          <w:rFonts w:ascii="ARIAL" w:hAnsi="ARIAL"/>
          <w:b/>
          <w:sz w:val="20"/>
        </w:rPr>
        <w:t xml:space="preserve">Meetings of Viatris’ Board </w:t>
      </w:r>
    </w:p>
    <w:p>
      <w:pPr>
        <w:pStyle w:val="TextBody"/>
        <w:bidi w:val="0"/>
        <w:spacing w:before="120" w:after="0"/>
        <w:jc w:val="both"/>
        <w:rPr>
          <w:rFonts w:ascii="arial" w:hAnsi="arial"/>
          <w:sz w:val="18"/>
        </w:rPr>
      </w:pPr>
      <w:r>
        <w:rPr>
          <w:rFonts w:ascii="arial" w:hAnsi="arial"/>
          <w:sz w:val="18"/>
        </w:rPr>
        <w:t xml:space="preserve">Viatris’ Board met eight times in 2023. In addition to meetings of the Board, Directors attended meetings of individual Board committees of which they were members, and all Directors attended greater than 75% of the aggregate of Board meetings and meetings of the committees of which they were a member in 2023. </w:t>
      </w:r>
    </w:p>
    <w:p>
      <w:pPr>
        <w:pStyle w:val="TextBody"/>
        <w:bidi w:val="0"/>
        <w:spacing w:before="240" w:after="0"/>
        <w:jc w:val="both"/>
        <w:rPr>
          <w:rFonts w:ascii="arial" w:hAnsi="arial"/>
          <w:sz w:val="18"/>
        </w:rPr>
      </w:pPr>
      <w:r>
        <w:rPr>
          <w:rFonts w:ascii="arial" w:hAnsi="arial"/>
          <w:sz w:val="18"/>
        </w:rPr>
        <w:t xml:space="preserve">Viatris’ Corporate Governance Principles require the independent Directors of the Board to meet in separate executive sessions periodically, and at least twice annually, during regularly scheduled meetings of the Board, without any non-independent Directors or members of management present. The independent Directors of the Board met five times in executive session in 2023, with Mr. Parrish, the then Lead Independent Director, presiding at those executive sessions. </w:t>
      </w:r>
    </w:p>
    <w:p>
      <w:pPr>
        <w:pStyle w:val="TextBody"/>
        <w:bidi w:val="0"/>
        <w:spacing w:before="240" w:after="0"/>
        <w:jc w:val="both"/>
        <w:rPr>
          <w:rFonts w:ascii="arial" w:hAnsi="arial"/>
          <w:sz w:val="18"/>
        </w:rPr>
      </w:pPr>
      <w:r>
        <w:rPr>
          <w:rFonts w:ascii="arial" w:hAnsi="arial"/>
          <w:sz w:val="18"/>
        </w:rPr>
        <w:t xml:space="preserve">Pursuant to Viatris’ Corporate Governance Principles, Directors are expected to attend the annual meeting of shareholders of the Company, where practicable. Twelve Directors at the time of the 2023 Annual Meeting, including the 11 Directors standing for re-election, attended such meeting in person. </w:t>
      </w:r>
    </w:p>
    <w:p>
      <w:pPr>
        <w:pStyle w:val="TextBody"/>
        <w:bidi w:val="0"/>
        <w:spacing w:before="360" w:after="0"/>
        <w:jc w:val="left"/>
        <w:rPr>
          <w:rFonts w:ascii="ARIAL" w:hAnsi="ARIAL"/>
          <w:b/>
          <w:sz w:val="20"/>
        </w:rPr>
      </w:pPr>
      <w:r>
        <w:rPr>
          <w:rFonts w:ascii="ARIAL" w:hAnsi="ARIAL"/>
          <w:b/>
          <w:sz w:val="20"/>
        </w:rPr>
        <w:t xml:space="preserve">Meetings of Viatris’ Board Committees </w:t>
      </w:r>
    </w:p>
    <w:p>
      <w:pPr>
        <w:pStyle w:val="TextBody"/>
        <w:bidi w:val="0"/>
        <w:spacing w:before="120" w:after="0"/>
        <w:jc w:val="both"/>
        <w:rPr>
          <w:rFonts w:ascii="arial" w:hAnsi="arial"/>
          <w:sz w:val="18"/>
        </w:rPr>
      </w:pPr>
      <w:r>
        <w:rPr>
          <w:rFonts w:ascii="arial" w:hAnsi="arial"/>
          <w:sz w:val="18"/>
        </w:rPr>
        <w:t xml:space="preserve">The committees of the Board are the Audit Committee, the Compensation Committee, the Compliance and Risk Oversight Committee, the Executive Committee, the Finance Committee, and the Governance and Sustainability Committee. Each committee operates pursuant to a written charter, a current copy of which, along with our Amended and Restated Certificate of Incorporation, the Bylaws, and Corporate Governance Principles, is available on Viatris’ website at https://www.viatris.com/en/About-Us/Corporate-Governance. </w:t>
      </w:r>
    </w:p>
    <w:p>
      <w:pPr>
        <w:pStyle w:val="TextBody"/>
        <w:bidi w:val="0"/>
        <w:spacing w:before="120" w:after="0"/>
        <w:jc w:val="both"/>
        <w:rPr>
          <w:rFonts w:ascii="arial" w:hAnsi="arial"/>
          <w:sz w:val="18"/>
        </w:rPr>
      </w:pPr>
      <w:r>
        <w:rPr>
          <w:rFonts w:ascii="arial" w:hAnsi="arial"/>
          <w:sz w:val="18"/>
        </w:rPr>
        <w:t xml:space="preserve">Prior to the 2023 Annual Meeting, the committees of the Board were the Audit Committee, the Compensation Committee, the Compliance Committee, the Executive Committee, the Finance Committee, the Governance and Nominating Committee, and the Risk Oversight Committee. Effective immediately following the 2023 Annual Meeting, (1) the Governance and Nominating Committee assumed the former Risk Oversight Committee’s responsibility for overseeing management’s efforts with respect to corporate environmental and social responsibility matters and was renamed the Governance and Sustainability Committee and (2) the Risk Oversight Committee and Compliance Committee were consolidated to be the Compliance and Risk Oversight Committee. </w:t>
      </w:r>
    </w:p>
    <w:p>
      <w:pPr>
        <w:pStyle w:val="TextBody"/>
        <w:bidi w:val="0"/>
        <w:spacing w:before="240" w:after="0"/>
        <w:jc w:val="both"/>
        <w:rPr>
          <w:rFonts w:ascii="arial" w:hAnsi="arial"/>
          <w:sz w:val="18"/>
        </w:rPr>
      </w:pPr>
      <w:r>
        <w:rPr>
          <w:rFonts w:ascii="arial" w:hAnsi="arial"/>
          <w:sz w:val="18"/>
        </w:rPr>
        <w:t xml:space="preserve">Currently, all members of the committees of the Board are independent Directors, as defined in the applicable NASDAQ listing rules and applicable SEC rules. Board approval of any Director appointment to the Audit, Compensation, Compliance and Risk Oversight, and Governance and Sustainability Committees must include at least a majority of the independent Directors. The Board has determined that Richard Mark, the Chair of the Audit Committee, is an “audit committee financial expert”, as that term is defined in the rules of the SEC.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sz w:val="18"/>
        </w:rPr>
        <w:t xml:space="preserve">Information regarding each of the committees is provided below and on the following pages, and pages 24 to 25 provide additional discussion of committee responsibilities with respect to risk oversight. </w:t>
      </w:r>
    </w:p>
    <w:p>
      <w:pPr>
        <w:pStyle w:val="TextBody"/>
        <w:bidi w:val="0"/>
        <w:spacing w:before="240" w:after="0"/>
        <w:jc w:val="both"/>
        <w:rPr>
          <w:rFonts w:ascii="arial" w:hAnsi="arial"/>
          <w:sz w:val="18"/>
        </w:rPr>
      </w:pPr>
      <w:r>
        <w:rPr>
          <w:rFonts w:ascii="arial" w:hAnsi="arial"/>
          <w:sz w:val="18"/>
        </w:rPr>
        <w:t xml:space="preserve">The table below provides the current membership (as of the date of this report) and 2023 meeting information for each Board committee. </w:t>
      </w:r>
    </w:p>
    <w:p>
      <w:pPr>
        <w:pStyle w:val="TextBody"/>
        <w:bidi w:val="0"/>
        <w:spacing w:before="0" w:after="0"/>
        <w:jc w:val="left"/>
        <w:rPr/>
      </w:pPr>
      <w:r>
        <w:rPr/>
        <w:t> </w:t>
      </w:r>
    </w:p>
    <w:tbl>
      <w:tblPr>
        <w:tblW w:w="8990" w:type="dxa"/>
        <w:jc w:val="left"/>
        <w:tblInd w:w="0" w:type="dxa"/>
        <w:tblLayout w:type="fixed"/>
        <w:tblCellMar>
          <w:top w:w="0" w:type="dxa"/>
          <w:left w:w="0" w:type="dxa"/>
          <w:bottom w:w="0" w:type="dxa"/>
          <w:right w:w="0" w:type="dxa"/>
        </w:tblCellMar>
      </w:tblPr>
      <w:tblGrid>
        <w:gridCol w:w="1820"/>
        <w:gridCol w:w="60"/>
        <w:gridCol w:w="605"/>
        <w:gridCol w:w="60"/>
        <w:gridCol w:w="1490"/>
        <w:gridCol w:w="60"/>
        <w:gridCol w:w="1190"/>
        <w:gridCol w:w="60"/>
        <w:gridCol w:w="1010"/>
        <w:gridCol w:w="60"/>
        <w:gridCol w:w="830"/>
        <w:gridCol w:w="60"/>
        <w:gridCol w:w="1685"/>
      </w:tblGrid>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1820" w:type="dxa"/>
            <w:tcBorders/>
            <w:shd w:fill="732282" w:val="clear"/>
            <w:vAlign w:val="center"/>
          </w:tcPr>
          <w:p>
            <w:pPr>
              <w:pStyle w:val="TableContents"/>
              <w:bidi w:val="0"/>
              <w:spacing w:before="0" w:after="283"/>
              <w:jc w:val="left"/>
              <w:rPr>
                <w:sz w:val="4"/>
                <w:szCs w:val="4"/>
              </w:rPr>
            </w:pPr>
            <w:r>
              <w:rPr>
                <w:sz w:val="4"/>
                <w:szCs w:val="4"/>
              </w:rPr>
            </w:r>
          </w:p>
        </w:tc>
        <w:tc>
          <w:tcPr>
            <w:tcW w:w="665" w:type="dxa"/>
            <w:gridSpan w:val="2"/>
            <w:tcBorders/>
            <w:shd w:fill="732282" w:val="clear"/>
            <w:vAlign w:val="center"/>
          </w:tcPr>
          <w:p>
            <w:pPr>
              <w:pStyle w:val="TableContents"/>
              <w:bidi w:val="0"/>
              <w:spacing w:before="0" w:after="283"/>
              <w:jc w:val="left"/>
              <w:rPr>
                <w:sz w:val="4"/>
                <w:szCs w:val="4"/>
              </w:rPr>
            </w:pPr>
            <w:r>
              <w:rPr>
                <w:sz w:val="4"/>
                <w:szCs w:val="4"/>
              </w:rPr>
            </w:r>
          </w:p>
        </w:tc>
        <w:tc>
          <w:tcPr>
            <w:tcW w:w="1550" w:type="dxa"/>
            <w:gridSpan w:val="2"/>
            <w:tcBorders/>
            <w:shd w:fill="732282" w:val="clear"/>
            <w:vAlign w:val="center"/>
          </w:tcPr>
          <w:p>
            <w:pPr>
              <w:pStyle w:val="TableContents"/>
              <w:bidi w:val="0"/>
              <w:spacing w:before="0" w:after="283"/>
              <w:jc w:val="left"/>
              <w:rPr>
                <w:sz w:val="4"/>
                <w:szCs w:val="4"/>
              </w:rPr>
            </w:pPr>
            <w:r>
              <w:rPr>
                <w:sz w:val="4"/>
                <w:szCs w:val="4"/>
              </w:rPr>
            </w:r>
          </w:p>
        </w:tc>
        <w:tc>
          <w:tcPr>
            <w:tcW w:w="1250" w:type="dxa"/>
            <w:gridSpan w:val="2"/>
            <w:tcBorders/>
            <w:shd w:fill="732282" w:val="clear"/>
            <w:vAlign w:val="center"/>
          </w:tcPr>
          <w:p>
            <w:pPr>
              <w:pStyle w:val="TableContents"/>
              <w:bidi w:val="0"/>
              <w:spacing w:before="0" w:after="283"/>
              <w:jc w:val="left"/>
              <w:rPr>
                <w:sz w:val="4"/>
                <w:szCs w:val="4"/>
              </w:rPr>
            </w:pPr>
            <w:r>
              <w:rPr>
                <w:sz w:val="4"/>
                <w:szCs w:val="4"/>
              </w:rPr>
            </w:r>
          </w:p>
        </w:tc>
        <w:tc>
          <w:tcPr>
            <w:tcW w:w="1070" w:type="dxa"/>
            <w:gridSpan w:val="2"/>
            <w:tcBorders/>
            <w:shd w:fill="732282" w:val="clear"/>
            <w:vAlign w:val="center"/>
          </w:tcPr>
          <w:p>
            <w:pPr>
              <w:pStyle w:val="TableContents"/>
              <w:bidi w:val="0"/>
              <w:spacing w:before="0" w:after="283"/>
              <w:jc w:val="left"/>
              <w:rPr>
                <w:sz w:val="4"/>
                <w:szCs w:val="4"/>
              </w:rPr>
            </w:pPr>
            <w:r>
              <w:rPr>
                <w:sz w:val="4"/>
                <w:szCs w:val="4"/>
              </w:rPr>
            </w:r>
          </w:p>
        </w:tc>
        <w:tc>
          <w:tcPr>
            <w:tcW w:w="890" w:type="dxa"/>
            <w:gridSpan w:val="2"/>
            <w:tcBorders/>
            <w:shd w:fill="732282" w:val="clear"/>
            <w:vAlign w:val="center"/>
          </w:tcPr>
          <w:p>
            <w:pPr>
              <w:pStyle w:val="TableContents"/>
              <w:bidi w:val="0"/>
              <w:spacing w:before="0" w:after="283"/>
              <w:jc w:val="left"/>
              <w:rPr>
                <w:sz w:val="4"/>
                <w:szCs w:val="4"/>
              </w:rPr>
            </w:pPr>
            <w:r>
              <w:rPr>
                <w:sz w:val="4"/>
                <w:szCs w:val="4"/>
              </w:rPr>
            </w:r>
          </w:p>
        </w:tc>
        <w:tc>
          <w:tcPr>
            <w:tcW w:w="1745" w:type="dxa"/>
            <w:gridSpan w:val="2"/>
            <w:tcBorders/>
            <w:shd w:fill="732282" w:val="clear"/>
            <w:vAlign w:val="center"/>
          </w:tcPr>
          <w:p>
            <w:pPr>
              <w:pStyle w:val="TableContents"/>
              <w:bidi w:val="0"/>
              <w:spacing w:before="0" w:after="283"/>
              <w:jc w:val="left"/>
              <w:rPr>
                <w:sz w:val="4"/>
                <w:szCs w:val="4"/>
              </w:rPr>
            </w:pPr>
            <w:r>
              <w:rPr>
                <w:sz w:val="4"/>
                <w:szCs w:val="4"/>
              </w:rPr>
            </w:r>
          </w:p>
        </w:tc>
      </w:tr>
      <w:tr>
        <w:trPr/>
        <w:tc>
          <w:tcPr>
            <w:tcW w:w="1820" w:type="dxa"/>
            <w:tcBorders/>
            <w:shd w:fill="732282" w:val="clear"/>
            <w:vAlign w:val="center"/>
          </w:tcPr>
          <w:p>
            <w:pPr>
              <w:pStyle w:val="TableContents"/>
              <w:bidi w:val="0"/>
              <w:spacing w:before="0" w:after="0"/>
              <w:jc w:val="left"/>
              <w:rPr>
                <w:rFonts w:ascii="ARIAL" w:hAnsi="ARIAL"/>
                <w:b/>
                <w:color w:val="FFFFFF"/>
                <w:sz w:val="18"/>
              </w:rPr>
            </w:pPr>
            <w:r>
              <w:rPr>
                <w:rFonts w:ascii="ARIAL" w:hAnsi="ARIAL"/>
                <w:b/>
                <w:color w:val="FFFFFF"/>
                <w:sz w:val="18"/>
              </w:rPr>
              <w:t>Director(1)</w:t>
            </w:r>
          </w:p>
        </w:tc>
        <w:tc>
          <w:tcPr>
            <w:tcW w:w="60" w:type="dxa"/>
            <w:tcBorders/>
            <w:shd w:fill="732282" w:val="clear"/>
            <w:vAlign w:val="center"/>
          </w:tcPr>
          <w:p>
            <w:pPr>
              <w:pStyle w:val="TableContents"/>
              <w:bidi w:val="0"/>
              <w:spacing w:before="0" w:after="283"/>
              <w:jc w:val="left"/>
              <w:rPr/>
            </w:pPr>
            <w:r>
              <w:rPr/>
              <w:t> </w:t>
            </w:r>
          </w:p>
        </w:tc>
        <w:tc>
          <w:tcPr>
            <w:tcW w:w="605" w:type="dxa"/>
            <w:tcBorders/>
            <w:shd w:fill="732282" w:val="clear"/>
            <w:vAlign w:val="center"/>
          </w:tcPr>
          <w:p>
            <w:pPr>
              <w:pStyle w:val="TableContents"/>
              <w:bidi w:val="0"/>
              <w:spacing w:before="0" w:after="283"/>
              <w:jc w:val="center"/>
              <w:rPr>
                <w:b/>
                <w:color w:val="FFFFFF"/>
              </w:rPr>
            </w:pPr>
            <w:r>
              <w:rPr>
                <w:b/>
                <w:color w:val="FFFFFF"/>
              </w:rPr>
              <w:t>Audit</w:t>
            </w:r>
          </w:p>
        </w:tc>
        <w:tc>
          <w:tcPr>
            <w:tcW w:w="60" w:type="dxa"/>
            <w:tcBorders/>
            <w:shd w:fill="732282" w:val="clear"/>
            <w:vAlign w:val="center"/>
          </w:tcPr>
          <w:p>
            <w:pPr>
              <w:pStyle w:val="TableContents"/>
              <w:bidi w:val="0"/>
              <w:spacing w:before="0" w:after="283"/>
              <w:jc w:val="left"/>
              <w:rPr/>
            </w:pPr>
            <w:r>
              <w:rPr/>
              <w:t> </w:t>
            </w:r>
          </w:p>
        </w:tc>
        <w:tc>
          <w:tcPr>
            <w:tcW w:w="1490" w:type="dxa"/>
            <w:tcBorders/>
            <w:shd w:fill="732282" w:val="clear"/>
            <w:vAlign w:val="center"/>
          </w:tcPr>
          <w:p>
            <w:pPr>
              <w:pStyle w:val="TableContents"/>
              <w:bidi w:val="0"/>
              <w:spacing w:before="0" w:after="283"/>
              <w:jc w:val="center"/>
              <w:rPr>
                <w:b/>
                <w:color w:val="FFFFFF"/>
              </w:rPr>
            </w:pPr>
            <w:r>
              <w:rPr>
                <w:b/>
                <w:color w:val="FFFFFF"/>
              </w:rPr>
              <w:t>Compensation</w:t>
            </w:r>
          </w:p>
        </w:tc>
        <w:tc>
          <w:tcPr>
            <w:tcW w:w="60" w:type="dxa"/>
            <w:tcBorders/>
            <w:shd w:fill="732282" w:val="clear"/>
            <w:vAlign w:val="center"/>
          </w:tcPr>
          <w:p>
            <w:pPr>
              <w:pStyle w:val="TableContents"/>
              <w:bidi w:val="0"/>
              <w:spacing w:before="0" w:after="283"/>
              <w:jc w:val="left"/>
              <w:rPr/>
            </w:pPr>
            <w:r>
              <w:rPr/>
              <w:t> </w:t>
            </w:r>
          </w:p>
        </w:tc>
        <w:tc>
          <w:tcPr>
            <w:tcW w:w="1190" w:type="dxa"/>
            <w:tcBorders/>
            <w:shd w:fill="732282"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Compliance</w:t>
            </w:r>
          </w:p>
          <w:p>
            <w:pPr>
              <w:pStyle w:val="TableContents"/>
              <w:bidi w:val="0"/>
              <w:spacing w:before="0" w:after="0"/>
              <w:jc w:val="center"/>
              <w:rPr>
                <w:rFonts w:ascii="ARIAL" w:hAnsi="ARIAL"/>
                <w:b/>
                <w:color w:val="FFFFFF"/>
                <w:sz w:val="18"/>
              </w:rPr>
            </w:pPr>
            <w:r>
              <w:rPr>
                <w:rFonts w:ascii="ARIAL" w:hAnsi="ARIAL"/>
                <w:b/>
                <w:color w:val="FFFFFF"/>
                <w:sz w:val="18"/>
              </w:rPr>
              <w:t>and Risk</w:t>
            </w:r>
          </w:p>
          <w:p>
            <w:pPr>
              <w:pStyle w:val="TableContents"/>
              <w:bidi w:val="0"/>
              <w:spacing w:before="0" w:after="0"/>
              <w:jc w:val="center"/>
              <w:rPr>
                <w:rFonts w:ascii="ARIAL" w:hAnsi="ARIAL"/>
                <w:b/>
                <w:color w:val="FFFFFF"/>
                <w:sz w:val="18"/>
              </w:rPr>
            </w:pPr>
            <w:r>
              <w:rPr>
                <w:rFonts w:ascii="ARIAL" w:hAnsi="ARIAL"/>
                <w:b/>
                <w:color w:val="FFFFFF"/>
                <w:sz w:val="18"/>
              </w:rPr>
              <w:t>Oversight</w:t>
            </w:r>
          </w:p>
          <w:p>
            <w:pPr>
              <w:pStyle w:val="TableContents"/>
              <w:bidi w:val="0"/>
              <w:spacing w:before="0" w:after="20"/>
              <w:jc w:val="center"/>
              <w:rPr>
                <w:rFonts w:ascii="ARIAL" w:hAnsi="ARIAL"/>
                <w:b/>
                <w:color w:val="FFFFFF"/>
                <w:sz w:val="18"/>
              </w:rPr>
            </w:pPr>
            <w:r>
              <w:rPr>
                <w:rFonts w:ascii="ARIAL" w:hAnsi="ARIAL"/>
                <w:b/>
                <w:color w:val="FFFFFF"/>
                <w:sz w:val="18"/>
              </w:rPr>
              <w:t>Committee(3)</w:t>
            </w:r>
          </w:p>
        </w:tc>
        <w:tc>
          <w:tcPr>
            <w:tcW w:w="60" w:type="dxa"/>
            <w:tcBorders/>
            <w:shd w:fill="732282" w:val="clear"/>
            <w:vAlign w:val="center"/>
          </w:tcPr>
          <w:p>
            <w:pPr>
              <w:pStyle w:val="TableContents"/>
              <w:bidi w:val="0"/>
              <w:spacing w:before="0" w:after="283"/>
              <w:jc w:val="left"/>
              <w:rPr/>
            </w:pPr>
            <w:r>
              <w:rPr/>
              <w:t> </w:t>
            </w:r>
          </w:p>
        </w:tc>
        <w:tc>
          <w:tcPr>
            <w:tcW w:w="1010" w:type="dxa"/>
            <w:tcBorders/>
            <w:shd w:fill="732282" w:val="clear"/>
            <w:vAlign w:val="center"/>
          </w:tcPr>
          <w:p>
            <w:pPr>
              <w:pStyle w:val="TableContents"/>
              <w:bidi w:val="0"/>
              <w:spacing w:before="0" w:after="283"/>
              <w:jc w:val="center"/>
              <w:rPr>
                <w:b/>
                <w:color w:val="FFFFFF"/>
              </w:rPr>
            </w:pPr>
            <w:r>
              <w:rPr>
                <w:b/>
                <w:color w:val="FFFFFF"/>
              </w:rPr>
              <w:t>Executive</w:t>
            </w:r>
          </w:p>
        </w:tc>
        <w:tc>
          <w:tcPr>
            <w:tcW w:w="60" w:type="dxa"/>
            <w:tcBorders/>
            <w:shd w:fill="732282" w:val="clear"/>
            <w:vAlign w:val="center"/>
          </w:tcPr>
          <w:p>
            <w:pPr>
              <w:pStyle w:val="TableContents"/>
              <w:bidi w:val="0"/>
              <w:spacing w:before="0" w:after="283"/>
              <w:jc w:val="left"/>
              <w:rPr/>
            </w:pPr>
            <w:r>
              <w:rPr/>
              <w:t> </w:t>
            </w:r>
          </w:p>
        </w:tc>
        <w:tc>
          <w:tcPr>
            <w:tcW w:w="830" w:type="dxa"/>
            <w:tcBorders/>
            <w:shd w:fill="732282" w:val="clear"/>
            <w:vAlign w:val="center"/>
          </w:tcPr>
          <w:p>
            <w:pPr>
              <w:pStyle w:val="TableContents"/>
              <w:bidi w:val="0"/>
              <w:spacing w:before="0" w:after="283"/>
              <w:jc w:val="center"/>
              <w:rPr>
                <w:b/>
                <w:color w:val="FFFFFF"/>
              </w:rPr>
            </w:pPr>
            <w:r>
              <w:rPr>
                <w:b/>
                <w:color w:val="FFFFFF"/>
              </w:rPr>
              <w:t>Finance</w:t>
            </w:r>
          </w:p>
        </w:tc>
        <w:tc>
          <w:tcPr>
            <w:tcW w:w="60" w:type="dxa"/>
            <w:tcBorders/>
            <w:shd w:fill="732282" w:val="clear"/>
            <w:vAlign w:val="center"/>
          </w:tcPr>
          <w:p>
            <w:pPr>
              <w:pStyle w:val="TableContents"/>
              <w:bidi w:val="0"/>
              <w:spacing w:before="0" w:after="283"/>
              <w:jc w:val="left"/>
              <w:rPr/>
            </w:pPr>
            <w:r>
              <w:rPr/>
              <w:t> </w:t>
            </w:r>
          </w:p>
        </w:tc>
        <w:tc>
          <w:tcPr>
            <w:tcW w:w="1685" w:type="dxa"/>
            <w:tcBorders/>
            <w:shd w:fill="732282" w:val="clear"/>
            <w:vAlign w:val="center"/>
          </w:tcPr>
          <w:p>
            <w:pPr>
              <w:pStyle w:val="TableContents"/>
              <w:bidi w:val="0"/>
              <w:spacing w:before="0" w:after="283"/>
              <w:jc w:val="center"/>
              <w:rPr>
                <w:b/>
                <w:color w:val="FFFFFF"/>
              </w:rPr>
            </w:pPr>
            <w:r>
              <w:rPr>
                <w:b/>
                <w:color w:val="FFFFFF"/>
              </w:rPr>
              <w:t>Governance</w:t>
              <w:br/>
              <w:t>and</w:t>
              <w:br/>
              <w:t>Sustainability(3)</w:t>
            </w:r>
          </w:p>
        </w:tc>
      </w:tr>
      <w:tr>
        <w:trPr/>
        <w:tc>
          <w:tcPr>
            <w:tcW w:w="1820" w:type="dxa"/>
            <w:tcBorders/>
            <w:shd w:fill="E5E5E5" w:val="clear"/>
            <w:vAlign w:val="center"/>
          </w:tcPr>
          <w:p>
            <w:pPr>
              <w:pStyle w:val="TableContents"/>
              <w:bidi w:val="0"/>
              <w:spacing w:before="0" w:after="0"/>
              <w:jc w:val="left"/>
              <w:rPr>
                <w:rFonts w:ascii="ARIAL" w:hAnsi="ARIAL"/>
                <w:sz w:val="18"/>
              </w:rPr>
            </w:pPr>
            <w:r>
              <w:rPr>
                <w:rFonts w:ascii="ARIAL" w:hAnsi="ARIAL"/>
                <w:sz w:val="18"/>
              </w:rPr>
              <w:t>W. Don Cornwell</w:t>
            </w:r>
          </w:p>
        </w:tc>
        <w:tc>
          <w:tcPr>
            <w:tcW w:w="60" w:type="dxa"/>
            <w:tcBorders/>
            <w:shd w:fill="E5E5E5" w:val="clear"/>
            <w:vAlign w:val="center"/>
          </w:tcPr>
          <w:p>
            <w:pPr>
              <w:pStyle w:val="TableContents"/>
              <w:bidi w:val="0"/>
              <w:spacing w:before="0" w:after="283"/>
              <w:jc w:val="left"/>
              <w:rPr/>
            </w:pPr>
            <w:r>
              <w:rPr/>
              <w:t> </w:t>
            </w:r>
          </w:p>
        </w:tc>
        <w:tc>
          <w:tcPr>
            <w:tcW w:w="605" w:type="dxa"/>
            <w:tcBorders/>
            <w:shd w:fill="E5E5E5" w:val="clear"/>
            <w:vAlign w:val="center"/>
          </w:tcPr>
          <w:p>
            <w:pPr>
              <w:pStyle w:val="TableContents"/>
              <w:bidi w:val="0"/>
              <w:spacing w:before="0" w:after="283"/>
              <w:jc w:val="center"/>
              <w:rPr/>
            </w:pPr>
            <w:r>
              <w:rPr/>
              <w:t>✓</w:t>
            </w:r>
          </w:p>
        </w:tc>
        <w:tc>
          <w:tcPr>
            <w:tcW w:w="60" w:type="dxa"/>
            <w:tcBorders/>
            <w:shd w:fill="E5E5E5" w:val="clear"/>
            <w:vAlign w:val="center"/>
          </w:tcPr>
          <w:p>
            <w:pPr>
              <w:pStyle w:val="TableContents"/>
              <w:bidi w:val="0"/>
              <w:spacing w:before="0" w:after="283"/>
              <w:jc w:val="left"/>
              <w:rPr/>
            </w:pPr>
            <w:r>
              <w:rPr/>
              <w:t> </w:t>
            </w:r>
          </w:p>
        </w:tc>
        <w:tc>
          <w:tcPr>
            <w:tcW w:w="149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190" w:type="dxa"/>
            <w:tcBorders/>
            <w:shd w:fill="E5E5E5" w:val="clear"/>
            <w:vAlign w:val="center"/>
          </w:tcPr>
          <w:p>
            <w:pPr>
              <w:pStyle w:val="TableContents"/>
              <w:bidi w:val="0"/>
              <w:spacing w:before="0" w:after="283"/>
              <w:jc w:val="center"/>
              <w:rPr/>
            </w:pPr>
            <w:r>
              <w:rPr/>
              <w:t>✓</w:t>
            </w:r>
          </w:p>
        </w:tc>
        <w:tc>
          <w:tcPr>
            <w:tcW w:w="60" w:type="dxa"/>
            <w:tcBorders/>
            <w:shd w:fill="E5E5E5" w:val="clear"/>
            <w:vAlign w:val="center"/>
          </w:tcPr>
          <w:p>
            <w:pPr>
              <w:pStyle w:val="TableContents"/>
              <w:bidi w:val="0"/>
              <w:spacing w:before="0" w:after="283"/>
              <w:jc w:val="left"/>
              <w:rPr/>
            </w:pPr>
            <w:r>
              <w:rPr/>
              <w:t> </w:t>
            </w:r>
          </w:p>
        </w:tc>
        <w:tc>
          <w:tcPr>
            <w:tcW w:w="101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83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685" w:type="dxa"/>
            <w:tcBorders/>
            <w:shd w:fill="E5E5E5" w:val="cle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0"/>
              <w:jc w:val="left"/>
              <w:rPr>
                <w:rFonts w:ascii="ARIAL" w:hAnsi="ARIAL"/>
                <w:sz w:val="18"/>
              </w:rPr>
            </w:pPr>
            <w:r>
              <w:rPr>
                <w:rFonts w:ascii="ARIAL" w:hAnsi="ARIAL"/>
                <w:sz w:val="18"/>
              </w:rPr>
              <w:t>JoEllen Lyons Dillon</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center"/>
              <w:rPr/>
            </w:pPr>
            <w:r>
              <w:rPr/>
              <w:t>Chair</w:t>
            </w:r>
          </w:p>
        </w:tc>
      </w:tr>
      <w:tr>
        <w:trPr/>
        <w:tc>
          <w:tcPr>
            <w:tcW w:w="1820" w:type="dxa"/>
            <w:tcBorders/>
            <w:shd w:fill="E5E5E5" w:val="clear"/>
            <w:vAlign w:val="center"/>
          </w:tcPr>
          <w:p>
            <w:pPr>
              <w:pStyle w:val="TableContents"/>
              <w:bidi w:val="0"/>
              <w:spacing w:before="0" w:after="0"/>
              <w:jc w:val="left"/>
              <w:rPr>
                <w:rFonts w:ascii="ARIAL" w:hAnsi="ARIAL"/>
                <w:sz w:val="18"/>
              </w:rPr>
            </w:pPr>
            <w:r>
              <w:rPr>
                <w:rFonts w:ascii="ARIAL" w:hAnsi="ARIAL"/>
                <w:sz w:val="18"/>
              </w:rPr>
              <w:t>Elisha Finney</w:t>
            </w:r>
          </w:p>
        </w:tc>
        <w:tc>
          <w:tcPr>
            <w:tcW w:w="60" w:type="dxa"/>
            <w:tcBorders/>
            <w:shd w:fill="E5E5E5" w:val="clear"/>
            <w:vAlign w:val="center"/>
          </w:tcPr>
          <w:p>
            <w:pPr>
              <w:pStyle w:val="TableContents"/>
              <w:bidi w:val="0"/>
              <w:spacing w:before="0" w:after="283"/>
              <w:jc w:val="left"/>
              <w:rPr/>
            </w:pPr>
            <w:r>
              <w:rPr/>
              <w:t> </w:t>
            </w:r>
          </w:p>
        </w:tc>
        <w:tc>
          <w:tcPr>
            <w:tcW w:w="605" w:type="dxa"/>
            <w:tcBorders/>
            <w:shd w:fill="E5E5E5" w:val="clear"/>
            <w:vAlign w:val="center"/>
          </w:tcPr>
          <w:p>
            <w:pPr>
              <w:pStyle w:val="TableContents"/>
              <w:bidi w:val="0"/>
              <w:spacing w:before="0" w:after="283"/>
              <w:jc w:val="center"/>
              <w:rPr/>
            </w:pPr>
            <w:r>
              <w:rPr/>
              <w:t>✓</w:t>
            </w:r>
          </w:p>
        </w:tc>
        <w:tc>
          <w:tcPr>
            <w:tcW w:w="60" w:type="dxa"/>
            <w:tcBorders/>
            <w:shd w:fill="E5E5E5" w:val="clear"/>
            <w:vAlign w:val="center"/>
          </w:tcPr>
          <w:p>
            <w:pPr>
              <w:pStyle w:val="TableContents"/>
              <w:bidi w:val="0"/>
              <w:spacing w:before="0" w:after="283"/>
              <w:jc w:val="left"/>
              <w:rPr/>
            </w:pPr>
            <w:r>
              <w:rPr/>
              <w:t> </w:t>
            </w:r>
          </w:p>
        </w:tc>
        <w:tc>
          <w:tcPr>
            <w:tcW w:w="149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19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01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830" w:type="dxa"/>
            <w:tcBorders/>
            <w:shd w:fill="E5E5E5" w:val="clear"/>
            <w:vAlign w:val="center"/>
          </w:tcPr>
          <w:p>
            <w:pPr>
              <w:pStyle w:val="TableContents"/>
              <w:bidi w:val="0"/>
              <w:spacing w:before="0" w:after="283"/>
              <w:jc w:val="center"/>
              <w:rPr/>
            </w:pPr>
            <w:r>
              <w:rPr/>
              <w:t>✓</w:t>
            </w:r>
          </w:p>
        </w:tc>
        <w:tc>
          <w:tcPr>
            <w:tcW w:w="60" w:type="dxa"/>
            <w:tcBorders/>
            <w:shd w:fill="E5E5E5" w:val="clear"/>
            <w:vAlign w:val="center"/>
          </w:tcPr>
          <w:p>
            <w:pPr>
              <w:pStyle w:val="TableContents"/>
              <w:bidi w:val="0"/>
              <w:spacing w:before="0" w:after="283"/>
              <w:jc w:val="left"/>
              <w:rPr/>
            </w:pPr>
            <w:r>
              <w:rPr/>
              <w:t> </w:t>
            </w:r>
          </w:p>
        </w:tc>
        <w:tc>
          <w:tcPr>
            <w:tcW w:w="1685" w:type="dxa"/>
            <w:tcBorders/>
            <w:shd w:fill="E5E5E5" w:val="cle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0"/>
              <w:jc w:val="left"/>
              <w:rPr>
                <w:rFonts w:ascii="ARIAL" w:hAnsi="ARIAL"/>
                <w:sz w:val="18"/>
              </w:rPr>
            </w:pPr>
            <w:r>
              <w:rPr>
                <w:rFonts w:ascii="ARIAL" w:hAnsi="ARIAL"/>
                <w:sz w:val="18"/>
              </w:rPr>
              <w:t>Leo Groothuis</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center"/>
              <w:rPr/>
            </w:pPr>
            <w:r>
              <w:rPr/>
              <w:t>✓</w:t>
            </w:r>
          </w:p>
        </w:tc>
      </w:tr>
      <w:tr>
        <w:trPr/>
        <w:tc>
          <w:tcPr>
            <w:tcW w:w="1820" w:type="dxa"/>
            <w:tcBorders/>
            <w:shd w:fill="E5E5E5" w:val="clear"/>
            <w:vAlign w:val="center"/>
          </w:tcPr>
          <w:p>
            <w:pPr>
              <w:pStyle w:val="TableContents"/>
              <w:bidi w:val="0"/>
              <w:spacing w:before="0" w:after="0"/>
              <w:jc w:val="left"/>
              <w:rPr>
                <w:rFonts w:ascii="ARIAL" w:hAnsi="ARIAL"/>
                <w:sz w:val="18"/>
              </w:rPr>
            </w:pPr>
            <w:r>
              <w:rPr>
                <w:rFonts w:ascii="ARIAL" w:hAnsi="ARIAL"/>
                <w:sz w:val="18"/>
              </w:rPr>
              <w:t>Melina Higgins</w:t>
            </w:r>
          </w:p>
        </w:tc>
        <w:tc>
          <w:tcPr>
            <w:tcW w:w="60" w:type="dxa"/>
            <w:tcBorders/>
            <w:shd w:fill="E5E5E5" w:val="clear"/>
            <w:vAlign w:val="center"/>
          </w:tcPr>
          <w:p>
            <w:pPr>
              <w:pStyle w:val="TableContents"/>
              <w:bidi w:val="0"/>
              <w:spacing w:before="0" w:after="283"/>
              <w:jc w:val="left"/>
              <w:rPr/>
            </w:pPr>
            <w:r>
              <w:rPr/>
              <w:t> </w:t>
            </w:r>
          </w:p>
        </w:tc>
        <w:tc>
          <w:tcPr>
            <w:tcW w:w="60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49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19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010" w:type="dxa"/>
            <w:tcBorders/>
            <w:shd w:fill="E5E5E5" w:val="clear"/>
            <w:vAlign w:val="center"/>
          </w:tcPr>
          <w:p>
            <w:pPr>
              <w:pStyle w:val="TableContents"/>
              <w:bidi w:val="0"/>
              <w:spacing w:before="0" w:after="283"/>
              <w:jc w:val="center"/>
              <w:rPr/>
            </w:pPr>
            <w:r>
              <w:rPr/>
              <w:t>Chair</w:t>
            </w:r>
          </w:p>
        </w:tc>
        <w:tc>
          <w:tcPr>
            <w:tcW w:w="60" w:type="dxa"/>
            <w:tcBorders/>
            <w:shd w:fill="E5E5E5" w:val="clear"/>
            <w:vAlign w:val="center"/>
          </w:tcPr>
          <w:p>
            <w:pPr>
              <w:pStyle w:val="TableContents"/>
              <w:bidi w:val="0"/>
              <w:spacing w:before="0" w:after="283"/>
              <w:jc w:val="left"/>
              <w:rPr/>
            </w:pPr>
            <w:r>
              <w:rPr/>
              <w:t> </w:t>
            </w:r>
          </w:p>
        </w:tc>
        <w:tc>
          <w:tcPr>
            <w:tcW w:w="830" w:type="dxa"/>
            <w:tcBorders/>
            <w:shd w:fill="E5E5E5" w:val="clear"/>
            <w:vAlign w:val="center"/>
          </w:tcPr>
          <w:p>
            <w:pPr>
              <w:pStyle w:val="TableContents"/>
              <w:bidi w:val="0"/>
              <w:spacing w:before="0" w:after="283"/>
              <w:jc w:val="center"/>
              <w:rPr/>
            </w:pPr>
            <w:r>
              <w:rPr/>
              <w:t>Chair</w:t>
            </w:r>
          </w:p>
        </w:tc>
        <w:tc>
          <w:tcPr>
            <w:tcW w:w="60" w:type="dxa"/>
            <w:tcBorders/>
            <w:shd w:fill="E5E5E5" w:val="clear"/>
            <w:vAlign w:val="center"/>
          </w:tcPr>
          <w:p>
            <w:pPr>
              <w:pStyle w:val="TableContents"/>
              <w:bidi w:val="0"/>
              <w:spacing w:before="0" w:after="283"/>
              <w:jc w:val="left"/>
              <w:rPr/>
            </w:pPr>
            <w:r>
              <w:rPr/>
              <w:t> </w:t>
            </w:r>
          </w:p>
        </w:tc>
        <w:tc>
          <w:tcPr>
            <w:tcW w:w="1685" w:type="dxa"/>
            <w:tcBorders/>
            <w:shd w:fill="E5E5E5" w:val="cle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0"/>
              <w:jc w:val="left"/>
              <w:rPr>
                <w:rFonts w:ascii="ARIAL" w:hAnsi="ARIAL"/>
                <w:sz w:val="18"/>
              </w:rPr>
            </w:pPr>
            <w:r>
              <w:rPr>
                <w:rFonts w:ascii="ARIAL" w:hAnsi="ARIAL"/>
                <w:sz w:val="18"/>
              </w:rPr>
              <w:t>James Kilts</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sz w:val="4"/>
                <w:szCs w:val="4"/>
              </w:rPr>
            </w:pPr>
            <w:r>
              <w:rPr>
                <w:sz w:val="4"/>
                <w:szCs w:val="4"/>
              </w:rPr>
            </w:r>
          </w:p>
        </w:tc>
      </w:tr>
      <w:tr>
        <w:trPr/>
        <w:tc>
          <w:tcPr>
            <w:tcW w:w="1820" w:type="dxa"/>
            <w:tcBorders/>
            <w:shd w:fill="E5E5E5" w:val="clear"/>
            <w:vAlign w:val="center"/>
          </w:tcPr>
          <w:p>
            <w:pPr>
              <w:pStyle w:val="TableContents"/>
              <w:bidi w:val="0"/>
              <w:spacing w:before="0" w:after="0"/>
              <w:jc w:val="left"/>
              <w:rPr>
                <w:rFonts w:ascii="ARIAL" w:hAnsi="ARIAL"/>
                <w:sz w:val="18"/>
              </w:rPr>
            </w:pPr>
            <w:r>
              <w:rPr>
                <w:rFonts w:ascii="ARIAL" w:hAnsi="ARIAL"/>
                <w:sz w:val="18"/>
              </w:rPr>
              <w:t>Harry Korman</w:t>
            </w:r>
          </w:p>
        </w:tc>
        <w:tc>
          <w:tcPr>
            <w:tcW w:w="60" w:type="dxa"/>
            <w:tcBorders/>
            <w:shd w:fill="E5E5E5" w:val="clear"/>
            <w:vAlign w:val="center"/>
          </w:tcPr>
          <w:p>
            <w:pPr>
              <w:pStyle w:val="TableContents"/>
              <w:bidi w:val="0"/>
              <w:spacing w:before="0" w:after="283"/>
              <w:jc w:val="left"/>
              <w:rPr/>
            </w:pPr>
            <w:r>
              <w:rPr/>
              <w:t> </w:t>
            </w:r>
          </w:p>
        </w:tc>
        <w:tc>
          <w:tcPr>
            <w:tcW w:w="60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490" w:type="dxa"/>
            <w:tcBorders/>
            <w:shd w:fill="E5E5E5" w:val="clear"/>
            <w:vAlign w:val="center"/>
          </w:tcPr>
          <w:p>
            <w:pPr>
              <w:pStyle w:val="TableContents"/>
              <w:bidi w:val="0"/>
              <w:spacing w:before="0" w:after="283"/>
              <w:jc w:val="center"/>
              <w:rPr/>
            </w:pPr>
            <w:r>
              <w:rPr/>
              <w:t>Chair</w:t>
            </w:r>
          </w:p>
        </w:tc>
        <w:tc>
          <w:tcPr>
            <w:tcW w:w="60" w:type="dxa"/>
            <w:tcBorders/>
            <w:shd w:fill="E5E5E5" w:val="clear"/>
            <w:vAlign w:val="center"/>
          </w:tcPr>
          <w:p>
            <w:pPr>
              <w:pStyle w:val="TableContents"/>
              <w:bidi w:val="0"/>
              <w:spacing w:before="0" w:after="283"/>
              <w:jc w:val="left"/>
              <w:rPr/>
            </w:pPr>
            <w:r>
              <w:rPr/>
              <w:t> </w:t>
            </w:r>
          </w:p>
        </w:tc>
        <w:tc>
          <w:tcPr>
            <w:tcW w:w="1190" w:type="dxa"/>
            <w:tcBorders/>
            <w:shd w:fill="E5E5E5" w:val="clear"/>
            <w:vAlign w:val="center"/>
          </w:tcPr>
          <w:p>
            <w:pPr>
              <w:pStyle w:val="TableContents"/>
              <w:bidi w:val="0"/>
              <w:spacing w:before="0" w:after="283"/>
              <w:jc w:val="center"/>
              <w:rPr/>
            </w:pPr>
            <w:r>
              <w:rPr/>
              <w:t>✓</w:t>
            </w:r>
          </w:p>
        </w:tc>
        <w:tc>
          <w:tcPr>
            <w:tcW w:w="60" w:type="dxa"/>
            <w:tcBorders/>
            <w:shd w:fill="E5E5E5" w:val="clear"/>
            <w:vAlign w:val="center"/>
          </w:tcPr>
          <w:p>
            <w:pPr>
              <w:pStyle w:val="TableContents"/>
              <w:bidi w:val="0"/>
              <w:spacing w:before="0" w:after="283"/>
              <w:jc w:val="left"/>
              <w:rPr/>
            </w:pPr>
            <w:r>
              <w:rPr/>
              <w:t> </w:t>
            </w:r>
          </w:p>
        </w:tc>
        <w:tc>
          <w:tcPr>
            <w:tcW w:w="101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83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685" w:type="dxa"/>
            <w:tcBorders/>
            <w:shd w:fill="E5E5E5" w:val="clear"/>
            <w:vAlign w:val="center"/>
          </w:tcPr>
          <w:p>
            <w:pPr>
              <w:pStyle w:val="TableContents"/>
              <w:bidi w:val="0"/>
              <w:spacing w:before="0" w:after="283"/>
              <w:jc w:val="center"/>
              <w:rPr/>
            </w:pPr>
            <w:r>
              <w:rPr/>
              <w:t>✓</w:t>
            </w:r>
          </w:p>
        </w:tc>
      </w:tr>
      <w:tr>
        <w:trPr/>
        <w:tc>
          <w:tcPr>
            <w:tcW w:w="1820" w:type="dxa"/>
            <w:tcBorders/>
            <w:vAlign w:val="center"/>
          </w:tcPr>
          <w:p>
            <w:pPr>
              <w:pStyle w:val="TableContents"/>
              <w:bidi w:val="0"/>
              <w:spacing w:before="0" w:after="0"/>
              <w:jc w:val="left"/>
              <w:rPr>
                <w:rFonts w:ascii="ARIAL" w:hAnsi="ARIAL"/>
                <w:sz w:val="18"/>
              </w:rPr>
            </w:pPr>
            <w:r>
              <w:rPr>
                <w:rFonts w:ascii="ARIAL" w:hAnsi="ARIAL"/>
                <w:sz w:val="18"/>
              </w:rPr>
              <w:t>Rajiv Malik</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sz w:val="4"/>
                <w:szCs w:val="4"/>
              </w:rPr>
            </w:pPr>
            <w:r>
              <w:rPr>
                <w:sz w:val="4"/>
                <w:szCs w:val="4"/>
              </w:rPr>
            </w:r>
          </w:p>
        </w:tc>
      </w:tr>
      <w:tr>
        <w:trPr/>
        <w:tc>
          <w:tcPr>
            <w:tcW w:w="1820" w:type="dxa"/>
            <w:tcBorders/>
            <w:shd w:fill="E5E5E5" w:val="clear"/>
            <w:vAlign w:val="center"/>
          </w:tcPr>
          <w:p>
            <w:pPr>
              <w:pStyle w:val="TableContents"/>
              <w:bidi w:val="0"/>
              <w:spacing w:before="0" w:after="0"/>
              <w:jc w:val="left"/>
              <w:rPr>
                <w:rFonts w:ascii="ARIAL" w:hAnsi="ARIAL"/>
                <w:sz w:val="18"/>
              </w:rPr>
            </w:pPr>
            <w:r>
              <w:rPr>
                <w:rFonts w:ascii="ARIAL" w:hAnsi="ARIAL"/>
                <w:sz w:val="18"/>
              </w:rPr>
              <w:t>Richard Mark(2)</w:t>
            </w:r>
          </w:p>
        </w:tc>
        <w:tc>
          <w:tcPr>
            <w:tcW w:w="60" w:type="dxa"/>
            <w:tcBorders/>
            <w:shd w:fill="E5E5E5" w:val="clear"/>
            <w:vAlign w:val="center"/>
          </w:tcPr>
          <w:p>
            <w:pPr>
              <w:pStyle w:val="TableContents"/>
              <w:bidi w:val="0"/>
              <w:spacing w:before="0" w:after="283"/>
              <w:jc w:val="left"/>
              <w:rPr/>
            </w:pPr>
            <w:r>
              <w:rPr/>
              <w:t> </w:t>
            </w:r>
          </w:p>
        </w:tc>
        <w:tc>
          <w:tcPr>
            <w:tcW w:w="605" w:type="dxa"/>
            <w:tcBorders/>
            <w:shd w:fill="E5E5E5" w:val="clear"/>
            <w:vAlign w:val="center"/>
          </w:tcPr>
          <w:p>
            <w:pPr>
              <w:pStyle w:val="TableContents"/>
              <w:bidi w:val="0"/>
              <w:spacing w:before="0" w:after="283"/>
              <w:jc w:val="center"/>
              <w:rPr/>
            </w:pPr>
            <w:r>
              <w:rPr/>
              <w:t>Chair</w:t>
            </w:r>
          </w:p>
        </w:tc>
        <w:tc>
          <w:tcPr>
            <w:tcW w:w="60" w:type="dxa"/>
            <w:tcBorders/>
            <w:shd w:fill="E5E5E5" w:val="clear"/>
            <w:vAlign w:val="center"/>
          </w:tcPr>
          <w:p>
            <w:pPr>
              <w:pStyle w:val="TableContents"/>
              <w:bidi w:val="0"/>
              <w:spacing w:before="0" w:after="283"/>
              <w:jc w:val="left"/>
              <w:rPr/>
            </w:pPr>
            <w:r>
              <w:rPr/>
              <w:t> </w:t>
            </w:r>
          </w:p>
        </w:tc>
        <w:tc>
          <w:tcPr>
            <w:tcW w:w="149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190" w:type="dxa"/>
            <w:tcBorders/>
            <w:shd w:fill="E5E5E5" w:val="clear"/>
            <w:vAlign w:val="center"/>
          </w:tcPr>
          <w:p>
            <w:pPr>
              <w:pStyle w:val="TableContents"/>
              <w:bidi w:val="0"/>
              <w:spacing w:before="0" w:after="283"/>
              <w:jc w:val="center"/>
              <w:rPr/>
            </w:pPr>
            <w:r>
              <w:rPr/>
              <w:t>✓</w:t>
            </w:r>
          </w:p>
        </w:tc>
        <w:tc>
          <w:tcPr>
            <w:tcW w:w="60" w:type="dxa"/>
            <w:tcBorders/>
            <w:shd w:fill="E5E5E5" w:val="clear"/>
            <w:vAlign w:val="center"/>
          </w:tcPr>
          <w:p>
            <w:pPr>
              <w:pStyle w:val="TableContents"/>
              <w:bidi w:val="0"/>
              <w:spacing w:before="0" w:after="283"/>
              <w:jc w:val="left"/>
              <w:rPr/>
            </w:pPr>
            <w:r>
              <w:rPr/>
              <w:t> </w:t>
            </w:r>
          </w:p>
        </w:tc>
        <w:tc>
          <w:tcPr>
            <w:tcW w:w="1010" w:type="dxa"/>
            <w:tcBorders/>
            <w:shd w:fill="E5E5E5" w:val="clear"/>
            <w:vAlign w:val="center"/>
          </w:tcPr>
          <w:p>
            <w:pPr>
              <w:pStyle w:val="TableContents"/>
              <w:bidi w:val="0"/>
              <w:spacing w:before="0" w:after="283"/>
              <w:jc w:val="center"/>
              <w:rPr/>
            </w:pPr>
            <w:r>
              <w:rPr/>
              <w:t>✓</w:t>
            </w:r>
          </w:p>
        </w:tc>
        <w:tc>
          <w:tcPr>
            <w:tcW w:w="60" w:type="dxa"/>
            <w:tcBorders/>
            <w:shd w:fill="E5E5E5" w:val="clear"/>
            <w:vAlign w:val="center"/>
          </w:tcPr>
          <w:p>
            <w:pPr>
              <w:pStyle w:val="TableContents"/>
              <w:bidi w:val="0"/>
              <w:spacing w:before="0" w:after="283"/>
              <w:jc w:val="left"/>
              <w:rPr/>
            </w:pPr>
            <w:r>
              <w:rPr/>
              <w:t> </w:t>
            </w:r>
          </w:p>
        </w:tc>
        <w:tc>
          <w:tcPr>
            <w:tcW w:w="830" w:type="dxa"/>
            <w:tcBorders/>
            <w:shd w:fill="E5E5E5" w:val="clear"/>
            <w:vAlign w:val="center"/>
          </w:tcPr>
          <w:p>
            <w:pPr>
              <w:pStyle w:val="TableContents"/>
              <w:bidi w:val="0"/>
              <w:spacing w:before="0" w:after="283"/>
              <w:jc w:val="center"/>
              <w:rPr/>
            </w:pPr>
            <w:r>
              <w:rPr/>
              <w:t>✓</w:t>
            </w:r>
          </w:p>
        </w:tc>
        <w:tc>
          <w:tcPr>
            <w:tcW w:w="60" w:type="dxa"/>
            <w:tcBorders/>
            <w:shd w:fill="E5E5E5" w:val="clear"/>
            <w:vAlign w:val="center"/>
          </w:tcPr>
          <w:p>
            <w:pPr>
              <w:pStyle w:val="TableContents"/>
              <w:bidi w:val="0"/>
              <w:spacing w:before="0" w:after="283"/>
              <w:jc w:val="left"/>
              <w:rPr/>
            </w:pPr>
            <w:r>
              <w:rPr/>
              <w:t> </w:t>
            </w:r>
          </w:p>
        </w:tc>
        <w:tc>
          <w:tcPr>
            <w:tcW w:w="1685" w:type="dxa"/>
            <w:tcBorders/>
            <w:shd w:fill="E5E5E5" w:val="cle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0"/>
              <w:jc w:val="left"/>
              <w:rPr>
                <w:rFonts w:ascii="ARIAL" w:hAnsi="ARIAL"/>
                <w:sz w:val="18"/>
              </w:rPr>
            </w:pPr>
            <w:r>
              <w:rPr>
                <w:rFonts w:ascii="ARIAL" w:hAnsi="ARIAL"/>
                <w:sz w:val="18"/>
              </w:rPr>
              <w:t>Mark Parrish</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pPr>
            <w:r>
              <w:rPr/>
              <w:t>Chair</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center"/>
              <w:rPr/>
            </w:pPr>
            <w:r>
              <w:rPr/>
              <w:t>✓</w:t>
            </w:r>
          </w:p>
        </w:tc>
      </w:tr>
      <w:tr>
        <w:trPr/>
        <w:tc>
          <w:tcPr>
            <w:tcW w:w="1820" w:type="dxa"/>
            <w:tcBorders>
              <w:bottom w:val="single" w:sz="6" w:space="0" w:color="732282"/>
            </w:tcBorders>
            <w:shd w:fill="E5E5E5" w:val="clear"/>
            <w:tcMar>
              <w:bottom w:w="28" w:type="dxa"/>
            </w:tcMar>
            <w:vAlign w:val="center"/>
          </w:tcPr>
          <w:p>
            <w:pPr>
              <w:pStyle w:val="TableContents"/>
              <w:bidi w:val="0"/>
              <w:spacing w:before="0" w:after="0"/>
              <w:jc w:val="left"/>
              <w:rPr>
                <w:rFonts w:ascii="ARIAL" w:hAnsi="ARIAL"/>
                <w:sz w:val="18"/>
              </w:rPr>
            </w:pPr>
            <w:r>
              <w:rPr>
                <w:rFonts w:ascii="ARIAL" w:hAnsi="ARIAL"/>
                <w:sz w:val="18"/>
              </w:rPr>
              <w:t>Scott A. Smith</w:t>
            </w:r>
          </w:p>
        </w:tc>
        <w:tc>
          <w:tcPr>
            <w:tcW w:w="60" w:type="dxa"/>
            <w:tcBorders>
              <w:bottom w:val="single" w:sz="6" w:space="0" w:color="732282"/>
            </w:tcBorders>
            <w:shd w:fill="E5E5E5" w:val="clear"/>
            <w:tcMar>
              <w:bottom w:w="28" w:type="dxa"/>
            </w:tcMar>
            <w:vAlign w:val="center"/>
          </w:tcPr>
          <w:p>
            <w:pPr>
              <w:pStyle w:val="TableContents"/>
              <w:bidi w:val="0"/>
              <w:spacing w:before="0" w:after="283"/>
              <w:jc w:val="left"/>
              <w:rPr/>
            </w:pPr>
            <w:r>
              <w:rPr/>
              <w:t> </w:t>
            </w:r>
          </w:p>
        </w:tc>
        <w:tc>
          <w:tcPr>
            <w:tcW w:w="605" w:type="dxa"/>
            <w:tcBorders>
              <w:bottom w:val="single" w:sz="6"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732282"/>
            </w:tcBorders>
            <w:shd w:fill="E5E5E5" w:val="clear"/>
            <w:tcMar>
              <w:bottom w:w="28" w:type="dxa"/>
            </w:tcMar>
            <w:vAlign w:val="center"/>
          </w:tcPr>
          <w:p>
            <w:pPr>
              <w:pStyle w:val="TableContents"/>
              <w:bidi w:val="0"/>
              <w:spacing w:before="0" w:after="283"/>
              <w:jc w:val="left"/>
              <w:rPr/>
            </w:pPr>
            <w:r>
              <w:rPr/>
              <w:t> </w:t>
            </w:r>
          </w:p>
        </w:tc>
        <w:tc>
          <w:tcPr>
            <w:tcW w:w="1490" w:type="dxa"/>
            <w:tcBorders>
              <w:bottom w:val="single" w:sz="6"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732282"/>
            </w:tcBorders>
            <w:shd w:fill="E5E5E5" w:val="clear"/>
            <w:tcMar>
              <w:bottom w:w="28" w:type="dxa"/>
            </w:tcMar>
            <w:vAlign w:val="center"/>
          </w:tcPr>
          <w:p>
            <w:pPr>
              <w:pStyle w:val="TableContents"/>
              <w:bidi w:val="0"/>
              <w:spacing w:before="0" w:after="283"/>
              <w:jc w:val="left"/>
              <w:rPr/>
            </w:pPr>
            <w:r>
              <w:rPr/>
              <w:t> </w:t>
            </w:r>
          </w:p>
        </w:tc>
        <w:tc>
          <w:tcPr>
            <w:tcW w:w="1190" w:type="dxa"/>
            <w:tcBorders>
              <w:bottom w:val="single" w:sz="6"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732282"/>
            </w:tcBorders>
            <w:shd w:fill="E5E5E5" w:val="clear"/>
            <w:tcMar>
              <w:bottom w:w="28" w:type="dxa"/>
            </w:tcMar>
            <w:vAlign w:val="center"/>
          </w:tcPr>
          <w:p>
            <w:pPr>
              <w:pStyle w:val="TableContents"/>
              <w:bidi w:val="0"/>
              <w:spacing w:before="0" w:after="283"/>
              <w:jc w:val="left"/>
              <w:rPr/>
            </w:pPr>
            <w:r>
              <w:rPr/>
              <w:t> </w:t>
            </w:r>
          </w:p>
        </w:tc>
        <w:tc>
          <w:tcPr>
            <w:tcW w:w="1010" w:type="dxa"/>
            <w:tcBorders>
              <w:bottom w:val="single" w:sz="6"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732282"/>
            </w:tcBorders>
            <w:shd w:fill="E5E5E5" w:val="clear"/>
            <w:tcMar>
              <w:bottom w:w="28" w:type="dxa"/>
            </w:tcMar>
            <w:vAlign w:val="center"/>
          </w:tcPr>
          <w:p>
            <w:pPr>
              <w:pStyle w:val="TableContents"/>
              <w:bidi w:val="0"/>
              <w:spacing w:before="0" w:after="283"/>
              <w:jc w:val="left"/>
              <w:rPr/>
            </w:pPr>
            <w:r>
              <w:rPr/>
              <w:t> </w:t>
            </w:r>
          </w:p>
        </w:tc>
        <w:tc>
          <w:tcPr>
            <w:tcW w:w="830" w:type="dxa"/>
            <w:tcBorders>
              <w:bottom w:val="single" w:sz="6"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732282"/>
            </w:tcBorders>
            <w:shd w:fill="E5E5E5" w:val="clear"/>
            <w:tcMar>
              <w:bottom w:w="28" w:type="dxa"/>
            </w:tcMar>
            <w:vAlign w:val="center"/>
          </w:tcPr>
          <w:p>
            <w:pPr>
              <w:pStyle w:val="TableContents"/>
              <w:bidi w:val="0"/>
              <w:spacing w:before="0" w:after="283"/>
              <w:jc w:val="left"/>
              <w:rPr/>
            </w:pPr>
            <w:r>
              <w:rPr/>
              <w:t> </w:t>
            </w:r>
          </w:p>
        </w:tc>
        <w:tc>
          <w:tcPr>
            <w:tcW w:w="1685" w:type="dxa"/>
            <w:tcBorders>
              <w:bottom w:val="single" w:sz="6" w:space="0" w:color="732282"/>
            </w:tcBorders>
            <w:shd w:fill="E5E5E5" w:val="clear"/>
            <w:tcMar>
              <w:bottom w:w="28" w:type="dxa"/>
            </w:tcMar>
            <w:vAlign w:val="center"/>
          </w:tcPr>
          <w:p>
            <w:pPr>
              <w:pStyle w:val="TableContents"/>
              <w:bidi w:val="0"/>
              <w:spacing w:before="0" w:after="283"/>
              <w:jc w:val="left"/>
              <w:rPr/>
            </w:pPr>
            <w:r>
              <w:rPr/>
              <w:t> </w:t>
            </w:r>
          </w:p>
        </w:tc>
      </w:tr>
      <w:tr>
        <w:trPr/>
        <w:tc>
          <w:tcPr>
            <w:tcW w:w="1820" w:type="dxa"/>
            <w:tcBorders>
              <w:bottom w:val="single" w:sz="6" w:space="0" w:color="732282"/>
            </w:tcBorders>
            <w:tcMar>
              <w:bottom w:w="28" w:type="dxa"/>
            </w:tcMar>
            <w:vAlign w:val="center"/>
          </w:tcPr>
          <w:p>
            <w:pPr>
              <w:pStyle w:val="TableContents"/>
              <w:bidi w:val="0"/>
              <w:spacing w:before="0" w:after="0"/>
              <w:jc w:val="left"/>
              <w:rPr>
                <w:rFonts w:ascii="ARIAL" w:hAnsi="ARIAL"/>
                <w:sz w:val="18"/>
              </w:rPr>
            </w:pPr>
            <w:r>
              <w:rPr>
                <w:rFonts w:ascii="ARIAL" w:hAnsi="ARIAL"/>
                <w:sz w:val="18"/>
              </w:rPr>
              <w:t>Meetings during 2023</w:t>
            </w:r>
          </w:p>
        </w:tc>
        <w:tc>
          <w:tcPr>
            <w:tcW w:w="60" w:type="dxa"/>
            <w:tcBorders>
              <w:bottom w:val="single" w:sz="6" w:space="0" w:color="732282"/>
            </w:tcBorders>
            <w:tcMar>
              <w:bottom w:w="28" w:type="dxa"/>
            </w:tcMar>
            <w:vAlign w:val="center"/>
          </w:tcPr>
          <w:p>
            <w:pPr>
              <w:pStyle w:val="TableContents"/>
              <w:bidi w:val="0"/>
              <w:spacing w:before="0" w:after="283"/>
              <w:jc w:val="left"/>
              <w:rPr/>
            </w:pPr>
            <w:r>
              <w:rPr/>
              <w:t> </w:t>
            </w:r>
          </w:p>
        </w:tc>
        <w:tc>
          <w:tcPr>
            <w:tcW w:w="605" w:type="dxa"/>
            <w:tcBorders>
              <w:bottom w:val="single" w:sz="6" w:space="0" w:color="732282"/>
            </w:tcBorders>
            <w:tcMar>
              <w:bottom w:w="28" w:type="dxa"/>
            </w:tcMar>
            <w:vAlign w:val="center"/>
          </w:tcPr>
          <w:p>
            <w:pPr>
              <w:pStyle w:val="TableContents"/>
              <w:bidi w:val="0"/>
              <w:spacing w:before="0" w:after="283"/>
              <w:jc w:val="center"/>
              <w:rPr/>
            </w:pPr>
            <w:r>
              <w:rPr/>
              <w:t>10</w:t>
            </w:r>
          </w:p>
        </w:tc>
        <w:tc>
          <w:tcPr>
            <w:tcW w:w="60" w:type="dxa"/>
            <w:tcBorders>
              <w:bottom w:val="single" w:sz="6" w:space="0" w:color="732282"/>
            </w:tcBorders>
            <w:tcMar>
              <w:bottom w:w="28" w:type="dxa"/>
            </w:tcMar>
            <w:vAlign w:val="center"/>
          </w:tcPr>
          <w:p>
            <w:pPr>
              <w:pStyle w:val="TableContents"/>
              <w:bidi w:val="0"/>
              <w:spacing w:before="0" w:after="283"/>
              <w:jc w:val="left"/>
              <w:rPr/>
            </w:pPr>
            <w:r>
              <w:rPr/>
              <w:t> </w:t>
            </w:r>
          </w:p>
        </w:tc>
        <w:tc>
          <w:tcPr>
            <w:tcW w:w="1490" w:type="dxa"/>
            <w:tcBorders>
              <w:bottom w:val="single" w:sz="6" w:space="0" w:color="732282"/>
            </w:tcBorders>
            <w:tcMar>
              <w:bottom w:w="28" w:type="dxa"/>
            </w:tcMar>
            <w:vAlign w:val="center"/>
          </w:tcPr>
          <w:p>
            <w:pPr>
              <w:pStyle w:val="TableContents"/>
              <w:bidi w:val="0"/>
              <w:spacing w:before="0" w:after="283"/>
              <w:jc w:val="center"/>
              <w:rPr/>
            </w:pPr>
            <w:r>
              <w:rPr/>
              <w:t>8</w:t>
            </w:r>
          </w:p>
        </w:tc>
        <w:tc>
          <w:tcPr>
            <w:tcW w:w="60" w:type="dxa"/>
            <w:tcBorders>
              <w:bottom w:val="single" w:sz="6" w:space="0" w:color="732282"/>
            </w:tcBorders>
            <w:tcMar>
              <w:bottom w:w="28" w:type="dxa"/>
            </w:tcMar>
            <w:vAlign w:val="center"/>
          </w:tcPr>
          <w:p>
            <w:pPr>
              <w:pStyle w:val="TableContents"/>
              <w:bidi w:val="0"/>
              <w:spacing w:before="0" w:after="283"/>
              <w:jc w:val="left"/>
              <w:rPr/>
            </w:pPr>
            <w:r>
              <w:rPr/>
              <w:t> </w:t>
            </w:r>
          </w:p>
        </w:tc>
        <w:tc>
          <w:tcPr>
            <w:tcW w:w="1190" w:type="dxa"/>
            <w:tcBorders>
              <w:bottom w:val="single" w:sz="6" w:space="0" w:color="732282"/>
            </w:tcBorders>
            <w:tcMar>
              <w:bottom w:w="28" w:type="dxa"/>
            </w:tcMar>
            <w:vAlign w:val="center"/>
          </w:tcPr>
          <w:p>
            <w:pPr>
              <w:pStyle w:val="TableContents"/>
              <w:bidi w:val="0"/>
              <w:spacing w:before="0" w:after="283"/>
              <w:jc w:val="center"/>
              <w:rPr/>
            </w:pPr>
            <w:r>
              <w:rPr/>
              <w:t>5(4)</w:t>
            </w:r>
          </w:p>
        </w:tc>
        <w:tc>
          <w:tcPr>
            <w:tcW w:w="60" w:type="dxa"/>
            <w:tcBorders>
              <w:bottom w:val="single" w:sz="6" w:space="0" w:color="732282"/>
            </w:tcBorders>
            <w:tcMar>
              <w:bottom w:w="28" w:type="dxa"/>
            </w:tcMar>
            <w:vAlign w:val="center"/>
          </w:tcPr>
          <w:p>
            <w:pPr>
              <w:pStyle w:val="TableContents"/>
              <w:bidi w:val="0"/>
              <w:spacing w:before="0" w:after="283"/>
              <w:jc w:val="left"/>
              <w:rPr/>
            </w:pPr>
            <w:r>
              <w:rPr/>
              <w:t> </w:t>
            </w:r>
          </w:p>
        </w:tc>
        <w:tc>
          <w:tcPr>
            <w:tcW w:w="1010" w:type="dxa"/>
            <w:tcBorders>
              <w:bottom w:val="single" w:sz="6" w:space="0" w:color="732282"/>
            </w:tcBorders>
            <w:tcMar>
              <w:bottom w:w="28" w:type="dxa"/>
            </w:tcMar>
            <w:vAlign w:val="center"/>
          </w:tcPr>
          <w:p>
            <w:pPr>
              <w:pStyle w:val="TableContents"/>
              <w:bidi w:val="0"/>
              <w:spacing w:before="0" w:after="283"/>
              <w:jc w:val="center"/>
              <w:rPr/>
            </w:pPr>
            <w:r>
              <w:rPr/>
              <w:t>9</w:t>
            </w:r>
          </w:p>
        </w:tc>
        <w:tc>
          <w:tcPr>
            <w:tcW w:w="60" w:type="dxa"/>
            <w:tcBorders>
              <w:bottom w:val="single" w:sz="6" w:space="0" w:color="732282"/>
            </w:tcBorders>
            <w:tcMar>
              <w:bottom w:w="28" w:type="dxa"/>
            </w:tcMar>
            <w:vAlign w:val="center"/>
          </w:tcPr>
          <w:p>
            <w:pPr>
              <w:pStyle w:val="TableContents"/>
              <w:bidi w:val="0"/>
              <w:spacing w:before="0" w:after="283"/>
              <w:jc w:val="left"/>
              <w:rPr/>
            </w:pPr>
            <w:r>
              <w:rPr/>
              <w:t> </w:t>
            </w:r>
          </w:p>
        </w:tc>
        <w:tc>
          <w:tcPr>
            <w:tcW w:w="830" w:type="dxa"/>
            <w:tcBorders>
              <w:bottom w:val="single" w:sz="6" w:space="0" w:color="732282"/>
            </w:tcBorders>
            <w:tcMar>
              <w:bottom w:w="28" w:type="dxa"/>
            </w:tcMar>
            <w:vAlign w:val="center"/>
          </w:tcPr>
          <w:p>
            <w:pPr>
              <w:pStyle w:val="TableContents"/>
              <w:bidi w:val="0"/>
              <w:spacing w:before="0" w:after="283"/>
              <w:jc w:val="center"/>
              <w:rPr/>
            </w:pPr>
            <w:r>
              <w:rPr/>
              <w:t>6</w:t>
            </w:r>
          </w:p>
        </w:tc>
        <w:tc>
          <w:tcPr>
            <w:tcW w:w="60" w:type="dxa"/>
            <w:tcBorders>
              <w:bottom w:val="single" w:sz="6" w:space="0" w:color="732282"/>
            </w:tcBorders>
            <w:tcMar>
              <w:bottom w:w="28" w:type="dxa"/>
            </w:tcMar>
            <w:vAlign w:val="center"/>
          </w:tcPr>
          <w:p>
            <w:pPr>
              <w:pStyle w:val="TableContents"/>
              <w:bidi w:val="0"/>
              <w:spacing w:before="0" w:after="283"/>
              <w:jc w:val="left"/>
              <w:rPr/>
            </w:pPr>
            <w:r>
              <w:rPr/>
              <w:t> </w:t>
            </w:r>
          </w:p>
        </w:tc>
        <w:tc>
          <w:tcPr>
            <w:tcW w:w="1685" w:type="dxa"/>
            <w:tcBorders>
              <w:bottom w:val="single" w:sz="6" w:space="0" w:color="732282"/>
            </w:tcBorders>
            <w:tcMar>
              <w:bottom w:w="28" w:type="dxa"/>
            </w:tcMar>
            <w:vAlign w:val="center"/>
          </w:tcPr>
          <w:p>
            <w:pPr>
              <w:pStyle w:val="TableContents"/>
              <w:bidi w:val="0"/>
              <w:spacing w:before="0" w:after="283"/>
              <w:jc w:val="center"/>
              <w:rPr/>
            </w:pPr>
            <w:r>
              <w:rPr/>
              <w:t>9</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(1)</w:t>
            </w:r>
          </w:p>
        </w:tc>
        <w:tc>
          <w:tcPr>
            <w:tcW w:w="9958" w:type="dxa"/>
            <w:tcBorders/>
            <w:vAlign w:val="center"/>
          </w:tcPr>
          <w:p>
            <w:pPr>
              <w:pStyle w:val="TableContents"/>
              <w:bidi w:val="0"/>
              <w:spacing w:before="0" w:after="0"/>
              <w:jc w:val="both"/>
              <w:rPr>
                <w:rFonts w:ascii="ARIAL" w:hAnsi="ARIAL"/>
                <w:sz w:val="16"/>
              </w:rPr>
            </w:pPr>
            <w:r>
              <w:rPr>
                <w:rFonts w:ascii="ARIAL" w:hAnsi="ARIAL"/>
                <w:sz w:val="16"/>
              </w:rPr>
              <w:t xml:space="preserve">Effective immediately after the 2023 Annual Meeting, JoEllen Lyons Dillon joined the Compensation Committee; Leo Groothuis joined the Compliance and Risk Oversight Committee, Executive Committee and Governance and Sustainability Committee; Melina Higgins became Chair of the Executive Committee; and Harry Korman became Chair of the Compensation Committee. Until the 2023 Annual Meeting, Melina Higgins chaired and served on the Compensation Committee and served on the Governance and Nominating Committee. </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(2)</w:t>
            </w:r>
          </w:p>
        </w:tc>
        <w:tc>
          <w:tcPr>
            <w:tcW w:w="9915" w:type="dxa"/>
            <w:tcBorders/>
            <w:vAlign w:val="center"/>
          </w:tcPr>
          <w:p>
            <w:pPr>
              <w:pStyle w:val="TableContents"/>
              <w:bidi w:val="0"/>
              <w:spacing w:before="0" w:after="0"/>
              <w:jc w:val="both"/>
              <w:rPr>
                <w:rFonts w:ascii="ARIAL" w:hAnsi="ARIAL"/>
                <w:sz w:val="16"/>
              </w:rPr>
            </w:pPr>
            <w:r>
              <w:rPr>
                <w:rFonts w:ascii="ARIAL" w:hAnsi="ARIAL"/>
                <w:sz w:val="16"/>
              </w:rPr>
              <w:t xml:space="preserve">The Board has determined that Richard Mark, the Chair of the Audit Committee, is an “audit committee financial expert”, as that term is defined in the rules of the SEC.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(3)</w:t>
            </w:r>
          </w:p>
        </w:tc>
        <w:tc>
          <w:tcPr>
            <w:tcW w:w="9958" w:type="dxa"/>
            <w:tcBorders/>
            <w:vAlign w:val="center"/>
          </w:tcPr>
          <w:p>
            <w:pPr>
              <w:pStyle w:val="TableContents"/>
              <w:bidi w:val="0"/>
              <w:spacing w:before="0" w:after="0"/>
              <w:jc w:val="both"/>
              <w:rPr>
                <w:rFonts w:ascii="ARIAL" w:hAnsi="ARIAL"/>
                <w:sz w:val="16"/>
              </w:rPr>
            </w:pPr>
            <w:r>
              <w:rPr>
                <w:rFonts w:ascii="ARIAL" w:hAnsi="ARIAL"/>
                <w:sz w:val="16"/>
              </w:rPr>
              <w:t xml:space="preserve">Effective immediately following the 2023 Annual Meeting, the Compliance Committee and Risk Oversight Committee were consolidated to be the Compliance and Risk Oversight Committee and the Governance and Nominating Committee was renamed the Governance and Sustainability Committee. Prior to the 2023 Annual Meeting, the Compliance Committee included Mark Parrish (Chair), JoEllen Lyons Dillon and Harry Korman and the Risk Oversight Committee included Harry Korman (Chair), W. Don Cornwell and Richard Mark.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(4)</w:t>
            </w:r>
          </w:p>
        </w:tc>
        <w:tc>
          <w:tcPr>
            <w:tcW w:w="9948" w:type="dxa"/>
            <w:tcBorders/>
            <w:vAlign w:val="center"/>
          </w:tcPr>
          <w:p>
            <w:pPr>
              <w:pStyle w:val="TableContents"/>
              <w:bidi w:val="0"/>
              <w:spacing w:before="0" w:after="0"/>
              <w:jc w:val="both"/>
              <w:rPr>
                <w:rFonts w:ascii="ARIAL" w:hAnsi="ARIAL"/>
                <w:sz w:val="16"/>
              </w:rPr>
            </w:pPr>
            <w:r>
              <w:rPr>
                <w:rFonts w:ascii="ARIAL" w:hAnsi="ARIAL"/>
                <w:sz w:val="16"/>
              </w:rPr>
              <w:t xml:space="preserve">Represents the number of meetings of the Compliance Committee held prior to the 2023 Annual Meeting during 2023. The Risk Oversight Committee held five meetings prior to the 2023 Annual Meeting during 2023. Subsequent to the 2023 Annual Meeting, the Compliance and Risk Oversight Committee held no meetings during the remainder of 2023. </w:t>
            </w:r>
          </w:p>
        </w:tc>
      </w:tr>
    </w:tbl>
    <w:p>
      <w:pPr>
        <w:pStyle w:val="TextBody"/>
        <w:bidi w:val="0"/>
        <w:spacing w:before="360" w:after="0"/>
        <w:jc w:val="left"/>
        <w:rPr>
          <w:rFonts w:ascii="ARIAL" w:hAnsi="ARIAL"/>
          <w:b/>
          <w:sz w:val="20"/>
        </w:rPr>
      </w:pPr>
      <w:r>
        <w:rPr>
          <w:rFonts w:ascii="ARIAL" w:hAnsi="ARIAL"/>
          <w:b/>
          <w:sz w:val="20"/>
        </w:rPr>
        <w:t xml:space="preserve">Audit Committee Responsibilities </w:t>
      </w:r>
    </w:p>
    <w:p>
      <w:pPr>
        <w:pStyle w:val="TextBody"/>
        <w:bidi w:val="0"/>
        <w:spacing w:before="120" w:after="0"/>
        <w:jc w:val="both"/>
        <w:rPr>
          <w:rFonts w:ascii="arial" w:hAnsi="arial"/>
          <w:sz w:val="18"/>
        </w:rPr>
      </w:pPr>
      <w:r>
        <w:rPr>
          <w:rFonts w:ascii="arial" w:hAnsi="arial"/>
          <w:sz w:val="18"/>
        </w:rPr>
        <w:t xml:space="preserve">The Audit Committee’s key oversight responsibilities include, but are not limited to: </w:t>
      </w:r>
    </w:p>
    <w:p>
      <w:pPr>
        <w:pStyle w:val="TextBody"/>
        <w:bidi w:val="0"/>
        <w:spacing w:before="0" w:after="0"/>
        <w:jc w:val="left"/>
        <w:rPr/>
      </w:pPr>
      <w:r>
        <w:rPr/>
        <w:t> </w:t>
      </w:r>
    </w:p>
    <w:tbl>
      <w:tblPr>
        <w:tblW w:w="8395" w:type="dxa"/>
        <w:jc w:val="left"/>
        <w:tblInd w:w="0" w:type="dxa"/>
        <w:tblLayout w:type="fixed"/>
        <w:tblCellMar>
          <w:top w:w="0" w:type="dxa"/>
          <w:left w:w="0" w:type="dxa"/>
          <w:bottom w:w="0" w:type="dxa"/>
          <w:right w:w="0" w:type="dxa"/>
        </w:tblCellMar>
      </w:tblPr>
      <w:tblGrid>
        <w:gridCol w:w="75"/>
        <w:gridCol w:w="110"/>
        <w:gridCol w:w="60"/>
        <w:gridCol w:w="8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50" w:type="dxa"/>
            <w:tcBorders/>
            <w:vAlign w:val="center"/>
          </w:tcPr>
          <w:p>
            <w:pPr>
              <w:pStyle w:val="TableContents"/>
              <w:bidi w:val="0"/>
              <w:spacing w:before="0" w:after="0"/>
              <w:jc w:val="both"/>
              <w:rPr>
                <w:rFonts w:ascii="arial" w:hAnsi="arial"/>
                <w:sz w:val="18"/>
              </w:rPr>
            </w:pPr>
            <w:r>
              <w:rPr>
                <w:rFonts w:ascii="arial" w:hAnsi="arial"/>
                <w:sz w:val="18"/>
              </w:rPr>
              <w:t xml:space="preserve">Integrity of the Company’s financial statements and its accounting and financial reporting processes </w:t>
            </w:r>
          </w:p>
        </w:tc>
      </w:tr>
    </w:tbl>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both"/>
              <w:rPr>
                <w:rFonts w:ascii="arial" w:hAnsi="arial"/>
                <w:sz w:val="18"/>
              </w:rPr>
            </w:pPr>
            <w:r>
              <w:rPr>
                <w:rFonts w:ascii="arial" w:hAnsi="arial"/>
                <w:sz w:val="18"/>
              </w:rPr>
              <w:t xml:space="preserve">Effectiveness of the Company’s internal control over financial reporting </w:t>
            </w:r>
          </w:p>
        </w:tc>
      </w:tr>
    </w:tbl>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75"/>
        <w:gridCol w:w="110"/>
        <w:gridCol w:w="60"/>
        <w:gridCol w:w="8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25" w:type="dxa"/>
            <w:tcBorders/>
            <w:vAlign w:val="center"/>
          </w:tcPr>
          <w:p>
            <w:pPr>
              <w:pStyle w:val="TableContents"/>
              <w:bidi w:val="0"/>
              <w:spacing w:before="0" w:after="0"/>
              <w:jc w:val="both"/>
              <w:rPr>
                <w:rFonts w:ascii="arial" w:hAnsi="arial"/>
                <w:sz w:val="18"/>
              </w:rPr>
            </w:pPr>
            <w:r>
              <w:rPr>
                <w:rFonts w:ascii="arial" w:hAnsi="arial"/>
                <w:sz w:val="18"/>
              </w:rPr>
              <w:t xml:space="preserve">Qualifications, independence, and performance of the independent registered public accounting firm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75"/>
        <w:gridCol w:w="110"/>
        <w:gridCol w:w="60"/>
        <w:gridCol w:w="8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0"/>
              <w:jc w:val="both"/>
              <w:rPr>
                <w:rFonts w:ascii="arial" w:hAnsi="arial"/>
                <w:sz w:val="18"/>
              </w:rPr>
            </w:pPr>
            <w:r>
              <w:rPr>
                <w:rFonts w:ascii="arial" w:hAnsi="arial"/>
                <w:sz w:val="18"/>
              </w:rPr>
              <w:t xml:space="preserve">Services to be performed by, and fees payable to, the independent registered public accounting firm </w:t>
            </w:r>
          </w:p>
        </w:tc>
      </w:tr>
    </w:tbl>
    <w:p>
      <w:pPr>
        <w:pStyle w:val="TextBody"/>
        <w:bidi w:val="0"/>
        <w:spacing w:before="0" w:after="0"/>
        <w:jc w:val="left"/>
        <w:rPr/>
      </w:pPr>
      <w:r>
        <w:rPr/>
        <w:t> </w:t>
      </w:r>
    </w:p>
    <w:tbl>
      <w:tblPr>
        <w:tblW w:w="1930" w:type="dxa"/>
        <w:jc w:val="left"/>
        <w:tblInd w:w="0" w:type="dxa"/>
        <w:tblLayout w:type="fixed"/>
        <w:tblCellMar>
          <w:top w:w="0" w:type="dxa"/>
          <w:left w:w="0" w:type="dxa"/>
          <w:bottom w:w="0" w:type="dxa"/>
          <w:right w:w="0" w:type="dxa"/>
        </w:tblCellMar>
      </w:tblPr>
      <w:tblGrid>
        <w:gridCol w:w="75"/>
        <w:gridCol w:w="110"/>
        <w:gridCol w:w="60"/>
        <w:gridCol w:w="1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0"/>
              <w:jc w:val="both"/>
              <w:rPr>
                <w:rFonts w:ascii="arial" w:hAnsi="arial"/>
                <w:sz w:val="18"/>
              </w:rPr>
            </w:pPr>
            <w:r>
              <w:rPr>
                <w:rFonts w:ascii="arial" w:hAnsi="arial"/>
                <w:sz w:val="18"/>
              </w:rPr>
              <w:t xml:space="preserve">Internal Audit group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Company processes and procedures related to risk assessment and risk management of financial and disclosure control-related, as well as SEC reporting-related, matters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 </w:t>
      </w:r>
      <w:r>
        <w:br w:type="page"/>
      </w:r>
    </w:p>
    <w:p>
      <w:pPr>
        <w:pStyle w:val="HorizontalLine"/>
        <w:bidi w:val="0"/>
        <w:jc w:val="left"/>
        <w:rPr/>
      </w:pPr>
      <w:r>
        <w:rPr/>
      </w:r>
    </w:p>
    <w:tbl>
      <w:tblPr>
        <w:tblW w:w="2455" w:type="dxa"/>
        <w:jc w:val="left"/>
        <w:tblInd w:w="0" w:type="dxa"/>
        <w:tblLayout w:type="fixed"/>
        <w:tblCellMar>
          <w:top w:w="0" w:type="dxa"/>
          <w:left w:w="0" w:type="dxa"/>
          <w:bottom w:w="0" w:type="dxa"/>
          <w:right w:w="0" w:type="dxa"/>
        </w:tblCellMar>
      </w:tblPr>
      <w:tblGrid>
        <w:gridCol w:w="75"/>
        <w:gridCol w:w="110"/>
        <w:gridCol w:w="60"/>
        <w:gridCol w:w="2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both"/>
              <w:rPr>
                <w:rFonts w:ascii="arial" w:hAnsi="arial"/>
                <w:sz w:val="18"/>
              </w:rPr>
            </w:pPr>
            <w:r>
              <w:rPr>
                <w:rFonts w:ascii="arial" w:hAnsi="arial"/>
                <w:sz w:val="18"/>
              </w:rPr>
              <w:t xml:space="preserve">Related party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Company compliance with applicable legal and regulatory requirements (including U.S. federal securities laws) regarding the preceding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Review of any critical audit matters identified by the independent registered public accounting firm in connection with its audit of the Company’s annual financial statements </w:t>
            </w:r>
          </w:p>
        </w:tc>
      </w:tr>
    </w:tbl>
    <w:p>
      <w:pPr>
        <w:pStyle w:val="TextBody"/>
        <w:bidi w:val="0"/>
        <w:spacing w:before="360" w:after="0"/>
        <w:jc w:val="left"/>
        <w:rPr>
          <w:rFonts w:ascii="ARIAL" w:hAnsi="ARIAL"/>
          <w:b/>
          <w:sz w:val="20"/>
        </w:rPr>
      </w:pPr>
      <w:r>
        <w:rPr>
          <w:rFonts w:ascii="ARIAL" w:hAnsi="ARIAL"/>
          <w:b/>
          <w:sz w:val="20"/>
        </w:rPr>
        <w:t xml:space="preserve">Compensation Committee Responsibilities </w:t>
      </w:r>
    </w:p>
    <w:p>
      <w:pPr>
        <w:pStyle w:val="TextBody"/>
        <w:bidi w:val="0"/>
        <w:spacing w:before="120" w:after="0"/>
        <w:jc w:val="both"/>
        <w:rPr>
          <w:rFonts w:ascii="arial" w:hAnsi="arial"/>
          <w:sz w:val="18"/>
        </w:rPr>
      </w:pPr>
      <w:r>
        <w:rPr>
          <w:rFonts w:ascii="arial" w:hAnsi="arial"/>
          <w:sz w:val="18"/>
        </w:rPr>
        <w:t xml:space="preserve">The Compensation Committee’s key oversight responsibilities include, but are not limited to: </w:t>
      </w:r>
    </w:p>
    <w:p>
      <w:pPr>
        <w:pStyle w:val="TextBody"/>
        <w:bidi w:val="0"/>
        <w:spacing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75"/>
        <w:gridCol w:w="110"/>
        <w:gridCol w:w="60"/>
        <w:gridCol w:w="9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both"/>
              <w:rPr>
                <w:rFonts w:ascii="arial" w:hAnsi="arial"/>
                <w:sz w:val="18"/>
              </w:rPr>
            </w:pPr>
            <w:r>
              <w:rPr>
                <w:rFonts w:ascii="arial" w:hAnsi="arial"/>
                <w:sz w:val="18"/>
              </w:rPr>
              <w:t xml:space="preserve">CEO and senior management compensation, including the corporate goals and objectives relevant to such compensation </w:t>
            </w:r>
          </w:p>
        </w:tc>
      </w:tr>
    </w:tbl>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75"/>
        <w:gridCol w:w="110"/>
        <w:gridCol w:w="60"/>
        <w:gridCol w:w="3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both"/>
              <w:rPr>
                <w:rFonts w:ascii="arial" w:hAnsi="arial"/>
                <w:sz w:val="18"/>
              </w:rPr>
            </w:pPr>
            <w:r>
              <w:rPr>
                <w:rFonts w:ascii="arial" w:hAnsi="arial"/>
                <w:sz w:val="18"/>
              </w:rPr>
              <w:t xml:space="preserve">Board and committee compensation </w:t>
            </w:r>
          </w:p>
        </w:tc>
      </w:tr>
    </w:tbl>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both"/>
              <w:rPr>
                <w:rFonts w:ascii="arial" w:hAnsi="arial"/>
                <w:sz w:val="18"/>
              </w:rPr>
            </w:pPr>
            <w:r>
              <w:rPr>
                <w:rFonts w:ascii="arial" w:hAnsi="arial"/>
                <w:sz w:val="18"/>
              </w:rPr>
              <w:t xml:space="preserve">Equity compensation plans in which Directors and/or executives participate </w:t>
            </w:r>
          </w:p>
        </w:tc>
      </w:tr>
    </w:tbl>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75"/>
        <w:gridCol w:w="110"/>
        <w:gridCol w:w="60"/>
        <w:gridCol w:w="7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45" w:type="dxa"/>
            <w:tcBorders/>
            <w:vAlign w:val="center"/>
          </w:tcPr>
          <w:p>
            <w:pPr>
              <w:pStyle w:val="TableContents"/>
              <w:bidi w:val="0"/>
              <w:spacing w:before="0" w:after="0"/>
              <w:jc w:val="both"/>
              <w:rPr>
                <w:rFonts w:ascii="arial" w:hAnsi="arial"/>
                <w:sz w:val="18"/>
              </w:rPr>
            </w:pPr>
            <w:r>
              <w:rPr>
                <w:rFonts w:ascii="arial" w:hAnsi="arial"/>
                <w:sz w:val="18"/>
              </w:rPr>
              <w:t xml:space="preserve">Compensation and benefits-related disclosures in annual reports and proxy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Reviewing with management and the Committee’s external compensation consultant the relationship between the Company’s compensation policies and practices and the Company’s risk management with respect to compensation-related matters, including to assess whether any risks arising from compensation practices, policies and programs for the Company’s executive officers and other employees are reasonably likely to have a material adverse effect on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From time-to-time reviewing reports from management regarding pay equity, human capital management, and succession planning (including diversity and inclusion, leadership and talent development, employee retention and engagement and workforce planning)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Reviewing and approving the implementation of, or revision to, any clawback or incentive-based compensation recovery policy allowing the Company to recoup compensation paid to the Company’s employees and administering and enforcing any such policy consistent with the terms of the policy </w:t>
            </w:r>
          </w:p>
        </w:tc>
      </w:tr>
    </w:tbl>
    <w:p>
      <w:pPr>
        <w:pStyle w:val="TextBody"/>
        <w:bidi w:val="0"/>
        <w:spacing w:before="360" w:after="0"/>
        <w:jc w:val="left"/>
        <w:rPr>
          <w:rFonts w:ascii="ARIAL" w:hAnsi="ARIAL"/>
          <w:b/>
          <w:sz w:val="20"/>
        </w:rPr>
      </w:pPr>
      <w:r>
        <w:rPr>
          <w:rFonts w:ascii="ARIAL" w:hAnsi="ARIAL"/>
          <w:b/>
          <w:sz w:val="20"/>
        </w:rPr>
        <w:t xml:space="preserve">Compliance and Risk Oversight Committee Responsibilities </w:t>
      </w:r>
    </w:p>
    <w:p>
      <w:pPr>
        <w:pStyle w:val="TextBody"/>
        <w:bidi w:val="0"/>
        <w:spacing w:before="120" w:after="0"/>
        <w:jc w:val="both"/>
        <w:rPr>
          <w:rFonts w:ascii="arial" w:hAnsi="arial"/>
          <w:sz w:val="18"/>
        </w:rPr>
      </w:pPr>
      <w:r>
        <w:rPr>
          <w:rFonts w:ascii="arial" w:hAnsi="arial"/>
          <w:sz w:val="18"/>
        </w:rPr>
        <w:t xml:space="preserve">The Compliance and Risk Oversight Committee’s key oversight responsibilities include, but are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Reviewing the enterprise risk framework, infrastructure, and controls implemented by management to help identify, assess, manage and monitor material risks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Reviewing the Company’s efforts to foster a culture of risk-adjusted decision making without constraining reasonable risk-taking and innovation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Reviewing significant global compliance-related policies implementing the Company’s Code of Business Conduct and Ethics, or related to the operations of the Company’s business, and its mode or methods of doing business, including, for example, policies relating to pricing and/or commercialization of Company products and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Reviewing metrics used by management or requested by the Committee to provide insight into the status and efficacy of the corporate compliance program, including the Company’s global compliance systems and organization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Reviewing reports of significant actual and alleged violations of the Code of Business Conduct and Ethics, corporate policies and procedures, and applicable laws and regulations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Reviewing checks and balances implemented by the Company designed to support and promote compliance with approved corporate policies, legal rules, and regulations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Reviewing, in conjunction with the Chief Legal Officer, the performance, responsibilities, plans and resources of the Chief Compliance Officer, including appointment and replacement of the Chief Compliance Officer </w:t>
            </w:r>
          </w:p>
        </w:tc>
      </w:tr>
    </w:tbl>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5"/>
        <w:gridCol w:w="110"/>
        <w:gridCol w:w="60"/>
        <w:gridCol w:w="8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85" w:type="dxa"/>
            <w:tcBorders/>
            <w:vAlign w:val="center"/>
          </w:tcPr>
          <w:p>
            <w:pPr>
              <w:pStyle w:val="TableContents"/>
              <w:bidi w:val="0"/>
              <w:spacing w:before="0" w:after="0"/>
              <w:jc w:val="both"/>
              <w:rPr>
                <w:rFonts w:ascii="arial" w:hAnsi="arial"/>
                <w:sz w:val="18"/>
              </w:rPr>
            </w:pPr>
            <w:r>
              <w:rPr>
                <w:rFonts w:ascii="arial" w:hAnsi="arial"/>
                <w:sz w:val="18"/>
              </w:rPr>
              <w:t xml:space="preserve">Overseeing the Company’s policies and procedures for corporate political and lobbying expenditures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Reviewing management’s exercise of its responsibility to identify, assess and manage material risks not allocated to the Board or another committee, including, for example, data security programs and cybersecurity and 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Consulting with the Chairs of the other committees at least two times a year to discuss risk-related matters and the Company’s enterprise risk management framework </w:t>
            </w:r>
          </w:p>
        </w:tc>
      </w:tr>
    </w:tbl>
    <w:p>
      <w:pPr>
        <w:pStyle w:val="TextBody"/>
        <w:bidi w:val="0"/>
        <w:spacing w:before="360" w:after="0"/>
        <w:jc w:val="left"/>
        <w:rPr>
          <w:rFonts w:ascii="ARIAL" w:hAnsi="ARIAL"/>
          <w:b/>
          <w:sz w:val="20"/>
        </w:rPr>
      </w:pPr>
      <w:r>
        <w:rPr>
          <w:rFonts w:ascii="ARIAL" w:hAnsi="ARIAL"/>
          <w:b/>
          <w:sz w:val="20"/>
        </w:rPr>
        <w:t xml:space="preserve">Executive Committee Responsibilities </w:t>
      </w:r>
    </w:p>
    <w:p>
      <w:pPr>
        <w:pStyle w:val="TextBody"/>
        <w:bidi w:val="0"/>
        <w:spacing w:before="120" w:after="0"/>
        <w:jc w:val="both"/>
        <w:rPr>
          <w:rFonts w:ascii="arial" w:hAnsi="arial"/>
          <w:sz w:val="18"/>
        </w:rPr>
      </w:pPr>
      <w:r>
        <w:rPr>
          <w:rFonts w:ascii="arial" w:hAnsi="arial"/>
          <w:sz w:val="18"/>
        </w:rPr>
        <w:t xml:space="preserve">The Executive Committee’s key oversight responsibilities include, but are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Assisting the Board in fulfilling its fiduciary responsibilities by exercising those powers of the Board not otherwise limited by a resolution of the Board or by law </w:t>
            </w:r>
          </w:p>
        </w:tc>
      </w:tr>
    </w:tbl>
    <w:p>
      <w:pPr>
        <w:pStyle w:val="TextBody"/>
        <w:bidi w:val="0"/>
        <w:spacing w:before="0" w:after="0"/>
        <w:jc w:val="left"/>
        <w:rPr/>
      </w:pPr>
      <w:r>
        <w:rPr/>
        <w:t> </w:t>
      </w:r>
    </w:p>
    <w:tbl>
      <w:tblPr>
        <w:tblW w:w="6010" w:type="dxa"/>
        <w:jc w:val="left"/>
        <w:tblInd w:w="0" w:type="dxa"/>
        <w:tblLayout w:type="fixed"/>
        <w:tblCellMar>
          <w:top w:w="0" w:type="dxa"/>
          <w:left w:w="0" w:type="dxa"/>
          <w:bottom w:w="0" w:type="dxa"/>
          <w:right w:w="0" w:type="dxa"/>
        </w:tblCellMar>
      </w:tblPr>
      <w:tblGrid>
        <w:gridCol w:w="75"/>
        <w:gridCol w:w="110"/>
        <w:gridCol w:w="60"/>
        <w:gridCol w:w="5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jc w:val="both"/>
              <w:rPr>
                <w:rFonts w:ascii="arial" w:hAnsi="arial"/>
                <w:sz w:val="18"/>
              </w:rPr>
            </w:pPr>
            <w:r>
              <w:rPr>
                <w:rFonts w:ascii="arial" w:hAnsi="arial"/>
                <w:sz w:val="18"/>
              </w:rPr>
              <w:t xml:space="preserve">Strategic planning and additional oversight of strategy implementation </w:t>
            </w:r>
          </w:p>
        </w:tc>
      </w:tr>
    </w:tbl>
    <w:p>
      <w:pPr>
        <w:pStyle w:val="TextBody"/>
        <w:bidi w:val="0"/>
        <w:spacing w:before="360" w:after="0"/>
        <w:jc w:val="left"/>
        <w:rPr>
          <w:rFonts w:ascii="ARIAL" w:hAnsi="ARIAL"/>
          <w:b/>
          <w:sz w:val="20"/>
        </w:rPr>
      </w:pPr>
      <w:r>
        <w:rPr>
          <w:rFonts w:ascii="ARIAL" w:hAnsi="ARIAL"/>
          <w:b/>
          <w:sz w:val="20"/>
        </w:rPr>
        <w:t xml:space="preserve">Finance Committee Responsibilities </w:t>
      </w:r>
    </w:p>
    <w:p>
      <w:pPr>
        <w:pStyle w:val="TextBody"/>
        <w:bidi w:val="0"/>
        <w:spacing w:before="120" w:after="0"/>
        <w:jc w:val="both"/>
        <w:rPr>
          <w:rFonts w:ascii="arial" w:hAnsi="arial"/>
          <w:sz w:val="18"/>
        </w:rPr>
      </w:pPr>
      <w:r>
        <w:rPr>
          <w:rFonts w:ascii="arial" w:hAnsi="arial"/>
          <w:sz w:val="18"/>
        </w:rPr>
        <w:t xml:space="preserve">The Finance Committee’s key oversight responsibilities include, but are not limited to: </w:t>
      </w:r>
    </w:p>
    <w:p>
      <w:pPr>
        <w:pStyle w:val="TextBody"/>
        <w:bidi w:val="0"/>
        <w:spacing w:before="0" w:after="0"/>
        <w:jc w:val="left"/>
        <w:rPr/>
      </w:pPr>
      <w:r>
        <w:rPr/>
        <w:t> </w:t>
      </w:r>
    </w:p>
    <w:tbl>
      <w:tblPr>
        <w:tblW w:w="6100" w:type="dxa"/>
        <w:jc w:val="left"/>
        <w:tblInd w:w="0" w:type="dxa"/>
        <w:tblLayout w:type="fixed"/>
        <w:tblCellMar>
          <w:top w:w="0" w:type="dxa"/>
          <w:left w:w="0" w:type="dxa"/>
          <w:bottom w:w="0" w:type="dxa"/>
          <w:right w:w="0" w:type="dxa"/>
        </w:tblCellMar>
      </w:tblPr>
      <w:tblGrid>
        <w:gridCol w:w="75"/>
        <w:gridCol w:w="110"/>
        <w:gridCol w:w="60"/>
        <w:gridCol w:w="5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0"/>
              <w:jc w:val="both"/>
              <w:rPr>
                <w:rFonts w:ascii="arial" w:hAnsi="arial"/>
                <w:sz w:val="18"/>
              </w:rPr>
            </w:pPr>
            <w:r>
              <w:rPr>
                <w:rFonts w:ascii="arial" w:hAnsi="arial"/>
                <w:sz w:val="18"/>
              </w:rPr>
              <w:t xml:space="preserve">Material mergers, acquisitions, and combinations with other companies </w:t>
            </w:r>
          </w:p>
        </w:tc>
      </w:tr>
    </w:tbl>
    <w:p>
      <w:pPr>
        <w:pStyle w:val="TextBody"/>
        <w:bidi w:val="0"/>
        <w:spacing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75"/>
        <w:gridCol w:w="110"/>
        <w:gridCol w:w="60"/>
        <w:gridCol w:w="3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jc w:val="both"/>
              <w:rPr>
                <w:rFonts w:ascii="arial" w:hAnsi="arial"/>
                <w:sz w:val="18"/>
              </w:rPr>
            </w:pPr>
            <w:r>
              <w:rPr>
                <w:rFonts w:ascii="arial" w:hAnsi="arial"/>
                <w:sz w:val="18"/>
              </w:rPr>
              <w:t xml:space="preserve">Swaps and other derivatives transactions </w:t>
            </w:r>
          </w:p>
        </w:tc>
      </w:tr>
    </w:tbl>
    <w:p>
      <w:pPr>
        <w:pStyle w:val="TextBody"/>
        <w:bidi w:val="0"/>
        <w:spacing w:before="0" w:after="0"/>
        <w:jc w:val="left"/>
        <w:rPr/>
      </w:pPr>
      <w:r>
        <w:rPr/>
        <w:t> </w:t>
      </w:r>
    </w:p>
    <w:tbl>
      <w:tblPr>
        <w:tblW w:w="2875" w:type="dxa"/>
        <w:jc w:val="left"/>
        <w:tblInd w:w="0" w:type="dxa"/>
        <w:tblLayout w:type="fixed"/>
        <w:tblCellMar>
          <w:top w:w="0" w:type="dxa"/>
          <w:left w:w="0" w:type="dxa"/>
          <w:bottom w:w="0" w:type="dxa"/>
          <w:right w:w="0" w:type="dxa"/>
        </w:tblCellMar>
      </w:tblPr>
      <w:tblGrid>
        <w:gridCol w:w="75"/>
        <w:gridCol w:w="110"/>
        <w:gridCol w:w="60"/>
        <w:gridCol w:w="2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jc w:val="both"/>
              <w:rPr>
                <w:rFonts w:ascii="arial" w:hAnsi="arial"/>
                <w:sz w:val="18"/>
              </w:rPr>
            </w:pPr>
            <w:r>
              <w:rPr>
                <w:rFonts w:ascii="arial" w:hAnsi="arial"/>
                <w:sz w:val="18"/>
              </w:rPr>
              <w:t xml:space="preserve">Establishment of credit facilities </w:t>
            </w:r>
          </w:p>
        </w:tc>
      </w:tr>
    </w:tbl>
    <w:p>
      <w:pPr>
        <w:pStyle w:val="TextBody"/>
        <w:bidi w:val="0"/>
        <w:spacing w:before="0" w:after="0"/>
        <w:jc w:val="left"/>
        <w:rPr/>
      </w:pPr>
      <w:r>
        <w:rPr/>
        <w:t> </w:t>
      </w:r>
    </w:p>
    <w:tbl>
      <w:tblPr>
        <w:tblW w:w="3955" w:type="dxa"/>
        <w:jc w:val="left"/>
        <w:tblInd w:w="0" w:type="dxa"/>
        <w:tblLayout w:type="fixed"/>
        <w:tblCellMar>
          <w:top w:w="0" w:type="dxa"/>
          <w:left w:w="0" w:type="dxa"/>
          <w:bottom w:w="0" w:type="dxa"/>
          <w:right w:w="0" w:type="dxa"/>
        </w:tblCellMar>
      </w:tblPr>
      <w:tblGrid>
        <w:gridCol w:w="75"/>
        <w:gridCol w:w="110"/>
        <w:gridCol w:w="60"/>
        <w:gridCol w:w="3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both"/>
              <w:rPr>
                <w:rFonts w:ascii="arial" w:hAnsi="arial"/>
                <w:sz w:val="18"/>
              </w:rPr>
            </w:pPr>
            <w:r>
              <w:rPr>
                <w:rFonts w:ascii="arial" w:hAnsi="arial"/>
                <w:sz w:val="18"/>
              </w:rPr>
              <w:t xml:space="preserve">Potential financings with commercial lenders </w:t>
            </w:r>
          </w:p>
        </w:tc>
      </w:tr>
    </w:tbl>
    <w:p>
      <w:pPr>
        <w:pStyle w:val="TextBody"/>
        <w:bidi w:val="0"/>
        <w:spacing w:before="0" w:after="0"/>
        <w:jc w:val="left"/>
        <w:rPr/>
      </w:pPr>
      <w:r>
        <w:rPr/>
        <w:t> </w:t>
      </w:r>
    </w:p>
    <w:tbl>
      <w:tblPr>
        <w:tblW w:w="6955" w:type="dxa"/>
        <w:jc w:val="left"/>
        <w:tblInd w:w="0" w:type="dxa"/>
        <w:tblLayout w:type="fixed"/>
        <w:tblCellMar>
          <w:top w:w="0" w:type="dxa"/>
          <w:left w:w="0" w:type="dxa"/>
          <w:bottom w:w="0" w:type="dxa"/>
          <w:right w:w="0" w:type="dxa"/>
        </w:tblCellMar>
      </w:tblPr>
      <w:tblGrid>
        <w:gridCol w:w="75"/>
        <w:gridCol w:w="110"/>
        <w:gridCol w:w="60"/>
        <w:gridCol w:w="6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0"/>
              <w:jc w:val="both"/>
              <w:rPr>
                <w:rFonts w:ascii="arial" w:hAnsi="arial"/>
                <w:sz w:val="18"/>
              </w:rPr>
            </w:pPr>
            <w:r>
              <w:rPr>
                <w:rFonts w:ascii="arial" w:hAnsi="arial"/>
                <w:sz w:val="18"/>
              </w:rPr>
              <w:t xml:space="preserve">Issuance and repurchase of the Company’s debt, equity, hybrid or other securities </w:t>
            </w:r>
          </w:p>
        </w:tc>
      </w:tr>
    </w:tbl>
    <w:p>
      <w:pPr>
        <w:pStyle w:val="TextBody"/>
        <w:bidi w:val="0"/>
        <w:spacing w:before="0" w:after="0"/>
        <w:jc w:val="left"/>
        <w:rPr/>
      </w:pPr>
      <w:r>
        <w:rPr/>
        <w:t> </w:t>
      </w:r>
    </w:p>
    <w:tbl>
      <w:tblPr>
        <w:tblW w:w="4090" w:type="dxa"/>
        <w:jc w:val="left"/>
        <w:tblInd w:w="0" w:type="dxa"/>
        <w:tblLayout w:type="fixed"/>
        <w:tblCellMar>
          <w:top w:w="0" w:type="dxa"/>
          <w:left w:w="0" w:type="dxa"/>
          <w:bottom w:w="0" w:type="dxa"/>
          <w:right w:w="0" w:type="dxa"/>
        </w:tblCellMar>
      </w:tblPr>
      <w:tblGrid>
        <w:gridCol w:w="75"/>
        <w:gridCol w:w="110"/>
        <w:gridCol w:w="60"/>
        <w:gridCol w:w="3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both"/>
              <w:rPr>
                <w:rFonts w:ascii="arial" w:hAnsi="arial"/>
                <w:sz w:val="18"/>
              </w:rPr>
            </w:pPr>
            <w:r>
              <w:rPr>
                <w:rFonts w:ascii="arial" w:hAnsi="arial"/>
                <w:sz w:val="18"/>
              </w:rPr>
              <w:t xml:space="preserve">Capital structure, including dividend payments </w:t>
            </w:r>
          </w:p>
        </w:tc>
      </w:tr>
    </w:tbl>
    <w:p>
      <w:pPr>
        <w:pStyle w:val="TextBody"/>
        <w:bidi w:val="0"/>
        <w:spacing w:before="360" w:after="0"/>
        <w:jc w:val="left"/>
        <w:rPr>
          <w:rFonts w:ascii="ARIAL" w:hAnsi="ARIAL"/>
          <w:b/>
          <w:sz w:val="20"/>
        </w:rPr>
      </w:pPr>
      <w:r>
        <w:rPr>
          <w:rFonts w:ascii="ARIAL" w:hAnsi="ARIAL"/>
          <w:b/>
          <w:sz w:val="20"/>
        </w:rPr>
        <w:t xml:space="preserve">Governance and Sustainability Committee Responsibilities </w:t>
      </w:r>
    </w:p>
    <w:p>
      <w:pPr>
        <w:pStyle w:val="TextBody"/>
        <w:bidi w:val="0"/>
        <w:spacing w:before="120" w:after="0"/>
        <w:jc w:val="both"/>
        <w:rPr>
          <w:rFonts w:ascii="arial" w:hAnsi="arial"/>
          <w:sz w:val="18"/>
        </w:rPr>
      </w:pPr>
      <w:r>
        <w:rPr>
          <w:rFonts w:ascii="arial" w:hAnsi="arial"/>
          <w:sz w:val="18"/>
        </w:rPr>
        <w:t xml:space="preserve">The Governance and Sustainability Committee’s key oversight responsibilities include, but are not limited to: </w:t>
      </w:r>
    </w:p>
    <w:p>
      <w:pPr>
        <w:pStyle w:val="TextBody"/>
        <w:bidi w:val="0"/>
        <w:spacing w:before="0" w:after="0"/>
        <w:jc w:val="left"/>
        <w:rPr/>
      </w:pPr>
      <w:r>
        <w:rPr/>
        <w:t> </w:t>
      </w:r>
    </w:p>
    <w:tbl>
      <w:tblPr>
        <w:tblW w:w="2815" w:type="dxa"/>
        <w:jc w:val="left"/>
        <w:tblInd w:w="0" w:type="dxa"/>
        <w:tblLayout w:type="fixed"/>
        <w:tblCellMar>
          <w:top w:w="0" w:type="dxa"/>
          <w:left w:w="0" w:type="dxa"/>
          <w:bottom w:w="0" w:type="dxa"/>
          <w:right w:w="0" w:type="dxa"/>
        </w:tblCellMar>
      </w:tblPr>
      <w:tblGrid>
        <w:gridCol w:w="75"/>
        <w:gridCol w:w="110"/>
        <w:gridCol w:w="60"/>
        <w:gridCol w:w="2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0"/>
              <w:jc w:val="both"/>
              <w:rPr>
                <w:rFonts w:ascii="arial" w:hAnsi="arial"/>
                <w:sz w:val="18"/>
              </w:rPr>
            </w:pPr>
            <w:r>
              <w:rPr>
                <w:rFonts w:ascii="arial" w:hAnsi="arial"/>
                <w:sz w:val="18"/>
              </w:rPr>
              <w:t xml:space="preserve">Corporate governance matters </w:t>
            </w:r>
          </w:p>
        </w:tc>
      </w:tr>
    </w:tbl>
    <w:p>
      <w:pPr>
        <w:pStyle w:val="TextBody"/>
        <w:bidi w:val="0"/>
        <w:spacing w:before="0" w:after="0"/>
        <w:jc w:val="left"/>
        <w:rPr/>
      </w:pPr>
      <w:r>
        <w:rPr/>
        <w:t> </w:t>
      </w:r>
    </w:p>
    <w:tbl>
      <w:tblPr>
        <w:tblW w:w="4825" w:type="dxa"/>
        <w:jc w:val="left"/>
        <w:tblInd w:w="0" w:type="dxa"/>
        <w:tblLayout w:type="fixed"/>
        <w:tblCellMar>
          <w:top w:w="0" w:type="dxa"/>
          <w:left w:w="0" w:type="dxa"/>
          <w:bottom w:w="0" w:type="dxa"/>
          <w:right w:w="0" w:type="dxa"/>
        </w:tblCellMar>
      </w:tblPr>
      <w:tblGrid>
        <w:gridCol w:w="75"/>
        <w:gridCol w:w="110"/>
        <w:gridCol w:w="60"/>
        <w:gridCol w:w="4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0"/>
              <w:jc w:val="both"/>
              <w:rPr>
                <w:rFonts w:ascii="arial" w:hAnsi="arial"/>
                <w:sz w:val="18"/>
              </w:rPr>
            </w:pPr>
            <w:r>
              <w:rPr>
                <w:rFonts w:ascii="arial" w:hAnsi="arial"/>
                <w:sz w:val="18"/>
              </w:rPr>
              <w:t xml:space="preserve">The nomination or re-nomination of Director candidates </w:t>
            </w:r>
          </w:p>
        </w:tc>
      </w:tr>
    </w:tbl>
    <w:p>
      <w:pPr>
        <w:pStyle w:val="TextBody"/>
        <w:bidi w:val="0"/>
        <w:spacing w:before="0" w:after="0"/>
        <w:jc w:val="left"/>
        <w:rPr/>
      </w:pPr>
      <w:r>
        <w:rPr/>
        <w:t> </w:t>
      </w:r>
    </w:p>
    <w:tbl>
      <w:tblPr>
        <w:tblW w:w="9745" w:type="dxa"/>
        <w:jc w:val="left"/>
        <w:tblInd w:w="0" w:type="dxa"/>
        <w:tblLayout w:type="fixed"/>
        <w:tblCellMar>
          <w:top w:w="0" w:type="dxa"/>
          <w:left w:w="0" w:type="dxa"/>
          <w:bottom w:w="0" w:type="dxa"/>
          <w:right w:w="0" w:type="dxa"/>
        </w:tblCellMar>
      </w:tblPr>
      <w:tblGrid>
        <w:gridCol w:w="75"/>
        <w:gridCol w:w="110"/>
        <w:gridCol w:w="60"/>
        <w:gridCol w:w="9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0"/>
              <w:jc w:val="both"/>
              <w:rPr>
                <w:rFonts w:ascii="arial" w:hAnsi="arial"/>
                <w:sz w:val="18"/>
              </w:rPr>
            </w:pPr>
            <w:r>
              <w:rPr>
                <w:rFonts w:ascii="arial" w:hAnsi="arial"/>
                <w:sz w:val="18"/>
              </w:rPr>
              <w:t xml:space="preserve">The Board’s review and consideration of shareholder recommendations for, and nominations of, Director candidates </w:t>
            </w:r>
          </w:p>
        </w:tc>
      </w:tr>
    </w:tbl>
    <w:p>
      <w:pPr>
        <w:pStyle w:val="TextBody"/>
        <w:bidi w:val="0"/>
        <w:spacing w:before="0" w:after="0"/>
        <w:jc w:val="left"/>
        <w:rPr/>
      </w:pPr>
      <w:r>
        <w:rPr/>
        <w:t> </w:t>
      </w:r>
    </w:p>
    <w:tbl>
      <w:tblPr>
        <w:tblW w:w="5095" w:type="dxa"/>
        <w:jc w:val="left"/>
        <w:tblInd w:w="0" w:type="dxa"/>
        <w:tblLayout w:type="fixed"/>
        <w:tblCellMar>
          <w:top w:w="0" w:type="dxa"/>
          <w:left w:w="0" w:type="dxa"/>
          <w:bottom w:w="0" w:type="dxa"/>
          <w:right w:w="0" w:type="dxa"/>
        </w:tblCellMar>
      </w:tblPr>
      <w:tblGrid>
        <w:gridCol w:w="75"/>
        <w:gridCol w:w="110"/>
        <w:gridCol w:w="60"/>
        <w:gridCol w:w="4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0"/>
              <w:jc w:val="both"/>
              <w:rPr>
                <w:rFonts w:ascii="arial" w:hAnsi="arial"/>
                <w:sz w:val="18"/>
              </w:rPr>
            </w:pPr>
            <w:r>
              <w:rPr>
                <w:rFonts w:ascii="arial" w:hAnsi="arial"/>
                <w:sz w:val="18"/>
              </w:rPr>
              <w:t xml:space="preserve">The annual self-evaluation of the Board and its committees </w:t>
            </w:r>
          </w:p>
        </w:tc>
      </w:tr>
    </w:tbl>
    <w:p>
      <w:pPr>
        <w:pStyle w:val="TextBody"/>
        <w:bidi w:val="0"/>
        <w:spacing w:before="0" w:after="0"/>
        <w:jc w:val="left"/>
        <w:rPr/>
      </w:pPr>
      <w:r>
        <w:rPr/>
        <w:t> </w:t>
      </w:r>
    </w:p>
    <w:tbl>
      <w:tblPr>
        <w:tblW w:w="4825" w:type="dxa"/>
        <w:jc w:val="left"/>
        <w:tblInd w:w="0" w:type="dxa"/>
        <w:tblLayout w:type="fixed"/>
        <w:tblCellMar>
          <w:top w:w="0" w:type="dxa"/>
          <w:left w:w="0" w:type="dxa"/>
          <w:bottom w:w="0" w:type="dxa"/>
          <w:right w:w="0" w:type="dxa"/>
        </w:tblCellMar>
      </w:tblPr>
      <w:tblGrid>
        <w:gridCol w:w="75"/>
        <w:gridCol w:w="110"/>
        <w:gridCol w:w="60"/>
        <w:gridCol w:w="4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0"/>
              <w:jc w:val="both"/>
              <w:rPr>
                <w:rFonts w:ascii="arial" w:hAnsi="arial"/>
                <w:sz w:val="18"/>
              </w:rPr>
            </w:pPr>
            <w:r>
              <w:rPr>
                <w:rFonts w:ascii="arial" w:hAnsi="arial"/>
                <w:sz w:val="18"/>
              </w:rPr>
              <w:t xml:space="preserve">Director orientation and continuing education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Evaluating Board composition with respect to director independence, skills, experience, expertise, diversity, and other factors </w:t>
            </w:r>
          </w:p>
        </w:tc>
      </w:tr>
    </w:tbl>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75"/>
        <w:gridCol w:w="110"/>
        <w:gridCol w:w="60"/>
        <w:gridCol w:w="3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jc w:val="both"/>
              <w:rPr>
                <w:rFonts w:ascii="arial" w:hAnsi="arial"/>
                <w:sz w:val="18"/>
              </w:rPr>
            </w:pPr>
            <w:r>
              <w:rPr>
                <w:rFonts w:ascii="arial" w:hAnsi="arial"/>
                <w:sz w:val="18"/>
              </w:rPr>
              <w:t xml:space="preserve">Reviewing succession planning matters </w:t>
            </w:r>
          </w:p>
        </w:tc>
      </w:tr>
    </w:tbl>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5"/>
        <w:gridCol w:w="110"/>
        <w:gridCol w:w="60"/>
        <w:gridCol w:w="7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both"/>
              <w:rPr>
                <w:rFonts w:ascii="arial" w:hAnsi="arial"/>
                <w:sz w:val="18"/>
              </w:rPr>
            </w:pPr>
            <w:r>
              <w:rPr>
                <w:rFonts w:ascii="arial" w:hAnsi="arial"/>
                <w:sz w:val="18"/>
              </w:rPr>
              <w:t xml:space="preserve">Management’s efforts with respect to corporate environmental and social responsibility matters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 </w:t>
      </w:r>
      <w:r>
        <w:br w:type="page"/>
      </w:r>
    </w:p>
    <w:p>
      <w:pPr>
        <w:pStyle w:val="HorizontalLine"/>
        <w:bidi w:val="0"/>
        <w:jc w:val="left"/>
        <w:rPr/>
      </w:pPr>
      <w:r>
        <w:rPr/>
      </w:r>
    </w:p>
    <w:p>
      <w:pPr>
        <w:pStyle w:val="TextBody"/>
        <w:bidi w:val="0"/>
        <w:spacing w:before="0" w:after="0"/>
        <w:jc w:val="left"/>
        <w:rPr>
          <w:rFonts w:ascii="arial" w:hAnsi="arial"/>
          <w:b/>
          <w:color w:val="666666"/>
          <w:sz w:val="28"/>
        </w:rPr>
      </w:pPr>
      <w:r>
        <w:rPr>
          <w:rFonts w:ascii="arial" w:hAnsi="arial"/>
          <w:b/>
          <w:color w:val="666666"/>
          <w:sz w:val="28"/>
        </w:rPr>
        <w:t xml:space="preserve">Board Refreshment and Succession Planning </w:t>
      </w:r>
    </w:p>
    <w:p>
      <w:pPr>
        <w:pStyle w:val="TextBody"/>
        <w:pBdr>
          <w:bottom w:val="single" w:sz="2" w:space="1" w:color="732282"/>
        </w:pBdr>
        <w:bidi w:val="0"/>
        <w:spacing w:lineRule="atLeast" w:line="142" w:before="0" w:after="40"/>
        <w:jc w:val="left"/>
        <w:rPr/>
      </w:pPr>
      <w:r>
        <w:rPr/>
        <w:t> </w:t>
      </w:r>
    </w:p>
    <w:p>
      <w:pPr>
        <w:pStyle w:val="TextBody"/>
        <w:bidi w:val="0"/>
        <w:spacing w:before="120" w:after="0"/>
        <w:jc w:val="both"/>
        <w:rPr>
          <w:rFonts w:ascii="arial" w:hAnsi="arial"/>
          <w:sz w:val="18"/>
        </w:rPr>
      </w:pPr>
      <w:r>
        <w:rPr>
          <w:rFonts w:ascii="arial" w:hAnsi="arial"/>
          <w:sz w:val="18"/>
        </w:rPr>
        <w:t xml:space="preserve">Viatris’ Board, with the support of the Governance and Sustainability Committee, seeks to identify a diverse talent pool of qualified candidates for consideration as part of the Board’s refreshment and succession planning. The Board also seeks to combine the skills and experience of its long-standing Board members with fresh perspectives, insights, skills, and experiences of new members in support of its belief that it is important for Directors to represent diverse viewpoints and, further, that the personal backgrounds and qualifications of the Directors, considered as a group, should provide a composite mix of experience, knowledge and abilities. The Board is committed to fostering a culture of integrity, inclusion, dignity and mutual respect. </w:t>
      </w:r>
    </w:p>
    <w:p>
      <w:pPr>
        <w:pStyle w:val="TextBody"/>
        <w:bidi w:val="0"/>
        <w:spacing w:before="240" w:after="0"/>
        <w:jc w:val="both"/>
        <w:rPr>
          <w:rFonts w:ascii="arial" w:hAnsi="arial"/>
          <w:sz w:val="18"/>
        </w:rPr>
      </w:pPr>
      <w:r>
        <w:rPr>
          <w:rFonts w:ascii="arial" w:hAnsi="arial"/>
          <w:sz w:val="18"/>
        </w:rPr>
        <w:t xml:space="preserve">Viatris’ Board and Governance and Sustainability Committee evaluate Board composition with respect to, among other matters, director independence, skills, experience, expertise, diversity, and other factors to ensure that the Board remains well-qualified to provide effective oversight of the Company and management. The Board and the Governance and Sustainability Committee consider Viatris’ strategy, performance, operations, relevant industry and market conditions, and current and anticipated needs in terms of particular areas of experience and expertise (e.g., risk oversight, industry, science), among many other factors, to inform these refreshment practices and decisions. As we continue to evaluate Board composition, we also work to establish a pool of qualified potential candidates to support our continued refreshment efforts. </w:t>
      </w:r>
    </w:p>
    <w:p>
      <w:pPr>
        <w:pStyle w:val="TextBody"/>
        <w:bidi w:val="0"/>
        <w:spacing w:before="240" w:after="0"/>
        <w:jc w:val="both"/>
        <w:rPr>
          <w:rFonts w:ascii="arial" w:hAnsi="arial"/>
          <w:sz w:val="18"/>
        </w:rPr>
      </w:pPr>
      <w:r>
        <w:rPr>
          <w:rFonts w:ascii="arial" w:hAnsi="arial"/>
          <w:sz w:val="18"/>
        </w:rPr>
        <w:t xml:space="preserve">In 2022, Viatris’ Board adopted a Diversity and Inclusion Policy, which formalized the Board’s ongoing commitment to fostering a culture of inclusion and seeking, supporting, valuing and leveraging diversity in the Board’s composition, including a mix of nationalities, ethnicities, races, ages, and/or genders and seeking a diverse talent pool of Director candidates when considering the Board’s refreshment and succession planning. The Board, in seeking candidates, reviews the principles of the policy and also asks its supporting search firms to provide candidates consistent with those principles. The Board and Governance and Sustainability Committee consider this policy and diversity matters generally during their self-evaluations and when nominating directors for election to the Board, and the Board considers the policy effective in making sure these matters are appropriately considered. </w:t>
      </w:r>
    </w:p>
    <w:p>
      <w:pPr>
        <w:pStyle w:val="TextBody"/>
        <w:bidi w:val="0"/>
        <w:spacing w:before="240" w:after="0"/>
        <w:jc w:val="both"/>
        <w:rPr>
          <w:rFonts w:ascii="arial" w:hAnsi="arial"/>
          <w:sz w:val="18"/>
        </w:rPr>
      </w:pPr>
      <w:r>
        <w:rPr>
          <w:rFonts w:ascii="arial" w:hAnsi="arial"/>
          <w:sz w:val="18"/>
        </w:rPr>
        <w:t xml:space="preserve">The Board has three women members, including our Chair, and three of our Board committees are chaired by women (Executive; Finance; and Governance and Sustainability). Our current Directors also include one individual that self-identifies as African American or Black, one individual that self-identifies as Asian, and one individual who self-identifies as White and Asian, in each case as such terms are defined in Nasdaq’s Board Diversity Matrix Instructions (which will be included in our proxy statement for the 2024 annual meeting of shareholders). In addition, two of our executive officers (Chief Financial Officer and Chief Commercial Officer) are women. </w:t>
      </w:r>
    </w:p>
    <w:p>
      <w:pPr>
        <w:pStyle w:val="TextBody"/>
        <w:bidi w:val="0"/>
        <w:spacing w:before="240" w:after="0"/>
        <w:jc w:val="both"/>
        <w:rPr>
          <w:rFonts w:ascii="arial" w:hAnsi="arial"/>
          <w:sz w:val="18"/>
        </w:rPr>
      </w:pPr>
      <w:r>
        <w:rPr>
          <w:rFonts w:ascii="arial" w:hAnsi="arial"/>
          <w:sz w:val="18"/>
        </w:rPr>
        <w:t xml:space="preserve">As part of the Board’s ongoing focus on board refreshment, since 2021 a third-party search firm has assisted with identifying potential new director candidates, including gender and racially/ethnically diverse candidates. After initial screenings and outreach, as well as additional guidance from the Governance and Sustainability Committee, members of that committee and selected other Directors interviewed potential Director candidates identified by the third-party search firm as well as additional potential Director candidates recommended by Viatris Directors. Based on this process, the Board, on the recommendation of the Governance and Sustainability Committee, appointed Ms. Finney and Mr. Smith to the Board in December 2022 to fill the two vacancies resulting from the retirements of Neil Dimick and lan Read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sz w:val="18"/>
        </w:rPr>
        <w:t xml:space="preserve">appointed Mr. Groothuis to the Board in May 2023 to fill the vacancy resulting from Michael Goettler ceasing to serve on the Board. We will continue to work to establish a pool of qualified potential candidates to support our Board refreshment efforts. </w:t>
      </w:r>
    </w:p>
    <w:p>
      <w:pPr>
        <w:pStyle w:val="TextBody"/>
        <w:bidi w:val="0"/>
        <w:spacing w:before="240" w:after="0"/>
        <w:jc w:val="both"/>
        <w:rPr>
          <w:rFonts w:ascii="arial" w:hAnsi="arial"/>
          <w:sz w:val="18"/>
        </w:rPr>
      </w:pPr>
      <w:r>
        <w:rPr>
          <w:rFonts w:ascii="arial" w:hAnsi="arial"/>
          <w:sz w:val="18"/>
        </w:rPr>
        <w:t xml:space="preserve">In addition, in May 2023 we announced that Mr. Coury had agreed with the independent members of the Board to transition to a new role as Chairman Emeritus and Senior Strategic Advisor from the conclusion of the 2023 Annual Meeting through the end of 2025 (the same period that Mr. Coury previously committed to the Company under his Executive Employment Agreement when Viatris was created). As a result of Mr. Coury’s agreement, the independent members of the Board and Mr. Coury agreed that Mr. Coury would not stand for re-election at the 2023 Annual Meeting and would cease to be a director and to serve as an officer and employee of the Company, in each case, effective as of the conclusion of the 2023 Annual Meeting. At that time, the Board also committed to selecting a new independent Chair of the Board whose tenure would begin following the 2023 Annual Meeting and subsequently elected Ms. Higgins as independent Chair of the Board effective immediately following the 2023 Annual Meeting. </w:t>
      </w:r>
    </w:p>
    <w:p>
      <w:pPr>
        <w:pStyle w:val="TextBody"/>
        <w:bidi w:val="0"/>
        <w:spacing w:before="240" w:after="0"/>
        <w:jc w:val="both"/>
        <w:rPr>
          <w:rFonts w:ascii="arial" w:hAnsi="arial"/>
          <w:sz w:val="18"/>
        </w:rPr>
      </w:pPr>
      <w:r>
        <w:rPr>
          <w:rFonts w:ascii="arial" w:hAnsi="arial"/>
          <w:sz w:val="18"/>
        </w:rPr>
        <w:t xml:space="preserve">Reflecting the critical importance of senior leadership to the success of the Company and its overall business strategy, our Corporate Governance Principles also provide that the Board will work with senior management to ensure that effective plans are in place for management succession. The Board’s goal is to have a long-term and continuous program as well as to have contingency plans in place for emergencies such as departure, death, or disability. The Board discusses succession planning regularly at scheduled meetings, including in executive session, as appropriate. These succession planning activities have been and may continue to be supported by independent third-party consultants. </w:t>
      </w:r>
    </w:p>
    <w:p>
      <w:pPr>
        <w:pStyle w:val="TextBody"/>
        <w:bidi w:val="0"/>
        <w:spacing w:before="240" w:after="0"/>
        <w:jc w:val="both"/>
        <w:rPr>
          <w:rFonts w:ascii="arial" w:hAnsi="arial"/>
          <w:sz w:val="18"/>
        </w:rPr>
      </w:pPr>
      <w:r>
        <w:rPr>
          <w:rFonts w:ascii="arial" w:hAnsi="arial"/>
          <w:sz w:val="18"/>
        </w:rPr>
        <w:t xml:space="preserve">The Board prioritizes reviewing and discussing the succession plans for the CEO and each of his direct reports. Management succession planning continues to be among the Board’s top priorities and is included in the annual goals for executive management. In connection with our management succession planning, in February 2023, the Company appointed Scott A. Smith as CEO to lead our Phase 2 strategy and execution. In addition, in December 2023, the Company appointed Doretta Mistras to serve as CFO beginning March 1, 2024, and in April 2024, the Company appointed Dr. Corrine Le Goff to serve as Chief Commercial Officer beginning April 15, 2024. </w:t>
      </w:r>
    </w:p>
    <w:p>
      <w:pPr>
        <w:pStyle w:val="TextBody"/>
        <w:bidi w:val="0"/>
        <w:spacing w:before="360" w:after="0"/>
        <w:jc w:val="left"/>
        <w:rPr>
          <w:rFonts w:ascii="arial" w:hAnsi="arial"/>
          <w:b/>
          <w:color w:val="666666"/>
          <w:sz w:val="28"/>
        </w:rPr>
      </w:pPr>
      <w:r>
        <w:rPr>
          <w:rFonts w:ascii="arial" w:hAnsi="arial"/>
          <w:b/>
          <w:color w:val="666666"/>
          <w:sz w:val="28"/>
        </w:rPr>
        <w:t xml:space="preserve">Setting and Overseeing Strategy </w:t>
      </w:r>
    </w:p>
    <w:p>
      <w:pPr>
        <w:pStyle w:val="TextBody"/>
        <w:pBdr>
          <w:bottom w:val="single" w:sz="2" w:space="1" w:color="732282"/>
        </w:pBdr>
        <w:bidi w:val="0"/>
        <w:spacing w:lineRule="atLeast" w:line="142" w:before="0" w:after="40"/>
        <w:jc w:val="left"/>
        <w:rPr/>
      </w:pPr>
      <w:r>
        <w:rPr/>
        <w:t> </w:t>
      </w:r>
    </w:p>
    <w:p>
      <w:pPr>
        <w:pStyle w:val="TextBody"/>
        <w:bidi w:val="0"/>
        <w:spacing w:before="120" w:after="0"/>
        <w:jc w:val="both"/>
        <w:rPr>
          <w:rFonts w:ascii="arial" w:hAnsi="arial"/>
          <w:sz w:val="18"/>
        </w:rPr>
      </w:pPr>
      <w:r>
        <w:rPr>
          <w:rFonts w:ascii="arial" w:hAnsi="arial"/>
          <w:sz w:val="18"/>
        </w:rPr>
        <w:t xml:space="preserve">The Board actively discusses, determines and oversees the Company’s strategies intended to unlock value for the Company and its shareholders and ensure the durability, sustainability, and stability of the business. We believe the Board has demonstrated over time the consistency and natural progression of its strategy, resulting in stable and durable cash flows despite evolving, challenging, and often unpredictable market conditions. </w:t>
      </w:r>
    </w:p>
    <w:p>
      <w:pPr>
        <w:pStyle w:val="TextBody"/>
        <w:bidi w:val="0"/>
        <w:spacing w:before="240" w:after="0"/>
        <w:jc w:val="both"/>
        <w:rPr>
          <w:rFonts w:ascii="arial" w:hAnsi="arial"/>
          <w:sz w:val="18"/>
        </w:rPr>
      </w:pPr>
      <w:r>
        <w:rPr>
          <w:rFonts w:ascii="arial" w:hAnsi="arial"/>
          <w:sz w:val="18"/>
        </w:rPr>
        <w:t xml:space="preserve">Under the leadership of the Board, along with management, we laid out a clear and deliberate strategy to build a highly diversified company with multiple capabilities spanning numerous geographies and therapeutic areas. We established a two-phased roadmap that detailed and emphasized our strategic priorities to deliver value to our shareholders. In Phase 1 of this strategy, we have focused on stabilizing the base business, delivering on our pipeline, reducing debt, maintaining an investment grade credit rating and returning capital to shareholders. The Company also entered into certain transactions in order to simplify its business, accelerate paydown of debt and unlock shareholder value. During Phase 2, the Company anticipates a period of renewed growth and leadership as it intends to move up the value chain by focusing on more complex and innovative products to build a more durable higher margin portfolio, while continuing to explore opportunities to unlock shareholder value.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sz w:val="18"/>
        </w:rPr>
        <w:t xml:space="preserve">Viatris has completed or announced several transactions that illustrate its ongoing commitment to these priorities: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In November 2022, we identified certain businesses for divestiture that the Company no longer considered core to its future strategy and on October 1, 2023 announced we had received an offer for the divestiture of our OTC Business, and entered into definitive agreements to divest our women’s healthcare business and, separately, in another transaction, our rights to two women’s healthcare products in certain countries, our API business in India and commercialization rights in select geographic markets (“Upjohn Distributor Markets”) that were part of the Combination that are smaller in nature and in which we had no established infrastructure prior to or following the Combination. The divestiture of the women’s healthcare business is primarily related to our oral and injectable contraceptives and does not include all of our women’s healthcare related products; as an example, our Xulane® product in the U.S. is excluded. The transaction to divest the Company’s rights to two women’s healthcare products in certain countries (other than in the U.K., which remains subject to regulatory approval) closed in December 2023, the divestitures of the commercialization rights in certain of the Upjohn Distributor Markets closed during 2023, and the divestiture of our women’s healthcare business closed in March 2024. Additionally, we currently expect to consummate the divestiture of our API business in India by the end of the second quarter of 2024 and the divestiture of our OTC Business by mid-year 2024. The transactions that have not yet closed remain subject to regulatory approvals, receipt of required consents and other closing conditions, including, in the case of the API business divestiture, a financing condition.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In the first quarter of 2023, we completed the acquisition of Oyster Point Pharma, Inc. (“Oyster Point”) and acquired the remaining equity shares of Famy Life Sciences Private Limited (“Famy Life Sciences”). Ophthalmology is one of the key therapeutic areas of focus of the Company. With the combination of Viatris’ global commercial footprint, R&amp;D and regulatory capabilities and supply chain, along with Oyster Point’s deep knowledge of the ophthalmology space from a clinical, medical, regulatory and commercial perspective—including Tyrvaya®—and Famy Life Sciences’ Phase III-ready pipeline, the Company believes it has the foundation to create a leading global ophthalmology franchise, accelerating efforts to address the unmet needs of patients with ophthalmic disease and the eye care professionals who treat them.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In early 2024 the Company announced that it had entered into agreements for a significant global R&amp;D collaboration with Idorsia Ltd (“Idorsia”) under which Viatris will receive exclusive global development and commercialization rights to two Phase III assets as well as the potential to add additional innovative assets in the future. The transaction closed on March 15, 2024. The collaboration includes (i) selatogrel, a potential life-saving self-administered medicine for patients with a history of acute myocardial infarction, or heart attack, and builds on Viatris’ existing global cardiovascular franchise and specialty infrastructure, as well as its knowledge, leadership, and distribution capabilities for self-administered medication for acute life-threatening conditions as well as (ii) cenerimod, a novel immunology asset that has the potential to be a first-in-class oral therapy for the treatment of systemic lupus erythematosus, the most common form of lupus. Through lifecycle management, this asset also has the potential for broad application across multiple autoimmune diseases in a specialist-driven category with attractive market dynamics for oral therapies and could be a cornerstone asset in Viatris’ immunology platform. We believe entering into this type of global R&amp;D partnership structure with Idorsia is a great example of our disciplined approach to capital allocation. </w:t>
            </w:r>
          </w:p>
        </w:tc>
      </w:tr>
    </w:tbl>
    <w:p>
      <w:pPr>
        <w:pStyle w:val="TextBody"/>
        <w:bidi w:val="0"/>
        <w:spacing w:before="240" w:after="0"/>
        <w:jc w:val="both"/>
        <w:rPr>
          <w:rFonts w:ascii="arial" w:hAnsi="arial"/>
          <w:sz w:val="18"/>
        </w:rPr>
      </w:pPr>
      <w:r>
        <w:rPr>
          <w:rFonts w:ascii="arial" w:hAnsi="arial"/>
          <w:sz w:val="18"/>
        </w:rPr>
        <w:t xml:space="preserve">The Board remains committed to overseeing continuing efforts to further unlock the value of our unique global platform and return capital to shareholders and to maintaining an ongoing dialogue with shareholders regarding a broad range of topics, including, among others, our differentiated strategy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sz w:val="18"/>
        </w:rPr>
        <w:t xml:space="preserve">business model; the Global Healthcare Gateway®; delevering strategies; governance; compensation; promoting sustainability; and further enhancing our efforts to advance our corporate environmental and social responsibility performance. </w:t>
      </w:r>
    </w:p>
    <w:p>
      <w:pPr>
        <w:pStyle w:val="TextBody"/>
        <w:bidi w:val="0"/>
        <w:spacing w:before="360" w:after="0"/>
        <w:jc w:val="left"/>
        <w:rPr>
          <w:rFonts w:ascii="arial" w:hAnsi="arial"/>
          <w:b/>
          <w:color w:val="666666"/>
          <w:sz w:val="28"/>
        </w:rPr>
      </w:pPr>
      <w:r>
        <w:rPr>
          <w:rFonts w:ascii="arial" w:hAnsi="arial"/>
          <w:b/>
          <w:color w:val="666666"/>
          <w:sz w:val="28"/>
        </w:rPr>
        <w:t xml:space="preserve">Risk Oversight </w:t>
      </w:r>
    </w:p>
    <w:p>
      <w:pPr>
        <w:pStyle w:val="TextBody"/>
        <w:pBdr>
          <w:bottom w:val="single" w:sz="2" w:space="1" w:color="732282"/>
        </w:pBdr>
        <w:bidi w:val="0"/>
        <w:spacing w:lineRule="atLeast" w:line="142" w:before="0" w:after="40"/>
        <w:jc w:val="left"/>
        <w:rPr/>
      </w:pPr>
      <w:r>
        <w:rPr/>
        <w:t> </w:t>
      </w:r>
    </w:p>
    <w:p>
      <w:pPr>
        <w:pStyle w:val="TextBody"/>
        <w:bidi w:val="0"/>
        <w:spacing w:before="120" w:after="0"/>
        <w:jc w:val="both"/>
        <w:rPr>
          <w:rFonts w:ascii="arial" w:hAnsi="arial"/>
          <w:sz w:val="18"/>
        </w:rPr>
      </w:pPr>
      <w:r>
        <w:rPr>
          <w:rFonts w:ascii="arial" w:hAnsi="arial"/>
          <w:sz w:val="18"/>
        </w:rPr>
        <w:t xml:space="preserve">Viatris operates in a complex and rapidly changing environment that involves many potential risks. In addition to general market, industry, R&amp;D, supply chain, political, financial, and economic risks, the Company faces potential risks related to, among others, executing on and implementing our strategic objectives, including completed or potential acquisitions and divestitures; IT and cybersecurity; data privacy; financial controls and reporting; manufacturing and quality; legal, regulatory and compliance requirements and developments; the global nature of our operations; human capital management; environmental and social responsibility; and product portfolio and commercialization, among others. As a company committed to operating ethically and with integrity, we proactively seek to manage and, where possible, mitigate risks to help ensure compliance with applicable rules and regulations, maintain integrity and continuity in our operations and business, including in support of achieving strategic priorities, long-term financial and operational performance, and protect our assets (financial, intellectual property, and information, among others). Risk management is an enterprise-wide objective and is subject to oversight by the Board and its committees. </w:t>
      </w:r>
    </w:p>
    <w:p>
      <w:pPr>
        <w:pStyle w:val="TextBody"/>
        <w:bidi w:val="0"/>
        <w:spacing w:before="240" w:after="0"/>
        <w:jc w:val="both"/>
        <w:rPr>
          <w:rFonts w:ascii="arial" w:hAnsi="arial"/>
          <w:sz w:val="18"/>
        </w:rPr>
      </w:pPr>
      <w:r>
        <w:rPr>
          <w:rFonts w:ascii="arial" w:hAnsi="arial"/>
          <w:sz w:val="18"/>
        </w:rPr>
        <w:t xml:space="preserve">It is the responsibility of Viatris’ management and employees to identify material risks to our business and to implement and administer risk management and mitigation processes and programs, while also maintaining reasonable flexibility in how we operate. Our internal audit function coordinates cross functionally to update the Company’s enterprise risk assessment, including the identification of key and emerging risks, and reviews and refreshes this analysis quarterly with executive management. For each key or emerging risk identified, the Company establishes risk monitoring ownership from which quarterly updates are collected for executive management and the Compliance and Risk Oversight Committee. Our internal risk committee of senior management consists of senior leaders across multiple disciplines, including internal audit, IT, information security, compliance, corporate affairs, operations, finance, legal, and quality and meets quarterly to review and discuss risks and trends, which vary across the short-, medium- and long-term. To further embed risk management and compliance into our culture, Viatris has a robust global corporate compliance program, implements comprehensive policies and procedures, trains employees on how to implement and comply with them, and maintains an extensive program of oversight and audit to help ensure compliance and appropriate enterprise risk management. </w:t>
      </w:r>
    </w:p>
    <w:p>
      <w:pPr>
        <w:pStyle w:val="TextBody"/>
        <w:bidi w:val="0"/>
        <w:spacing w:before="240" w:after="0"/>
        <w:jc w:val="both"/>
        <w:rPr>
          <w:rFonts w:ascii="arial" w:hAnsi="arial"/>
          <w:sz w:val="18"/>
        </w:rPr>
      </w:pPr>
      <w:r>
        <w:rPr>
          <w:rFonts w:ascii="arial" w:hAnsi="arial"/>
          <w:sz w:val="18"/>
        </w:rPr>
        <w:t xml:space="preserve">Our risk oversight framework also aligns with our Disclosure Controls and Procedures. For example, the Company’s Disclosure Committee reviews the Company’s quarterly and annual financial statements and related disclosures. The Disclosure Committee consists of senior management including our CFO, Chief Legal Officer, Corporate Controller, Chief Corporate Affairs Officer, Head of Capital Markets, and General Counsel—Corporate Securities and Transactions, all of whom participate in the associated risk assessment as described above. The financial statements are also reviewed with the CEO before being reviewed with and approved by the Audit Committee, and filed with the SEC. </w:t>
      </w:r>
    </w:p>
    <w:p>
      <w:pPr>
        <w:pStyle w:val="TextBody"/>
        <w:bidi w:val="0"/>
        <w:spacing w:before="240" w:after="0"/>
        <w:jc w:val="both"/>
        <w:rPr>
          <w:rFonts w:ascii="arial" w:hAnsi="arial"/>
          <w:sz w:val="18"/>
        </w:rPr>
      </w:pPr>
      <w:r>
        <w:rPr>
          <w:rFonts w:ascii="arial" w:hAnsi="arial"/>
          <w:sz w:val="18"/>
        </w:rPr>
        <w:t xml:space="preserve">The Board directly, or through its committees, oversees the implementation of risk management and mitigation processes. The Board and its committees rigorously review with management the risk management program and discuss risk assessment matters at least quarterly, as well as during the Board’s annual budget review and approval process. Each of our committees has full access to officers and employees of the Company, and our Board and committees also meet without members of management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sz w:val="18"/>
        </w:rPr>
        <w:t xml:space="preserve">present. The Board and committee Chairs periodically discuss the allocation of specific risk oversight matters between the various Board committees and the Board believes that its current risk oversight structure, as outlined below, assigns particular risk oversight matters to the Board committees that have the appropriate expertise to manage them. The Board also has the authority to form special strategic committees if it believes that it would be advisable to oversee significant strategic or other corporate actions, including the risks related thereto. All committees also have access to outside advisors in their sole discretion and periodically receive external updates concerning oversight of risks related to the Company and management’s efforts to manage risk. The Compliance and Risk Oversight Committee is responsible for appointing and replacing the Company’s Chief Compliance Officer, who is responsible for, among other things, the day-to-day management and implementation of the Company’s Corporate Compliance Program and who reports to the Compliance and Risk Oversight Committee and the Chief Legal Officer. In addition to meeting with the Company’s internal risk committee of senior management, which meets at least quarterly, the Chief Compliance Officer meets at least quarterly with the Audit Committee and Compliance and Risk Oversight Committee. </w:t>
      </w:r>
    </w:p>
    <w:p>
      <w:pPr>
        <w:pStyle w:val="TextBody"/>
        <w:bidi w:val="0"/>
        <w:spacing w:before="240" w:after="0"/>
        <w:jc w:val="both"/>
        <w:rPr>
          <w:rFonts w:ascii="arial" w:hAnsi="arial"/>
          <w:sz w:val="18"/>
        </w:rPr>
      </w:pPr>
      <w:r>
        <w:rPr>
          <w:rFonts w:ascii="arial" w:hAnsi="arial"/>
          <w:sz w:val="18"/>
        </w:rPr>
        <w:t xml:space="preserve">The Board also has approved a Code of Business Conduct and Ethics, Code of Ethics for Chief Executive Officer, Chief Financial Officer and Corporate Controller, and other related policies to help manage and mitigate risk globally. </w:t>
      </w:r>
    </w:p>
    <w:p>
      <w:pPr>
        <w:pStyle w:val="TextBody"/>
        <w:bidi w:val="0"/>
        <w:spacing w:before="240" w:after="0"/>
        <w:jc w:val="both"/>
        <w:rPr>
          <w:rFonts w:ascii="arial" w:hAnsi="arial"/>
          <w:sz w:val="18"/>
        </w:rPr>
      </w:pPr>
      <w:r>
        <w:rPr>
          <w:rFonts w:ascii="arial" w:hAnsi="arial"/>
          <w:sz w:val="18"/>
        </w:rPr>
        <w:t xml:space="preserve">The Vice Chair of the Board serves as Chair of the Compliance and Risk Oversight Committee, which also meets at least twice a year with other committee Chairs to discuss risk-related matters and the Company’s enterprise risk management framework. While the full Board has retained responsibility for overseeing strategic risks to the business overall, it has delegated oversight of specific risks to its committees as outlined below. </w:t>
      </w:r>
    </w:p>
    <w:p>
      <w:pPr>
        <w:pStyle w:val="TextBody"/>
        <w:bidi w:val="0"/>
        <w:spacing w:before="360" w:after="0"/>
        <w:jc w:val="left"/>
        <w:rPr>
          <w:rFonts w:ascii="ARIAL" w:hAnsi="ARIAL"/>
          <w:b/>
          <w:sz w:val="20"/>
        </w:rPr>
      </w:pPr>
      <w:r>
        <w:rPr>
          <w:rFonts w:ascii="ARIAL" w:hAnsi="ARIAL"/>
          <w:b/>
          <w:sz w:val="20"/>
        </w:rPr>
        <w:t xml:space="preserve">Board Committees’ Role in Risk Oversight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b/>
                <w:i/>
                <w:sz w:val="18"/>
              </w:rPr>
              <w:t>The Audit Committee</w:t>
            </w:r>
            <w:r>
              <w:rPr>
                <w:rFonts w:ascii="arial" w:hAnsi="arial"/>
                <w:sz w:val="18"/>
              </w:rPr>
              <w:t xml:space="preserve"> focuses on risks relating to financial and disclosure controls, SEC reporting matters, and oversight of Viatris’ internal audit function and independent registered public accounting firm. The Committee oversees, among other matters, the Company’s processes and procedures relating to risk assessment and risk management relating to financial, disclosure, and SEC reporting-related matters, and reviews with management the quality and adequacy of the Company’s internal control over financial reporting and the Company’s disclosure controls and procedures, including their effectiveness. Viatris’ internal audit function reports to and meets with the Committee at least quarterly to discuss potential risk or control issues, and the Committee regularly discusses the performance of the internal audit function, and the adequacy of resources available to this function. The Committee also meets quarterly with Viatris’ independent registered public accounting firm in executive session.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b/>
                <w:i/>
                <w:sz w:val="18"/>
              </w:rPr>
              <w:t>The Compensation Committee</w:t>
            </w:r>
            <w:r>
              <w:rPr>
                <w:rFonts w:ascii="arial" w:hAnsi="arial"/>
                <w:sz w:val="18"/>
              </w:rPr>
              <w:t xml:space="preserve"> focuses on the design and administration of compensation-related plans and programs, and reviews with management and its external compensation consultant, at least annually, the relationship between the Company’s compensation policies and practices and the Company’s risk management with respect to compensation-related matters, including to assess whether any risks arising from compensation practices, policies and programs for the Company’s executive officers and other employees are reasonably likely to have a material adverse effect on the Company. The Committee receives reports, on at least a quarterly basis, from management and outside advisors regarding compensation-related matters, and considers risk management in determining compensation structure. The Committee also reviews reports from management regarding pay equity and human capital management.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b/>
                <w:i/>
                <w:sz w:val="18"/>
              </w:rPr>
              <w:t>The Compliance and Risk Oversight Committee</w:t>
            </w:r>
            <w:r>
              <w:rPr>
                <w:rFonts w:ascii="arial" w:hAnsi="arial"/>
                <w:sz w:val="18"/>
              </w:rPr>
              <w:t xml:space="preserve"> assists the Board in its oversight of Viatris’ enterprise risk management framework and reviews the enterprise risk framework, infrastructure, and controls implemented by management to help identify, assess, manage, and monitor the Company’s material risks; reviews management’s exercise of its responsibility to identify, assess, and manage material risks not allocated to the Board or another committee, including, for example, data security programs and cybersecurity and IT; and reviews the Company’s efforts to foster a culture of risk-adjusted decision-making without constraining reasonable risk-taking and innovation. Management reviews the Company’s enterprise risk management program with the Committee each quarter and discusses the short-, medium- and long-term matters of focus from a risk management perspective and actions being taken to mitigate risk. The Committee also meets with the Chairs of the other committees at least two times a year to discuss enterprise risk and related matters. The Committee is also responsible for overseeing the Chief Compliance Officer’s implementation of Viatris’ Corporate Compliance Program. The Chief Compliance Officer reports to the Committee and the Chief Legal Officer and the Committee is responsible for appointing and, as applicable, replacing, this individual. The Committee discusses the Chief Compliance Officer’s performance, responsibilities, plans and resources with the Chief Legal Officer. The Committee also makes recommendations to the Board with respect to the Corporate Compliance Program, the Code of Business Conduct and Ethics, and significant related global policies, and is responsible for reviewing reports of significant actual or alleged violations of the Code of Business Conduct and Ethics, corporate policies and procedures, and applicable laws and regulations. The Committee also discusses reports regarding non-financial compliance risk and risks associated with privacy; antitrust and competition; anti-corruption; and third-party risks. In addition, the Committee reviews significant global compliance-related policies, including policies related to pricing and/or commercialization of Company products and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b/>
                <w:i/>
                <w:sz w:val="18"/>
              </w:rPr>
              <w:t>The Finance Committee</w:t>
            </w:r>
            <w:r>
              <w:rPr>
                <w:rFonts w:ascii="arial" w:hAnsi="arial"/>
                <w:sz w:val="18"/>
              </w:rPr>
              <w:t xml:space="preserve"> is responsible for reviewing and, as appropriate, providing recommendations to the Board with respect to significant strategies and policies of the Company relating to its capital structure and deployment and/or allocation of capital, material financial matters and transactions, and the risks related to such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b/>
                <w:i/>
                <w:sz w:val="18"/>
              </w:rPr>
              <w:t>The Governance and Sustainability Committee</w:t>
            </w:r>
            <w:r>
              <w:rPr>
                <w:rFonts w:ascii="arial" w:hAnsi="arial"/>
                <w:sz w:val="18"/>
              </w:rPr>
              <w:t xml:space="preserve"> is responsible for identifying, assisting in recruiting, and nominating qualified individuals to become members of the Board, recommending committee assignments, overseeing the Board’s annual evaluation of the independence of Directors, and evaluating and assisting the Board in considering potential risks related to corporate governance. The Committee is also responsible for overseeing the annual self-evaluation of the Board and its committees; Director orientation and continuing education programs; and management’s activities with respect to corporate environmental and social responsibility matters. </w:t>
            </w:r>
          </w:p>
        </w:tc>
      </w:tr>
    </w:tbl>
    <w:p>
      <w:pPr>
        <w:pStyle w:val="TextBody"/>
        <w:bidi w:val="0"/>
        <w:spacing w:before="360" w:after="0"/>
        <w:jc w:val="left"/>
        <w:rPr>
          <w:rFonts w:ascii="ARIAL" w:hAnsi="ARIAL"/>
          <w:b/>
          <w:sz w:val="20"/>
        </w:rPr>
      </w:pPr>
      <w:r>
        <w:rPr>
          <w:rFonts w:ascii="ARIAL" w:hAnsi="ARIAL"/>
          <w:b/>
          <w:sz w:val="20"/>
        </w:rPr>
        <w:t xml:space="preserve">The Board’s Role in Oversight of Corporate Environmental and Social Responsibility Matters </w:t>
      </w:r>
    </w:p>
    <w:p>
      <w:pPr>
        <w:pStyle w:val="TextBody"/>
        <w:bidi w:val="0"/>
        <w:spacing w:before="120" w:after="0"/>
        <w:jc w:val="both"/>
        <w:rPr>
          <w:rFonts w:ascii="arial" w:hAnsi="arial"/>
          <w:sz w:val="18"/>
        </w:rPr>
      </w:pPr>
      <w:r>
        <w:rPr>
          <w:rFonts w:ascii="arial" w:hAnsi="arial"/>
          <w:sz w:val="18"/>
        </w:rPr>
        <w:t xml:space="preserve">Viatris’ Board oversees management’s efforts with respect to sustainability matters, including corporate environmental and social responsibility matters through its Governance and Sustainability Committee. The Company’s sustainability function operates as a center of excellence within the Viatris Corporate Affairs leadership team. The Head of Global Sustainability drives the strategic and operational development of sustainability matters across the Company together with key partners. The Chief Corporate Affairs Officer and the Head of Global Sustainability communicate quarterly with the Board on sustainability matters, including corporate environmental and social responsibility matters through the Governance and Sustainability Committee, and on an annual basis, the Governance and Sustainability Committee reviews progress with the Chief Corporate Affairs Officer and Head of Global Sustainability on sustainability matters, including corporate environmental and social responsibility matters that have been discussed with the Board to confirm the Company is tracking its priorities in this area.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 </w:t>
      </w:r>
      <w:r>
        <w:br w:type="page"/>
      </w:r>
    </w:p>
    <w:p>
      <w:pPr>
        <w:pStyle w:val="HorizontalLine"/>
        <w:bidi w:val="0"/>
        <w:jc w:val="left"/>
        <w:rPr/>
      </w:pPr>
      <w:r>
        <w:rPr/>
      </w:r>
    </w:p>
    <w:p>
      <w:pPr>
        <w:pStyle w:val="TextBody"/>
        <w:bidi w:val="0"/>
        <w:spacing w:before="0" w:after="0"/>
        <w:jc w:val="left"/>
        <w:rPr>
          <w:rFonts w:ascii="ARIAL" w:hAnsi="ARIAL"/>
          <w:b/>
          <w:sz w:val="20"/>
        </w:rPr>
      </w:pPr>
      <w:r>
        <w:rPr>
          <w:rFonts w:ascii="ARIAL" w:hAnsi="ARIAL"/>
          <w:b/>
          <w:sz w:val="20"/>
        </w:rPr>
        <w:t xml:space="preserve">The Board’s and its Committees’ Role in Cybersecurity Oversight </w:t>
      </w:r>
    </w:p>
    <w:p>
      <w:pPr>
        <w:pStyle w:val="TextBody"/>
        <w:bidi w:val="0"/>
        <w:spacing w:before="120" w:after="0"/>
        <w:jc w:val="both"/>
        <w:rPr>
          <w:rFonts w:ascii="arial" w:hAnsi="arial"/>
          <w:sz w:val="18"/>
        </w:rPr>
      </w:pPr>
      <w:r>
        <w:rPr>
          <w:rFonts w:ascii="arial" w:hAnsi="arial"/>
          <w:sz w:val="18"/>
        </w:rPr>
        <w:t xml:space="preserve">The Company maintains an information security program designed to identify, protect, detect, respond to and recover from cybersecurity threats. The Company’s Chief Information Security Officer &amp; Head of Global Security, under the direction of the Company’s Chief Compliance Officer, reports quarterly to the internal risk committee of senior management which includes the CEO, CFO, Chief Legal Officer, Chief People Officer, Chief Corporate Affairs Officer, Regional Presidents, Chief Information Officer and Chief Compliance Officer, and the Board on the progress of the information security program and overall security status. </w:t>
      </w:r>
    </w:p>
    <w:p>
      <w:pPr>
        <w:pStyle w:val="TextBody"/>
        <w:bidi w:val="0"/>
        <w:spacing w:before="240" w:after="0"/>
        <w:jc w:val="both"/>
        <w:rPr>
          <w:rFonts w:ascii="arial" w:hAnsi="arial"/>
          <w:sz w:val="18"/>
        </w:rPr>
      </w:pPr>
      <w:r>
        <w:rPr>
          <w:rFonts w:ascii="arial" w:hAnsi="arial"/>
          <w:sz w:val="18"/>
        </w:rPr>
        <w:t xml:space="preserve">The Compliance and Risk Oversight Committee of the Board is responsible for reviewing management’s exercise of its responsibility to identify, assess, and manage material risks not allocated to the Board or another Committee of the Board, including data security programs and cybersecurity and IT. In the event of a severe cybersecurity incident, such as a ransomware attack or other incident that has a severe adverse effect on Viatris’ operations, critical systems or sensitive data, or which may cause severe reputational damage, executive management may determine that is necessary to notify the Board or the Compliance and Risk Oversight Committee about such a cybersecurity incident immediately. Otherwise, the Compliance and Risk Oversight Committee receives reports from executive management on data security, cybersecurity and information security-related matters on at least a quarterly basis, including with respect to related risks, risk management, risk reduction programs, and relevant legislative, regulatory, and technical developments. On a biannual basis, the Compliance and Risk Oversight Committee and Chairs of each other Committee of the Board receive an information security update from the Company’s Chief Information Security Officer &amp; Head of Global Security, the Chief Compliance Officer and the Chief Information Officer. The full Board receives a report on the respective quarterly discussions from the Chair of the Compliance and Risk Oversight Committee each quarter. </w:t>
      </w:r>
    </w:p>
    <w:p>
      <w:pPr>
        <w:pStyle w:val="TextBody"/>
        <w:bidi w:val="0"/>
        <w:spacing w:before="240" w:after="0"/>
        <w:jc w:val="both"/>
        <w:rPr>
          <w:rFonts w:ascii="arial" w:hAnsi="arial"/>
          <w:sz w:val="18"/>
        </w:rPr>
      </w:pPr>
      <w:r>
        <w:rPr>
          <w:rFonts w:ascii="arial" w:hAnsi="arial"/>
          <w:sz w:val="18"/>
        </w:rPr>
        <w:t xml:space="preserve">More information about Viatris’ risk management, strategy, and governance with respect to risks from cybersecurity threats can be found in Part I, Item 1C of the Original Filing. </w:t>
      </w:r>
    </w:p>
    <w:p>
      <w:pPr>
        <w:pStyle w:val="TextBody"/>
        <w:bidi w:val="0"/>
        <w:spacing w:before="360" w:after="0"/>
        <w:jc w:val="left"/>
        <w:rPr>
          <w:rFonts w:ascii="ARIAL" w:hAnsi="ARIAL"/>
          <w:b/>
          <w:sz w:val="20"/>
        </w:rPr>
      </w:pPr>
      <w:r>
        <w:rPr>
          <w:rFonts w:ascii="ARIAL" w:hAnsi="ARIAL"/>
          <w:b/>
          <w:sz w:val="20"/>
        </w:rPr>
        <w:t xml:space="preserve">Board Education and Director Orientation </w:t>
      </w:r>
    </w:p>
    <w:p>
      <w:pPr>
        <w:pStyle w:val="TextBody"/>
        <w:bidi w:val="0"/>
        <w:spacing w:before="120" w:after="0"/>
        <w:jc w:val="both"/>
        <w:rPr>
          <w:rFonts w:ascii="arial" w:hAnsi="arial"/>
          <w:sz w:val="18"/>
        </w:rPr>
      </w:pPr>
      <w:r>
        <w:rPr>
          <w:rFonts w:ascii="arial" w:hAnsi="arial"/>
          <w:sz w:val="18"/>
        </w:rPr>
        <w:t xml:space="preserve">The Governance and Sustainability Committee is responsible for overseeing and reviewing quarterly Director continuing education programs, including educational seminars, presentations, conferences and other programs or opportunities presented by external and internal resources, on matters that may relate to, among other topics: compensation, compliance, governance, board process, risk oversight, audit and accounting, regulatory and other current issues. Past trainings have included the Stanford Graduate School of Business Directors’ Consortium and Deloitte’s Board Symposium, among others. The Company reimburses Directors for costs associated with any related seminars and conferences, including travel expenses. </w:t>
      </w:r>
    </w:p>
    <w:p>
      <w:pPr>
        <w:pStyle w:val="TextBody"/>
        <w:bidi w:val="0"/>
        <w:spacing w:before="240" w:after="0"/>
        <w:jc w:val="both"/>
        <w:rPr>
          <w:rFonts w:ascii="arial" w:hAnsi="arial"/>
          <w:sz w:val="18"/>
        </w:rPr>
      </w:pPr>
      <w:r>
        <w:rPr>
          <w:rFonts w:ascii="arial" w:hAnsi="arial"/>
          <w:sz w:val="18"/>
        </w:rPr>
        <w:t xml:space="preserve">The Governance and Sustainability Committee is also responsible for overseeing and annually reviewing the Company’s Director orientation program. The program is designed to familiarize new Directors with, among other matters, the Company’s business, operations, financial reporting, risk management and executive officers. In addition, new Directors receive extensive onboarding materials which address topics including the Company’s strategy, policies, director roles and responsibilities, corporate governance policies and procedures, and leadership structure.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26 </w:t>
      </w:r>
      <w:r>
        <w:br w:type="page"/>
      </w:r>
    </w:p>
    <w:p>
      <w:pPr>
        <w:pStyle w:val="HorizontalLine"/>
        <w:bidi w:val="0"/>
        <w:jc w:val="left"/>
        <w:rPr/>
      </w:pPr>
      <w:r>
        <w:rPr/>
      </w:r>
    </w:p>
    <w:tbl>
      <w:tblPr>
        <w:tblW w:w="3430" w:type="dxa"/>
        <w:jc w:val="left"/>
        <w:tblInd w:w="0" w:type="dxa"/>
        <w:tblLayout w:type="fixed"/>
        <w:tblCellMar>
          <w:top w:w="0" w:type="dxa"/>
          <w:left w:w="0" w:type="dxa"/>
          <w:bottom w:w="0" w:type="dxa"/>
          <w:right w:w="0" w:type="dxa"/>
        </w:tblCellMar>
      </w:tblPr>
      <w:tblGrid>
        <w:gridCol w:w="1025"/>
        <w:gridCol w:w="2405"/>
      </w:tblGrid>
      <w:tr>
        <w:trPr/>
        <w:tc>
          <w:tcPr>
            <w:tcW w:w="1025" w:type="dxa"/>
            <w:tcBorders/>
            <w:vAlign w:val="center"/>
          </w:tcPr>
          <w:p>
            <w:pPr>
              <w:pStyle w:val="TableContents"/>
              <w:bidi w:val="0"/>
              <w:spacing w:before="0" w:after="283"/>
              <w:jc w:val="left"/>
              <w:rPr>
                <w:b/>
              </w:rPr>
            </w:pPr>
            <w:bookmarkStart w:id="3" w:name="toc758146_2"/>
            <w:bookmarkEnd w:id="3"/>
            <w:r>
              <w:rPr>
                <w:b/>
              </w:rPr>
              <w:t>ITEM 11.</w:t>
            </w:r>
          </w:p>
        </w:tc>
        <w:tc>
          <w:tcPr>
            <w:tcW w:w="2405" w:type="dxa"/>
            <w:tcBorders/>
            <w:vAlign w:val="center"/>
          </w:tcPr>
          <w:p>
            <w:pPr>
              <w:pStyle w:val="TableContents"/>
              <w:bidi w:val="0"/>
              <w:spacing w:before="0" w:after="0"/>
              <w:jc w:val="left"/>
              <w:rPr>
                <w:rFonts w:ascii="ARIAL" w:hAnsi="ARIAL"/>
                <w:b/>
                <w:sz w:val="20"/>
              </w:rPr>
            </w:pPr>
            <w:r>
              <w:rPr>
                <w:rFonts w:ascii="ARIAL" w:hAnsi="ARIAL"/>
                <w:b/>
                <w:sz w:val="20"/>
              </w:rPr>
              <w:t xml:space="preserve">Executive Compensation </w:t>
            </w:r>
          </w:p>
        </w:tc>
      </w:tr>
    </w:tbl>
    <w:p>
      <w:pPr>
        <w:pStyle w:val="TextBody"/>
        <w:bidi w:val="0"/>
        <w:spacing w:before="120" w:after="0"/>
        <w:jc w:val="left"/>
        <w:rPr>
          <w:rFonts w:ascii="arial" w:hAnsi="arial"/>
          <w:b/>
          <w:color w:val="732282"/>
          <w:sz w:val="44"/>
        </w:rPr>
      </w:pPr>
      <w:r>
        <w:rPr>
          <w:rFonts w:ascii="arial" w:hAnsi="arial"/>
          <w:b/>
          <w:color w:val="732282"/>
          <w:sz w:val="44"/>
        </w:rPr>
        <w:t xml:space="preserve">Compensation Discussion and Analysis </w:t>
      </w:r>
    </w:p>
    <w:p>
      <w:pPr>
        <w:pStyle w:val="TextBody"/>
        <w:bidi w:val="0"/>
        <w:spacing w:before="120" w:after="0"/>
        <w:jc w:val="both"/>
        <w:rPr>
          <w:rFonts w:ascii="arial" w:hAnsi="arial"/>
          <w:sz w:val="18"/>
        </w:rPr>
      </w:pPr>
      <w:r>
        <w:rPr>
          <w:rFonts w:ascii="arial" w:hAnsi="arial"/>
          <w:sz w:val="18"/>
        </w:rPr>
        <w:t xml:space="preserve">This Compensation Discussion and Analysis (“CD&amp;A”) describes the compensation of our Named Executive Officers (“NEOs”) for 2023, which continues to be closely linked to the Company’s performance objectives. </w:t>
      </w:r>
    </w:p>
    <w:p>
      <w:pPr>
        <w:pStyle w:val="TextBody"/>
        <w:bidi w:val="0"/>
        <w:spacing w:before="360" w:after="0"/>
        <w:jc w:val="left"/>
        <w:rPr>
          <w:rFonts w:ascii="arial" w:hAnsi="arial"/>
          <w:b/>
          <w:color w:val="666666"/>
          <w:sz w:val="28"/>
        </w:rPr>
      </w:pPr>
      <w:r>
        <w:rPr>
          <w:rFonts w:ascii="arial" w:hAnsi="arial"/>
          <w:b/>
          <w:color w:val="666666"/>
          <w:sz w:val="28"/>
        </w:rPr>
        <w:t xml:space="preserve">Executive Summary </w:t>
      </w:r>
    </w:p>
    <w:p>
      <w:pPr>
        <w:pStyle w:val="TextBody"/>
        <w:pBdr>
          <w:bottom w:val="single" w:sz="2" w:space="1" w:color="732282"/>
        </w:pBdr>
        <w:bidi w:val="0"/>
        <w:spacing w:lineRule="atLeast" w:line="142" w:before="0" w:after="40"/>
        <w:jc w:val="left"/>
        <w:rPr/>
      </w:pPr>
      <w:r>
        <w:rPr/>
        <w:t> </w:t>
      </w:r>
    </w:p>
    <w:p>
      <w:pPr>
        <w:pStyle w:val="TextBody"/>
        <w:bidi w:val="0"/>
        <w:spacing w:before="120" w:after="0"/>
        <w:jc w:val="both"/>
        <w:rPr>
          <w:rFonts w:ascii="arial" w:hAnsi="arial"/>
          <w:sz w:val="18"/>
        </w:rPr>
      </w:pPr>
      <w:r>
        <w:rPr>
          <w:rFonts w:ascii="arial" w:hAnsi="arial"/>
          <w:sz w:val="18"/>
        </w:rPr>
        <w:t xml:space="preserve">We were pleased to have received 86% approval for our shareholder advisory vote regarding NEO compensation at our 2023 Annual Meeting, which we believe validates our performance-based compensation philosophy, the then-announced transition of our leadership structure and </w:t>
      </w:r>
      <w:r>
        <w:rPr>
          <w:rFonts w:ascii="arial" w:hAnsi="arial"/>
          <w:i/>
          <w:sz w:val="18"/>
        </w:rPr>
        <w:t>the phasing out of legacy compensation arrangements that we inherited from Pfizer and Mylan</w:t>
      </w:r>
      <w:r>
        <w:rPr>
          <w:rFonts w:ascii="arial" w:hAnsi="arial"/>
          <w:sz w:val="18"/>
        </w:rPr>
        <w:t xml:space="preserve">. </w:t>
      </w:r>
    </w:p>
    <w:p>
      <w:pPr>
        <w:pStyle w:val="TextBody"/>
        <w:bidi w:val="0"/>
        <w:spacing w:before="240" w:after="0"/>
        <w:jc w:val="both"/>
        <w:rPr>
          <w:rFonts w:ascii="arial" w:hAnsi="arial"/>
          <w:sz w:val="18"/>
        </w:rPr>
      </w:pPr>
      <w:r>
        <w:rPr>
          <w:rFonts w:ascii="arial" w:hAnsi="arial"/>
          <w:sz w:val="18"/>
        </w:rPr>
        <w:t xml:space="preserve">In our discussions with shareholders, they expressed strong support for our simplified and performance-based compensation program going forward. </w:t>
      </w:r>
    </w:p>
    <w:p>
      <w:pPr>
        <w:pStyle w:val="TextBody"/>
        <w:bidi w:val="0"/>
        <w:spacing w:before="240" w:after="0"/>
        <w:jc w:val="both"/>
        <w:rPr>
          <w:rFonts w:ascii="arial" w:hAnsi="arial"/>
          <w:sz w:val="18"/>
        </w:rPr>
      </w:pPr>
      <w:r>
        <w:rPr>
          <w:rFonts w:ascii="arial" w:hAnsi="arial"/>
          <w:sz w:val="18"/>
        </w:rPr>
        <w:t xml:space="preserve">Following the conclusion of legacy management transitions that took place this year, </w:t>
      </w:r>
      <w:r>
        <w:rPr>
          <w:rFonts w:ascii="arial" w:hAnsi="arial"/>
          <w:i/>
          <w:sz w:val="18"/>
        </w:rPr>
        <w:t>our compensation program no longer has any significant outstanding legacy arrangements</w:t>
      </w:r>
      <w:r>
        <w:rPr>
          <w:rFonts w:ascii="arial" w:hAnsi="arial"/>
          <w:sz w:val="18"/>
        </w:rPr>
        <w:t xml:space="preserve">. Although certain of these arrangements are reflected in our 2023 Summary Compensation Table, each matter was previously disclosed and, based on our discussions with shareholders, we believe was taken into account and reflected in prior shareholder advisory votes (including the 86% support last year). Importantly, our transitional arrangements with Messrs. Coury and Malik reflect the Company honoring past contractual and economic commitments without additional cash or equity compensation. Moreover, in response to our discussions with shareholders in recent years, we increased the percentage of performance-based equity awards from 60% to 65%; eliminated legacy excise tax gross-ups; eliminated modified single-trigger severance arrangements; committed to no new fixed-term NEO employment agreements; discontinued tax equalization benefits; and committed to no longer provide strictly time-based cash retention awards except in extraordinary situations and in connection with new hires or supplemental retirement benefit agreements. </w:t>
      </w:r>
    </w:p>
    <w:p>
      <w:pPr>
        <w:pStyle w:val="TextBody"/>
        <w:bidi w:val="0"/>
        <w:spacing w:before="240" w:after="0"/>
        <w:jc w:val="left"/>
        <w:rPr>
          <w:rFonts w:ascii="ARIAL" w:hAnsi="ARIAL"/>
          <w:b/>
          <w:sz w:val="20"/>
        </w:rPr>
      </w:pPr>
      <w:r>
        <w:rPr>
          <w:rFonts w:ascii="ARIAL" w:hAnsi="ARIAL"/>
          <w:b/>
          <w:sz w:val="20"/>
        </w:rPr>
        <w:t xml:space="preserve">Our Compensation Structure is Approximately Two-Thirds Performance Based and Includes No Special Incentives </w:t>
      </w:r>
    </w:p>
    <w:p>
      <w:pPr>
        <w:pStyle w:val="TextBody"/>
        <w:bidi w:val="0"/>
        <w:spacing w:before="120" w:after="0"/>
        <w:jc w:val="both"/>
        <w:rPr>
          <w:rFonts w:ascii="arial" w:hAnsi="arial"/>
          <w:sz w:val="18"/>
        </w:rPr>
      </w:pPr>
      <w:r>
        <w:rPr>
          <w:rFonts w:ascii="arial" w:hAnsi="arial"/>
          <w:sz w:val="18"/>
        </w:rPr>
        <w:t xml:space="preserve">Our Compensation Committee has implemented a simple and performance-focused compensation program which, excluding arrangements which may be necessary in connection with onboarding new hires, is limited to base salary, a performance-based short-term incentive award and long-term incentive awards consisting of performance-based restricted stock units (“PRSUs”) and restricted stock units (“RSUs”). For fiscal year 2023, 62% of NEO total target compensation was performance-based and 70% of NEO total target compensation was delivered as long-term equity.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27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sz w:val="18"/>
        </w:rPr>
        <w:t xml:space="preserve">In addition, our PRSUs are subject to a total shareholder return (“TSR”) performance modifier assessed over a three-year time frame relative to the S&amp;P 500 Pharmaceutical Index. Our first long-term PRSUs (awarded in 2021) that vested in 2024 were automatically reduced by 30% consistent with the design of the TSR modifier. </w:t>
      </w:r>
    </w:p>
    <w:p>
      <w:pPr>
        <w:pStyle w:val="TextBody"/>
        <w:bidi w:val="0"/>
        <w:spacing w:before="0" w:after="0"/>
        <w:jc w:val="left"/>
        <w:rPr/>
      </w:pPr>
      <w:r>
        <w:rPr/>
        <w:t> </w:t>
      </w:r>
    </w:p>
    <w:tbl>
      <w:tblPr>
        <w:tblW w:w="7110" w:type="dxa"/>
        <w:jc w:val="left"/>
        <w:tblInd w:w="0" w:type="dxa"/>
        <w:tblLayout w:type="fixed"/>
        <w:tblCellMar>
          <w:top w:w="0" w:type="dxa"/>
          <w:left w:w="0" w:type="dxa"/>
          <w:bottom w:w="0" w:type="dxa"/>
          <w:right w:w="0" w:type="dxa"/>
        </w:tblCellMar>
      </w:tblPr>
      <w:tblGrid>
        <w:gridCol w:w="3480"/>
        <w:gridCol w:w="120"/>
        <w:gridCol w:w="3510"/>
      </w:tblGrid>
      <w:tr>
        <w:trPr/>
        <w:tc>
          <w:tcPr>
            <w:tcW w:w="3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10" w:type="dxa"/>
            <w:tcBorders/>
            <w:vAlign w:val="center"/>
          </w:tcPr>
          <w:p>
            <w:pPr>
              <w:pStyle w:val="TableContents"/>
              <w:bidi w:val="0"/>
              <w:spacing w:before="0" w:after="283"/>
              <w:jc w:val="left"/>
              <w:rPr>
                <w:sz w:val="4"/>
                <w:szCs w:val="4"/>
              </w:rPr>
            </w:pPr>
            <w:r>
              <w:rPr>
                <w:sz w:val="4"/>
                <w:szCs w:val="4"/>
              </w:rPr>
            </w:r>
          </w:p>
        </w:tc>
      </w:tr>
      <w:tr>
        <w:trPr/>
        <w:tc>
          <w:tcPr>
            <w:tcW w:w="3480" w:type="dxa"/>
            <w:tcBorders/>
            <w:vAlign w:val="center"/>
          </w:tcPr>
          <w:p>
            <w:pPr>
              <w:pStyle w:val="TableContents"/>
              <w:bidi w:val="0"/>
              <w:spacing w:before="0" w:after="283"/>
              <w:jc w:val="center"/>
              <w:rPr/>
            </w:pPr>
            <w:r>
              <w:rPr/>
              <w:drawing>
                <wp:inline distT="0" distB="0" distL="0" distR="0">
                  <wp:extent cx="2162175" cy="16859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162175" cy="16859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510" w:type="dxa"/>
            <w:tcBorders/>
            <w:vAlign w:val="center"/>
          </w:tcPr>
          <w:p>
            <w:pPr>
              <w:pStyle w:val="TableContents"/>
              <w:bidi w:val="0"/>
              <w:spacing w:before="0" w:after="283"/>
              <w:jc w:val="center"/>
              <w:rPr/>
            </w:pPr>
            <w:r>
              <w:rPr/>
              <w:drawing>
                <wp:inline distT="0" distB="0" distL="0" distR="0">
                  <wp:extent cx="2181225" cy="16859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181225" cy="168592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1885" w:type="dxa"/>
        <w:jc w:val="left"/>
        <w:tblInd w:w="0" w:type="dxa"/>
        <w:tblLayout w:type="fixed"/>
        <w:tblCellMar>
          <w:top w:w="0" w:type="dxa"/>
          <w:left w:w="0" w:type="dxa"/>
          <w:bottom w:w="0" w:type="dxa"/>
          <w:right w:w="0" w:type="dxa"/>
        </w:tblCellMar>
      </w:tblPr>
      <w:tblGrid>
        <w:gridCol w:w="75"/>
        <w:gridCol w:w="140"/>
        <w:gridCol w:w="167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670" w:type="dxa"/>
            <w:tcBorders/>
            <w:vAlign w:val="center"/>
          </w:tcPr>
          <w:p>
            <w:pPr>
              <w:pStyle w:val="TableContents"/>
              <w:bidi w:val="0"/>
              <w:spacing w:before="0" w:after="0"/>
              <w:jc w:val="both"/>
              <w:rPr>
                <w:rFonts w:ascii="ARIAL" w:hAnsi="ARIAL"/>
                <w:sz w:val="16"/>
              </w:rPr>
            </w:pPr>
            <w:r>
              <w:rPr>
                <w:rFonts w:ascii="ARIAL" w:hAnsi="ARIAL"/>
                <w:sz w:val="16"/>
              </w:rPr>
              <w:t xml:space="preserve">Excludes Mr. Goettler </w:t>
            </w:r>
          </w:p>
        </w:tc>
      </w:tr>
    </w:tbl>
    <w:p>
      <w:pPr>
        <w:pStyle w:val="TextBody"/>
        <w:bidi w:val="0"/>
        <w:spacing w:before="360" w:after="0"/>
        <w:jc w:val="left"/>
        <w:rPr>
          <w:rFonts w:ascii="ARIAL" w:hAnsi="ARIAL"/>
          <w:b/>
          <w:sz w:val="20"/>
        </w:rPr>
      </w:pPr>
      <w:r>
        <w:rPr>
          <w:rFonts w:ascii="ARIAL" w:hAnsi="ARIAL"/>
          <w:b/>
          <w:sz w:val="20"/>
        </w:rPr>
        <w:t xml:space="preserve">Leadership Transitions </w:t>
      </w:r>
    </w:p>
    <w:p>
      <w:pPr>
        <w:pStyle w:val="TextBody"/>
        <w:bidi w:val="0"/>
        <w:spacing w:before="120" w:after="0"/>
        <w:jc w:val="left"/>
        <w:rPr>
          <w:rFonts w:ascii="ARIAL" w:hAnsi="ARIAL"/>
          <w:b/>
          <w:sz w:val="20"/>
        </w:rPr>
      </w:pPr>
      <w:r>
        <w:rPr>
          <w:rFonts w:ascii="ARIAL" w:hAnsi="ARIAL"/>
          <w:b/>
          <w:sz w:val="20"/>
        </w:rPr>
        <w:t xml:space="preserve">Executive Chairman Transition </w:t>
      </w:r>
    </w:p>
    <w:p>
      <w:pPr>
        <w:pStyle w:val="TextBody"/>
        <w:bidi w:val="0"/>
        <w:spacing w:before="120" w:after="0"/>
        <w:jc w:val="both"/>
        <w:rPr>
          <w:rFonts w:ascii="arial" w:hAnsi="arial"/>
          <w:sz w:val="18"/>
        </w:rPr>
      </w:pPr>
      <w:r>
        <w:rPr>
          <w:rFonts w:ascii="arial" w:hAnsi="arial"/>
          <w:sz w:val="18"/>
        </w:rPr>
        <w:t xml:space="preserve">In light of the leadership and oversight of the Executive Chairman in developing our comprehensive strategies for growth while streamlining the Company, the substantial success and progress on and overall performance with respect to the Company’s Phase 1 objectives, and in preparation for the Company’s move into Phase 2 of our strategic plan, the independent members of the Board believed it was an appropriate time to consider a transition to a more conventional Board leadership structure, which we had previously informed shareholders we would do at the appropriate time for the Company. In 2023, the Board approached Robert J. Coury, and Mr. Coury agreed, to transition to a new role as Chairman Emeritus and Senior Strategic Advisor from the conclusion of the 2023 Annual Meeting through the end of 2025 (the same period that Mr. Coury previously committed to the Company under his Executive Employment Agreement when Viatris was created). </w:t>
      </w:r>
    </w:p>
    <w:p>
      <w:pPr>
        <w:pStyle w:val="TextBody"/>
        <w:bidi w:val="0"/>
        <w:spacing w:before="240" w:after="0"/>
        <w:jc w:val="both"/>
        <w:rPr>
          <w:rFonts w:ascii="arial" w:hAnsi="arial"/>
          <w:sz w:val="18"/>
        </w:rPr>
      </w:pPr>
      <w:r>
        <w:rPr>
          <w:rFonts w:ascii="arial" w:hAnsi="arial"/>
          <w:sz w:val="18"/>
        </w:rPr>
        <w:t xml:space="preserve">In connection with this transition, Mr. Coury was treated as separating from employment for Good Reason for severance benefit purposes (as defined in, and pursuant to, his Executive Employment Agreement). Importantly, our transitional arrangement with Mr. Coury involved the Company honoring past contractual and economic commitments without any additional grants of cash or equity compensation. </w:t>
      </w:r>
    </w:p>
    <w:p>
      <w:pPr>
        <w:pStyle w:val="TextBody"/>
        <w:bidi w:val="0"/>
        <w:spacing w:before="360" w:after="0"/>
        <w:jc w:val="left"/>
        <w:rPr>
          <w:rFonts w:ascii="ARIAL" w:hAnsi="ARIAL"/>
          <w:b/>
          <w:sz w:val="20"/>
        </w:rPr>
      </w:pPr>
      <w:r>
        <w:rPr>
          <w:rFonts w:ascii="ARIAL" w:hAnsi="ARIAL"/>
          <w:b/>
          <w:sz w:val="20"/>
        </w:rPr>
        <w:t xml:space="preserve">Other Executive Transitions </w:t>
      </w:r>
    </w:p>
    <w:p>
      <w:pPr>
        <w:pStyle w:val="TextBody"/>
        <w:bidi w:val="0"/>
        <w:spacing w:before="120" w:after="0"/>
        <w:jc w:val="both"/>
        <w:rPr>
          <w:rFonts w:ascii="arial" w:hAnsi="arial"/>
          <w:sz w:val="18"/>
        </w:rPr>
      </w:pPr>
      <w:r>
        <w:rPr>
          <w:rFonts w:ascii="arial" w:hAnsi="arial"/>
          <w:sz w:val="18"/>
        </w:rPr>
        <w:t xml:space="preserve">Rajiv Malik, President, retired from his executive role with the Company effective as of April 1, 2024. To support the transition of Mr. Malik’s substantial operating responsibilities given his significant tenure with the Company and primary responsibility for operation of the Company’s complex manufacturing and commercial platform for over 15 years, and to assist the Company’s senior management team, the Board requested and Mr. Malik agreed to consult with the Company on operational matters. Mr. Malik has also agreed to remain a member of the Board. Mr. Malik will receive a pro rata bonus for 2024 reflecting his period of executive service and his currently outstanding equity awards will continue vesting during his service (or earlier upon certain qualifying terminations of Board or consulting services). Mr. Malik was not granted any additional awards or other compensation for his consulting services. </w:t>
      </w:r>
    </w:p>
    <w:p>
      <w:pPr>
        <w:pStyle w:val="TextBody"/>
        <w:bidi w:val="0"/>
        <w:spacing w:before="240" w:after="0"/>
        <w:jc w:val="both"/>
        <w:rPr>
          <w:rFonts w:ascii="arial" w:hAnsi="arial"/>
          <w:sz w:val="18"/>
        </w:rPr>
      </w:pPr>
      <w:r>
        <w:rPr>
          <w:rFonts w:ascii="arial" w:hAnsi="arial"/>
          <w:sz w:val="18"/>
        </w:rPr>
        <w:t xml:space="preserve">Anthony Mauro, President, Developed Markets, departed from the Company effective as of April 1, 2024 as a result of an elimination of his position in connection with a realignment of the Company’s commercial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28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sz w:val="18"/>
        </w:rPr>
        <w:t xml:space="preserve">function. Mr. Mauro received severance benefits equal to two times his base salary and target bonus, subject to a release of claims and other customary conditions. Mr. Mauro will also receive a pro rata bonus for 2024 reflecting his period of executive service. Unvested equity awards that Mr. Mauro held as of his separation were forfeited, unless otherwise provided in the applicable award agreements. </w:t>
      </w:r>
    </w:p>
    <w:p>
      <w:pPr>
        <w:pStyle w:val="TextBody"/>
        <w:bidi w:val="0"/>
        <w:spacing w:before="240" w:after="0"/>
        <w:jc w:val="both"/>
        <w:rPr>
          <w:rFonts w:ascii="arial" w:hAnsi="arial"/>
          <w:sz w:val="18"/>
        </w:rPr>
      </w:pPr>
      <w:r>
        <w:rPr>
          <w:rFonts w:ascii="arial" w:hAnsi="arial"/>
          <w:sz w:val="18"/>
        </w:rPr>
        <w:t xml:space="preserve">Sanjeev Narula, Chief Financial Officer, departed from the Company effective March 5, 2024. Mr. Narula received severance benefits based on a termination without cause equal to two times his base salary and target bonus. Mr. Narula will also receive a pro rata bonus for 2024 reflecting his period of executive service and is eligible to receive a pro rata portion of his PRSUs granted in 2022 and 2023 based on actual performance at the end of the applicable performance period. Other unvested equity awards that Mr. Narula held as of his separation were forfeited. </w:t>
      </w:r>
    </w:p>
    <w:p>
      <w:pPr>
        <w:pStyle w:val="TextBody"/>
        <w:bidi w:val="0"/>
        <w:spacing w:before="240" w:after="0"/>
        <w:jc w:val="both"/>
        <w:rPr>
          <w:rFonts w:ascii="arial" w:hAnsi="arial"/>
          <w:sz w:val="18"/>
        </w:rPr>
      </w:pPr>
      <w:r>
        <w:rPr>
          <w:rFonts w:ascii="arial" w:hAnsi="arial"/>
          <w:sz w:val="18"/>
        </w:rPr>
        <w:t xml:space="preserve">Michael Goettler, Chief Executive Officer, departed from the Company effective April 1, 2023. Mr. Goettler received a pro rata bonus for 2023 reflecting his period of executive service and severance benefits based on a termination without cause equal to two and a half times his base salary and target bonus. Unvested equity awards that Mr. Goettler held as of his separation were forfeited. </w:t>
      </w:r>
    </w:p>
    <w:p>
      <w:pPr>
        <w:pStyle w:val="TextBody"/>
        <w:bidi w:val="0"/>
        <w:spacing w:before="240" w:after="0"/>
        <w:jc w:val="left"/>
        <w:rPr>
          <w:rFonts w:ascii="arial" w:hAnsi="arial"/>
          <w:b/>
          <w:color w:val="666666"/>
          <w:sz w:val="28"/>
        </w:rPr>
      </w:pPr>
      <w:r>
        <w:rPr>
          <w:rFonts w:ascii="arial" w:hAnsi="arial"/>
          <w:b/>
          <w:color w:val="666666"/>
          <w:sz w:val="28"/>
        </w:rPr>
        <w:t xml:space="preserve">Selected Highlights and Recent Developments </w:t>
      </w:r>
    </w:p>
    <w:p>
      <w:pPr>
        <w:pStyle w:val="TextBody"/>
        <w:pBdr>
          <w:bottom w:val="single" w:sz="2" w:space="1" w:color="732282"/>
        </w:pBdr>
        <w:bidi w:val="0"/>
        <w:spacing w:lineRule="atLeast" w:line="142" w:before="0" w:after="40"/>
        <w:jc w:val="left"/>
        <w:rPr/>
      </w:pPr>
      <w:r>
        <w:rPr/>
        <w:t> </w:t>
      </w:r>
    </w:p>
    <w:p>
      <w:pPr>
        <w:pStyle w:val="TextBody"/>
        <w:bidi w:val="0"/>
        <w:spacing w:before="120" w:after="0"/>
        <w:jc w:val="both"/>
        <w:rPr>
          <w:rFonts w:ascii="arial" w:hAnsi="arial"/>
          <w:sz w:val="18"/>
        </w:rPr>
      </w:pPr>
      <w:r>
        <w:rPr>
          <w:rFonts w:ascii="arial" w:hAnsi="arial"/>
          <w:sz w:val="18"/>
        </w:rPr>
        <w:t xml:space="preserve">Viatris’ management continues to execute on the strategic priorities previously outlined to shareholders and again achieved several notable accomplishments in 2023, furthering its strategic plan. </w:t>
      </w:r>
    </w:p>
    <w:p>
      <w:pPr>
        <w:pStyle w:val="TextBody"/>
        <w:bidi w:val="0"/>
        <w:spacing w:before="240" w:after="0"/>
        <w:jc w:val="left"/>
        <w:rPr>
          <w:rFonts w:ascii="ARIAL" w:hAnsi="ARIAL"/>
          <w:b/>
          <w:sz w:val="20"/>
        </w:rPr>
      </w:pPr>
      <w:r>
        <w:rPr>
          <w:rFonts w:ascii="ARIAL" w:hAnsi="ARIAL"/>
          <w:b/>
          <w:sz w:val="20"/>
        </w:rPr>
        <w:t xml:space="preserve">Financial and Operational Performance </w:t>
      </w:r>
    </w:p>
    <w:p>
      <w:pPr>
        <w:pStyle w:val="TextBody"/>
        <w:bidi w:val="0"/>
        <w:spacing w:before="120" w:after="0"/>
        <w:jc w:val="both"/>
        <w:rPr>
          <w:rFonts w:ascii="arial" w:hAnsi="arial"/>
          <w:sz w:val="18"/>
        </w:rPr>
      </w:pPr>
      <w:r>
        <w:rPr>
          <w:rFonts w:ascii="arial" w:hAnsi="arial"/>
          <w:sz w:val="18"/>
        </w:rPr>
        <w:t xml:space="preserve">In 2023, Viatris delivered another four quarters of consistent, solid operational performance across all segments. The Company: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Reported total revenues of $15.4 billion; U.S. GAAP net earnings of $54.7 million; adjusted EBITDA of $5.1 billion; U.S. GAAP net cash provided by operating activities of $2.8 billion and free cash flow of $2.4 billion. </w:t>
            </w:r>
          </w:p>
        </w:tc>
      </w:tr>
    </w:tbl>
    <w:p>
      <w:pPr>
        <w:pStyle w:val="TextBody"/>
        <w:bidi w:val="0"/>
        <w:spacing w:before="0" w:after="0"/>
        <w:jc w:val="left"/>
        <w:rPr/>
      </w:pPr>
      <w:r>
        <w:rPr/>
        <w:t> </w:t>
      </w:r>
    </w:p>
    <w:tbl>
      <w:tblPr>
        <w:tblW w:w="4090" w:type="dxa"/>
        <w:jc w:val="left"/>
        <w:tblInd w:w="0" w:type="dxa"/>
        <w:tblLayout w:type="fixed"/>
        <w:tblCellMar>
          <w:top w:w="0" w:type="dxa"/>
          <w:left w:w="0" w:type="dxa"/>
          <w:bottom w:w="0" w:type="dxa"/>
          <w:right w:w="0" w:type="dxa"/>
        </w:tblCellMar>
      </w:tblPr>
      <w:tblGrid>
        <w:gridCol w:w="75"/>
        <w:gridCol w:w="110"/>
        <w:gridCol w:w="60"/>
        <w:gridCol w:w="3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both"/>
              <w:rPr>
                <w:rFonts w:ascii="arial" w:hAnsi="arial"/>
                <w:sz w:val="18"/>
              </w:rPr>
            </w:pPr>
            <w:r>
              <w:rPr>
                <w:rFonts w:ascii="arial" w:hAnsi="arial"/>
                <w:sz w:val="18"/>
              </w:rPr>
              <w:t xml:space="preserve">Paid down approximately $1.25 billion of debt. </w:t>
            </w:r>
          </w:p>
        </w:tc>
      </w:tr>
    </w:tbl>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75"/>
        <w:gridCol w:w="110"/>
        <w:gridCol w:w="60"/>
        <w:gridCol w:w="4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both"/>
              <w:rPr>
                <w:rFonts w:ascii="arial" w:hAnsi="arial"/>
                <w:sz w:val="18"/>
              </w:rPr>
            </w:pPr>
            <w:r>
              <w:rPr>
                <w:rFonts w:ascii="arial" w:hAnsi="arial"/>
                <w:sz w:val="18"/>
              </w:rPr>
              <w:t xml:space="preserve">Generated new product revenues1 of ~$450 million. </w:t>
            </w:r>
          </w:p>
        </w:tc>
      </w:tr>
    </w:tbl>
    <w:p>
      <w:pPr>
        <w:pStyle w:val="TextBody"/>
        <w:bidi w:val="0"/>
        <w:spacing w:before="0" w:after="0"/>
        <w:jc w:val="left"/>
        <w:rPr/>
      </w:pPr>
      <w:r>
        <w:rPr/>
        <w:t> </w:t>
      </w:r>
    </w:p>
    <w:tbl>
      <w:tblPr>
        <w:tblW w:w="5380" w:type="dxa"/>
        <w:jc w:val="left"/>
        <w:tblInd w:w="0" w:type="dxa"/>
        <w:tblLayout w:type="fixed"/>
        <w:tblCellMar>
          <w:top w:w="0" w:type="dxa"/>
          <w:left w:w="0" w:type="dxa"/>
          <w:bottom w:w="0" w:type="dxa"/>
          <w:right w:w="0" w:type="dxa"/>
        </w:tblCellMar>
      </w:tblPr>
      <w:tblGrid>
        <w:gridCol w:w="75"/>
        <w:gridCol w:w="110"/>
        <w:gridCol w:w="60"/>
        <w:gridCol w:w="5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0"/>
              <w:jc w:val="both"/>
              <w:rPr>
                <w:rFonts w:ascii="arial" w:hAnsi="arial"/>
                <w:sz w:val="18"/>
              </w:rPr>
            </w:pPr>
            <w:r>
              <w:rPr>
                <w:rFonts w:ascii="arial" w:hAnsi="arial"/>
                <w:sz w:val="18"/>
              </w:rPr>
              <w:t xml:space="preserve">Maintained the quarterly dividend payment of $0.12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Returned capital to shareholders in the form of $576 million in dividends and $250 million in share buybacks, totaling $826 million. </w:t>
            </w:r>
          </w:p>
        </w:tc>
      </w:tr>
    </w:tbl>
    <w:p>
      <w:pPr>
        <w:pStyle w:val="TextBody"/>
        <w:bidi w:val="0"/>
        <w:spacing w:before="0" w:after="0"/>
        <w:jc w:val="left"/>
        <w:rPr/>
      </w:pPr>
      <w:r>
        <w:rPr/>
        <w:t> </w:t>
      </w:r>
    </w:p>
    <w:tbl>
      <w:tblPr>
        <w:tblW w:w="6100" w:type="dxa"/>
        <w:jc w:val="left"/>
        <w:tblInd w:w="0" w:type="dxa"/>
        <w:tblLayout w:type="fixed"/>
        <w:tblCellMar>
          <w:top w:w="0" w:type="dxa"/>
          <w:left w:w="0" w:type="dxa"/>
          <w:bottom w:w="0" w:type="dxa"/>
          <w:right w:w="0" w:type="dxa"/>
        </w:tblCellMar>
      </w:tblPr>
      <w:tblGrid>
        <w:gridCol w:w="75"/>
        <w:gridCol w:w="110"/>
        <w:gridCol w:w="60"/>
        <w:gridCol w:w="5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0"/>
              <w:jc w:val="both"/>
              <w:rPr>
                <w:rFonts w:ascii="arial" w:hAnsi="arial"/>
                <w:sz w:val="18"/>
              </w:rPr>
            </w:pPr>
            <w:r>
              <w:rPr>
                <w:rFonts w:ascii="arial" w:hAnsi="arial"/>
                <w:sz w:val="18"/>
              </w:rPr>
              <w:t xml:space="preserve">Supplied high-quality medicines to ~1 billion patients around the world.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Completed certain planned divestitures and is on track to complete all remaining divestitures by mid-year 2024, subject to final regulatory approvals, receipt of required consents and other closing conditions. </w:t>
            </w:r>
          </w:p>
        </w:tc>
      </w:tr>
    </w:tbl>
    <w:p>
      <w:pPr>
        <w:pStyle w:val="TextBody"/>
        <w:bidi w:val="0"/>
        <w:spacing w:before="360" w:after="0"/>
        <w:jc w:val="left"/>
        <w:rPr>
          <w:rFonts w:ascii="ARIAL" w:hAnsi="ARIAL"/>
          <w:b/>
          <w:sz w:val="20"/>
        </w:rPr>
      </w:pPr>
      <w:r>
        <w:rPr>
          <w:rFonts w:ascii="ARIAL" w:hAnsi="ARIAL"/>
          <w:b/>
          <w:sz w:val="20"/>
        </w:rPr>
        <w:t xml:space="preserve">Science and Regulatory Achievements </w:t>
      </w:r>
    </w:p>
    <w:p>
      <w:pPr>
        <w:pStyle w:val="TextBody"/>
        <w:bidi w:val="0"/>
        <w:spacing w:before="120" w:after="0"/>
        <w:jc w:val="both"/>
        <w:rPr>
          <w:rFonts w:ascii="arial" w:hAnsi="arial"/>
          <w:sz w:val="18"/>
        </w:rPr>
      </w:pPr>
      <w:r>
        <w:rPr>
          <w:rFonts w:ascii="arial" w:hAnsi="arial"/>
          <w:sz w:val="18"/>
        </w:rPr>
        <w:t xml:space="preserve">Viatris has products across 10+ therapeutic areas, and has more than 250 medicines on the World Health Organization’s Essential Medicines list. The Company has industry-leading science, development, regulatory </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1 </w:t>
            </w:r>
          </w:p>
        </w:tc>
        <w:tc>
          <w:tcPr>
            <w:tcW w:w="9990" w:type="dxa"/>
            <w:tcBorders/>
            <w:vAlign w:val="center"/>
          </w:tcPr>
          <w:p>
            <w:pPr>
              <w:pStyle w:val="TableContents"/>
              <w:bidi w:val="0"/>
              <w:spacing w:before="0" w:after="0"/>
              <w:jc w:val="both"/>
              <w:rPr>
                <w:rFonts w:ascii="arial" w:hAnsi="arial"/>
                <w:sz w:val="18"/>
              </w:rPr>
            </w:pPr>
            <w:r>
              <w:rPr>
                <w:rFonts w:ascii="arial" w:hAnsi="arial"/>
                <w:sz w:val="18"/>
              </w:rPr>
              <w:t xml:space="preserve">Refers to revenue from new products launched in 2023 and the carryover impact of new products, including business development, launched within the last 12 months.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29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sz w:val="18"/>
        </w:rPr>
        <w:t xml:space="preserve">and manufacturing capabilities complemented by a strong commitment to quality and an unparalleled geographic footprint to deliver high-quality medicines. In 2023, this included more than 3,000 scientists and medical professionals working across 11 development centers globally in multiple technology platforms and therapeutic areas, coupled with in-country regulatory expertise in 55 markets. During 2023, Viatris continued to advance key development programs across complex injectables, novel products, complex generics, as well as progressed its efforts to establish a Phase III-ready eye care pipeline. The Company: </w:t>
      </w:r>
    </w:p>
    <w:p>
      <w:pPr>
        <w:pStyle w:val="TextBody"/>
        <w:bidi w:val="0"/>
        <w:spacing w:before="0" w:after="0"/>
        <w:jc w:val="left"/>
        <w:rPr/>
      </w:pPr>
      <w:r>
        <w:rPr/>
        <w:t> </w:t>
      </w:r>
    </w:p>
    <w:tbl>
      <w:tblPr>
        <w:tblW w:w="9535" w:type="dxa"/>
        <w:jc w:val="left"/>
        <w:tblInd w:w="0" w:type="dxa"/>
        <w:tblLayout w:type="fixed"/>
        <w:tblCellMar>
          <w:top w:w="0" w:type="dxa"/>
          <w:left w:w="0" w:type="dxa"/>
          <w:bottom w:w="0" w:type="dxa"/>
          <w:right w:w="0" w:type="dxa"/>
        </w:tblCellMar>
      </w:tblPr>
      <w:tblGrid>
        <w:gridCol w:w="75"/>
        <w:gridCol w:w="110"/>
        <w:gridCol w:w="60"/>
        <w:gridCol w:w="9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0"/>
              <w:jc w:val="both"/>
              <w:rPr>
                <w:rFonts w:ascii="arial" w:hAnsi="arial"/>
                <w:sz w:val="18"/>
              </w:rPr>
            </w:pPr>
            <w:r>
              <w:rPr>
                <w:rFonts w:ascii="arial" w:hAnsi="arial"/>
                <w:sz w:val="18"/>
              </w:rPr>
              <w:t xml:space="preserve">Launched Breyna™, the first U.S. Food and Drug Administration (“FDA”)-approved generic version of Symbicort®.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75"/>
        <w:gridCol w:w="110"/>
        <w:gridCol w:w="60"/>
        <w:gridCol w:w="5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both"/>
              <w:rPr>
                <w:rFonts w:ascii="arial" w:hAnsi="arial"/>
                <w:sz w:val="18"/>
              </w:rPr>
            </w:pPr>
            <w:r>
              <w:rPr>
                <w:rFonts w:ascii="arial" w:hAnsi="arial"/>
                <w:sz w:val="18"/>
              </w:rPr>
              <w:t xml:space="preserve">Positive top-line results for Yupelri® (revefenacin) Phase III trial in China.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both"/>
              <w:rPr>
                <w:rFonts w:ascii="arial" w:hAnsi="arial"/>
                <w:sz w:val="18"/>
              </w:rPr>
            </w:pPr>
            <w:r>
              <w:rPr>
                <w:rFonts w:ascii="arial" w:hAnsi="arial"/>
                <w:sz w:val="18"/>
              </w:rPr>
              <w:t xml:space="preserve">FDA approval of RYZUMVI™ 0.75% eye drops for the treatment of pharmacologically-induced mydriasis. </w:t>
            </w:r>
          </w:p>
        </w:tc>
      </w:tr>
    </w:tbl>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75"/>
        <w:gridCol w:w="110"/>
        <w:gridCol w:w="60"/>
        <w:gridCol w:w="7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both"/>
              <w:rPr>
                <w:rFonts w:ascii="arial" w:hAnsi="arial"/>
                <w:sz w:val="18"/>
              </w:rPr>
            </w:pPr>
            <w:r>
              <w:rPr>
                <w:rFonts w:ascii="arial" w:hAnsi="arial"/>
                <w:sz w:val="18"/>
              </w:rPr>
              <w:t xml:space="preserve">Executed successful transition of global biosimilars business to Biocon Biologics Limited. </w:t>
            </w:r>
          </w:p>
        </w:tc>
      </w:tr>
    </w:tbl>
    <w:p>
      <w:pPr>
        <w:pStyle w:val="TextBody"/>
        <w:bidi w:val="0"/>
        <w:spacing w:before="0" w:after="0"/>
        <w:jc w:val="left"/>
        <w:rPr/>
      </w:pPr>
      <w:r>
        <w:rPr/>
        <w:t> </w:t>
      </w:r>
    </w:p>
    <w:tbl>
      <w:tblPr>
        <w:tblW w:w="9670" w:type="dxa"/>
        <w:jc w:val="left"/>
        <w:tblInd w:w="0" w:type="dxa"/>
        <w:tblLayout w:type="fixed"/>
        <w:tblCellMar>
          <w:top w:w="0" w:type="dxa"/>
          <w:left w:w="0" w:type="dxa"/>
          <w:bottom w:w="0" w:type="dxa"/>
          <w:right w:w="0" w:type="dxa"/>
        </w:tblCellMar>
      </w:tblPr>
      <w:tblGrid>
        <w:gridCol w:w="75"/>
        <w:gridCol w:w="110"/>
        <w:gridCol w:w="60"/>
        <w:gridCol w:w="9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0"/>
              <w:jc w:val="both"/>
              <w:rPr>
                <w:rFonts w:ascii="arial" w:hAnsi="arial"/>
                <w:sz w:val="18"/>
              </w:rPr>
            </w:pPr>
            <w:r>
              <w:rPr>
                <w:rFonts w:ascii="arial" w:hAnsi="arial"/>
                <w:sz w:val="18"/>
              </w:rPr>
              <w:t xml:space="preserve">Integrated Oyster Point and Famy Life Sciences acquisitions and successfully created the Viatris Eye Care Division. </w:t>
            </w:r>
          </w:p>
        </w:tc>
      </w:tr>
    </w:tbl>
    <w:p>
      <w:pPr>
        <w:pStyle w:val="TextBody"/>
        <w:bidi w:val="0"/>
        <w:spacing w:before="360" w:after="0"/>
        <w:jc w:val="both"/>
        <w:rPr>
          <w:rFonts w:ascii="arial" w:hAnsi="arial"/>
          <w:b/>
          <w:sz w:val="18"/>
        </w:rPr>
      </w:pPr>
      <w:r>
        <w:rPr>
          <w:rFonts w:ascii="arial" w:hAnsi="arial"/>
          <w:b/>
          <w:sz w:val="18"/>
        </w:rPr>
        <w:t xml:space="preserve">Our 2023 Annual Incentive Plan Payouts Aligned with Strong Financial and Operational Results and PRSUs Earned in 2024 Were Reduced Based on Our Relative Total Shareholder Return, Further Aligning Pay with Shareholder Outcomes </w:t>
      </w:r>
    </w:p>
    <w:p>
      <w:pPr>
        <w:pStyle w:val="TextBody"/>
        <w:bidi w:val="0"/>
        <w:spacing w:before="120" w:after="0"/>
        <w:jc w:val="both"/>
        <w:rPr>
          <w:rFonts w:ascii="arial" w:hAnsi="arial"/>
          <w:sz w:val="18"/>
        </w:rPr>
      </w:pPr>
      <w:r>
        <w:rPr>
          <w:rFonts w:ascii="arial" w:hAnsi="arial"/>
          <w:b/>
          <w:sz w:val="18"/>
        </w:rPr>
        <w:t>Short-term incentive compensation.</w:t>
      </w:r>
      <w:r>
        <w:rPr>
          <w:rFonts w:ascii="arial" w:hAnsi="arial"/>
          <w:sz w:val="18"/>
        </w:rPr>
        <w:t xml:space="preserve"> Comprised approximately 17% of 2023 NEO target total compensation (excluding Mr. Goettler). While we believe that Viatris stock continues to be significantly undervalued, our management team’s operational execution resulted in strong performance results and corresponding above-target payouts under the 2023 short-term incentive program. Drivers of our 2023 short-term incentive results included: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Above-target adjusted EBITDA and free cash flow for short-term incentive compensation purposes, driven by the focus and efforts of the Company’s management and the success of the Company’s cash optimization efforts. For more information on and the differences between how adjusted EBITDA and free cash flow are calculated for purposes of the Company’s 2023 short-term incentive compensation and public reporting purposes, see “Elements of 2023 Compensation – 2023 Annual Incentive Compensation Program – Annual Incentive Compensation Awards for 2023” on page 33.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Above-target global product submissions, across broad and therapeutic-area agnostic product categories, driven by the strength of the Company’s development programs and successful acceleration of certain additional submissions. </w:t>
            </w:r>
          </w:p>
        </w:tc>
      </w:tr>
    </w:tbl>
    <w:p>
      <w:pPr>
        <w:pStyle w:val="TextBody"/>
        <w:bidi w:val="0"/>
        <w:spacing w:before="240" w:after="0"/>
        <w:jc w:val="both"/>
        <w:rPr>
          <w:rFonts w:ascii="arial" w:hAnsi="arial"/>
          <w:sz w:val="18"/>
        </w:rPr>
      </w:pPr>
      <w:r>
        <w:rPr>
          <w:rFonts w:ascii="arial" w:hAnsi="arial"/>
          <w:sz w:val="18"/>
        </w:rPr>
        <w:t xml:space="preserve">The setting of the annual incentive performance metric targets was established to reflect higher expectations regarding incremental R&amp;D expense, incremental cost inflation and expectations regarding foreign exchange rates. </w:t>
      </w:r>
    </w:p>
    <w:p>
      <w:pPr>
        <w:pStyle w:val="TextBody"/>
        <w:bidi w:val="0"/>
        <w:spacing w:before="240" w:after="0"/>
        <w:jc w:val="both"/>
        <w:rPr>
          <w:rFonts w:ascii="arial" w:hAnsi="arial"/>
          <w:sz w:val="18"/>
        </w:rPr>
      </w:pPr>
      <w:r>
        <w:rPr>
          <w:rFonts w:ascii="arial" w:hAnsi="arial"/>
          <w:b/>
          <w:sz w:val="18"/>
        </w:rPr>
        <w:t xml:space="preserve">Long-term incentive compensation. </w:t>
      </w:r>
      <w:r>
        <w:rPr>
          <w:rFonts w:ascii="arial" w:hAnsi="arial"/>
          <w:sz w:val="18"/>
        </w:rPr>
        <w:t>PRSUs that vested in 2024 were subject to a free cash flow metric, a leverage metric and relative market performance metric (</w:t>
      </w:r>
      <w:r>
        <w:rPr>
          <w:rFonts w:ascii="arial" w:hAnsi="arial"/>
          <w:i/>
          <w:sz w:val="18"/>
        </w:rPr>
        <w:t>i.e.,</w:t>
      </w:r>
      <w:r>
        <w:rPr>
          <w:rFonts w:ascii="arial" w:hAnsi="arial"/>
          <w:sz w:val="18"/>
        </w:rPr>
        <w:t xml:space="preserve"> relative TSR using the S&amp;P 500 Pharmaceutical Index, which is used as a modifier to determine the final payout percentage) over a three-year time period. These awards were automatically reduced by 30% at vesting due to our stock price, which we believe is significantly undervalued. For more information on and the differences between how free cash flow and leverage ratio are calculated for purposes of long-term incentive compensation and public reporting purposes, see page 36 and Appendix 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30 </w:t>
      </w:r>
      <w:r>
        <w:br w:type="page"/>
      </w:r>
    </w:p>
    <w:p>
      <w:pPr>
        <w:pStyle w:val="HorizontalLine"/>
        <w:bidi w:val="0"/>
        <w:jc w:val="left"/>
        <w:rPr/>
      </w:pPr>
      <w:r>
        <w:rPr/>
      </w:r>
    </w:p>
    <w:p>
      <w:pPr>
        <w:pStyle w:val="TextBody"/>
        <w:bidi w:val="0"/>
        <w:spacing w:before="0" w:after="0"/>
        <w:jc w:val="left"/>
        <w:rPr>
          <w:rFonts w:ascii="arial" w:hAnsi="arial"/>
          <w:b/>
          <w:color w:val="666666"/>
          <w:sz w:val="28"/>
        </w:rPr>
      </w:pPr>
      <w:r>
        <w:rPr>
          <w:rFonts w:ascii="arial" w:hAnsi="arial"/>
          <w:b/>
          <w:color w:val="666666"/>
          <w:sz w:val="28"/>
        </w:rPr>
        <w:t xml:space="preserve">Executive Compensation Philosophy </w:t>
      </w:r>
    </w:p>
    <w:p>
      <w:pPr>
        <w:pStyle w:val="TextBody"/>
        <w:pBdr>
          <w:bottom w:val="single" w:sz="2" w:space="1" w:color="732282"/>
        </w:pBdr>
        <w:bidi w:val="0"/>
        <w:spacing w:lineRule="atLeast" w:line="142" w:before="0" w:after="40"/>
        <w:jc w:val="left"/>
        <w:rPr/>
      </w:pPr>
      <w:r>
        <w:rPr/>
        <w:t> </w:t>
      </w:r>
    </w:p>
    <w:p>
      <w:pPr>
        <w:pStyle w:val="TextBody"/>
        <w:bidi w:val="0"/>
        <w:spacing w:before="0" w:after="0"/>
        <w:jc w:val="left"/>
        <w:rPr/>
      </w:pPr>
      <w:r>
        <w:rPr/>
        <w:t> </w:t>
      </w:r>
    </w:p>
    <w:p>
      <w:pPr>
        <w:pStyle w:val="TextBody"/>
        <w:pBdr/>
        <w:bidi w:val="0"/>
        <w:spacing w:before="0" w:after="0"/>
        <w:jc w:val="both"/>
        <w:rPr>
          <w:rFonts w:ascii="ARIAL" w:hAnsi="ARIAL"/>
          <w:color w:val="3F3F3F"/>
          <w:sz w:val="18"/>
          <w:bdr w:val="single" w:sz="2" w:space="2" w:color="FEF9E5"/>
          <w:shd w:fill="FEF9E5" w:val="clear"/>
        </w:rPr>
      </w:pPr>
      <w:r>
        <w:rPr>
          <w:rFonts w:ascii="ARIAL" w:hAnsi="ARIAL"/>
          <w:color w:val="3F3F3F"/>
          <w:sz w:val="18"/>
          <w:bdr w:val="single" w:sz="2" w:space="2" w:color="FEF9E5"/>
          <w:shd w:fill="FEF9E5" w:val="clear"/>
        </w:rPr>
        <w:t xml:space="preserve">The Compensation Committee and Board’s compensation philosophy for 2023 reflects the Company’s continued focus on a performance-based, shareholder-value-focused business model and is intended to help ensure that Viatris continues to attract and retain high-performing executives given the highly competitive market for executive talent. The compensation program has the following key objectives, among others: </w:t>
      </w:r>
    </w:p>
    <w:p>
      <w:pPr>
        <w:pStyle w:val="TextBody"/>
        <w:bidi w:val="0"/>
        <w:spacing w:before="0" w:after="0"/>
        <w:jc w:val="left"/>
        <w:rPr>
          <w:bdr w:val="single" w:sz="2" w:space="2" w:color="FEF9E5"/>
          <w:shd w:fill="FEF9E5" w:val="clear"/>
        </w:rPr>
      </w:pPr>
      <w:r>
        <w:rPr>
          <w:bdr w:val="single" w:sz="2" w:space="2" w:color="FEF9E5"/>
          <w:shd w:fill="FEF9E5"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88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F3F3F"/>
              </w:rPr>
            </w:pPr>
            <w:r>
              <w:rPr>
                <w:color w:val="3F3F3F"/>
              </w:rPr>
              <w:t>•</w:t>
            </w:r>
          </w:p>
        </w:tc>
        <w:tc>
          <w:tcPr>
            <w:tcW w:w="6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0"/>
              <w:jc w:val="both"/>
              <w:rPr>
                <w:rFonts w:ascii="ARIAL" w:hAnsi="ARIAL"/>
                <w:sz w:val="18"/>
              </w:rPr>
            </w:pPr>
            <w:r>
              <w:rPr>
                <w:rFonts w:ascii="ARIAL" w:hAnsi="ARIAL"/>
                <w:b/>
                <w:color w:val="9659A1"/>
                <w:sz w:val="18"/>
              </w:rPr>
              <w:t>Attract, Motivate, and Retain Highly-Skilled Executives.</w:t>
            </w:r>
            <w:r>
              <w:rPr>
                <w:rFonts w:ascii="ARIAL" w:hAnsi="ARIAL"/>
                <w:color w:val="3F3F3F"/>
                <w:sz w:val="18"/>
              </w:rPr>
              <w:t xml:space="preserve"> To attract and retain the leaders needed to drive execution of our ambitious goals, we provided market competitive compensation with an emphasis on performance-based, long-term incentives. We designed our compensation program to help ensure that the Company, shareholders, and other stakeholders continue to benefit from the talents of our leadership team and global workforce, while also recruiting new talent on an on-going basis in a highly competitive market for talent.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FEF9E5"/>
          <w:shd w:fill="FEF9E5" w:val="clear"/>
        </w:rPr>
      </w:pPr>
      <w:r>
        <w:rPr>
          <w:bdr w:val="single" w:sz="2" w:space="2" w:color="FEF9E5"/>
          <w:shd w:fill="FEF9E5"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88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F3F3F"/>
              </w:rPr>
            </w:pPr>
            <w:r>
              <w:rPr>
                <w:color w:val="3F3F3F"/>
              </w:rPr>
              <w:t>•</w:t>
            </w:r>
          </w:p>
        </w:tc>
        <w:tc>
          <w:tcPr>
            <w:tcW w:w="6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0"/>
              <w:jc w:val="both"/>
              <w:rPr>
                <w:rFonts w:ascii="ARIAL" w:hAnsi="ARIAL"/>
                <w:sz w:val="18"/>
              </w:rPr>
            </w:pPr>
            <w:r>
              <w:rPr>
                <w:rFonts w:ascii="ARIAL" w:hAnsi="ARIAL"/>
                <w:b/>
                <w:color w:val="9659A1"/>
                <w:sz w:val="18"/>
              </w:rPr>
              <w:t>Align with Shareholder Interests.</w:t>
            </w:r>
            <w:r>
              <w:rPr>
                <w:rFonts w:ascii="ARIAL" w:hAnsi="ARIAL"/>
                <w:color w:val="3F3F3F"/>
                <w:sz w:val="18"/>
              </w:rPr>
              <w:t xml:space="preserve"> We aligned executive compensation with shareholder interests by linking pay to the Company’s stated strategic priorities, long-term performance, and share price appreciation, including through the use of a relative TSR modifier for PRSUs in our long-term incentive plan and robust share ownership requirements. We believe this linkage helps drive long-term performance and encourages decision making to foster share price appreciation.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FEF9E5"/>
          <w:shd w:fill="FEF9E5" w:val="clear"/>
        </w:rPr>
      </w:pPr>
      <w:r>
        <w:rPr>
          <w:bdr w:val="single" w:sz="2" w:space="2" w:color="FEF9E5"/>
          <w:shd w:fill="FEF9E5"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88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F3F3F"/>
              </w:rPr>
            </w:pPr>
            <w:r>
              <w:rPr>
                <w:color w:val="3F3F3F"/>
              </w:rPr>
              <w:t>•</w:t>
            </w:r>
          </w:p>
        </w:tc>
        <w:tc>
          <w:tcPr>
            <w:tcW w:w="6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0"/>
              <w:jc w:val="both"/>
              <w:rPr>
                <w:rFonts w:ascii="ARIAL" w:hAnsi="ARIAL"/>
                <w:sz w:val="18"/>
              </w:rPr>
            </w:pPr>
            <w:r>
              <w:rPr>
                <w:rFonts w:ascii="ARIAL" w:hAnsi="ARIAL"/>
                <w:b/>
                <w:color w:val="9659A1"/>
                <w:sz w:val="18"/>
              </w:rPr>
              <w:t>Drive Company Performance.</w:t>
            </w:r>
            <w:r>
              <w:rPr>
                <w:rFonts w:ascii="ARIAL" w:hAnsi="ARIAL"/>
                <w:color w:val="3F3F3F"/>
                <w:sz w:val="18"/>
              </w:rPr>
              <w:t xml:space="preserve"> As described in more detail on pages 27 to 28 and 31 to 37, our 2023 compensation program was designed with metrics carefully linked to our business strategies and financial goals. If the Company does not meet its short- and long-term objectives, executive pay is meaningfully impacted.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b/>
          <w:color w:val="666666"/>
          <w:sz w:val="28"/>
        </w:rPr>
      </w:pPr>
      <w:r>
        <w:rPr>
          <w:rFonts w:ascii="arial" w:hAnsi="arial"/>
          <w:b/>
          <w:color w:val="666666"/>
          <w:sz w:val="28"/>
        </w:rPr>
        <w:t xml:space="preserve">2023 Performance-Based Compensation Program </w:t>
      </w:r>
    </w:p>
    <w:p>
      <w:pPr>
        <w:pStyle w:val="TextBody"/>
        <w:pBdr>
          <w:bottom w:val="single" w:sz="2" w:space="1" w:color="732282"/>
        </w:pBdr>
        <w:bidi w:val="0"/>
        <w:spacing w:lineRule="atLeast" w:line="142" w:before="0" w:after="40"/>
        <w:jc w:val="left"/>
        <w:rPr/>
      </w:pPr>
      <w:r>
        <w:rPr/>
        <w:t> </w:t>
      </w:r>
    </w:p>
    <w:p>
      <w:pPr>
        <w:pStyle w:val="TextBody"/>
        <w:bidi w:val="0"/>
        <w:spacing w:before="120" w:after="0"/>
        <w:jc w:val="left"/>
        <w:rPr>
          <w:rFonts w:ascii="ARIAL" w:hAnsi="ARIAL"/>
          <w:b/>
          <w:sz w:val="20"/>
        </w:rPr>
      </w:pPr>
      <w:r>
        <w:rPr>
          <w:rFonts w:ascii="ARIAL" w:hAnsi="ARIAL"/>
          <w:b/>
          <w:sz w:val="20"/>
        </w:rPr>
        <w:t xml:space="preserve">2023 Total Target Compensation </w:t>
      </w:r>
    </w:p>
    <w:p>
      <w:pPr>
        <w:pStyle w:val="TextBody"/>
        <w:bidi w:val="0"/>
        <w:spacing w:before="120" w:after="0"/>
        <w:jc w:val="both"/>
        <w:rPr>
          <w:rFonts w:ascii="arial" w:hAnsi="arial"/>
          <w:sz w:val="18"/>
        </w:rPr>
      </w:pPr>
      <w:r>
        <w:rPr>
          <w:rFonts w:ascii="arial" w:hAnsi="arial"/>
          <w:sz w:val="18"/>
        </w:rPr>
        <w:t xml:space="preserve">The chart below shows the target total direct compensation opportunity for each of our NEOs in 2023. </w:t>
      </w:r>
    </w:p>
    <w:p>
      <w:pPr>
        <w:pStyle w:val="TextBody"/>
        <w:bidi w:val="0"/>
        <w:spacing w:before="0" w:after="0"/>
        <w:jc w:val="left"/>
        <w:rPr/>
      </w:pPr>
      <w:r>
        <w:rPr/>
        <w:t> </w:t>
      </w:r>
    </w:p>
    <w:tbl>
      <w:tblPr>
        <w:tblW w:w="7479" w:type="dxa"/>
        <w:jc w:val="left"/>
        <w:tblInd w:w="0" w:type="dxa"/>
        <w:tblLayout w:type="fixed"/>
        <w:tblCellMar>
          <w:top w:w="0" w:type="dxa"/>
          <w:left w:w="0" w:type="dxa"/>
          <w:bottom w:w="0" w:type="dxa"/>
          <w:right w:w="0" w:type="dxa"/>
        </w:tblCellMar>
      </w:tblPr>
      <w:tblGrid>
        <w:gridCol w:w="1655"/>
        <w:gridCol w:w="120"/>
        <w:gridCol w:w="60"/>
        <w:gridCol w:w="1100"/>
        <w:gridCol w:w="60"/>
        <w:gridCol w:w="120"/>
        <w:gridCol w:w="60"/>
        <w:gridCol w:w="1100"/>
        <w:gridCol w:w="60"/>
        <w:gridCol w:w="120"/>
        <w:gridCol w:w="60"/>
        <w:gridCol w:w="1220"/>
        <w:gridCol w:w="60"/>
        <w:gridCol w:w="120"/>
        <w:gridCol w:w="69"/>
        <w:gridCol w:w="1420"/>
        <w:gridCol w:w="75"/>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bottom w:val="single" w:sz="8" w:space="0" w:color="732282"/>
            </w:tcBorders>
            <w:tcMar>
              <w:bottom w:w="28" w:type="dxa"/>
            </w:tcMar>
            <w:vAlign w:val="center"/>
          </w:tcPr>
          <w:p>
            <w:pPr>
              <w:pStyle w:val="TableContents"/>
              <w:bidi w:val="0"/>
              <w:spacing w:before="0" w:after="0"/>
              <w:jc w:val="left"/>
              <w:rPr>
                <w:rFonts w:ascii="ARIAL" w:hAnsi="ARIAL"/>
                <w:b/>
                <w:color w:val="732282"/>
                <w:sz w:val="18"/>
              </w:rPr>
            </w:pPr>
            <w:r>
              <w:rPr>
                <w:rFonts w:ascii="ARIAL" w:hAnsi="ARIAL"/>
                <w:b/>
                <w:color w:val="732282"/>
                <w:sz w:val="18"/>
              </w:rPr>
              <w:t>NEO</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732282"/>
            </w:tcBorders>
            <w:tcMar>
              <w:bottom w:w="28" w:type="dxa"/>
            </w:tcMar>
            <w:vAlign w:val="center"/>
          </w:tcPr>
          <w:p>
            <w:pPr>
              <w:pStyle w:val="TableContents"/>
              <w:bidi w:val="0"/>
              <w:spacing w:before="0" w:after="0"/>
              <w:jc w:val="center"/>
              <w:rPr>
                <w:rFonts w:ascii="ARIAL" w:hAnsi="ARIAL"/>
                <w:b/>
                <w:color w:val="732282"/>
                <w:sz w:val="18"/>
              </w:rPr>
            </w:pPr>
            <w:r>
              <w:rPr>
                <w:rFonts w:ascii="ARIAL" w:hAnsi="ARIAL"/>
                <w:b/>
                <w:color w:val="732282"/>
                <w:sz w:val="18"/>
              </w:rPr>
              <w:t>Base</w:t>
            </w:r>
          </w:p>
          <w:p>
            <w:pPr>
              <w:pStyle w:val="TableContents"/>
              <w:bidi w:val="0"/>
              <w:spacing w:before="0" w:after="20"/>
              <w:jc w:val="center"/>
              <w:rPr>
                <w:rFonts w:ascii="ARIAL" w:hAnsi="ARIAL"/>
                <w:b/>
                <w:color w:val="732282"/>
                <w:sz w:val="18"/>
              </w:rPr>
            </w:pPr>
            <w:r>
              <w:rPr>
                <w:rFonts w:ascii="ARIAL" w:hAnsi="ARIAL"/>
                <w:b/>
                <w:color w:val="732282"/>
                <w:sz w:val="18"/>
              </w:rPr>
              <w:t>Salary</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732282"/>
            </w:tcBorders>
            <w:tcMar>
              <w:bottom w:w="28" w:type="dxa"/>
            </w:tcMar>
            <w:vAlign w:val="center"/>
          </w:tcPr>
          <w:p>
            <w:pPr>
              <w:pStyle w:val="TableContents"/>
              <w:bidi w:val="0"/>
              <w:spacing w:before="0" w:after="0"/>
              <w:jc w:val="center"/>
              <w:rPr>
                <w:rFonts w:ascii="ARIAL" w:hAnsi="ARIAL"/>
                <w:b/>
                <w:color w:val="732282"/>
                <w:sz w:val="18"/>
              </w:rPr>
            </w:pPr>
            <w:r>
              <w:rPr>
                <w:rFonts w:ascii="ARIAL" w:hAnsi="ARIAL"/>
                <w:b/>
                <w:color w:val="732282"/>
                <w:sz w:val="18"/>
              </w:rPr>
              <w:t>Target</w:t>
            </w:r>
          </w:p>
          <w:p>
            <w:pPr>
              <w:pStyle w:val="TableContents"/>
              <w:bidi w:val="0"/>
              <w:spacing w:before="0" w:after="20"/>
              <w:jc w:val="center"/>
              <w:rPr>
                <w:rFonts w:ascii="ARIAL" w:hAnsi="ARIAL"/>
                <w:b/>
                <w:color w:val="732282"/>
                <w:sz w:val="18"/>
              </w:rPr>
            </w:pPr>
            <w:r>
              <w:rPr>
                <w:rFonts w:ascii="ARIAL" w:hAnsi="ARIAL"/>
                <w:b/>
                <w:color w:val="732282"/>
                <w:sz w:val="18"/>
              </w:rPr>
              <w:t>Annual</w:t>
              <w:br/>
              <w:t>Incentive</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280" w:type="dxa"/>
            <w:gridSpan w:val="2"/>
            <w:tcBorders>
              <w:bottom w:val="single" w:sz="8" w:space="0" w:color="732282"/>
            </w:tcBorders>
            <w:tcMar>
              <w:bottom w:w="28" w:type="dxa"/>
            </w:tcMar>
            <w:vAlign w:val="center"/>
          </w:tcPr>
          <w:p>
            <w:pPr>
              <w:pStyle w:val="TableContents"/>
              <w:bidi w:val="0"/>
              <w:spacing w:before="0" w:after="0"/>
              <w:jc w:val="center"/>
              <w:rPr>
                <w:rFonts w:ascii="ARIAL" w:hAnsi="ARIAL"/>
                <w:b/>
                <w:color w:val="732282"/>
                <w:sz w:val="18"/>
              </w:rPr>
            </w:pPr>
            <w:r>
              <w:rPr>
                <w:rFonts w:ascii="ARIAL" w:hAnsi="ARIAL"/>
                <w:b/>
                <w:color w:val="732282"/>
                <w:sz w:val="18"/>
              </w:rPr>
              <w:t>Target</w:t>
            </w:r>
          </w:p>
          <w:p>
            <w:pPr>
              <w:pStyle w:val="TableContents"/>
              <w:bidi w:val="0"/>
              <w:spacing w:before="0" w:after="20"/>
              <w:jc w:val="center"/>
              <w:rPr>
                <w:rFonts w:ascii="ARIAL" w:hAnsi="ARIAL"/>
                <w:b/>
                <w:color w:val="732282"/>
                <w:sz w:val="18"/>
              </w:rPr>
            </w:pPr>
            <w:r>
              <w:rPr>
                <w:rFonts w:ascii="ARIAL" w:hAnsi="ARIAL"/>
                <w:b/>
                <w:color w:val="732282"/>
                <w:sz w:val="18"/>
              </w:rPr>
              <w:t>Long-Term</w:t>
              <w:br/>
              <w:t>Incentive</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489" w:type="dxa"/>
            <w:gridSpan w:val="2"/>
            <w:tcBorders>
              <w:bottom w:val="single" w:sz="8" w:space="0" w:color="732282"/>
            </w:tcBorders>
            <w:tcMar>
              <w:bottom w:w="28" w:type="dxa"/>
            </w:tcMar>
            <w:vAlign w:val="center"/>
          </w:tcPr>
          <w:p>
            <w:pPr>
              <w:pStyle w:val="TableContents"/>
              <w:bidi w:val="0"/>
              <w:spacing w:before="0" w:after="0"/>
              <w:jc w:val="center"/>
              <w:rPr>
                <w:rFonts w:ascii="ARIAL" w:hAnsi="ARIAL"/>
                <w:b/>
                <w:color w:val="732282"/>
                <w:sz w:val="18"/>
              </w:rPr>
            </w:pPr>
            <w:r>
              <w:rPr>
                <w:rFonts w:ascii="ARIAL" w:hAnsi="ARIAL"/>
                <w:b/>
                <w:color w:val="732282"/>
                <w:sz w:val="18"/>
              </w:rPr>
              <w:t>2023 Total</w:t>
            </w:r>
          </w:p>
          <w:p>
            <w:pPr>
              <w:pStyle w:val="TableContents"/>
              <w:bidi w:val="0"/>
              <w:spacing w:before="0" w:after="20"/>
              <w:jc w:val="center"/>
              <w:rPr>
                <w:rFonts w:ascii="ARIAL" w:hAnsi="ARIAL"/>
                <w:b/>
                <w:color w:val="732282"/>
                <w:sz w:val="18"/>
              </w:rPr>
            </w:pPr>
            <w:r>
              <w:rPr>
                <w:rFonts w:ascii="ARIAL" w:hAnsi="ARIAL"/>
                <w:b/>
                <w:color w:val="732282"/>
                <w:sz w:val="18"/>
              </w:rPr>
              <w:t>Target</w:t>
              <w:br/>
              <w:t>Compensation(1)</w:t>
            </w:r>
          </w:p>
        </w:tc>
        <w:tc>
          <w:tcPr>
            <w:tcW w:w="75" w:type="dxa"/>
            <w:tcBorders>
              <w:bottom w:val="single" w:sz="8" w:space="0" w:color="732282"/>
            </w:tcBorders>
            <w:tcMar>
              <w:bottom w:w="28" w:type="dxa"/>
            </w:tcMar>
            <w:vAlign w:val="center"/>
          </w:tcPr>
          <w:p>
            <w:pPr>
              <w:pStyle w:val="TableContents"/>
              <w:bidi w:val="0"/>
              <w:spacing w:before="0" w:after="283"/>
              <w:jc w:val="left"/>
              <w:rPr/>
            </w:pPr>
            <w:r>
              <w:rPr/>
              <w:t> </w:t>
            </w:r>
          </w:p>
        </w:tc>
      </w:tr>
      <w:tr>
        <w:trPr/>
        <w:tc>
          <w:tcPr>
            <w:tcW w:w="1655" w:type="dxa"/>
            <w:tcBorders/>
            <w:shd w:fill="E5E5E5" w:val="clear"/>
            <w:vAlign w:val="center"/>
          </w:tcPr>
          <w:p>
            <w:pPr>
              <w:pStyle w:val="TableContents"/>
              <w:bidi w:val="0"/>
              <w:spacing w:before="0" w:after="283"/>
              <w:jc w:val="left"/>
              <w:rPr>
                <w:sz w:val="4"/>
                <w:szCs w:val="4"/>
              </w:rPr>
            </w:pPr>
            <w:r>
              <w:rPr>
                <w:sz w:val="4"/>
                <w:szCs w:val="4"/>
              </w:rPr>
            </w:r>
          </w:p>
        </w:tc>
        <w:tc>
          <w:tcPr>
            <w:tcW w:w="1340" w:type="dxa"/>
            <w:gridSpan w:val="4"/>
            <w:tcBorders/>
            <w:shd w:fill="E5E5E5" w:val="clear"/>
            <w:vAlign w:val="center"/>
          </w:tcPr>
          <w:p>
            <w:pPr>
              <w:pStyle w:val="TableContents"/>
              <w:bidi w:val="0"/>
              <w:spacing w:before="0" w:after="283"/>
              <w:jc w:val="left"/>
              <w:rPr>
                <w:sz w:val="4"/>
                <w:szCs w:val="4"/>
              </w:rPr>
            </w:pPr>
            <w:r>
              <w:rPr>
                <w:sz w:val="4"/>
                <w:szCs w:val="4"/>
              </w:rPr>
            </w:r>
          </w:p>
        </w:tc>
        <w:tc>
          <w:tcPr>
            <w:tcW w:w="1340" w:type="dxa"/>
            <w:gridSpan w:val="4"/>
            <w:tcBorders/>
            <w:shd w:fill="E5E5E5" w:val="clear"/>
            <w:vAlign w:val="center"/>
          </w:tcPr>
          <w:p>
            <w:pPr>
              <w:pStyle w:val="TableContents"/>
              <w:bidi w:val="0"/>
              <w:spacing w:before="0" w:after="283"/>
              <w:jc w:val="left"/>
              <w:rPr>
                <w:sz w:val="4"/>
                <w:szCs w:val="4"/>
              </w:rPr>
            </w:pPr>
            <w:r>
              <w:rPr>
                <w:sz w:val="4"/>
                <w:szCs w:val="4"/>
              </w:rPr>
            </w:r>
          </w:p>
        </w:tc>
        <w:tc>
          <w:tcPr>
            <w:tcW w:w="1460" w:type="dxa"/>
            <w:gridSpan w:val="4"/>
            <w:tcBorders/>
            <w:shd w:fill="E5E5E5" w:val="clear"/>
            <w:vAlign w:val="center"/>
          </w:tcPr>
          <w:p>
            <w:pPr>
              <w:pStyle w:val="TableContents"/>
              <w:bidi w:val="0"/>
              <w:spacing w:before="0" w:after="283"/>
              <w:jc w:val="left"/>
              <w:rPr>
                <w:sz w:val="4"/>
                <w:szCs w:val="4"/>
              </w:rPr>
            </w:pPr>
            <w:r>
              <w:rPr>
                <w:sz w:val="4"/>
                <w:szCs w:val="4"/>
              </w:rPr>
            </w:r>
          </w:p>
        </w:tc>
        <w:tc>
          <w:tcPr>
            <w:tcW w:w="1684"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1655" w:type="dxa"/>
            <w:tcBorders/>
            <w:shd w:fill="E5E5E5" w:val="clear"/>
            <w:vAlign w:val="center"/>
          </w:tcPr>
          <w:p>
            <w:pPr>
              <w:pStyle w:val="TableContents"/>
              <w:bidi w:val="0"/>
              <w:spacing w:before="0" w:after="0"/>
              <w:jc w:val="left"/>
              <w:rPr>
                <w:rFonts w:ascii="ARIAL" w:hAnsi="ARIAL"/>
                <w:b/>
                <w:sz w:val="18"/>
              </w:rPr>
            </w:pPr>
            <w:r>
              <w:rPr>
                <w:rFonts w:ascii="ARIAL" w:hAnsi="ARIAL"/>
                <w:b/>
                <w:sz w:val="18"/>
              </w:rPr>
              <w:t>Scott A. Smith(2)</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$1,400,000</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$2,100,000</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$11,200,000</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9" w:type="dxa"/>
            <w:tcBorders/>
            <w:shd w:fill="E5E5E5" w:val="clear"/>
            <w:vAlign w:val="center"/>
          </w:tcPr>
          <w:p>
            <w:pPr>
              <w:pStyle w:val="TableContents"/>
              <w:bidi w:val="0"/>
              <w:spacing w:before="0" w:after="283"/>
              <w:jc w:val="left"/>
              <w:rPr/>
            </w:pPr>
            <w:r>
              <w:rPr/>
              <w:t> </w:t>
            </w:r>
          </w:p>
        </w:tc>
        <w:tc>
          <w:tcPr>
            <w:tcW w:w="1420" w:type="dxa"/>
            <w:tcBorders/>
            <w:shd w:fill="E5E5E5" w:val="clear"/>
            <w:vAlign w:val="center"/>
          </w:tcPr>
          <w:p>
            <w:pPr>
              <w:pStyle w:val="TableContents"/>
              <w:bidi w:val="0"/>
              <w:spacing w:before="0" w:after="283"/>
              <w:jc w:val="right"/>
              <w:rPr/>
            </w:pPr>
            <w:r>
              <w:rPr/>
              <w:t>$14,700,000</w:t>
            </w:r>
          </w:p>
        </w:tc>
        <w:tc>
          <w:tcPr>
            <w:tcW w:w="75" w:type="dxa"/>
            <w:tcBorders/>
            <w:shd w:fill="E5E5E5"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684" w:type="dxa"/>
            <w:gridSpan w:val="4"/>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ARIAL" w:hAnsi="ARIAL"/>
                <w:b/>
                <w:sz w:val="18"/>
              </w:rPr>
            </w:pPr>
            <w:r>
              <w:rPr>
                <w:rFonts w:ascii="ARIAL" w:hAnsi="ARIAL"/>
                <w:b/>
                <w:sz w:val="18"/>
              </w:rPr>
              <w:t>Rajiv Malik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$7,800,000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20" w:type="dxa"/>
            <w:tcBorders/>
            <w:vAlign w:val="center"/>
          </w:tcPr>
          <w:p>
            <w:pPr>
              <w:pStyle w:val="TableContents"/>
              <w:bidi w:val="0"/>
              <w:spacing w:before="0" w:after="283"/>
              <w:jc w:val="right"/>
              <w:rPr/>
            </w:pPr>
            <w:r>
              <w:rPr/>
              <w:t>$10,725,000</w:t>
            </w:r>
          </w:p>
        </w:tc>
        <w:tc>
          <w:tcPr>
            <w:tcW w:w="75" w:type="dxa"/>
            <w:tcBorders/>
            <w:vAlign w:val="center"/>
          </w:tcPr>
          <w:p>
            <w:pPr>
              <w:pStyle w:val="TableContents"/>
              <w:bidi w:val="0"/>
              <w:spacing w:before="0" w:after="283"/>
              <w:jc w:val="left"/>
              <w:rPr/>
            </w:pPr>
            <w:r>
              <w:rPr/>
              <w:t> </w:t>
            </w:r>
          </w:p>
        </w:tc>
      </w:tr>
      <w:tr>
        <w:trPr/>
        <w:tc>
          <w:tcPr>
            <w:tcW w:w="1655" w:type="dxa"/>
            <w:tcBorders/>
            <w:shd w:fill="E5E5E5" w:val="clear"/>
            <w:vAlign w:val="center"/>
          </w:tcPr>
          <w:p>
            <w:pPr>
              <w:pStyle w:val="TableContents"/>
              <w:bidi w:val="0"/>
              <w:spacing w:before="0" w:after="283"/>
              <w:jc w:val="left"/>
              <w:rPr>
                <w:sz w:val="4"/>
                <w:szCs w:val="4"/>
              </w:rPr>
            </w:pPr>
            <w:r>
              <w:rPr>
                <w:sz w:val="4"/>
                <w:szCs w:val="4"/>
              </w:rPr>
            </w:r>
          </w:p>
        </w:tc>
        <w:tc>
          <w:tcPr>
            <w:tcW w:w="1340" w:type="dxa"/>
            <w:gridSpan w:val="4"/>
            <w:tcBorders/>
            <w:shd w:fill="E5E5E5" w:val="clear"/>
            <w:vAlign w:val="center"/>
          </w:tcPr>
          <w:p>
            <w:pPr>
              <w:pStyle w:val="TableContents"/>
              <w:bidi w:val="0"/>
              <w:spacing w:before="0" w:after="283"/>
              <w:jc w:val="left"/>
              <w:rPr>
                <w:sz w:val="4"/>
                <w:szCs w:val="4"/>
              </w:rPr>
            </w:pPr>
            <w:r>
              <w:rPr>
                <w:sz w:val="4"/>
                <w:szCs w:val="4"/>
              </w:rPr>
            </w:r>
          </w:p>
        </w:tc>
        <w:tc>
          <w:tcPr>
            <w:tcW w:w="1340" w:type="dxa"/>
            <w:gridSpan w:val="4"/>
            <w:tcBorders/>
            <w:shd w:fill="E5E5E5" w:val="clear"/>
            <w:vAlign w:val="center"/>
          </w:tcPr>
          <w:p>
            <w:pPr>
              <w:pStyle w:val="TableContents"/>
              <w:bidi w:val="0"/>
              <w:spacing w:before="0" w:after="283"/>
              <w:jc w:val="left"/>
              <w:rPr>
                <w:sz w:val="4"/>
                <w:szCs w:val="4"/>
              </w:rPr>
            </w:pPr>
            <w:r>
              <w:rPr>
                <w:sz w:val="4"/>
                <w:szCs w:val="4"/>
              </w:rPr>
            </w:r>
          </w:p>
        </w:tc>
        <w:tc>
          <w:tcPr>
            <w:tcW w:w="1460" w:type="dxa"/>
            <w:gridSpan w:val="4"/>
            <w:tcBorders/>
            <w:shd w:fill="E5E5E5" w:val="clear"/>
            <w:vAlign w:val="center"/>
          </w:tcPr>
          <w:p>
            <w:pPr>
              <w:pStyle w:val="TableContents"/>
              <w:bidi w:val="0"/>
              <w:spacing w:before="0" w:after="283"/>
              <w:jc w:val="left"/>
              <w:rPr>
                <w:sz w:val="4"/>
                <w:szCs w:val="4"/>
              </w:rPr>
            </w:pPr>
            <w:r>
              <w:rPr>
                <w:sz w:val="4"/>
                <w:szCs w:val="4"/>
              </w:rPr>
            </w:r>
          </w:p>
        </w:tc>
        <w:tc>
          <w:tcPr>
            <w:tcW w:w="1684"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1655" w:type="dxa"/>
            <w:tcBorders/>
            <w:shd w:fill="E5E5E5" w:val="clear"/>
            <w:vAlign w:val="center"/>
          </w:tcPr>
          <w:p>
            <w:pPr>
              <w:pStyle w:val="TableContents"/>
              <w:bidi w:val="0"/>
              <w:spacing w:before="0" w:after="0"/>
              <w:jc w:val="left"/>
              <w:rPr>
                <w:rFonts w:ascii="ARIAL" w:hAnsi="ARIAL"/>
                <w:b/>
                <w:sz w:val="18"/>
              </w:rPr>
            </w:pPr>
            <w:r>
              <w:rPr>
                <w:rFonts w:ascii="ARIAL" w:hAnsi="ARIAL"/>
                <w:b/>
                <w:sz w:val="18"/>
              </w:rPr>
              <w:t>Sanjeev Narula</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$925,000</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$925,000</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$3,700,000</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9" w:type="dxa"/>
            <w:tcBorders/>
            <w:shd w:fill="E5E5E5" w:val="clear"/>
            <w:vAlign w:val="center"/>
          </w:tcPr>
          <w:p>
            <w:pPr>
              <w:pStyle w:val="TableContents"/>
              <w:bidi w:val="0"/>
              <w:spacing w:before="0" w:after="283"/>
              <w:jc w:val="left"/>
              <w:rPr/>
            </w:pPr>
            <w:r>
              <w:rPr/>
              <w:t> </w:t>
            </w:r>
          </w:p>
        </w:tc>
        <w:tc>
          <w:tcPr>
            <w:tcW w:w="1420" w:type="dxa"/>
            <w:tcBorders/>
            <w:shd w:fill="E5E5E5" w:val="clear"/>
            <w:vAlign w:val="center"/>
          </w:tcPr>
          <w:p>
            <w:pPr>
              <w:pStyle w:val="TableContents"/>
              <w:bidi w:val="0"/>
              <w:spacing w:before="0" w:after="283"/>
              <w:jc w:val="right"/>
              <w:rPr/>
            </w:pPr>
            <w:r>
              <w:rPr/>
              <w:t>$5,550,000</w:t>
            </w:r>
          </w:p>
        </w:tc>
        <w:tc>
          <w:tcPr>
            <w:tcW w:w="75" w:type="dxa"/>
            <w:tcBorders/>
            <w:shd w:fill="E5E5E5"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684" w:type="dxa"/>
            <w:gridSpan w:val="4"/>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ARIAL" w:hAnsi="ARIAL"/>
                <w:b/>
                <w:sz w:val="18"/>
              </w:rPr>
            </w:pPr>
            <w:r>
              <w:rPr>
                <w:rFonts w:ascii="ARIAL" w:hAnsi="ARIAL"/>
                <w:b/>
                <w:sz w:val="18"/>
              </w:rPr>
              <w:t>Anthony Mauro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$860,000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$989,000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$3,440,000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20" w:type="dxa"/>
            <w:tcBorders/>
            <w:vAlign w:val="center"/>
          </w:tcPr>
          <w:p>
            <w:pPr>
              <w:pStyle w:val="TableContents"/>
              <w:bidi w:val="0"/>
              <w:spacing w:before="0" w:after="283"/>
              <w:jc w:val="right"/>
              <w:rPr/>
            </w:pPr>
            <w:r>
              <w:rPr/>
              <w:t>$5,289,000</w:t>
            </w:r>
          </w:p>
        </w:tc>
        <w:tc>
          <w:tcPr>
            <w:tcW w:w="75" w:type="dxa"/>
            <w:tcBorders/>
            <w:vAlign w:val="center"/>
          </w:tcPr>
          <w:p>
            <w:pPr>
              <w:pStyle w:val="TableContents"/>
              <w:bidi w:val="0"/>
              <w:spacing w:before="0" w:after="283"/>
              <w:jc w:val="left"/>
              <w:rPr/>
            </w:pPr>
            <w:r>
              <w:rPr/>
              <w:t> </w:t>
            </w:r>
          </w:p>
        </w:tc>
      </w:tr>
      <w:tr>
        <w:trPr/>
        <w:tc>
          <w:tcPr>
            <w:tcW w:w="1655" w:type="dxa"/>
            <w:tcBorders/>
            <w:shd w:fill="E5E5E5" w:val="clear"/>
            <w:vAlign w:val="center"/>
          </w:tcPr>
          <w:p>
            <w:pPr>
              <w:pStyle w:val="TableContents"/>
              <w:bidi w:val="0"/>
              <w:spacing w:before="0" w:after="283"/>
              <w:jc w:val="left"/>
              <w:rPr>
                <w:sz w:val="4"/>
                <w:szCs w:val="4"/>
              </w:rPr>
            </w:pPr>
            <w:r>
              <w:rPr>
                <w:sz w:val="4"/>
                <w:szCs w:val="4"/>
              </w:rPr>
            </w:r>
          </w:p>
        </w:tc>
        <w:tc>
          <w:tcPr>
            <w:tcW w:w="1340" w:type="dxa"/>
            <w:gridSpan w:val="4"/>
            <w:tcBorders/>
            <w:shd w:fill="E5E5E5" w:val="clear"/>
            <w:vAlign w:val="center"/>
          </w:tcPr>
          <w:p>
            <w:pPr>
              <w:pStyle w:val="TableContents"/>
              <w:bidi w:val="0"/>
              <w:spacing w:before="0" w:after="283"/>
              <w:jc w:val="left"/>
              <w:rPr>
                <w:sz w:val="4"/>
                <w:szCs w:val="4"/>
              </w:rPr>
            </w:pPr>
            <w:r>
              <w:rPr>
                <w:sz w:val="4"/>
                <w:szCs w:val="4"/>
              </w:rPr>
            </w:r>
          </w:p>
        </w:tc>
        <w:tc>
          <w:tcPr>
            <w:tcW w:w="1340" w:type="dxa"/>
            <w:gridSpan w:val="4"/>
            <w:tcBorders/>
            <w:shd w:fill="E5E5E5" w:val="clear"/>
            <w:vAlign w:val="center"/>
          </w:tcPr>
          <w:p>
            <w:pPr>
              <w:pStyle w:val="TableContents"/>
              <w:bidi w:val="0"/>
              <w:spacing w:before="0" w:after="283"/>
              <w:jc w:val="left"/>
              <w:rPr>
                <w:sz w:val="4"/>
                <w:szCs w:val="4"/>
              </w:rPr>
            </w:pPr>
            <w:r>
              <w:rPr>
                <w:sz w:val="4"/>
                <w:szCs w:val="4"/>
              </w:rPr>
            </w:r>
          </w:p>
        </w:tc>
        <w:tc>
          <w:tcPr>
            <w:tcW w:w="1460" w:type="dxa"/>
            <w:gridSpan w:val="4"/>
            <w:tcBorders/>
            <w:shd w:fill="E5E5E5" w:val="clear"/>
            <w:vAlign w:val="center"/>
          </w:tcPr>
          <w:p>
            <w:pPr>
              <w:pStyle w:val="TableContents"/>
              <w:bidi w:val="0"/>
              <w:spacing w:before="0" w:after="283"/>
              <w:jc w:val="left"/>
              <w:rPr>
                <w:sz w:val="4"/>
                <w:szCs w:val="4"/>
              </w:rPr>
            </w:pPr>
            <w:r>
              <w:rPr>
                <w:sz w:val="4"/>
                <w:szCs w:val="4"/>
              </w:rPr>
            </w:r>
          </w:p>
        </w:tc>
        <w:tc>
          <w:tcPr>
            <w:tcW w:w="1684"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1655" w:type="dxa"/>
            <w:tcBorders/>
            <w:shd w:fill="E5E5E5" w:val="clear"/>
            <w:vAlign w:val="center"/>
          </w:tcPr>
          <w:p>
            <w:pPr>
              <w:pStyle w:val="TableContents"/>
              <w:bidi w:val="0"/>
              <w:spacing w:before="0" w:after="0"/>
              <w:jc w:val="left"/>
              <w:rPr>
                <w:rFonts w:ascii="ARIAL" w:hAnsi="ARIAL"/>
                <w:b/>
                <w:sz w:val="18"/>
              </w:rPr>
            </w:pPr>
            <w:r>
              <w:rPr>
                <w:rFonts w:ascii="ARIAL" w:hAnsi="ARIAL"/>
                <w:b/>
                <w:sz w:val="18"/>
              </w:rPr>
              <w:t>Brian Roman</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$800,000</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$800,000</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$1,600,000</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9" w:type="dxa"/>
            <w:tcBorders/>
            <w:shd w:fill="E5E5E5" w:val="clear"/>
            <w:vAlign w:val="center"/>
          </w:tcPr>
          <w:p>
            <w:pPr>
              <w:pStyle w:val="TableContents"/>
              <w:bidi w:val="0"/>
              <w:spacing w:before="0" w:after="283"/>
              <w:jc w:val="left"/>
              <w:rPr/>
            </w:pPr>
            <w:r>
              <w:rPr/>
              <w:t> </w:t>
            </w:r>
          </w:p>
        </w:tc>
        <w:tc>
          <w:tcPr>
            <w:tcW w:w="1420" w:type="dxa"/>
            <w:tcBorders/>
            <w:shd w:fill="E5E5E5" w:val="clear"/>
            <w:vAlign w:val="center"/>
          </w:tcPr>
          <w:p>
            <w:pPr>
              <w:pStyle w:val="TableContents"/>
              <w:bidi w:val="0"/>
              <w:spacing w:before="0" w:after="283"/>
              <w:jc w:val="right"/>
              <w:rPr/>
            </w:pPr>
            <w:r>
              <w:rPr/>
              <w:t>$3,200,000</w:t>
            </w:r>
          </w:p>
        </w:tc>
        <w:tc>
          <w:tcPr>
            <w:tcW w:w="75" w:type="dxa"/>
            <w:tcBorders/>
            <w:shd w:fill="E5E5E5"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684" w:type="dxa"/>
            <w:gridSpan w:val="4"/>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ARIAL" w:hAnsi="ARIAL"/>
                <w:b/>
                <w:sz w:val="18"/>
              </w:rPr>
            </w:pPr>
            <w:r>
              <w:rPr>
                <w:rFonts w:ascii="ARIAL" w:hAnsi="ARIAL"/>
                <w:b/>
                <w:sz w:val="18"/>
              </w:rPr>
              <w:t>Michael Goettler(2)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20" w:type="dxa"/>
            <w:tcBorders/>
            <w:vAlign w:val="center"/>
          </w:tcPr>
          <w:p>
            <w:pPr>
              <w:pStyle w:val="TableContents"/>
              <w:bidi w:val="0"/>
              <w:spacing w:before="0" w:after="283"/>
              <w:jc w:val="right"/>
              <w:rPr/>
            </w:pPr>
            <w:r>
              <w:rPr/>
              <w:t>$3,250,000</w:t>
            </w:r>
          </w:p>
        </w:tc>
        <w:tc>
          <w:tcPr>
            <w:tcW w:w="75" w:type="dxa"/>
            <w:tcBorders/>
            <w:vAlign w:val="center"/>
          </w:tcPr>
          <w:p>
            <w:pPr>
              <w:pStyle w:val="TableContents"/>
              <w:bidi w:val="0"/>
              <w:spacing w:before="0" w:after="283"/>
              <w:jc w:val="left"/>
              <w:rPr/>
            </w:pPr>
            <w:r>
              <w:rPr/>
              <w:t> </w:t>
            </w:r>
          </w:p>
        </w:tc>
      </w:tr>
      <w:tr>
        <w:trPr/>
        <w:tc>
          <w:tcPr>
            <w:tcW w:w="1655" w:type="dxa"/>
            <w:tcBorders/>
            <w:shd w:fill="E5E5E5" w:val="clear"/>
            <w:vAlign w:val="center"/>
          </w:tcPr>
          <w:p>
            <w:pPr>
              <w:pStyle w:val="TableContents"/>
              <w:bidi w:val="0"/>
              <w:spacing w:before="0" w:after="283"/>
              <w:jc w:val="left"/>
              <w:rPr>
                <w:sz w:val="4"/>
                <w:szCs w:val="4"/>
              </w:rPr>
            </w:pPr>
            <w:r>
              <w:rPr>
                <w:sz w:val="4"/>
                <w:szCs w:val="4"/>
              </w:rPr>
            </w:r>
          </w:p>
        </w:tc>
        <w:tc>
          <w:tcPr>
            <w:tcW w:w="1340" w:type="dxa"/>
            <w:gridSpan w:val="4"/>
            <w:tcBorders/>
            <w:shd w:fill="E5E5E5" w:val="clear"/>
            <w:vAlign w:val="center"/>
          </w:tcPr>
          <w:p>
            <w:pPr>
              <w:pStyle w:val="TableContents"/>
              <w:bidi w:val="0"/>
              <w:spacing w:before="0" w:after="283"/>
              <w:jc w:val="left"/>
              <w:rPr>
                <w:sz w:val="4"/>
                <w:szCs w:val="4"/>
              </w:rPr>
            </w:pPr>
            <w:r>
              <w:rPr>
                <w:sz w:val="4"/>
                <w:szCs w:val="4"/>
              </w:rPr>
            </w:r>
          </w:p>
        </w:tc>
        <w:tc>
          <w:tcPr>
            <w:tcW w:w="1340" w:type="dxa"/>
            <w:gridSpan w:val="4"/>
            <w:tcBorders/>
            <w:shd w:fill="E5E5E5" w:val="clear"/>
            <w:vAlign w:val="center"/>
          </w:tcPr>
          <w:p>
            <w:pPr>
              <w:pStyle w:val="TableContents"/>
              <w:bidi w:val="0"/>
              <w:spacing w:before="0" w:after="283"/>
              <w:jc w:val="left"/>
              <w:rPr>
                <w:sz w:val="4"/>
                <w:szCs w:val="4"/>
              </w:rPr>
            </w:pPr>
            <w:r>
              <w:rPr>
                <w:sz w:val="4"/>
                <w:szCs w:val="4"/>
              </w:rPr>
            </w:r>
          </w:p>
        </w:tc>
        <w:tc>
          <w:tcPr>
            <w:tcW w:w="1460" w:type="dxa"/>
            <w:gridSpan w:val="4"/>
            <w:tcBorders/>
            <w:shd w:fill="E5E5E5" w:val="clear"/>
            <w:vAlign w:val="center"/>
          </w:tcPr>
          <w:p>
            <w:pPr>
              <w:pStyle w:val="TableContents"/>
              <w:bidi w:val="0"/>
              <w:spacing w:before="0" w:after="283"/>
              <w:jc w:val="left"/>
              <w:rPr>
                <w:sz w:val="4"/>
                <w:szCs w:val="4"/>
              </w:rPr>
            </w:pPr>
            <w:r>
              <w:rPr>
                <w:sz w:val="4"/>
                <w:szCs w:val="4"/>
              </w:rPr>
            </w:r>
          </w:p>
        </w:tc>
        <w:tc>
          <w:tcPr>
            <w:tcW w:w="1684"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1655" w:type="dxa"/>
            <w:tcBorders>
              <w:bottom w:val="single" w:sz="8" w:space="0" w:color="732282"/>
            </w:tcBorders>
            <w:shd w:fill="E5E5E5" w:val="clear"/>
            <w:tcMar>
              <w:bottom w:w="40" w:type="dxa"/>
            </w:tcMar>
            <w:vAlign w:val="center"/>
          </w:tcPr>
          <w:p>
            <w:pPr>
              <w:pStyle w:val="TableContents"/>
              <w:bidi w:val="0"/>
              <w:spacing w:before="0" w:after="0"/>
              <w:jc w:val="left"/>
              <w:rPr>
                <w:rFonts w:ascii="ARIAL" w:hAnsi="ARIAL"/>
                <w:b/>
                <w:sz w:val="18"/>
              </w:rPr>
            </w:pPr>
            <w:r>
              <w:rPr>
                <w:rFonts w:ascii="ARIAL" w:hAnsi="ARIAL"/>
                <w:b/>
                <w:sz w:val="18"/>
              </w:rPr>
              <w:t>Robert J. Coury(2)</w:t>
            </w:r>
          </w:p>
        </w:tc>
        <w:tc>
          <w:tcPr>
            <w:tcW w:w="12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40" w:type="dxa"/>
            </w:tcMar>
            <w:vAlign w:val="center"/>
          </w:tcPr>
          <w:p>
            <w:pPr>
              <w:pStyle w:val="TableContents"/>
              <w:bidi w:val="0"/>
              <w:spacing w:before="0" w:after="283"/>
              <w:jc w:val="left"/>
              <w:rPr/>
            </w:pPr>
            <w:r>
              <w:rPr/>
              <w:t> </w:t>
            </w:r>
          </w:p>
        </w:tc>
        <w:tc>
          <w:tcPr>
            <w:tcW w:w="1100" w:type="dxa"/>
            <w:tcBorders>
              <w:bottom w:val="single" w:sz="8" w:space="0" w:color="732282"/>
            </w:tcBorders>
            <w:shd w:fill="E5E5E5" w:val="clear"/>
            <w:tcMar>
              <w:bottom w:w="40" w:type="dxa"/>
            </w:tcMar>
            <w:vAlign w:val="center"/>
          </w:tcPr>
          <w:p>
            <w:pPr>
              <w:pStyle w:val="TableContents"/>
              <w:bidi w:val="0"/>
              <w:spacing w:before="0" w:after="283"/>
              <w:jc w:val="right"/>
              <w:rPr/>
            </w:pPr>
            <w:r>
              <w:rPr/>
              <w:t>$1,950,000</w:t>
            </w:r>
          </w:p>
        </w:tc>
        <w:tc>
          <w:tcPr>
            <w:tcW w:w="60" w:type="dxa"/>
            <w:tcBorders>
              <w:bottom w:val="single" w:sz="8" w:space="0" w:color="732282"/>
            </w:tcBorders>
            <w:shd w:fill="E5E5E5" w:val="clear"/>
            <w:tcMar>
              <w:bottom w:w="40" w:type="dxa"/>
            </w:tcMar>
            <w:vAlign w:val="center"/>
          </w:tcPr>
          <w:p>
            <w:pPr>
              <w:pStyle w:val="TableContents"/>
              <w:bidi w:val="0"/>
              <w:spacing w:before="0" w:after="283"/>
              <w:jc w:val="left"/>
              <w:rPr/>
            </w:pPr>
            <w:r>
              <w:rPr/>
              <w:t> </w:t>
            </w:r>
          </w:p>
        </w:tc>
        <w:tc>
          <w:tcPr>
            <w:tcW w:w="12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40" w:type="dxa"/>
            </w:tcMar>
            <w:vAlign w:val="center"/>
          </w:tcPr>
          <w:p>
            <w:pPr>
              <w:pStyle w:val="TableContents"/>
              <w:bidi w:val="0"/>
              <w:spacing w:before="0" w:after="283"/>
              <w:jc w:val="left"/>
              <w:rPr/>
            </w:pPr>
            <w:r>
              <w:rPr/>
              <w:t> </w:t>
            </w:r>
          </w:p>
        </w:tc>
        <w:tc>
          <w:tcPr>
            <w:tcW w:w="1100" w:type="dxa"/>
            <w:tcBorders>
              <w:bottom w:val="single" w:sz="8" w:space="0" w:color="732282"/>
            </w:tcBorders>
            <w:shd w:fill="E5E5E5" w:val="clear"/>
            <w:tcMar>
              <w:bottom w:w="40" w:type="dxa"/>
            </w:tcMar>
            <w:vAlign w:val="center"/>
          </w:tcPr>
          <w:p>
            <w:pPr>
              <w:pStyle w:val="TableContents"/>
              <w:bidi w:val="0"/>
              <w:spacing w:before="0" w:after="283"/>
              <w:jc w:val="right"/>
              <w:rPr/>
            </w:pPr>
            <w:r>
              <w:rPr/>
              <w:t>$2,925,000</w:t>
            </w:r>
          </w:p>
        </w:tc>
        <w:tc>
          <w:tcPr>
            <w:tcW w:w="60" w:type="dxa"/>
            <w:tcBorders>
              <w:bottom w:val="single" w:sz="8" w:space="0" w:color="732282"/>
            </w:tcBorders>
            <w:shd w:fill="E5E5E5" w:val="clear"/>
            <w:tcMar>
              <w:bottom w:w="40" w:type="dxa"/>
            </w:tcMar>
            <w:vAlign w:val="center"/>
          </w:tcPr>
          <w:p>
            <w:pPr>
              <w:pStyle w:val="TableContents"/>
              <w:bidi w:val="0"/>
              <w:spacing w:before="0" w:after="283"/>
              <w:jc w:val="left"/>
              <w:rPr/>
            </w:pPr>
            <w:r>
              <w:rPr/>
              <w:t> </w:t>
            </w:r>
          </w:p>
        </w:tc>
        <w:tc>
          <w:tcPr>
            <w:tcW w:w="12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40" w:type="dxa"/>
            </w:tcMar>
            <w:vAlign w:val="center"/>
          </w:tcPr>
          <w:p>
            <w:pPr>
              <w:pStyle w:val="TableContents"/>
              <w:bidi w:val="0"/>
              <w:spacing w:before="0" w:after="283"/>
              <w:jc w:val="left"/>
              <w:rPr/>
            </w:pPr>
            <w:r>
              <w:rPr/>
              <w:t> </w:t>
            </w:r>
          </w:p>
        </w:tc>
        <w:tc>
          <w:tcPr>
            <w:tcW w:w="1220" w:type="dxa"/>
            <w:tcBorders>
              <w:bottom w:val="single" w:sz="8" w:space="0" w:color="732282"/>
            </w:tcBorders>
            <w:shd w:fill="E5E5E5" w:val="clear"/>
            <w:tcMar>
              <w:bottom w:w="40" w:type="dxa"/>
            </w:tcMar>
            <w:vAlign w:val="center"/>
          </w:tcPr>
          <w:p>
            <w:pPr>
              <w:pStyle w:val="TableContents"/>
              <w:bidi w:val="0"/>
              <w:spacing w:before="0" w:after="283"/>
              <w:jc w:val="right"/>
              <w:rPr/>
            </w:pPr>
            <w:r>
              <w:rPr/>
              <w:t>$11,700,000</w:t>
            </w:r>
          </w:p>
        </w:tc>
        <w:tc>
          <w:tcPr>
            <w:tcW w:w="60" w:type="dxa"/>
            <w:tcBorders>
              <w:bottom w:val="single" w:sz="8" w:space="0" w:color="732282"/>
            </w:tcBorders>
            <w:shd w:fill="E5E5E5" w:val="clear"/>
            <w:tcMar>
              <w:bottom w:w="40" w:type="dxa"/>
            </w:tcMar>
            <w:vAlign w:val="center"/>
          </w:tcPr>
          <w:p>
            <w:pPr>
              <w:pStyle w:val="TableContents"/>
              <w:bidi w:val="0"/>
              <w:spacing w:before="0" w:after="283"/>
              <w:jc w:val="left"/>
              <w:rPr/>
            </w:pPr>
            <w:r>
              <w:rPr/>
              <w:t> </w:t>
            </w:r>
          </w:p>
        </w:tc>
        <w:tc>
          <w:tcPr>
            <w:tcW w:w="12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9" w:type="dxa"/>
            <w:tcBorders>
              <w:bottom w:val="single" w:sz="8" w:space="0" w:color="732282"/>
            </w:tcBorders>
            <w:shd w:fill="E5E5E5" w:val="clear"/>
            <w:tcMar>
              <w:bottom w:w="40" w:type="dxa"/>
            </w:tcMar>
            <w:vAlign w:val="center"/>
          </w:tcPr>
          <w:p>
            <w:pPr>
              <w:pStyle w:val="TableContents"/>
              <w:bidi w:val="0"/>
              <w:spacing w:before="0" w:after="283"/>
              <w:jc w:val="left"/>
              <w:rPr/>
            </w:pPr>
            <w:r>
              <w:rPr/>
              <w:t> </w:t>
            </w:r>
          </w:p>
        </w:tc>
        <w:tc>
          <w:tcPr>
            <w:tcW w:w="1420" w:type="dxa"/>
            <w:tcBorders>
              <w:bottom w:val="single" w:sz="8" w:space="0" w:color="732282"/>
            </w:tcBorders>
            <w:shd w:fill="E5E5E5" w:val="clear"/>
            <w:tcMar>
              <w:bottom w:w="40" w:type="dxa"/>
            </w:tcMar>
            <w:vAlign w:val="center"/>
          </w:tcPr>
          <w:p>
            <w:pPr>
              <w:pStyle w:val="TableContents"/>
              <w:bidi w:val="0"/>
              <w:spacing w:before="0" w:after="283"/>
              <w:jc w:val="right"/>
              <w:rPr/>
            </w:pPr>
            <w:r>
              <w:rPr/>
              <w:t>$16,575,000</w:t>
            </w:r>
          </w:p>
        </w:tc>
        <w:tc>
          <w:tcPr>
            <w:tcW w:w="75" w:type="dxa"/>
            <w:tcBorders>
              <w:bottom w:val="single" w:sz="8" w:space="0" w:color="732282"/>
            </w:tcBorders>
            <w:shd w:fill="E5E5E5" w:val="clear"/>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365"/>
        <w:gridCol w:w="7475"/>
      </w:tblGrid>
      <w:tr>
        <w:trPr/>
        <w:tc>
          <w:tcPr>
            <w:tcW w:w="365" w:type="dxa"/>
            <w:tcBorders/>
            <w:vAlign w:val="center"/>
          </w:tcPr>
          <w:p>
            <w:pPr>
              <w:pStyle w:val="TableContents"/>
              <w:bidi w:val="0"/>
              <w:spacing w:before="0" w:after="283"/>
              <w:jc w:val="left"/>
              <w:rPr/>
            </w:pPr>
            <w:r>
              <w:rPr/>
              <w:t>(1) </w:t>
            </w:r>
          </w:p>
        </w:tc>
        <w:tc>
          <w:tcPr>
            <w:tcW w:w="7475" w:type="dxa"/>
            <w:tcBorders/>
            <w:vAlign w:val="center"/>
          </w:tcPr>
          <w:p>
            <w:pPr>
              <w:pStyle w:val="TableContents"/>
              <w:bidi w:val="0"/>
              <w:spacing w:before="0" w:after="0"/>
              <w:jc w:val="both"/>
              <w:rPr>
                <w:rFonts w:ascii="arial" w:hAnsi="arial"/>
                <w:sz w:val="14"/>
              </w:rPr>
            </w:pPr>
            <w:r>
              <w:rPr>
                <w:rFonts w:ascii="arial" w:hAnsi="arial"/>
                <w:sz w:val="14"/>
              </w:rPr>
              <w:t xml:space="preserve">2023 Total Target Compensation equals the sum of base salary, target annual incentive, and target long-term incentive.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(2) </w:t>
            </w:r>
          </w:p>
        </w:tc>
        <w:tc>
          <w:tcPr>
            <w:tcW w:w="9945" w:type="dxa"/>
            <w:tcBorders/>
            <w:vAlign w:val="center"/>
          </w:tcPr>
          <w:p>
            <w:pPr>
              <w:pStyle w:val="TableContents"/>
              <w:bidi w:val="0"/>
              <w:spacing w:before="0" w:after="0"/>
              <w:jc w:val="both"/>
              <w:rPr>
                <w:rFonts w:ascii="arial" w:hAnsi="arial"/>
                <w:sz w:val="14"/>
              </w:rPr>
            </w:pPr>
            <w:r>
              <w:rPr>
                <w:rFonts w:ascii="arial" w:hAnsi="arial"/>
                <w:sz w:val="14"/>
              </w:rPr>
              <w:t xml:space="preserve">Scott A. Smith became CEO of the Company effective April 1, 2023. Mr. Goettler ceased to serve as CEO and on the Board, in each case, effective as of April 1, 2023. Mr. Coury ceased to serve as Executive Chairman and on the Board, in each case, effective as of December 15, 2023. The full year target annual incentive amounts listed above for Messrs. Smith, Goettler and Coury were prorated to reflect the number of days each respectively served as an active employee during 2023 in determination of the payout of the 2023 cash incentive and were based on actual Company performance levels. Mr. Goettler did not receive a 2023 long-term incentive award. </w:t>
            </w:r>
          </w:p>
        </w:tc>
      </w:tr>
    </w:tbl>
    <w:p>
      <w:pPr>
        <w:pStyle w:val="TextBody"/>
        <w:bidi w:val="0"/>
        <w:spacing w:before="240" w:after="0"/>
        <w:jc w:val="left"/>
        <w:rPr>
          <w:rFonts w:ascii="ARIAL" w:hAnsi="ARIAL"/>
          <w:b/>
          <w:sz w:val="20"/>
        </w:rPr>
      </w:pPr>
      <w:r>
        <w:rPr>
          <w:rFonts w:ascii="ARIAL" w:hAnsi="ARIAL"/>
          <w:b/>
          <w:sz w:val="20"/>
        </w:rPr>
        <w:t xml:space="preserve">Considerations for Setting 2023 Incentive Performance Goals </w:t>
      </w:r>
    </w:p>
    <w:p>
      <w:pPr>
        <w:pStyle w:val="TextBody"/>
        <w:bidi w:val="0"/>
        <w:spacing w:before="120" w:after="0"/>
        <w:jc w:val="both"/>
        <w:rPr>
          <w:rFonts w:ascii="arial" w:hAnsi="arial"/>
          <w:sz w:val="18"/>
        </w:rPr>
      </w:pPr>
      <w:r>
        <w:rPr>
          <w:rFonts w:ascii="arial" w:hAnsi="arial"/>
          <w:sz w:val="18"/>
        </w:rPr>
        <w:t xml:space="preserve">In setting annual and long-term incentive performance goals, the Compensation Committee considered a broad variety of data, including potential divestitures, industry forecasts, internal projections, demographic data, advice from outside advisors, benchmarking data against the peer company medians, and the Company’s annual operating plan and strategies. The Compensation Committee also considered the variability and cyclicality of the business, noting that targets may increase or decrease from year to year due to factors impacting the business, such as market conditions, the regulatory environment, timing of product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31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sz w:val="18"/>
        </w:rPr>
        <w:t xml:space="preserve">approvals, and both immediate and long-term strategic priorities of the business. Although the targets may vary from year-to-year, the Compensation Committee is committed to maintaining high levels of rigor while motivating the executive team and aligning with long-term sustainable business development and shareholder value creation. Consistent with our philosophy of driving long-term company performance, the Compensation Committee, with the advice of its independent compensation consultant, will annually consider potential alternative performance metrics that link to our strategy and align with shareholder interests in long-term value creation. </w:t>
      </w:r>
    </w:p>
    <w:p>
      <w:pPr>
        <w:pStyle w:val="TextBody"/>
        <w:bidi w:val="0"/>
        <w:spacing w:before="240" w:after="0"/>
        <w:jc w:val="left"/>
        <w:rPr>
          <w:rFonts w:ascii="ARIAL" w:hAnsi="ARIAL"/>
          <w:b/>
          <w:sz w:val="20"/>
        </w:rPr>
      </w:pPr>
      <w:r>
        <w:rPr>
          <w:rFonts w:ascii="ARIAL" w:hAnsi="ARIAL"/>
          <w:b/>
          <w:sz w:val="20"/>
        </w:rPr>
        <w:t xml:space="preserve">2023 Peer Group </w:t>
      </w:r>
    </w:p>
    <w:p>
      <w:pPr>
        <w:pStyle w:val="TextBody"/>
        <w:bidi w:val="0"/>
        <w:spacing w:before="120" w:after="0"/>
        <w:jc w:val="both"/>
        <w:rPr>
          <w:rFonts w:ascii="arial" w:hAnsi="arial"/>
          <w:sz w:val="18"/>
        </w:rPr>
      </w:pPr>
      <w:r>
        <w:rPr>
          <w:rFonts w:ascii="arial" w:hAnsi="arial"/>
          <w:sz w:val="18"/>
        </w:rPr>
        <w:t xml:space="preserve">The peer group is used as one of several reference points for determining executive compensation and includes Viatris’ business competitors and companies that Viatris competes with for executive talent. Although the competitive market for our executives is one factor the Compensation Committee considers when making compensation decisions, the Compensation Committee does not target the compensation of NEOs within a specific percentile of any set of peer companies and considers peer group and industry data along with many other factors when determining compensation. </w:t>
      </w:r>
    </w:p>
    <w:p>
      <w:pPr>
        <w:pStyle w:val="TextBody"/>
        <w:bidi w:val="0"/>
        <w:spacing w:before="240" w:after="0"/>
        <w:jc w:val="both"/>
        <w:rPr>
          <w:rFonts w:ascii="arial" w:hAnsi="arial"/>
          <w:sz w:val="18"/>
        </w:rPr>
      </w:pPr>
      <w:r>
        <w:rPr>
          <w:rFonts w:ascii="arial" w:hAnsi="arial"/>
          <w:sz w:val="18"/>
        </w:rPr>
        <w:t xml:space="preserve">Below is the peer group selected by the Compensation Committee for 2023, with the advice of the Compensation Committee’s independent compensation consultant. The Committee takes a number of considerations into account when choosing the peer group, including those companies that compete with the Company for executive talent. </w:t>
      </w:r>
    </w:p>
    <w:p>
      <w:pPr>
        <w:pStyle w:val="TextBody"/>
        <w:bidi w:val="0"/>
        <w:spacing w:before="0" w:after="0"/>
        <w:jc w:val="left"/>
        <w:rPr/>
      </w:pPr>
      <w:r>
        <w:rPr/>
        <w:t> </w:t>
      </w:r>
    </w:p>
    <w:tbl>
      <w:tblPr>
        <w:tblW w:w="8340" w:type="dxa"/>
        <w:jc w:val="left"/>
        <w:tblInd w:w="0" w:type="dxa"/>
        <w:tblLayout w:type="fixed"/>
        <w:tblCellMar>
          <w:top w:w="0" w:type="dxa"/>
          <w:left w:w="0" w:type="dxa"/>
          <w:bottom w:w="0" w:type="dxa"/>
          <w:right w:w="0" w:type="dxa"/>
        </w:tblCellMar>
      </w:tblPr>
      <w:tblGrid>
        <w:gridCol w:w="2660"/>
        <w:gridCol w:w="60"/>
        <w:gridCol w:w="2690"/>
        <w:gridCol w:w="60"/>
        <w:gridCol w:w="2870"/>
      </w:tblGrid>
      <w:tr>
        <w:trPr/>
        <w:tc>
          <w:tcPr>
            <w:tcW w:w="26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r>
      <w:tr>
        <w:trPr/>
        <w:tc>
          <w:tcPr>
            <w:tcW w:w="2660" w:type="dxa"/>
            <w:tcBorders/>
            <w:shd w:fill="EAEAEA" w:val="clear"/>
            <w:vAlign w:val="center"/>
          </w:tcPr>
          <w:p>
            <w:pPr>
              <w:pStyle w:val="TableContents"/>
              <w:bidi w:val="0"/>
              <w:spacing w:before="0" w:after="283"/>
              <w:jc w:val="left"/>
              <w:rPr>
                <w:sz w:val="4"/>
                <w:szCs w:val="4"/>
              </w:rPr>
            </w:pPr>
            <w:r>
              <w:rPr>
                <w:sz w:val="4"/>
                <w:szCs w:val="4"/>
              </w:rPr>
            </w:r>
          </w:p>
        </w:tc>
        <w:tc>
          <w:tcPr>
            <w:tcW w:w="2750" w:type="dxa"/>
            <w:gridSpan w:val="2"/>
            <w:tcBorders/>
            <w:shd w:fill="EAEAEA" w:val="clear"/>
            <w:vAlign w:val="center"/>
          </w:tcPr>
          <w:p>
            <w:pPr>
              <w:pStyle w:val="TableContents"/>
              <w:bidi w:val="0"/>
              <w:spacing w:before="0" w:after="283"/>
              <w:jc w:val="left"/>
              <w:rPr>
                <w:sz w:val="4"/>
                <w:szCs w:val="4"/>
              </w:rPr>
            </w:pPr>
            <w:r>
              <w:rPr>
                <w:sz w:val="4"/>
                <w:szCs w:val="4"/>
              </w:rPr>
            </w:r>
          </w:p>
        </w:tc>
        <w:tc>
          <w:tcPr>
            <w:tcW w:w="2930" w:type="dxa"/>
            <w:gridSpan w:val="2"/>
            <w:tcBorders/>
            <w:shd w:fill="EAEAEA" w:val="clear"/>
            <w:vAlign w:val="center"/>
          </w:tcPr>
          <w:p>
            <w:pPr>
              <w:pStyle w:val="TableContents"/>
              <w:bidi w:val="0"/>
              <w:spacing w:before="0" w:after="283"/>
              <w:jc w:val="left"/>
              <w:rPr>
                <w:sz w:val="4"/>
                <w:szCs w:val="4"/>
              </w:rPr>
            </w:pPr>
            <w:r>
              <w:rPr>
                <w:sz w:val="4"/>
                <w:szCs w:val="4"/>
              </w:rPr>
            </w:r>
          </w:p>
        </w:tc>
      </w:tr>
      <w:tr>
        <w:trPr/>
        <w:tc>
          <w:tcPr>
            <w:tcW w:w="2660" w:type="dxa"/>
            <w:tcBorders/>
            <w:shd w:fill="EAEAEA" w:val="clear"/>
            <w:vAlign w:val="center"/>
          </w:tcPr>
          <w:p>
            <w:pPr>
              <w:pStyle w:val="TableContents"/>
              <w:bidi w:val="0"/>
              <w:spacing w:before="0" w:after="0"/>
              <w:jc w:val="both"/>
              <w:rPr>
                <w:rFonts w:ascii="arial" w:hAnsi="arial"/>
                <w:b/>
                <w:sz w:val="18"/>
              </w:rPr>
            </w:pPr>
            <w:r>
              <w:rPr>
                <w:rFonts w:ascii="arial" w:hAnsi="arial"/>
                <w:b/>
                <w:sz w:val="18"/>
              </w:rPr>
              <w:t>Abbott Laboratories</w:t>
            </w:r>
          </w:p>
        </w:tc>
        <w:tc>
          <w:tcPr>
            <w:tcW w:w="60" w:type="dxa"/>
            <w:tcBorders/>
            <w:shd w:fill="EAEAEA" w:val="clear"/>
            <w:vAlign w:val="center"/>
          </w:tcPr>
          <w:p>
            <w:pPr>
              <w:pStyle w:val="TableContents"/>
              <w:bidi w:val="0"/>
              <w:spacing w:before="0" w:after="283"/>
              <w:jc w:val="left"/>
              <w:rPr/>
            </w:pPr>
            <w:r>
              <w:rPr/>
              <w:t> </w:t>
            </w:r>
          </w:p>
        </w:tc>
        <w:tc>
          <w:tcPr>
            <w:tcW w:w="2690" w:type="dxa"/>
            <w:tcBorders/>
            <w:shd w:fill="EAEAEA" w:val="clear"/>
            <w:vAlign w:val="center"/>
          </w:tcPr>
          <w:p>
            <w:pPr>
              <w:pStyle w:val="TableContents"/>
              <w:bidi w:val="0"/>
              <w:spacing w:before="0" w:after="0"/>
              <w:jc w:val="both"/>
              <w:rPr>
                <w:rFonts w:ascii="arial" w:hAnsi="arial"/>
                <w:b/>
                <w:sz w:val="18"/>
              </w:rPr>
            </w:pPr>
            <w:r>
              <w:rPr>
                <w:rFonts w:ascii="arial" w:hAnsi="arial"/>
                <w:b/>
                <w:sz w:val="18"/>
              </w:rPr>
              <w:t>Bristol-Myers Squibb Company</w:t>
            </w:r>
          </w:p>
        </w:tc>
        <w:tc>
          <w:tcPr>
            <w:tcW w:w="60" w:type="dxa"/>
            <w:tcBorders/>
            <w:shd w:fill="EAEAEA" w:val="clear"/>
            <w:vAlign w:val="center"/>
          </w:tcPr>
          <w:p>
            <w:pPr>
              <w:pStyle w:val="TableContents"/>
              <w:bidi w:val="0"/>
              <w:spacing w:before="0" w:after="283"/>
              <w:jc w:val="left"/>
              <w:rPr/>
            </w:pPr>
            <w:r>
              <w:rPr/>
              <w:t> </w:t>
            </w:r>
          </w:p>
        </w:tc>
        <w:tc>
          <w:tcPr>
            <w:tcW w:w="2870" w:type="dxa"/>
            <w:tcBorders/>
            <w:shd w:fill="EAEAEA" w:val="clear"/>
            <w:vAlign w:val="center"/>
          </w:tcPr>
          <w:p>
            <w:pPr>
              <w:pStyle w:val="TableContents"/>
              <w:bidi w:val="0"/>
              <w:spacing w:before="0" w:after="0"/>
              <w:jc w:val="both"/>
              <w:rPr>
                <w:rFonts w:ascii="arial" w:hAnsi="arial"/>
                <w:b/>
                <w:sz w:val="18"/>
              </w:rPr>
            </w:pPr>
            <w:r>
              <w:rPr>
                <w:rFonts w:ascii="arial" w:hAnsi="arial"/>
                <w:b/>
                <w:sz w:val="18"/>
              </w:rPr>
              <w:t>Pfizer Inc.</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2750" w:type="dxa"/>
            <w:gridSpan w:val="2"/>
            <w:tcBorders/>
            <w:vAlign w:val="center"/>
          </w:tcPr>
          <w:p>
            <w:pPr>
              <w:pStyle w:val="TableContents"/>
              <w:bidi w:val="0"/>
              <w:spacing w:before="0" w:after="283"/>
              <w:jc w:val="left"/>
              <w:rPr>
                <w:sz w:val="4"/>
                <w:szCs w:val="4"/>
              </w:rPr>
            </w:pPr>
            <w:r>
              <w:rPr>
                <w:sz w:val="4"/>
                <w:szCs w:val="4"/>
              </w:rPr>
            </w:r>
          </w:p>
        </w:tc>
        <w:tc>
          <w:tcPr>
            <w:tcW w:w="2930"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0"/>
              <w:jc w:val="both"/>
              <w:rPr>
                <w:rFonts w:ascii="arial" w:hAnsi="arial"/>
                <w:b/>
                <w:sz w:val="18"/>
              </w:rPr>
            </w:pPr>
            <w:r>
              <w:rPr>
                <w:rFonts w:ascii="arial" w:hAnsi="arial"/>
                <w:b/>
                <w:sz w:val="18"/>
              </w:rPr>
              <w:t>Amgen Inc.</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jc w:val="both"/>
              <w:rPr>
                <w:rFonts w:ascii="arial" w:hAnsi="arial"/>
                <w:b/>
                <w:sz w:val="18"/>
              </w:rPr>
            </w:pPr>
            <w:r>
              <w:rPr>
                <w:rFonts w:ascii="arial" w:hAnsi="arial"/>
                <w:b/>
                <w:sz w:val="18"/>
              </w:rPr>
              <w:t>Eli Lilly and Company</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0"/>
              <w:jc w:val="both"/>
              <w:rPr>
                <w:rFonts w:ascii="arial" w:hAnsi="arial"/>
                <w:b/>
                <w:sz w:val="18"/>
              </w:rPr>
            </w:pPr>
            <w:r>
              <w:rPr>
                <w:rFonts w:ascii="arial" w:hAnsi="arial"/>
                <w:b/>
                <w:sz w:val="18"/>
              </w:rPr>
              <w:t>Regeneron Pharmaceuticals, Inc.</w:t>
            </w:r>
          </w:p>
        </w:tc>
      </w:tr>
      <w:tr>
        <w:trPr/>
        <w:tc>
          <w:tcPr>
            <w:tcW w:w="2660" w:type="dxa"/>
            <w:tcBorders/>
            <w:shd w:fill="EAEAEA" w:val="clear"/>
            <w:vAlign w:val="center"/>
          </w:tcPr>
          <w:p>
            <w:pPr>
              <w:pStyle w:val="TableContents"/>
              <w:bidi w:val="0"/>
              <w:spacing w:before="0" w:after="283"/>
              <w:jc w:val="left"/>
              <w:rPr>
                <w:sz w:val="4"/>
                <w:szCs w:val="4"/>
              </w:rPr>
            </w:pPr>
            <w:r>
              <w:rPr>
                <w:sz w:val="4"/>
                <w:szCs w:val="4"/>
              </w:rPr>
            </w:r>
          </w:p>
        </w:tc>
        <w:tc>
          <w:tcPr>
            <w:tcW w:w="2750" w:type="dxa"/>
            <w:gridSpan w:val="2"/>
            <w:tcBorders/>
            <w:shd w:fill="EAEAEA" w:val="clear"/>
            <w:vAlign w:val="center"/>
          </w:tcPr>
          <w:p>
            <w:pPr>
              <w:pStyle w:val="TableContents"/>
              <w:bidi w:val="0"/>
              <w:spacing w:before="0" w:after="283"/>
              <w:jc w:val="left"/>
              <w:rPr>
                <w:sz w:val="4"/>
                <w:szCs w:val="4"/>
              </w:rPr>
            </w:pPr>
            <w:r>
              <w:rPr>
                <w:sz w:val="4"/>
                <w:szCs w:val="4"/>
              </w:rPr>
            </w:r>
          </w:p>
        </w:tc>
        <w:tc>
          <w:tcPr>
            <w:tcW w:w="2930" w:type="dxa"/>
            <w:gridSpan w:val="2"/>
            <w:tcBorders/>
            <w:shd w:fill="EAEAEA" w:val="clear"/>
            <w:vAlign w:val="center"/>
          </w:tcPr>
          <w:p>
            <w:pPr>
              <w:pStyle w:val="TableContents"/>
              <w:bidi w:val="0"/>
              <w:spacing w:before="0" w:after="283"/>
              <w:jc w:val="left"/>
              <w:rPr>
                <w:sz w:val="4"/>
                <w:szCs w:val="4"/>
              </w:rPr>
            </w:pPr>
            <w:r>
              <w:rPr>
                <w:sz w:val="4"/>
                <w:szCs w:val="4"/>
              </w:rPr>
            </w:r>
          </w:p>
        </w:tc>
      </w:tr>
      <w:tr>
        <w:trPr/>
        <w:tc>
          <w:tcPr>
            <w:tcW w:w="2660" w:type="dxa"/>
            <w:tcBorders/>
            <w:shd w:fill="EAEAEA" w:val="clear"/>
            <w:vAlign w:val="center"/>
          </w:tcPr>
          <w:p>
            <w:pPr>
              <w:pStyle w:val="TableContents"/>
              <w:bidi w:val="0"/>
              <w:spacing w:before="0" w:after="0"/>
              <w:jc w:val="both"/>
              <w:rPr>
                <w:rFonts w:ascii="arial" w:hAnsi="arial"/>
                <w:b/>
                <w:sz w:val="18"/>
              </w:rPr>
            </w:pPr>
            <w:r>
              <w:rPr>
                <w:rFonts w:ascii="arial" w:hAnsi="arial"/>
                <w:b/>
                <w:sz w:val="18"/>
              </w:rPr>
              <w:t>Bausch Health Companies Inc.</w:t>
            </w:r>
          </w:p>
        </w:tc>
        <w:tc>
          <w:tcPr>
            <w:tcW w:w="60" w:type="dxa"/>
            <w:tcBorders/>
            <w:shd w:fill="EAEAEA" w:val="clear"/>
            <w:vAlign w:val="center"/>
          </w:tcPr>
          <w:p>
            <w:pPr>
              <w:pStyle w:val="TableContents"/>
              <w:bidi w:val="0"/>
              <w:spacing w:before="0" w:after="283"/>
              <w:jc w:val="left"/>
              <w:rPr/>
            </w:pPr>
            <w:r>
              <w:rPr/>
              <w:t> </w:t>
            </w:r>
          </w:p>
        </w:tc>
        <w:tc>
          <w:tcPr>
            <w:tcW w:w="2690" w:type="dxa"/>
            <w:tcBorders/>
            <w:shd w:fill="EAEAEA" w:val="clear"/>
            <w:vAlign w:val="center"/>
          </w:tcPr>
          <w:p>
            <w:pPr>
              <w:pStyle w:val="TableContents"/>
              <w:bidi w:val="0"/>
              <w:spacing w:before="0" w:after="0"/>
              <w:jc w:val="both"/>
              <w:rPr>
                <w:rFonts w:ascii="arial" w:hAnsi="arial"/>
                <w:b/>
                <w:sz w:val="18"/>
              </w:rPr>
            </w:pPr>
            <w:r>
              <w:rPr>
                <w:rFonts w:ascii="arial" w:hAnsi="arial"/>
                <w:b/>
                <w:sz w:val="18"/>
              </w:rPr>
              <w:t>Gilead Sciences, Inc.</w:t>
            </w:r>
          </w:p>
        </w:tc>
        <w:tc>
          <w:tcPr>
            <w:tcW w:w="60" w:type="dxa"/>
            <w:tcBorders/>
            <w:shd w:fill="EAEAEA" w:val="clear"/>
            <w:vAlign w:val="center"/>
          </w:tcPr>
          <w:p>
            <w:pPr>
              <w:pStyle w:val="TableContents"/>
              <w:bidi w:val="0"/>
              <w:spacing w:before="0" w:after="283"/>
              <w:jc w:val="left"/>
              <w:rPr/>
            </w:pPr>
            <w:r>
              <w:rPr/>
              <w:t> </w:t>
            </w:r>
          </w:p>
        </w:tc>
        <w:tc>
          <w:tcPr>
            <w:tcW w:w="2870" w:type="dxa"/>
            <w:tcBorders/>
            <w:shd w:fill="EAEAEA" w:val="clear"/>
            <w:vAlign w:val="center"/>
          </w:tcPr>
          <w:p>
            <w:pPr>
              <w:pStyle w:val="TableContents"/>
              <w:bidi w:val="0"/>
              <w:spacing w:before="0" w:after="0"/>
              <w:jc w:val="both"/>
              <w:rPr>
                <w:rFonts w:ascii="arial" w:hAnsi="arial"/>
                <w:b/>
                <w:sz w:val="18"/>
              </w:rPr>
            </w:pPr>
            <w:r>
              <w:rPr>
                <w:rFonts w:ascii="arial" w:hAnsi="arial"/>
                <w:b/>
                <w:sz w:val="18"/>
              </w:rPr>
              <w:t>Sanofi S.A.</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2750" w:type="dxa"/>
            <w:gridSpan w:val="2"/>
            <w:tcBorders/>
            <w:vAlign w:val="center"/>
          </w:tcPr>
          <w:p>
            <w:pPr>
              <w:pStyle w:val="TableContents"/>
              <w:bidi w:val="0"/>
              <w:spacing w:before="0" w:after="283"/>
              <w:jc w:val="left"/>
              <w:rPr>
                <w:sz w:val="4"/>
                <w:szCs w:val="4"/>
              </w:rPr>
            </w:pPr>
            <w:r>
              <w:rPr>
                <w:sz w:val="4"/>
                <w:szCs w:val="4"/>
              </w:rPr>
            </w:r>
          </w:p>
        </w:tc>
        <w:tc>
          <w:tcPr>
            <w:tcW w:w="2930"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0"/>
              <w:jc w:val="both"/>
              <w:rPr>
                <w:rFonts w:ascii="arial" w:hAnsi="arial"/>
                <w:b/>
                <w:sz w:val="18"/>
              </w:rPr>
            </w:pPr>
            <w:r>
              <w:rPr>
                <w:rFonts w:ascii="arial" w:hAnsi="arial"/>
                <w:b/>
                <w:sz w:val="18"/>
              </w:rPr>
              <w:t>Baxter International Inc</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jc w:val="both"/>
              <w:rPr>
                <w:rFonts w:ascii="arial" w:hAnsi="arial"/>
                <w:b/>
                <w:sz w:val="18"/>
              </w:rPr>
            </w:pPr>
            <w:r>
              <w:rPr>
                <w:rFonts w:ascii="arial" w:hAnsi="arial"/>
                <w:b/>
                <w:sz w:val="18"/>
              </w:rPr>
              <w:t>Novartis AG</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0"/>
              <w:jc w:val="both"/>
              <w:rPr>
                <w:rFonts w:ascii="arial" w:hAnsi="arial"/>
                <w:b/>
                <w:sz w:val="18"/>
              </w:rPr>
            </w:pPr>
            <w:r>
              <w:rPr>
                <w:rFonts w:ascii="arial" w:hAnsi="arial"/>
                <w:b/>
                <w:sz w:val="18"/>
              </w:rPr>
              <w:t>Teva Pharmaceutical Limited</w:t>
            </w:r>
          </w:p>
        </w:tc>
      </w:tr>
      <w:tr>
        <w:trPr/>
        <w:tc>
          <w:tcPr>
            <w:tcW w:w="2660" w:type="dxa"/>
            <w:tcBorders/>
            <w:shd w:fill="EAEAEA" w:val="clear"/>
            <w:vAlign w:val="center"/>
          </w:tcPr>
          <w:p>
            <w:pPr>
              <w:pStyle w:val="TableContents"/>
              <w:bidi w:val="0"/>
              <w:spacing w:before="0" w:after="283"/>
              <w:jc w:val="left"/>
              <w:rPr>
                <w:sz w:val="4"/>
                <w:szCs w:val="4"/>
              </w:rPr>
            </w:pPr>
            <w:r>
              <w:rPr>
                <w:sz w:val="4"/>
                <w:szCs w:val="4"/>
              </w:rPr>
            </w:r>
          </w:p>
        </w:tc>
        <w:tc>
          <w:tcPr>
            <w:tcW w:w="2750" w:type="dxa"/>
            <w:gridSpan w:val="2"/>
            <w:tcBorders/>
            <w:shd w:fill="EAEAEA" w:val="clear"/>
            <w:vAlign w:val="center"/>
          </w:tcPr>
          <w:p>
            <w:pPr>
              <w:pStyle w:val="TableContents"/>
              <w:bidi w:val="0"/>
              <w:spacing w:before="0" w:after="283"/>
              <w:jc w:val="left"/>
              <w:rPr>
                <w:sz w:val="4"/>
                <w:szCs w:val="4"/>
              </w:rPr>
            </w:pPr>
            <w:r>
              <w:rPr>
                <w:sz w:val="4"/>
                <w:szCs w:val="4"/>
              </w:rPr>
            </w:r>
          </w:p>
        </w:tc>
        <w:tc>
          <w:tcPr>
            <w:tcW w:w="2930" w:type="dxa"/>
            <w:gridSpan w:val="2"/>
            <w:tcBorders/>
            <w:shd w:fill="EAEAEA" w:val="clear"/>
            <w:vAlign w:val="center"/>
          </w:tcPr>
          <w:p>
            <w:pPr>
              <w:pStyle w:val="TableContents"/>
              <w:bidi w:val="0"/>
              <w:spacing w:before="0" w:after="283"/>
              <w:jc w:val="left"/>
              <w:rPr>
                <w:sz w:val="4"/>
                <w:szCs w:val="4"/>
              </w:rPr>
            </w:pPr>
            <w:r>
              <w:rPr>
                <w:sz w:val="4"/>
                <w:szCs w:val="4"/>
              </w:rPr>
            </w:r>
          </w:p>
        </w:tc>
      </w:tr>
      <w:tr>
        <w:trPr/>
        <w:tc>
          <w:tcPr>
            <w:tcW w:w="2660" w:type="dxa"/>
            <w:tcBorders/>
            <w:shd w:fill="EAEAEA" w:val="clear"/>
            <w:vAlign w:val="center"/>
          </w:tcPr>
          <w:p>
            <w:pPr>
              <w:pStyle w:val="TableContents"/>
              <w:bidi w:val="0"/>
              <w:spacing w:before="0" w:after="0"/>
              <w:jc w:val="both"/>
              <w:rPr>
                <w:rFonts w:ascii="arial" w:hAnsi="arial"/>
                <w:b/>
                <w:sz w:val="18"/>
              </w:rPr>
            </w:pPr>
            <w:r>
              <w:rPr>
                <w:rFonts w:ascii="arial" w:hAnsi="arial"/>
                <w:b/>
                <w:sz w:val="18"/>
              </w:rPr>
              <w:t>Biogen Inc.</w:t>
            </w:r>
          </w:p>
        </w:tc>
        <w:tc>
          <w:tcPr>
            <w:tcW w:w="60" w:type="dxa"/>
            <w:tcBorders/>
            <w:shd w:fill="EAEAEA" w:val="clear"/>
            <w:vAlign w:val="center"/>
          </w:tcPr>
          <w:p>
            <w:pPr>
              <w:pStyle w:val="TableContents"/>
              <w:bidi w:val="0"/>
              <w:spacing w:before="0" w:after="283"/>
              <w:jc w:val="left"/>
              <w:rPr/>
            </w:pPr>
            <w:r>
              <w:rPr/>
              <w:t> </w:t>
            </w:r>
          </w:p>
        </w:tc>
        <w:tc>
          <w:tcPr>
            <w:tcW w:w="2690" w:type="dxa"/>
            <w:tcBorders/>
            <w:shd w:fill="EAEAEA" w:val="clear"/>
            <w:vAlign w:val="center"/>
          </w:tcPr>
          <w:p>
            <w:pPr>
              <w:pStyle w:val="TableContents"/>
              <w:bidi w:val="0"/>
              <w:spacing w:before="0" w:after="0"/>
              <w:jc w:val="both"/>
              <w:rPr>
                <w:rFonts w:ascii="arial" w:hAnsi="arial"/>
                <w:b/>
                <w:sz w:val="18"/>
              </w:rPr>
            </w:pPr>
            <w:r>
              <w:rPr>
                <w:rFonts w:ascii="arial" w:hAnsi="arial"/>
                <w:b/>
                <w:sz w:val="18"/>
              </w:rPr>
              <w:t>Organon &amp; Co.</w:t>
            </w:r>
          </w:p>
        </w:tc>
        <w:tc>
          <w:tcPr>
            <w:tcW w:w="60" w:type="dxa"/>
            <w:tcBorders/>
            <w:shd w:fill="EAEAEA" w:val="clear"/>
            <w:vAlign w:val="center"/>
          </w:tcPr>
          <w:p>
            <w:pPr>
              <w:pStyle w:val="TableContents"/>
              <w:bidi w:val="0"/>
              <w:spacing w:before="0" w:after="283"/>
              <w:jc w:val="left"/>
              <w:rPr/>
            </w:pPr>
            <w:r>
              <w:rPr/>
              <w:t> </w:t>
            </w:r>
          </w:p>
        </w:tc>
        <w:tc>
          <w:tcPr>
            <w:tcW w:w="2870" w:type="dxa"/>
            <w:tcBorders/>
            <w:shd w:fill="EAEAEA" w:val="clear"/>
            <w:vAlign w:val="center"/>
          </w:tcPr>
          <w:p>
            <w:pPr>
              <w:pStyle w:val="TableContents"/>
              <w:bidi w:val="0"/>
              <w:spacing w:before="0" w:after="0"/>
              <w:jc w:val="both"/>
              <w:rPr>
                <w:rFonts w:ascii="arial" w:hAnsi="arial"/>
                <w:b/>
                <w:sz w:val="18"/>
              </w:rPr>
            </w:pPr>
            <w:r>
              <w:rPr>
                <w:rFonts w:ascii="arial" w:hAnsi="arial"/>
                <w:b/>
                <w:sz w:val="18"/>
              </w:rPr>
              <w:t>Zoetis Inc.</w:t>
            </w:r>
          </w:p>
        </w:tc>
      </w:tr>
    </w:tbl>
    <w:p>
      <w:pPr>
        <w:pStyle w:val="TextBody"/>
        <w:bidi w:val="0"/>
        <w:spacing w:before="240" w:after="0"/>
        <w:jc w:val="left"/>
        <w:rPr>
          <w:rFonts w:ascii="arial" w:hAnsi="arial"/>
          <w:b/>
          <w:color w:val="666666"/>
          <w:sz w:val="28"/>
        </w:rPr>
      </w:pPr>
      <w:r>
        <w:rPr>
          <w:rFonts w:ascii="arial" w:hAnsi="arial"/>
          <w:b/>
          <w:color w:val="666666"/>
          <w:sz w:val="28"/>
        </w:rPr>
        <w:t xml:space="preserve">Elements of 2023 Compensation </w:t>
      </w:r>
    </w:p>
    <w:p>
      <w:pPr>
        <w:pStyle w:val="TextBody"/>
        <w:pBdr>
          <w:bottom w:val="single" w:sz="2" w:space="1" w:color="732282"/>
        </w:pBdr>
        <w:bidi w:val="0"/>
        <w:spacing w:lineRule="atLeast" w:line="142" w:before="0" w:after="40"/>
        <w:jc w:val="left"/>
        <w:rPr/>
      </w:pPr>
      <w:r>
        <w:rPr/>
        <w:t> </w:t>
      </w:r>
    </w:p>
    <w:p>
      <w:pPr>
        <w:pStyle w:val="TextBody"/>
        <w:bidi w:val="0"/>
        <w:spacing w:before="120" w:after="0"/>
        <w:jc w:val="left"/>
        <w:rPr>
          <w:rFonts w:ascii="ARIAL" w:hAnsi="ARIAL"/>
          <w:b/>
          <w:sz w:val="20"/>
        </w:rPr>
      </w:pPr>
      <w:r>
        <w:rPr>
          <w:rFonts w:ascii="ARIAL" w:hAnsi="ARIAL"/>
          <w:b/>
          <w:sz w:val="20"/>
        </w:rPr>
        <w:t xml:space="preserve">Base Salaries </w:t>
      </w:r>
    </w:p>
    <w:p>
      <w:pPr>
        <w:pStyle w:val="TextBody"/>
        <w:bidi w:val="0"/>
        <w:spacing w:before="120" w:after="0"/>
        <w:jc w:val="both"/>
        <w:rPr>
          <w:rFonts w:ascii="arial" w:hAnsi="arial"/>
          <w:sz w:val="18"/>
        </w:rPr>
      </w:pPr>
      <w:r>
        <w:rPr>
          <w:rFonts w:ascii="arial" w:hAnsi="arial"/>
          <w:sz w:val="18"/>
        </w:rPr>
        <w:t xml:space="preserve">The Compensation Committee considers a variety of factors in deciding base salary, including, among others: individual performance, responsibilities, and expected future performance; Company performance; management structure; marketplace practices (including external benchmarks prepared by an independent compensation consultant); internal pay equity considerations; competitive recruitment for outstanding talent; and the executive’s experience, tenure, and leadership. The Compensation Committee also considers, among other factors, what the marketplace would require in terms of the costs to hire a similarly qualified and experienced individual externally.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32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sz w:val="18"/>
        </w:rPr>
        <w:t xml:space="preserve">As reflected in the table below, in 2023, there were adjustments made to base salaries to reflect changes in market data and expanded responsibilities. </w:t>
      </w:r>
    </w:p>
    <w:p>
      <w:pPr>
        <w:pStyle w:val="TextBody"/>
        <w:bidi w:val="0"/>
        <w:spacing w:before="0" w:after="0"/>
        <w:jc w:val="left"/>
        <w:rPr/>
      </w:pPr>
      <w:r>
        <w:rPr/>
        <w:t> </w:t>
      </w:r>
    </w:p>
    <w:tbl>
      <w:tblPr>
        <w:tblW w:w="4350" w:type="dxa"/>
        <w:jc w:val="left"/>
        <w:tblInd w:w="0" w:type="dxa"/>
        <w:tblLayout w:type="fixed"/>
        <w:tblCellMar>
          <w:top w:w="0" w:type="dxa"/>
          <w:left w:w="0" w:type="dxa"/>
          <w:bottom w:w="0" w:type="dxa"/>
          <w:right w:w="0" w:type="dxa"/>
        </w:tblCellMar>
      </w:tblPr>
      <w:tblGrid>
        <w:gridCol w:w="1655"/>
        <w:gridCol w:w="120"/>
        <w:gridCol w:w="60"/>
        <w:gridCol w:w="1100"/>
        <w:gridCol w:w="60"/>
        <w:gridCol w:w="120"/>
        <w:gridCol w:w="60"/>
        <w:gridCol w:w="1100"/>
        <w:gridCol w:w="75"/>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bottom w:val="single" w:sz="8" w:space="0" w:color="732282"/>
            </w:tcBorders>
            <w:tcMar>
              <w:bottom w:w="28" w:type="dxa"/>
            </w:tcMar>
            <w:vAlign w:val="center"/>
          </w:tcPr>
          <w:p>
            <w:pPr>
              <w:pStyle w:val="TableContents"/>
              <w:bidi w:val="0"/>
              <w:spacing w:before="0" w:after="0"/>
              <w:jc w:val="left"/>
              <w:rPr>
                <w:rFonts w:ascii="ARIAL" w:hAnsi="ARIAL"/>
                <w:b/>
                <w:color w:val="732282"/>
                <w:sz w:val="18"/>
              </w:rPr>
            </w:pPr>
            <w:r>
              <w:rPr>
                <w:rFonts w:ascii="ARIAL" w:hAnsi="ARIAL"/>
                <w:b/>
                <w:color w:val="732282"/>
                <w:sz w:val="18"/>
              </w:rPr>
              <w:t>NEO</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2022 Base</w:t>
              <w:br/>
              <w:t>Salary</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2023 Base</w:t>
              <w:br/>
              <w:t>Salary</w:t>
            </w:r>
          </w:p>
        </w:tc>
        <w:tc>
          <w:tcPr>
            <w:tcW w:w="75" w:type="dxa"/>
            <w:tcBorders>
              <w:bottom w:val="single" w:sz="8" w:space="0" w:color="732282"/>
            </w:tcBorders>
            <w:tcMar>
              <w:bottom w:w="28" w:type="dxa"/>
            </w:tcMar>
            <w:vAlign w:val="center"/>
          </w:tcPr>
          <w:p>
            <w:pPr>
              <w:pStyle w:val="TableContents"/>
              <w:bidi w:val="0"/>
              <w:spacing w:before="0" w:after="283"/>
              <w:jc w:val="left"/>
              <w:rPr/>
            </w:pPr>
            <w:r>
              <w:rPr/>
              <w:t> </w:t>
            </w:r>
          </w:p>
        </w:tc>
      </w:tr>
      <w:tr>
        <w:trPr/>
        <w:tc>
          <w:tcPr>
            <w:tcW w:w="1655" w:type="dxa"/>
            <w:tcBorders/>
            <w:shd w:fill="E5E5E5" w:val="clear"/>
            <w:vAlign w:val="center"/>
          </w:tcPr>
          <w:p>
            <w:pPr>
              <w:pStyle w:val="TableContents"/>
              <w:bidi w:val="0"/>
              <w:spacing w:before="0" w:after="283"/>
              <w:jc w:val="left"/>
              <w:rPr>
                <w:sz w:val="4"/>
                <w:szCs w:val="4"/>
              </w:rPr>
            </w:pPr>
            <w:r>
              <w:rPr>
                <w:sz w:val="4"/>
                <w:szCs w:val="4"/>
              </w:rPr>
            </w:r>
          </w:p>
        </w:tc>
        <w:tc>
          <w:tcPr>
            <w:tcW w:w="1340" w:type="dxa"/>
            <w:gridSpan w:val="4"/>
            <w:tcBorders/>
            <w:shd w:fill="E5E5E5" w:val="clear"/>
            <w:vAlign w:val="center"/>
          </w:tcPr>
          <w:p>
            <w:pPr>
              <w:pStyle w:val="TableContents"/>
              <w:bidi w:val="0"/>
              <w:spacing w:before="0" w:after="283"/>
              <w:jc w:val="left"/>
              <w:rPr>
                <w:sz w:val="4"/>
                <w:szCs w:val="4"/>
              </w:rPr>
            </w:pPr>
            <w:r>
              <w:rPr>
                <w:sz w:val="4"/>
                <w:szCs w:val="4"/>
              </w:rPr>
            </w:r>
          </w:p>
        </w:tc>
        <w:tc>
          <w:tcPr>
            <w:tcW w:w="135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1655" w:type="dxa"/>
            <w:tcBorders/>
            <w:shd w:fill="E5E5E5" w:val="clear"/>
            <w:vAlign w:val="center"/>
          </w:tcPr>
          <w:p>
            <w:pPr>
              <w:pStyle w:val="TableContents"/>
              <w:bidi w:val="0"/>
              <w:spacing w:before="0" w:after="0"/>
              <w:jc w:val="left"/>
              <w:rPr>
                <w:rFonts w:ascii="ARIAL" w:hAnsi="ARIAL"/>
                <w:b/>
                <w:sz w:val="18"/>
              </w:rPr>
            </w:pPr>
            <w:r>
              <w:rPr>
                <w:rFonts w:ascii="ARIAL" w:hAnsi="ARIAL"/>
                <w:b/>
                <w:sz w:val="18"/>
              </w:rPr>
              <w:t>Scott A. Smith(1)</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N/A</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$1,400,000</w:t>
            </w:r>
          </w:p>
        </w:tc>
        <w:tc>
          <w:tcPr>
            <w:tcW w:w="75" w:type="dxa"/>
            <w:tcBorders/>
            <w:shd w:fill="E5E5E5"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ARIAL" w:hAnsi="ARIAL"/>
                <w:b/>
                <w:sz w:val="18"/>
              </w:rPr>
            </w:pPr>
            <w:r>
              <w:rPr>
                <w:rFonts w:ascii="ARIAL" w:hAnsi="ARIAL"/>
                <w:b/>
                <w:sz w:val="18"/>
              </w:rPr>
              <w:t>Rajiv Malik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$1,300,000</w:t>
            </w:r>
          </w:p>
        </w:tc>
        <w:tc>
          <w:tcPr>
            <w:tcW w:w="75" w:type="dxa"/>
            <w:tcBorders/>
            <w:vAlign w:val="center"/>
          </w:tcPr>
          <w:p>
            <w:pPr>
              <w:pStyle w:val="TableContents"/>
              <w:bidi w:val="0"/>
              <w:spacing w:before="0" w:after="283"/>
              <w:jc w:val="left"/>
              <w:rPr/>
            </w:pPr>
            <w:r>
              <w:rPr/>
              <w:t> </w:t>
            </w:r>
          </w:p>
        </w:tc>
      </w:tr>
      <w:tr>
        <w:trPr/>
        <w:tc>
          <w:tcPr>
            <w:tcW w:w="1655" w:type="dxa"/>
            <w:tcBorders/>
            <w:shd w:fill="E5E5E5" w:val="clear"/>
            <w:vAlign w:val="center"/>
          </w:tcPr>
          <w:p>
            <w:pPr>
              <w:pStyle w:val="TableContents"/>
              <w:bidi w:val="0"/>
              <w:spacing w:before="0" w:after="283"/>
              <w:jc w:val="left"/>
              <w:rPr>
                <w:sz w:val="4"/>
                <w:szCs w:val="4"/>
              </w:rPr>
            </w:pPr>
            <w:r>
              <w:rPr>
                <w:sz w:val="4"/>
                <w:szCs w:val="4"/>
              </w:rPr>
            </w:r>
          </w:p>
        </w:tc>
        <w:tc>
          <w:tcPr>
            <w:tcW w:w="1340" w:type="dxa"/>
            <w:gridSpan w:val="4"/>
            <w:tcBorders/>
            <w:shd w:fill="E5E5E5" w:val="clear"/>
            <w:vAlign w:val="center"/>
          </w:tcPr>
          <w:p>
            <w:pPr>
              <w:pStyle w:val="TableContents"/>
              <w:bidi w:val="0"/>
              <w:spacing w:before="0" w:after="283"/>
              <w:jc w:val="left"/>
              <w:rPr>
                <w:sz w:val="4"/>
                <w:szCs w:val="4"/>
              </w:rPr>
            </w:pPr>
            <w:r>
              <w:rPr>
                <w:sz w:val="4"/>
                <w:szCs w:val="4"/>
              </w:rPr>
            </w:r>
          </w:p>
        </w:tc>
        <w:tc>
          <w:tcPr>
            <w:tcW w:w="135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1655" w:type="dxa"/>
            <w:tcBorders/>
            <w:shd w:fill="E5E5E5" w:val="clear"/>
            <w:vAlign w:val="center"/>
          </w:tcPr>
          <w:p>
            <w:pPr>
              <w:pStyle w:val="TableContents"/>
              <w:bidi w:val="0"/>
              <w:spacing w:before="0" w:after="0"/>
              <w:jc w:val="left"/>
              <w:rPr>
                <w:rFonts w:ascii="ARIAL" w:hAnsi="ARIAL"/>
                <w:b/>
                <w:sz w:val="18"/>
              </w:rPr>
            </w:pPr>
            <w:r>
              <w:rPr>
                <w:rFonts w:ascii="ARIAL" w:hAnsi="ARIAL"/>
                <w:b/>
                <w:sz w:val="18"/>
              </w:rPr>
              <w:t>Sanjeev Narula</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$850,000</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$925,000</w:t>
            </w:r>
          </w:p>
        </w:tc>
        <w:tc>
          <w:tcPr>
            <w:tcW w:w="75" w:type="dxa"/>
            <w:tcBorders/>
            <w:shd w:fill="E5E5E5"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ARIAL" w:hAnsi="ARIAL"/>
                <w:b/>
                <w:sz w:val="18"/>
              </w:rPr>
            </w:pPr>
            <w:r>
              <w:rPr>
                <w:rFonts w:ascii="ARIAL" w:hAnsi="ARIAL"/>
                <w:b/>
                <w:sz w:val="18"/>
              </w:rPr>
              <w:t>Anthony Mauro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$860,000</w:t>
            </w:r>
          </w:p>
        </w:tc>
        <w:tc>
          <w:tcPr>
            <w:tcW w:w="75" w:type="dxa"/>
            <w:tcBorders/>
            <w:vAlign w:val="center"/>
          </w:tcPr>
          <w:p>
            <w:pPr>
              <w:pStyle w:val="TableContents"/>
              <w:bidi w:val="0"/>
              <w:spacing w:before="0" w:after="283"/>
              <w:jc w:val="left"/>
              <w:rPr/>
            </w:pPr>
            <w:r>
              <w:rPr/>
              <w:t> </w:t>
            </w:r>
          </w:p>
        </w:tc>
      </w:tr>
      <w:tr>
        <w:trPr/>
        <w:tc>
          <w:tcPr>
            <w:tcW w:w="1655" w:type="dxa"/>
            <w:tcBorders/>
            <w:shd w:fill="E5E5E5" w:val="clear"/>
            <w:vAlign w:val="center"/>
          </w:tcPr>
          <w:p>
            <w:pPr>
              <w:pStyle w:val="TableContents"/>
              <w:bidi w:val="0"/>
              <w:spacing w:before="0" w:after="283"/>
              <w:jc w:val="left"/>
              <w:rPr>
                <w:sz w:val="4"/>
                <w:szCs w:val="4"/>
              </w:rPr>
            </w:pPr>
            <w:r>
              <w:rPr>
                <w:sz w:val="4"/>
                <w:szCs w:val="4"/>
              </w:rPr>
            </w:r>
          </w:p>
        </w:tc>
        <w:tc>
          <w:tcPr>
            <w:tcW w:w="1340" w:type="dxa"/>
            <w:gridSpan w:val="4"/>
            <w:tcBorders/>
            <w:shd w:fill="E5E5E5" w:val="clear"/>
            <w:vAlign w:val="center"/>
          </w:tcPr>
          <w:p>
            <w:pPr>
              <w:pStyle w:val="TableContents"/>
              <w:bidi w:val="0"/>
              <w:spacing w:before="0" w:after="283"/>
              <w:jc w:val="left"/>
              <w:rPr>
                <w:sz w:val="4"/>
                <w:szCs w:val="4"/>
              </w:rPr>
            </w:pPr>
            <w:r>
              <w:rPr>
                <w:sz w:val="4"/>
                <w:szCs w:val="4"/>
              </w:rPr>
            </w:r>
          </w:p>
        </w:tc>
        <w:tc>
          <w:tcPr>
            <w:tcW w:w="135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1655" w:type="dxa"/>
            <w:tcBorders/>
            <w:shd w:fill="E5E5E5" w:val="clear"/>
            <w:vAlign w:val="center"/>
          </w:tcPr>
          <w:p>
            <w:pPr>
              <w:pStyle w:val="TableContents"/>
              <w:bidi w:val="0"/>
              <w:spacing w:before="0" w:after="0"/>
              <w:jc w:val="left"/>
              <w:rPr>
                <w:rFonts w:ascii="ARIAL" w:hAnsi="ARIAL"/>
                <w:b/>
                <w:sz w:val="18"/>
              </w:rPr>
            </w:pPr>
            <w:r>
              <w:rPr>
                <w:rFonts w:ascii="ARIAL" w:hAnsi="ARIAL"/>
                <w:b/>
                <w:sz w:val="18"/>
              </w:rPr>
              <w:t>Brian Roman</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$750,000</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$800,000</w:t>
            </w:r>
          </w:p>
        </w:tc>
        <w:tc>
          <w:tcPr>
            <w:tcW w:w="75" w:type="dxa"/>
            <w:tcBorders/>
            <w:shd w:fill="E5E5E5"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ARIAL" w:hAnsi="ARIAL"/>
                <w:b/>
                <w:sz w:val="18"/>
              </w:rPr>
            </w:pPr>
            <w:r>
              <w:rPr>
                <w:rFonts w:ascii="ARIAL" w:hAnsi="ARIAL"/>
                <w:b/>
                <w:sz w:val="18"/>
              </w:rPr>
              <w:t>Michael Goettler(1)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$1,300,000</w:t>
            </w:r>
          </w:p>
        </w:tc>
        <w:tc>
          <w:tcPr>
            <w:tcW w:w="75" w:type="dxa"/>
            <w:tcBorders/>
            <w:vAlign w:val="center"/>
          </w:tcPr>
          <w:p>
            <w:pPr>
              <w:pStyle w:val="TableContents"/>
              <w:bidi w:val="0"/>
              <w:spacing w:before="0" w:after="283"/>
              <w:jc w:val="left"/>
              <w:rPr/>
            </w:pPr>
            <w:r>
              <w:rPr/>
              <w:t> </w:t>
            </w:r>
          </w:p>
        </w:tc>
      </w:tr>
      <w:tr>
        <w:trPr/>
        <w:tc>
          <w:tcPr>
            <w:tcW w:w="1655" w:type="dxa"/>
            <w:tcBorders/>
            <w:shd w:fill="E5E5E5" w:val="clear"/>
            <w:vAlign w:val="center"/>
          </w:tcPr>
          <w:p>
            <w:pPr>
              <w:pStyle w:val="TableContents"/>
              <w:bidi w:val="0"/>
              <w:spacing w:before="0" w:after="283"/>
              <w:jc w:val="left"/>
              <w:rPr>
                <w:sz w:val="4"/>
                <w:szCs w:val="4"/>
              </w:rPr>
            </w:pPr>
            <w:r>
              <w:rPr>
                <w:sz w:val="4"/>
                <w:szCs w:val="4"/>
              </w:rPr>
            </w:r>
          </w:p>
        </w:tc>
        <w:tc>
          <w:tcPr>
            <w:tcW w:w="1340" w:type="dxa"/>
            <w:gridSpan w:val="4"/>
            <w:tcBorders/>
            <w:shd w:fill="E5E5E5" w:val="clear"/>
            <w:vAlign w:val="center"/>
          </w:tcPr>
          <w:p>
            <w:pPr>
              <w:pStyle w:val="TableContents"/>
              <w:bidi w:val="0"/>
              <w:spacing w:before="0" w:after="283"/>
              <w:jc w:val="left"/>
              <w:rPr>
                <w:sz w:val="4"/>
                <w:szCs w:val="4"/>
              </w:rPr>
            </w:pPr>
            <w:r>
              <w:rPr>
                <w:sz w:val="4"/>
                <w:szCs w:val="4"/>
              </w:rPr>
            </w:r>
          </w:p>
        </w:tc>
        <w:tc>
          <w:tcPr>
            <w:tcW w:w="135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1655" w:type="dxa"/>
            <w:tcBorders>
              <w:bottom w:val="single" w:sz="8" w:space="0" w:color="732282"/>
            </w:tcBorders>
            <w:shd w:fill="E5E5E5" w:val="clear"/>
            <w:tcMar>
              <w:bottom w:w="40" w:type="dxa"/>
            </w:tcMar>
            <w:vAlign w:val="center"/>
          </w:tcPr>
          <w:p>
            <w:pPr>
              <w:pStyle w:val="TableContents"/>
              <w:bidi w:val="0"/>
              <w:spacing w:before="0" w:after="0"/>
              <w:jc w:val="left"/>
              <w:rPr>
                <w:rFonts w:ascii="ARIAL" w:hAnsi="ARIAL"/>
                <w:b/>
                <w:sz w:val="18"/>
              </w:rPr>
            </w:pPr>
            <w:r>
              <w:rPr>
                <w:rFonts w:ascii="ARIAL" w:hAnsi="ARIAL"/>
                <w:b/>
                <w:sz w:val="18"/>
              </w:rPr>
              <w:t>Robert J. Coury(1)</w:t>
            </w:r>
          </w:p>
        </w:tc>
        <w:tc>
          <w:tcPr>
            <w:tcW w:w="12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40" w:type="dxa"/>
            </w:tcMar>
            <w:vAlign w:val="center"/>
          </w:tcPr>
          <w:p>
            <w:pPr>
              <w:pStyle w:val="TableContents"/>
              <w:bidi w:val="0"/>
              <w:spacing w:before="0" w:after="283"/>
              <w:jc w:val="left"/>
              <w:rPr/>
            </w:pPr>
            <w:r>
              <w:rPr/>
              <w:t> </w:t>
            </w:r>
          </w:p>
        </w:tc>
        <w:tc>
          <w:tcPr>
            <w:tcW w:w="1100" w:type="dxa"/>
            <w:tcBorders>
              <w:bottom w:val="single" w:sz="8" w:space="0" w:color="732282"/>
            </w:tcBorders>
            <w:shd w:fill="E5E5E5" w:val="clear"/>
            <w:tcMar>
              <w:bottom w:w="40" w:type="dxa"/>
            </w:tcMar>
            <w:vAlign w:val="center"/>
          </w:tcPr>
          <w:p>
            <w:pPr>
              <w:pStyle w:val="TableContents"/>
              <w:bidi w:val="0"/>
              <w:spacing w:before="0" w:after="283"/>
              <w:jc w:val="right"/>
              <w:rPr/>
            </w:pPr>
            <w:r>
              <w:rPr/>
              <w:t>$1,800,000</w:t>
            </w:r>
          </w:p>
        </w:tc>
        <w:tc>
          <w:tcPr>
            <w:tcW w:w="60" w:type="dxa"/>
            <w:tcBorders>
              <w:bottom w:val="single" w:sz="8" w:space="0" w:color="732282"/>
            </w:tcBorders>
            <w:shd w:fill="E5E5E5" w:val="clear"/>
            <w:tcMar>
              <w:bottom w:w="40" w:type="dxa"/>
            </w:tcMar>
            <w:vAlign w:val="center"/>
          </w:tcPr>
          <w:p>
            <w:pPr>
              <w:pStyle w:val="TableContents"/>
              <w:bidi w:val="0"/>
              <w:spacing w:before="0" w:after="283"/>
              <w:jc w:val="left"/>
              <w:rPr/>
            </w:pPr>
            <w:r>
              <w:rPr/>
              <w:t> </w:t>
            </w:r>
          </w:p>
        </w:tc>
        <w:tc>
          <w:tcPr>
            <w:tcW w:w="12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40" w:type="dxa"/>
            </w:tcMar>
            <w:vAlign w:val="center"/>
          </w:tcPr>
          <w:p>
            <w:pPr>
              <w:pStyle w:val="TableContents"/>
              <w:bidi w:val="0"/>
              <w:spacing w:before="0" w:after="283"/>
              <w:jc w:val="left"/>
              <w:rPr/>
            </w:pPr>
            <w:r>
              <w:rPr/>
              <w:t> </w:t>
            </w:r>
          </w:p>
        </w:tc>
        <w:tc>
          <w:tcPr>
            <w:tcW w:w="1100" w:type="dxa"/>
            <w:tcBorders>
              <w:bottom w:val="single" w:sz="8" w:space="0" w:color="732282"/>
            </w:tcBorders>
            <w:shd w:fill="E5E5E5" w:val="clear"/>
            <w:tcMar>
              <w:bottom w:w="40" w:type="dxa"/>
            </w:tcMar>
            <w:vAlign w:val="center"/>
          </w:tcPr>
          <w:p>
            <w:pPr>
              <w:pStyle w:val="TableContents"/>
              <w:bidi w:val="0"/>
              <w:spacing w:before="0" w:after="283"/>
              <w:jc w:val="right"/>
              <w:rPr/>
            </w:pPr>
            <w:r>
              <w:rPr/>
              <w:t>$1,950,000</w:t>
            </w:r>
          </w:p>
        </w:tc>
        <w:tc>
          <w:tcPr>
            <w:tcW w:w="75" w:type="dxa"/>
            <w:tcBorders>
              <w:bottom w:val="single" w:sz="8" w:space="0" w:color="732282"/>
            </w:tcBorders>
            <w:shd w:fill="E5E5E5" w:val="clear"/>
            <w:tcMar>
              <w:bottom w:w="4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(1) </w:t>
            </w:r>
          </w:p>
        </w:tc>
        <w:tc>
          <w:tcPr>
            <w:tcW w:w="9935" w:type="dxa"/>
            <w:tcBorders/>
            <w:vAlign w:val="center"/>
          </w:tcPr>
          <w:p>
            <w:pPr>
              <w:pStyle w:val="TableContents"/>
              <w:bidi w:val="0"/>
              <w:spacing w:before="0" w:after="0"/>
              <w:jc w:val="both"/>
              <w:rPr>
                <w:rFonts w:ascii="arial" w:hAnsi="arial"/>
                <w:sz w:val="14"/>
              </w:rPr>
            </w:pPr>
            <w:r>
              <w:rPr>
                <w:rFonts w:ascii="arial" w:hAnsi="arial"/>
                <w:sz w:val="14"/>
              </w:rPr>
              <w:t xml:space="preserve">Scott A. Smith became CEO of the Company effective April 1, 2023. Mr. Goettler ceased to serve as CEO and on the Board, in each case, effective as of April 1, 2023. Mr. Coury ceased to serve as Executive Chairman and on the Board, in each case, effective as of December 15, 2023. The base salary amounts listed above for Messrs. Smith, Goettler, and Coury reflect full year amounts but were only paid out on a prorated basis to reflect the number of days as an active employee during 2023. </w:t>
            </w:r>
          </w:p>
        </w:tc>
      </w:tr>
    </w:tbl>
    <w:p>
      <w:pPr>
        <w:pStyle w:val="TextBody"/>
        <w:bidi w:val="0"/>
        <w:spacing w:before="240" w:after="0"/>
        <w:jc w:val="left"/>
        <w:rPr>
          <w:rFonts w:ascii="ARIAL" w:hAnsi="ARIAL"/>
          <w:b/>
          <w:sz w:val="20"/>
        </w:rPr>
      </w:pPr>
      <w:r>
        <w:rPr>
          <w:rFonts w:ascii="ARIAL" w:hAnsi="ARIAL"/>
          <w:b/>
          <w:sz w:val="20"/>
        </w:rPr>
        <w:t xml:space="preserve">2023 Annual Incentive Compensation Program </w:t>
      </w:r>
    </w:p>
    <w:p>
      <w:pPr>
        <w:pStyle w:val="TextBody"/>
        <w:bidi w:val="0"/>
        <w:spacing w:before="120" w:after="0"/>
        <w:jc w:val="both"/>
        <w:rPr>
          <w:rFonts w:ascii="ARIAL" w:hAnsi="ARIAL"/>
          <w:b/>
          <w:i/>
          <w:sz w:val="20"/>
        </w:rPr>
      </w:pPr>
      <w:r>
        <w:rPr>
          <w:rFonts w:ascii="ARIAL" w:hAnsi="ARIAL"/>
          <w:b/>
          <w:i/>
          <w:sz w:val="20"/>
        </w:rPr>
        <w:t xml:space="preserve">Annual Incentive Compensation Awards for 2023 </w:t>
      </w:r>
    </w:p>
    <w:p>
      <w:pPr>
        <w:pStyle w:val="TextBody"/>
        <w:bidi w:val="0"/>
        <w:spacing w:before="120" w:after="0"/>
        <w:jc w:val="both"/>
        <w:rPr>
          <w:rFonts w:ascii="arial" w:hAnsi="arial"/>
          <w:sz w:val="18"/>
        </w:rPr>
      </w:pPr>
      <w:r>
        <w:rPr>
          <w:rFonts w:ascii="arial" w:hAnsi="arial"/>
          <w:sz w:val="18"/>
        </w:rPr>
        <w:t xml:space="preserve">Viatris’ annual incentive compensation consists of performance-based annual cash awards that are subject to achievement of metrics that were identified by the Board and Compensation Committee as critical to the successful execution of Viatris’ business strategy and aligned with the continued creation of shareholder value. The metrics are specifically related to the actions and leadership of our executive team and measure their ability to generate shareholder returns, both in the short- and long-term. The Compensation Committee approved annual incentive award grants and corresponding performance targets in the first quarter of 2023. </w:t>
      </w:r>
    </w:p>
    <w:p>
      <w:pPr>
        <w:pStyle w:val="TextBody"/>
        <w:bidi w:val="0"/>
        <w:spacing w:before="240" w:after="0"/>
        <w:jc w:val="both"/>
        <w:rPr>
          <w:rFonts w:ascii="arial" w:hAnsi="arial"/>
          <w:sz w:val="18"/>
        </w:rPr>
      </w:pPr>
      <w:r>
        <w:rPr>
          <w:rFonts w:ascii="arial" w:hAnsi="arial"/>
          <w:sz w:val="18"/>
        </w:rPr>
        <w:t xml:space="preserve">The Compensation Committee identified the following metrics as important measures of Company performance relating to its stated strategy: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b/>
                <w:color w:val="732282"/>
                <w:sz w:val="18"/>
              </w:rPr>
              <w:t>Adjusted EBITDA (40% Weighting):</w:t>
            </w:r>
            <w:r>
              <w:rPr>
                <w:rFonts w:ascii="arial" w:hAnsi="arial"/>
                <w:color w:val="732282"/>
                <w:sz w:val="18"/>
              </w:rPr>
              <w:t xml:space="preserve"> </w:t>
            </w:r>
            <w:r>
              <w:rPr>
                <w:rFonts w:ascii="arial" w:hAnsi="arial"/>
                <w:sz w:val="18"/>
              </w:rPr>
              <w:t xml:space="preserve">Measures the Company’s profitability and motivates the organization to focus on commercial execution and driving new product revenue, maintaining efficiency of our operations, capturing synergies, and disciplined expense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b/>
                <w:color w:val="732282"/>
                <w:sz w:val="18"/>
              </w:rPr>
              <w:t>Free Cash Flow (40% Weighting):</w:t>
            </w:r>
            <w:r>
              <w:rPr>
                <w:rFonts w:ascii="arial" w:hAnsi="arial"/>
                <w:b/>
                <w:sz w:val="18"/>
              </w:rPr>
              <w:t xml:space="preserve"> </w:t>
            </w:r>
            <w:r>
              <w:rPr>
                <w:rFonts w:ascii="arial" w:hAnsi="arial"/>
                <w:sz w:val="18"/>
              </w:rPr>
              <w:t xml:space="preserve">Creates organizational emphasis and focus on cash through improved cash flow conversion, optimized working capital, and overall cash generation which can increase the return to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b/>
                <w:color w:val="732282"/>
                <w:sz w:val="18"/>
              </w:rPr>
              <w:t>Global Regulatory Submissions (20% Weighting):</w:t>
            </w:r>
            <w:r>
              <w:rPr>
                <w:rFonts w:ascii="arial" w:hAnsi="arial"/>
                <w:b/>
                <w:sz w:val="18"/>
              </w:rPr>
              <w:t xml:space="preserve"> </w:t>
            </w:r>
            <w:r>
              <w:rPr>
                <w:rFonts w:ascii="arial" w:hAnsi="arial"/>
                <w:sz w:val="18"/>
              </w:rPr>
              <w:t xml:space="preserve">Emphasizes the importance of developing a robust pipeline of molecules that Viatris could manufacture and sell over subsequent years. A robust product pipeline can help Viatris move its products up the value chain and also supports sustainability while serving Viatris’ mission of providing access to high quality, affordable medications.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33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sz w:val="18"/>
        </w:rPr>
        <w:t xml:space="preserve">Individual annual incentive payout targets were established for each NEO, expressed as a percentage of base salary, as noted in the table below. Actual payouts could range from 0% to 200% of each NEO’s annual incentive target based on achievement of performance goals. </w:t>
      </w:r>
    </w:p>
    <w:p>
      <w:pPr>
        <w:pStyle w:val="TextBody"/>
        <w:bidi w:val="0"/>
        <w:spacing w:before="0" w:after="0"/>
        <w:jc w:val="left"/>
        <w:rPr/>
      </w:pPr>
      <w:r>
        <w:rPr/>
        <w:t> </w:t>
      </w:r>
    </w:p>
    <w:tbl>
      <w:tblPr>
        <w:tblW w:w="5924" w:type="dxa"/>
        <w:jc w:val="left"/>
        <w:tblInd w:w="0" w:type="dxa"/>
        <w:tblLayout w:type="fixed"/>
        <w:tblCellMar>
          <w:top w:w="0" w:type="dxa"/>
          <w:left w:w="0" w:type="dxa"/>
          <w:bottom w:w="0" w:type="dxa"/>
          <w:right w:w="0" w:type="dxa"/>
        </w:tblCellMar>
      </w:tblPr>
      <w:tblGrid>
        <w:gridCol w:w="1655"/>
        <w:gridCol w:w="120"/>
        <w:gridCol w:w="140"/>
        <w:gridCol w:w="2054"/>
        <w:gridCol w:w="60"/>
        <w:gridCol w:w="120"/>
        <w:gridCol w:w="87"/>
        <w:gridCol w:w="1613"/>
        <w:gridCol w:w="75"/>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bottom w:val="single" w:sz="8" w:space="0" w:color="732282"/>
            </w:tcBorders>
            <w:tcMar>
              <w:bottom w:w="28" w:type="dxa"/>
            </w:tcMar>
            <w:vAlign w:val="center"/>
          </w:tcPr>
          <w:p>
            <w:pPr>
              <w:pStyle w:val="TableContents"/>
              <w:bidi w:val="0"/>
              <w:spacing w:before="0" w:after="0"/>
              <w:jc w:val="left"/>
              <w:rPr>
                <w:rFonts w:ascii="ARIAL" w:hAnsi="ARIAL"/>
                <w:b/>
                <w:color w:val="732282"/>
                <w:sz w:val="18"/>
              </w:rPr>
            </w:pPr>
            <w:r>
              <w:rPr>
                <w:rFonts w:ascii="ARIAL" w:hAnsi="ARIAL"/>
                <w:b/>
                <w:color w:val="732282"/>
                <w:sz w:val="18"/>
              </w:rPr>
              <w:t>NEO</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2194" w:type="dxa"/>
            <w:gridSpan w:val="2"/>
            <w:tcBorders>
              <w:bottom w:val="single" w:sz="8" w:space="0" w:color="732282"/>
            </w:tcBorders>
            <w:tcMar>
              <w:bottom w:w="28" w:type="dxa"/>
            </w:tcMar>
            <w:vAlign w:val="center"/>
          </w:tcPr>
          <w:p>
            <w:pPr>
              <w:pStyle w:val="TableContents"/>
              <w:bidi w:val="0"/>
              <w:spacing w:before="0" w:after="283"/>
              <w:jc w:val="right"/>
              <w:rPr>
                <w:b/>
                <w:color w:val="732282"/>
              </w:rPr>
            </w:pPr>
            <w:r>
              <w:rPr>
                <w:b/>
                <w:color w:val="732282"/>
              </w:rPr>
              <w:t>Target</w:t>
              <w:br/>
              <w:t>(as % of Base Salary)</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700" w:type="dxa"/>
            <w:gridSpan w:val="2"/>
            <w:tcBorders>
              <w:bottom w:val="single" w:sz="8" w:space="0" w:color="732282"/>
            </w:tcBorders>
            <w:tcMar>
              <w:bottom w:w="28" w:type="dxa"/>
            </w:tcMar>
            <w:vAlign w:val="center"/>
          </w:tcPr>
          <w:p>
            <w:pPr>
              <w:pStyle w:val="TableContents"/>
              <w:bidi w:val="0"/>
              <w:spacing w:before="0" w:after="283"/>
              <w:jc w:val="right"/>
              <w:rPr>
                <w:b/>
                <w:color w:val="732282"/>
              </w:rPr>
            </w:pPr>
            <w:r>
              <w:rPr>
                <w:b/>
                <w:color w:val="732282"/>
              </w:rPr>
              <w:t>Annual</w:t>
              <w:br/>
              <w:t>Incentive Target</w:t>
            </w:r>
          </w:p>
        </w:tc>
        <w:tc>
          <w:tcPr>
            <w:tcW w:w="75" w:type="dxa"/>
            <w:tcBorders>
              <w:bottom w:val="single" w:sz="8" w:space="0" w:color="732282"/>
            </w:tcBorders>
            <w:tcMar>
              <w:bottom w:w="28" w:type="dxa"/>
            </w:tcMar>
            <w:vAlign w:val="center"/>
          </w:tcPr>
          <w:p>
            <w:pPr>
              <w:pStyle w:val="TableContents"/>
              <w:bidi w:val="0"/>
              <w:spacing w:before="0" w:after="283"/>
              <w:jc w:val="left"/>
              <w:rPr/>
            </w:pPr>
            <w:r>
              <w:rPr/>
              <w:t> </w:t>
            </w:r>
          </w:p>
        </w:tc>
      </w:tr>
      <w:tr>
        <w:trPr/>
        <w:tc>
          <w:tcPr>
            <w:tcW w:w="1655" w:type="dxa"/>
            <w:tcBorders/>
            <w:shd w:fill="E5E5E5" w:val="clear"/>
            <w:vAlign w:val="center"/>
          </w:tcPr>
          <w:p>
            <w:pPr>
              <w:pStyle w:val="TableContents"/>
              <w:bidi w:val="0"/>
              <w:spacing w:before="0" w:after="283"/>
              <w:jc w:val="left"/>
              <w:rPr>
                <w:sz w:val="4"/>
                <w:szCs w:val="4"/>
              </w:rPr>
            </w:pPr>
            <w:r>
              <w:rPr>
                <w:sz w:val="4"/>
                <w:szCs w:val="4"/>
              </w:rPr>
            </w:r>
          </w:p>
        </w:tc>
        <w:tc>
          <w:tcPr>
            <w:tcW w:w="2374" w:type="dxa"/>
            <w:gridSpan w:val="4"/>
            <w:tcBorders/>
            <w:shd w:fill="E5E5E5" w:val="clear"/>
            <w:vAlign w:val="center"/>
          </w:tcPr>
          <w:p>
            <w:pPr>
              <w:pStyle w:val="TableContents"/>
              <w:bidi w:val="0"/>
              <w:spacing w:before="0" w:after="283"/>
              <w:jc w:val="left"/>
              <w:rPr>
                <w:sz w:val="4"/>
                <w:szCs w:val="4"/>
              </w:rPr>
            </w:pPr>
            <w:r>
              <w:rPr>
                <w:sz w:val="4"/>
                <w:szCs w:val="4"/>
              </w:rPr>
            </w:r>
          </w:p>
        </w:tc>
        <w:tc>
          <w:tcPr>
            <w:tcW w:w="189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1655" w:type="dxa"/>
            <w:tcBorders/>
            <w:shd w:fill="E5E5E5" w:val="clear"/>
            <w:vAlign w:val="center"/>
          </w:tcPr>
          <w:p>
            <w:pPr>
              <w:pStyle w:val="TableContents"/>
              <w:bidi w:val="0"/>
              <w:spacing w:before="0" w:after="0"/>
              <w:jc w:val="left"/>
              <w:rPr>
                <w:rFonts w:ascii="ARIAL" w:hAnsi="ARIAL"/>
                <w:b/>
                <w:sz w:val="18"/>
              </w:rPr>
            </w:pPr>
            <w:r>
              <w:rPr>
                <w:rFonts w:ascii="ARIAL" w:hAnsi="ARIAL"/>
                <w:b/>
                <w:sz w:val="18"/>
              </w:rPr>
              <w:t>Scott A. Smith(1)</w:t>
            </w:r>
          </w:p>
        </w:tc>
        <w:tc>
          <w:tcPr>
            <w:tcW w:w="12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2054" w:type="dxa"/>
            <w:tcBorders/>
            <w:shd w:fill="E5E5E5" w:val="clear"/>
            <w:vAlign w:val="center"/>
          </w:tcPr>
          <w:p>
            <w:pPr>
              <w:pStyle w:val="TableContents"/>
              <w:bidi w:val="0"/>
              <w:spacing w:before="0" w:after="283"/>
              <w:jc w:val="right"/>
              <w:rPr/>
            </w:pPr>
            <w:r>
              <w:rPr/>
              <w:t>150%    </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87" w:type="dxa"/>
            <w:tcBorders/>
            <w:shd w:fill="E5E5E5" w:val="clear"/>
            <w:vAlign w:val="center"/>
          </w:tcPr>
          <w:p>
            <w:pPr>
              <w:pStyle w:val="TableContents"/>
              <w:bidi w:val="0"/>
              <w:spacing w:before="0" w:after="283"/>
              <w:jc w:val="left"/>
              <w:rPr/>
            </w:pPr>
            <w:r>
              <w:rPr/>
              <w:t> </w:t>
            </w:r>
          </w:p>
        </w:tc>
        <w:tc>
          <w:tcPr>
            <w:tcW w:w="1613" w:type="dxa"/>
            <w:tcBorders/>
            <w:shd w:fill="E5E5E5" w:val="clear"/>
            <w:vAlign w:val="center"/>
          </w:tcPr>
          <w:p>
            <w:pPr>
              <w:pStyle w:val="TableContents"/>
              <w:bidi w:val="0"/>
              <w:spacing w:before="0" w:after="283"/>
              <w:jc w:val="right"/>
              <w:rPr/>
            </w:pPr>
            <w:r>
              <w:rPr/>
              <w:t>$2,100,000</w:t>
            </w:r>
          </w:p>
        </w:tc>
        <w:tc>
          <w:tcPr>
            <w:tcW w:w="75" w:type="dxa"/>
            <w:tcBorders/>
            <w:shd w:fill="E5E5E5"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2374" w:type="dxa"/>
            <w:gridSpan w:val="4"/>
            <w:tcBorders/>
            <w:vAlign w:val="center"/>
          </w:tcPr>
          <w:p>
            <w:pPr>
              <w:pStyle w:val="TableContents"/>
              <w:bidi w:val="0"/>
              <w:spacing w:before="0" w:after="283"/>
              <w:jc w:val="left"/>
              <w:rPr>
                <w:sz w:val="4"/>
                <w:szCs w:val="4"/>
              </w:rPr>
            </w:pPr>
            <w:r>
              <w:rPr>
                <w:sz w:val="4"/>
                <w:szCs w:val="4"/>
              </w:rPr>
            </w:r>
          </w:p>
        </w:tc>
        <w:tc>
          <w:tcPr>
            <w:tcW w:w="1895" w:type="dxa"/>
            <w:gridSpan w:val="4"/>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ARIAL" w:hAnsi="ARIAL"/>
                <w:b/>
                <w:sz w:val="18"/>
              </w:rPr>
            </w:pPr>
            <w:r>
              <w:rPr>
                <w:rFonts w:ascii="ARIAL" w:hAnsi="ARIAL"/>
                <w:b/>
                <w:sz w:val="18"/>
              </w:rPr>
              <w:t>Rajiv Malik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054" w:type="dxa"/>
            <w:tcBorders/>
            <w:vAlign w:val="center"/>
          </w:tcPr>
          <w:p>
            <w:pPr>
              <w:pStyle w:val="TableContents"/>
              <w:bidi w:val="0"/>
              <w:spacing w:before="0" w:after="283"/>
              <w:jc w:val="right"/>
              <w:rPr/>
            </w:pPr>
            <w:r>
              <w:rPr/>
              <w:t>125%    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13" w:type="dxa"/>
            <w:tcBorders/>
            <w:vAlign w:val="center"/>
          </w:tcPr>
          <w:p>
            <w:pPr>
              <w:pStyle w:val="TableContents"/>
              <w:bidi w:val="0"/>
              <w:spacing w:before="0" w:after="283"/>
              <w:jc w:val="right"/>
              <w:rPr/>
            </w:pPr>
            <w:r>
              <w:rPr/>
              <w:t>$1,625,000</w:t>
            </w:r>
          </w:p>
        </w:tc>
        <w:tc>
          <w:tcPr>
            <w:tcW w:w="75" w:type="dxa"/>
            <w:tcBorders/>
            <w:vAlign w:val="center"/>
          </w:tcPr>
          <w:p>
            <w:pPr>
              <w:pStyle w:val="TableContents"/>
              <w:bidi w:val="0"/>
              <w:spacing w:before="0" w:after="283"/>
              <w:jc w:val="left"/>
              <w:rPr/>
            </w:pPr>
            <w:r>
              <w:rPr/>
              <w:t> </w:t>
            </w:r>
          </w:p>
        </w:tc>
      </w:tr>
      <w:tr>
        <w:trPr/>
        <w:tc>
          <w:tcPr>
            <w:tcW w:w="1655" w:type="dxa"/>
            <w:tcBorders/>
            <w:shd w:fill="E5E5E5" w:val="clear"/>
            <w:vAlign w:val="center"/>
          </w:tcPr>
          <w:p>
            <w:pPr>
              <w:pStyle w:val="TableContents"/>
              <w:bidi w:val="0"/>
              <w:spacing w:before="0" w:after="283"/>
              <w:jc w:val="left"/>
              <w:rPr>
                <w:sz w:val="4"/>
                <w:szCs w:val="4"/>
              </w:rPr>
            </w:pPr>
            <w:r>
              <w:rPr>
                <w:sz w:val="4"/>
                <w:szCs w:val="4"/>
              </w:rPr>
            </w:r>
          </w:p>
        </w:tc>
        <w:tc>
          <w:tcPr>
            <w:tcW w:w="2374" w:type="dxa"/>
            <w:gridSpan w:val="4"/>
            <w:tcBorders/>
            <w:shd w:fill="E5E5E5" w:val="clear"/>
            <w:vAlign w:val="center"/>
          </w:tcPr>
          <w:p>
            <w:pPr>
              <w:pStyle w:val="TableContents"/>
              <w:bidi w:val="0"/>
              <w:spacing w:before="0" w:after="283"/>
              <w:jc w:val="left"/>
              <w:rPr>
                <w:sz w:val="4"/>
                <w:szCs w:val="4"/>
              </w:rPr>
            </w:pPr>
            <w:r>
              <w:rPr>
                <w:sz w:val="4"/>
                <w:szCs w:val="4"/>
              </w:rPr>
            </w:r>
          </w:p>
        </w:tc>
        <w:tc>
          <w:tcPr>
            <w:tcW w:w="189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1655" w:type="dxa"/>
            <w:tcBorders/>
            <w:shd w:fill="E5E5E5" w:val="clear"/>
            <w:vAlign w:val="center"/>
          </w:tcPr>
          <w:p>
            <w:pPr>
              <w:pStyle w:val="TableContents"/>
              <w:bidi w:val="0"/>
              <w:spacing w:before="0" w:after="0"/>
              <w:jc w:val="left"/>
              <w:rPr>
                <w:rFonts w:ascii="ARIAL" w:hAnsi="ARIAL"/>
                <w:b/>
                <w:sz w:val="18"/>
              </w:rPr>
            </w:pPr>
            <w:r>
              <w:rPr>
                <w:rFonts w:ascii="ARIAL" w:hAnsi="ARIAL"/>
                <w:b/>
                <w:sz w:val="18"/>
              </w:rPr>
              <w:t>Sanjeev Narula</w:t>
            </w:r>
          </w:p>
        </w:tc>
        <w:tc>
          <w:tcPr>
            <w:tcW w:w="12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2054" w:type="dxa"/>
            <w:tcBorders/>
            <w:shd w:fill="E5E5E5" w:val="clear"/>
            <w:vAlign w:val="center"/>
          </w:tcPr>
          <w:p>
            <w:pPr>
              <w:pStyle w:val="TableContents"/>
              <w:bidi w:val="0"/>
              <w:spacing w:before="0" w:after="283"/>
              <w:jc w:val="right"/>
              <w:rPr/>
            </w:pPr>
            <w:r>
              <w:rPr/>
              <w:t>100%    </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87" w:type="dxa"/>
            <w:tcBorders/>
            <w:shd w:fill="E5E5E5" w:val="clear"/>
            <w:vAlign w:val="center"/>
          </w:tcPr>
          <w:p>
            <w:pPr>
              <w:pStyle w:val="TableContents"/>
              <w:bidi w:val="0"/>
              <w:spacing w:before="0" w:after="283"/>
              <w:jc w:val="left"/>
              <w:rPr/>
            </w:pPr>
            <w:r>
              <w:rPr/>
              <w:t> </w:t>
            </w:r>
          </w:p>
        </w:tc>
        <w:tc>
          <w:tcPr>
            <w:tcW w:w="1613" w:type="dxa"/>
            <w:tcBorders/>
            <w:shd w:fill="E5E5E5" w:val="clear"/>
            <w:vAlign w:val="center"/>
          </w:tcPr>
          <w:p>
            <w:pPr>
              <w:pStyle w:val="TableContents"/>
              <w:bidi w:val="0"/>
              <w:spacing w:before="0" w:after="283"/>
              <w:jc w:val="right"/>
              <w:rPr/>
            </w:pPr>
            <w:r>
              <w:rPr/>
              <w:t>$925,000</w:t>
            </w:r>
          </w:p>
        </w:tc>
        <w:tc>
          <w:tcPr>
            <w:tcW w:w="75" w:type="dxa"/>
            <w:tcBorders/>
            <w:shd w:fill="E5E5E5"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2374" w:type="dxa"/>
            <w:gridSpan w:val="4"/>
            <w:tcBorders/>
            <w:vAlign w:val="center"/>
          </w:tcPr>
          <w:p>
            <w:pPr>
              <w:pStyle w:val="TableContents"/>
              <w:bidi w:val="0"/>
              <w:spacing w:before="0" w:after="283"/>
              <w:jc w:val="left"/>
              <w:rPr>
                <w:sz w:val="4"/>
                <w:szCs w:val="4"/>
              </w:rPr>
            </w:pPr>
            <w:r>
              <w:rPr>
                <w:sz w:val="4"/>
                <w:szCs w:val="4"/>
              </w:rPr>
            </w:r>
          </w:p>
        </w:tc>
        <w:tc>
          <w:tcPr>
            <w:tcW w:w="1895" w:type="dxa"/>
            <w:gridSpan w:val="4"/>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ARIAL" w:hAnsi="ARIAL"/>
                <w:b/>
                <w:sz w:val="18"/>
              </w:rPr>
            </w:pPr>
            <w:r>
              <w:rPr>
                <w:rFonts w:ascii="ARIAL" w:hAnsi="ARIAL"/>
                <w:b/>
                <w:sz w:val="18"/>
              </w:rPr>
              <w:t>Anthony Mauro</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054" w:type="dxa"/>
            <w:tcBorders/>
            <w:vAlign w:val="center"/>
          </w:tcPr>
          <w:p>
            <w:pPr>
              <w:pStyle w:val="TableContents"/>
              <w:bidi w:val="0"/>
              <w:spacing w:before="0" w:after="283"/>
              <w:jc w:val="right"/>
              <w:rPr/>
            </w:pPr>
            <w:r>
              <w:rPr/>
              <w:t>115%    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13" w:type="dxa"/>
            <w:tcBorders/>
            <w:vAlign w:val="center"/>
          </w:tcPr>
          <w:p>
            <w:pPr>
              <w:pStyle w:val="TableContents"/>
              <w:bidi w:val="0"/>
              <w:spacing w:before="0" w:after="283"/>
              <w:jc w:val="right"/>
              <w:rPr/>
            </w:pPr>
            <w:r>
              <w:rPr/>
              <w:t>$989,000</w:t>
            </w:r>
          </w:p>
        </w:tc>
        <w:tc>
          <w:tcPr>
            <w:tcW w:w="75" w:type="dxa"/>
            <w:tcBorders/>
            <w:vAlign w:val="center"/>
          </w:tcPr>
          <w:p>
            <w:pPr>
              <w:pStyle w:val="TableContents"/>
              <w:bidi w:val="0"/>
              <w:spacing w:before="0" w:after="283"/>
              <w:jc w:val="left"/>
              <w:rPr/>
            </w:pPr>
            <w:r>
              <w:rPr/>
              <w:t> </w:t>
            </w:r>
          </w:p>
        </w:tc>
      </w:tr>
      <w:tr>
        <w:trPr/>
        <w:tc>
          <w:tcPr>
            <w:tcW w:w="1655" w:type="dxa"/>
            <w:tcBorders/>
            <w:shd w:fill="E5E5E5" w:val="clear"/>
            <w:vAlign w:val="center"/>
          </w:tcPr>
          <w:p>
            <w:pPr>
              <w:pStyle w:val="TableContents"/>
              <w:bidi w:val="0"/>
              <w:spacing w:before="0" w:after="283"/>
              <w:jc w:val="left"/>
              <w:rPr>
                <w:sz w:val="4"/>
                <w:szCs w:val="4"/>
              </w:rPr>
            </w:pPr>
            <w:r>
              <w:rPr>
                <w:sz w:val="4"/>
                <w:szCs w:val="4"/>
              </w:rPr>
            </w:r>
          </w:p>
        </w:tc>
        <w:tc>
          <w:tcPr>
            <w:tcW w:w="2374" w:type="dxa"/>
            <w:gridSpan w:val="4"/>
            <w:tcBorders/>
            <w:shd w:fill="E5E5E5" w:val="clear"/>
            <w:vAlign w:val="center"/>
          </w:tcPr>
          <w:p>
            <w:pPr>
              <w:pStyle w:val="TableContents"/>
              <w:bidi w:val="0"/>
              <w:spacing w:before="0" w:after="283"/>
              <w:jc w:val="left"/>
              <w:rPr>
                <w:sz w:val="4"/>
                <w:szCs w:val="4"/>
              </w:rPr>
            </w:pPr>
            <w:r>
              <w:rPr>
                <w:sz w:val="4"/>
                <w:szCs w:val="4"/>
              </w:rPr>
            </w:r>
          </w:p>
        </w:tc>
        <w:tc>
          <w:tcPr>
            <w:tcW w:w="189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1655" w:type="dxa"/>
            <w:tcBorders/>
            <w:shd w:fill="E5E5E5" w:val="clear"/>
            <w:vAlign w:val="center"/>
          </w:tcPr>
          <w:p>
            <w:pPr>
              <w:pStyle w:val="TableContents"/>
              <w:bidi w:val="0"/>
              <w:spacing w:before="0" w:after="0"/>
              <w:jc w:val="left"/>
              <w:rPr>
                <w:rFonts w:ascii="ARIAL" w:hAnsi="ARIAL"/>
                <w:b/>
                <w:sz w:val="18"/>
              </w:rPr>
            </w:pPr>
            <w:r>
              <w:rPr>
                <w:rFonts w:ascii="ARIAL" w:hAnsi="ARIAL"/>
                <w:b/>
                <w:sz w:val="18"/>
              </w:rPr>
              <w:t>Brian Roman</w:t>
            </w:r>
          </w:p>
        </w:tc>
        <w:tc>
          <w:tcPr>
            <w:tcW w:w="12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2054" w:type="dxa"/>
            <w:tcBorders/>
            <w:shd w:fill="E5E5E5" w:val="clear"/>
            <w:vAlign w:val="center"/>
          </w:tcPr>
          <w:p>
            <w:pPr>
              <w:pStyle w:val="TableContents"/>
              <w:bidi w:val="0"/>
              <w:spacing w:before="0" w:after="283"/>
              <w:jc w:val="right"/>
              <w:rPr/>
            </w:pPr>
            <w:r>
              <w:rPr/>
              <w:t>100%    </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87" w:type="dxa"/>
            <w:tcBorders/>
            <w:shd w:fill="E5E5E5" w:val="clear"/>
            <w:vAlign w:val="center"/>
          </w:tcPr>
          <w:p>
            <w:pPr>
              <w:pStyle w:val="TableContents"/>
              <w:bidi w:val="0"/>
              <w:spacing w:before="0" w:after="283"/>
              <w:jc w:val="left"/>
              <w:rPr/>
            </w:pPr>
            <w:r>
              <w:rPr/>
              <w:t> </w:t>
            </w:r>
          </w:p>
        </w:tc>
        <w:tc>
          <w:tcPr>
            <w:tcW w:w="1613" w:type="dxa"/>
            <w:tcBorders/>
            <w:shd w:fill="E5E5E5" w:val="clear"/>
            <w:vAlign w:val="center"/>
          </w:tcPr>
          <w:p>
            <w:pPr>
              <w:pStyle w:val="TableContents"/>
              <w:bidi w:val="0"/>
              <w:spacing w:before="0" w:after="283"/>
              <w:jc w:val="right"/>
              <w:rPr/>
            </w:pPr>
            <w:r>
              <w:rPr/>
              <w:t>$800,000</w:t>
            </w:r>
          </w:p>
        </w:tc>
        <w:tc>
          <w:tcPr>
            <w:tcW w:w="75" w:type="dxa"/>
            <w:tcBorders/>
            <w:shd w:fill="E5E5E5"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2374" w:type="dxa"/>
            <w:gridSpan w:val="4"/>
            <w:tcBorders/>
            <w:vAlign w:val="center"/>
          </w:tcPr>
          <w:p>
            <w:pPr>
              <w:pStyle w:val="TableContents"/>
              <w:bidi w:val="0"/>
              <w:spacing w:before="0" w:after="283"/>
              <w:jc w:val="left"/>
              <w:rPr>
                <w:sz w:val="4"/>
                <w:szCs w:val="4"/>
              </w:rPr>
            </w:pPr>
            <w:r>
              <w:rPr>
                <w:sz w:val="4"/>
                <w:szCs w:val="4"/>
              </w:rPr>
            </w:r>
          </w:p>
        </w:tc>
        <w:tc>
          <w:tcPr>
            <w:tcW w:w="1895" w:type="dxa"/>
            <w:gridSpan w:val="4"/>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ARIAL" w:hAnsi="ARIAL"/>
                <w:b/>
                <w:sz w:val="18"/>
              </w:rPr>
            </w:pPr>
            <w:r>
              <w:rPr>
                <w:rFonts w:ascii="ARIAL" w:hAnsi="ARIAL"/>
                <w:b/>
                <w:sz w:val="18"/>
              </w:rPr>
              <w:t>Michael Goettler(1)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054" w:type="dxa"/>
            <w:tcBorders/>
            <w:vAlign w:val="center"/>
          </w:tcPr>
          <w:p>
            <w:pPr>
              <w:pStyle w:val="TableContents"/>
              <w:bidi w:val="0"/>
              <w:spacing w:before="0" w:after="283"/>
              <w:jc w:val="right"/>
              <w:rPr/>
            </w:pPr>
            <w:r>
              <w:rPr/>
              <w:t>150%    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13" w:type="dxa"/>
            <w:tcBorders/>
            <w:vAlign w:val="center"/>
          </w:tcPr>
          <w:p>
            <w:pPr>
              <w:pStyle w:val="TableContents"/>
              <w:bidi w:val="0"/>
              <w:spacing w:before="0" w:after="283"/>
              <w:jc w:val="right"/>
              <w:rPr/>
            </w:pPr>
            <w:r>
              <w:rPr/>
              <w:t>$1,950,000</w:t>
            </w:r>
          </w:p>
        </w:tc>
        <w:tc>
          <w:tcPr>
            <w:tcW w:w="75" w:type="dxa"/>
            <w:tcBorders/>
            <w:vAlign w:val="center"/>
          </w:tcPr>
          <w:p>
            <w:pPr>
              <w:pStyle w:val="TableContents"/>
              <w:bidi w:val="0"/>
              <w:spacing w:before="0" w:after="283"/>
              <w:jc w:val="left"/>
              <w:rPr/>
            </w:pPr>
            <w:r>
              <w:rPr/>
              <w:t> </w:t>
            </w:r>
          </w:p>
        </w:tc>
      </w:tr>
      <w:tr>
        <w:trPr/>
        <w:tc>
          <w:tcPr>
            <w:tcW w:w="1655" w:type="dxa"/>
            <w:tcBorders/>
            <w:shd w:fill="E5E5E5" w:val="clear"/>
            <w:vAlign w:val="center"/>
          </w:tcPr>
          <w:p>
            <w:pPr>
              <w:pStyle w:val="TableContents"/>
              <w:bidi w:val="0"/>
              <w:spacing w:before="0" w:after="283"/>
              <w:jc w:val="left"/>
              <w:rPr>
                <w:sz w:val="4"/>
                <w:szCs w:val="4"/>
              </w:rPr>
            </w:pPr>
            <w:r>
              <w:rPr>
                <w:sz w:val="4"/>
                <w:szCs w:val="4"/>
              </w:rPr>
            </w:r>
          </w:p>
        </w:tc>
        <w:tc>
          <w:tcPr>
            <w:tcW w:w="2374" w:type="dxa"/>
            <w:gridSpan w:val="4"/>
            <w:tcBorders/>
            <w:shd w:fill="E5E5E5" w:val="clear"/>
            <w:vAlign w:val="center"/>
          </w:tcPr>
          <w:p>
            <w:pPr>
              <w:pStyle w:val="TableContents"/>
              <w:bidi w:val="0"/>
              <w:spacing w:before="0" w:after="283"/>
              <w:jc w:val="left"/>
              <w:rPr>
                <w:sz w:val="4"/>
                <w:szCs w:val="4"/>
              </w:rPr>
            </w:pPr>
            <w:r>
              <w:rPr>
                <w:sz w:val="4"/>
                <w:szCs w:val="4"/>
              </w:rPr>
            </w:r>
          </w:p>
        </w:tc>
        <w:tc>
          <w:tcPr>
            <w:tcW w:w="189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1655" w:type="dxa"/>
            <w:tcBorders>
              <w:bottom w:val="single" w:sz="8" w:space="0" w:color="732282"/>
            </w:tcBorders>
            <w:shd w:fill="E5E5E5" w:val="clear"/>
            <w:tcMar>
              <w:bottom w:w="40" w:type="dxa"/>
            </w:tcMar>
            <w:vAlign w:val="center"/>
          </w:tcPr>
          <w:p>
            <w:pPr>
              <w:pStyle w:val="TableContents"/>
              <w:bidi w:val="0"/>
              <w:spacing w:before="0" w:after="0"/>
              <w:jc w:val="left"/>
              <w:rPr>
                <w:rFonts w:ascii="ARIAL" w:hAnsi="ARIAL"/>
                <w:b/>
                <w:sz w:val="18"/>
              </w:rPr>
            </w:pPr>
            <w:r>
              <w:rPr>
                <w:rFonts w:ascii="ARIAL" w:hAnsi="ARIAL"/>
                <w:b/>
                <w:sz w:val="18"/>
              </w:rPr>
              <w:t>Robert J. Coury(1)</w:t>
            </w:r>
          </w:p>
        </w:tc>
        <w:tc>
          <w:tcPr>
            <w:tcW w:w="12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8" w:space="0" w:color="732282"/>
            </w:tcBorders>
            <w:shd w:fill="E5E5E5" w:val="clear"/>
            <w:tcMar>
              <w:bottom w:w="40" w:type="dxa"/>
            </w:tcMar>
            <w:vAlign w:val="center"/>
          </w:tcPr>
          <w:p>
            <w:pPr>
              <w:pStyle w:val="TableContents"/>
              <w:bidi w:val="0"/>
              <w:spacing w:before="0" w:after="283"/>
              <w:jc w:val="left"/>
              <w:rPr/>
            </w:pPr>
            <w:r>
              <w:rPr/>
              <w:t> </w:t>
            </w:r>
          </w:p>
        </w:tc>
        <w:tc>
          <w:tcPr>
            <w:tcW w:w="2054" w:type="dxa"/>
            <w:tcBorders>
              <w:bottom w:val="single" w:sz="8" w:space="0" w:color="732282"/>
            </w:tcBorders>
            <w:shd w:fill="E5E5E5" w:val="clear"/>
            <w:tcMar>
              <w:bottom w:w="40" w:type="dxa"/>
            </w:tcMar>
            <w:vAlign w:val="center"/>
          </w:tcPr>
          <w:p>
            <w:pPr>
              <w:pStyle w:val="TableContents"/>
              <w:bidi w:val="0"/>
              <w:spacing w:before="0" w:after="283"/>
              <w:jc w:val="right"/>
              <w:rPr/>
            </w:pPr>
            <w:r>
              <w:rPr/>
              <w:t>150%    </w:t>
            </w:r>
          </w:p>
        </w:tc>
        <w:tc>
          <w:tcPr>
            <w:tcW w:w="60" w:type="dxa"/>
            <w:tcBorders>
              <w:bottom w:val="single" w:sz="8" w:space="0" w:color="732282"/>
            </w:tcBorders>
            <w:shd w:fill="E5E5E5" w:val="clear"/>
            <w:tcMar>
              <w:bottom w:w="40" w:type="dxa"/>
            </w:tcMar>
            <w:vAlign w:val="center"/>
          </w:tcPr>
          <w:p>
            <w:pPr>
              <w:pStyle w:val="TableContents"/>
              <w:bidi w:val="0"/>
              <w:spacing w:before="0" w:after="283"/>
              <w:jc w:val="left"/>
              <w:rPr/>
            </w:pPr>
            <w:r>
              <w:rPr/>
              <w:t> </w:t>
            </w:r>
          </w:p>
        </w:tc>
        <w:tc>
          <w:tcPr>
            <w:tcW w:w="12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87" w:type="dxa"/>
            <w:tcBorders>
              <w:bottom w:val="single" w:sz="8" w:space="0" w:color="732282"/>
            </w:tcBorders>
            <w:shd w:fill="E5E5E5" w:val="clear"/>
            <w:tcMar>
              <w:bottom w:w="40" w:type="dxa"/>
            </w:tcMar>
            <w:vAlign w:val="center"/>
          </w:tcPr>
          <w:p>
            <w:pPr>
              <w:pStyle w:val="TableContents"/>
              <w:bidi w:val="0"/>
              <w:spacing w:before="0" w:after="283"/>
              <w:jc w:val="left"/>
              <w:rPr/>
            </w:pPr>
            <w:r>
              <w:rPr/>
              <w:t> </w:t>
            </w:r>
          </w:p>
        </w:tc>
        <w:tc>
          <w:tcPr>
            <w:tcW w:w="1613" w:type="dxa"/>
            <w:tcBorders>
              <w:bottom w:val="single" w:sz="8" w:space="0" w:color="732282"/>
            </w:tcBorders>
            <w:shd w:fill="E5E5E5" w:val="clear"/>
            <w:tcMar>
              <w:bottom w:w="40" w:type="dxa"/>
            </w:tcMar>
            <w:vAlign w:val="center"/>
          </w:tcPr>
          <w:p>
            <w:pPr>
              <w:pStyle w:val="TableContents"/>
              <w:bidi w:val="0"/>
              <w:spacing w:before="0" w:after="283"/>
              <w:jc w:val="right"/>
              <w:rPr/>
            </w:pPr>
            <w:r>
              <w:rPr/>
              <w:t>$2,925,000</w:t>
            </w:r>
          </w:p>
        </w:tc>
        <w:tc>
          <w:tcPr>
            <w:tcW w:w="75" w:type="dxa"/>
            <w:tcBorders>
              <w:bottom w:val="single" w:sz="8" w:space="0" w:color="732282"/>
            </w:tcBorders>
            <w:shd w:fill="E5E5E5" w:val="clear"/>
            <w:tcMar>
              <w:bottom w:w="4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(1) </w:t>
            </w:r>
          </w:p>
        </w:tc>
        <w:tc>
          <w:tcPr>
            <w:tcW w:w="9907" w:type="dxa"/>
            <w:tcBorders/>
            <w:vAlign w:val="center"/>
          </w:tcPr>
          <w:p>
            <w:pPr>
              <w:pStyle w:val="TableContents"/>
              <w:bidi w:val="0"/>
              <w:spacing w:before="0" w:after="0"/>
              <w:jc w:val="both"/>
              <w:rPr>
                <w:rFonts w:ascii="arial" w:hAnsi="arial"/>
                <w:sz w:val="14"/>
              </w:rPr>
            </w:pPr>
            <w:r>
              <w:rPr>
                <w:rFonts w:ascii="arial" w:hAnsi="arial"/>
                <w:sz w:val="14"/>
              </w:rPr>
              <w:t xml:space="preserve">The annual incentive target amounts listed above for Messrs. Smith, Goettler, and Coury were prorated to reflect the number of days each respectively served as an active employee during 2023 in determination of the payout of the 2023 cash incentive and were based on actual Company performance. </w:t>
            </w:r>
          </w:p>
        </w:tc>
      </w:tr>
    </w:tbl>
    <w:p>
      <w:pPr>
        <w:pStyle w:val="TextBody"/>
        <w:bidi w:val="0"/>
        <w:spacing w:before="240" w:after="0"/>
        <w:jc w:val="both"/>
        <w:rPr>
          <w:rFonts w:ascii="ARIAL" w:hAnsi="ARIAL"/>
          <w:b/>
          <w:i/>
          <w:sz w:val="20"/>
        </w:rPr>
      </w:pPr>
      <w:r>
        <w:rPr>
          <w:rFonts w:ascii="ARIAL" w:hAnsi="ARIAL"/>
          <w:b/>
          <w:i/>
          <w:sz w:val="20"/>
        </w:rPr>
        <w:t xml:space="preserve">Annual Incentive Compensation Payouts for 2023 </w:t>
      </w:r>
    </w:p>
    <w:p>
      <w:pPr>
        <w:pStyle w:val="TextBody"/>
        <w:bidi w:val="0"/>
        <w:spacing w:before="120" w:after="0"/>
        <w:jc w:val="both"/>
        <w:rPr>
          <w:rFonts w:ascii="arial" w:hAnsi="arial"/>
          <w:sz w:val="18"/>
        </w:rPr>
      </w:pPr>
      <w:r>
        <w:rPr>
          <w:rFonts w:ascii="arial" w:hAnsi="arial"/>
          <w:sz w:val="18"/>
        </w:rPr>
        <w:t xml:space="preserve">In 2023, Viatris achieved the following performance against the Compensation Committee-approved performance goals: </w:t>
      </w:r>
    </w:p>
    <w:p>
      <w:pPr>
        <w:pStyle w:val="TextBody"/>
        <w:bidi w:val="0"/>
        <w:spacing w:before="0" w:after="0"/>
        <w:jc w:val="left"/>
        <w:rPr/>
      </w:pPr>
      <w:r>
        <w:rPr/>
        <w:t> </w:t>
      </w:r>
    </w:p>
    <w:tbl>
      <w:tblPr>
        <w:tblW w:w="9840" w:type="dxa"/>
        <w:jc w:val="left"/>
        <w:tblInd w:w="0" w:type="dxa"/>
        <w:tblLayout w:type="fixed"/>
        <w:tblCellMar>
          <w:top w:w="0" w:type="dxa"/>
          <w:left w:w="0" w:type="dxa"/>
          <w:bottom w:w="0" w:type="dxa"/>
          <w:right w:w="0" w:type="dxa"/>
        </w:tblCellMar>
      </w:tblPr>
      <w:tblGrid>
        <w:gridCol w:w="2615"/>
        <w:gridCol w:w="120"/>
        <w:gridCol w:w="1070"/>
        <w:gridCol w:w="60"/>
        <w:gridCol w:w="1400"/>
        <w:gridCol w:w="120"/>
        <w:gridCol w:w="1400"/>
        <w:gridCol w:w="120"/>
        <w:gridCol w:w="1400"/>
        <w:gridCol w:w="120"/>
        <w:gridCol w:w="1415"/>
      </w:tblGrid>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2615" w:type="dxa"/>
            <w:tcBorders>
              <w:bottom w:val="single" w:sz="8" w:space="0" w:color="732282"/>
            </w:tcBorders>
            <w:tcMar>
              <w:bottom w:w="28" w:type="dxa"/>
            </w:tcMar>
            <w:vAlign w:val="center"/>
          </w:tcPr>
          <w:p>
            <w:pPr>
              <w:pStyle w:val="TableContents"/>
              <w:bidi w:val="0"/>
              <w:spacing w:before="0" w:after="0"/>
              <w:jc w:val="left"/>
              <w:rPr>
                <w:rFonts w:ascii="ARIAL" w:hAnsi="ARIAL"/>
                <w:b/>
                <w:color w:val="732282"/>
                <w:sz w:val="18"/>
              </w:rPr>
            </w:pPr>
            <w:r>
              <w:rPr>
                <w:rFonts w:ascii="ARIAL" w:hAnsi="ARIAL"/>
                <w:b/>
                <w:color w:val="732282"/>
                <w:sz w:val="18"/>
              </w:rPr>
              <w:t>Metric</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070" w:type="dxa"/>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Weighting</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400" w:type="dxa"/>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Threshold</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400" w:type="dxa"/>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Target</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400" w:type="dxa"/>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Maximum</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415" w:type="dxa"/>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Results</w:t>
            </w:r>
          </w:p>
        </w:tc>
      </w:tr>
      <w:tr>
        <w:trPr/>
        <w:tc>
          <w:tcPr>
            <w:tcW w:w="2615" w:type="dxa"/>
            <w:tcBorders/>
            <w:shd w:fill="E5E5E5" w:val="clear"/>
            <w:vAlign w:val="center"/>
          </w:tcPr>
          <w:p>
            <w:pPr>
              <w:pStyle w:val="TableContents"/>
              <w:bidi w:val="0"/>
              <w:spacing w:before="0" w:after="0"/>
              <w:jc w:val="left"/>
              <w:rPr>
                <w:rFonts w:ascii="ARIAL" w:hAnsi="ARIAL"/>
                <w:sz w:val="18"/>
              </w:rPr>
            </w:pPr>
            <w:r>
              <w:rPr>
                <w:rFonts w:ascii="ARIAL" w:hAnsi="ARIAL"/>
                <w:sz w:val="18"/>
              </w:rPr>
              <w:t>Adjusted EBITDA*</w:t>
            </w:r>
          </w:p>
        </w:tc>
        <w:tc>
          <w:tcPr>
            <w:tcW w:w="120" w:type="dxa"/>
            <w:tcBorders/>
            <w:shd w:fill="E5E5E5" w:val="clear"/>
            <w:vAlign w:val="center"/>
          </w:tcPr>
          <w:p>
            <w:pPr>
              <w:pStyle w:val="TableContents"/>
              <w:bidi w:val="0"/>
              <w:spacing w:before="0" w:after="283"/>
              <w:jc w:val="left"/>
              <w:rPr/>
            </w:pPr>
            <w:r>
              <w:rPr/>
              <w:t>  </w:t>
            </w:r>
          </w:p>
        </w:tc>
        <w:tc>
          <w:tcPr>
            <w:tcW w:w="1070" w:type="dxa"/>
            <w:tcBorders/>
            <w:shd w:fill="E5E5E5" w:val="clear"/>
            <w:vAlign w:val="center"/>
          </w:tcPr>
          <w:p>
            <w:pPr>
              <w:pStyle w:val="TableContents"/>
              <w:bidi w:val="0"/>
              <w:spacing w:before="0" w:after="283"/>
              <w:jc w:val="center"/>
              <w:rPr/>
            </w:pPr>
            <w:r>
              <w:rPr/>
              <w:t>40%</w:t>
            </w:r>
          </w:p>
        </w:tc>
        <w:tc>
          <w:tcPr>
            <w:tcW w:w="60" w:type="dxa"/>
            <w:tcBorders/>
            <w:shd w:fill="E5E5E5" w:val="clear"/>
            <w:vAlign w:val="center"/>
          </w:tcPr>
          <w:p>
            <w:pPr>
              <w:pStyle w:val="TableContents"/>
              <w:bidi w:val="0"/>
              <w:spacing w:before="0" w:after="283"/>
              <w:jc w:val="left"/>
              <w:rPr/>
            </w:pPr>
            <w:r>
              <w:rPr/>
              <w:t> </w:t>
            </w:r>
          </w:p>
        </w:tc>
        <w:tc>
          <w:tcPr>
            <w:tcW w:w="1400" w:type="dxa"/>
            <w:tcBorders/>
            <w:shd w:fill="E5E5E5" w:val="clear"/>
            <w:vAlign w:val="center"/>
          </w:tcPr>
          <w:p>
            <w:pPr>
              <w:pStyle w:val="TableContents"/>
              <w:bidi w:val="0"/>
              <w:spacing w:before="0" w:after="283"/>
              <w:jc w:val="center"/>
              <w:rPr/>
            </w:pPr>
            <w:r>
              <w:rPr/>
              <w:t>$4,900 million</w:t>
            </w:r>
          </w:p>
        </w:tc>
        <w:tc>
          <w:tcPr>
            <w:tcW w:w="120" w:type="dxa"/>
            <w:tcBorders/>
            <w:shd w:fill="E5E5E5" w:val="clear"/>
            <w:vAlign w:val="center"/>
          </w:tcPr>
          <w:p>
            <w:pPr>
              <w:pStyle w:val="TableContents"/>
              <w:bidi w:val="0"/>
              <w:spacing w:before="0" w:after="283"/>
              <w:jc w:val="left"/>
              <w:rPr/>
            </w:pPr>
            <w:r>
              <w:rPr/>
              <w:t>  </w:t>
            </w:r>
          </w:p>
        </w:tc>
        <w:tc>
          <w:tcPr>
            <w:tcW w:w="1400" w:type="dxa"/>
            <w:tcBorders/>
            <w:shd w:fill="E5E5E5" w:val="clear"/>
            <w:vAlign w:val="center"/>
          </w:tcPr>
          <w:p>
            <w:pPr>
              <w:pStyle w:val="TableContents"/>
              <w:bidi w:val="0"/>
              <w:spacing w:before="0" w:after="283"/>
              <w:jc w:val="center"/>
              <w:rPr/>
            </w:pPr>
            <w:r>
              <w:rPr/>
              <w:t>$5,200 million</w:t>
            </w:r>
          </w:p>
        </w:tc>
        <w:tc>
          <w:tcPr>
            <w:tcW w:w="120" w:type="dxa"/>
            <w:tcBorders/>
            <w:shd w:fill="E5E5E5" w:val="clear"/>
            <w:vAlign w:val="center"/>
          </w:tcPr>
          <w:p>
            <w:pPr>
              <w:pStyle w:val="TableContents"/>
              <w:bidi w:val="0"/>
              <w:spacing w:before="0" w:after="283"/>
              <w:jc w:val="left"/>
              <w:rPr/>
            </w:pPr>
            <w:r>
              <w:rPr/>
              <w:t>  </w:t>
            </w:r>
          </w:p>
        </w:tc>
        <w:tc>
          <w:tcPr>
            <w:tcW w:w="1400" w:type="dxa"/>
            <w:tcBorders/>
            <w:shd w:fill="E5E5E5" w:val="clear"/>
            <w:vAlign w:val="center"/>
          </w:tcPr>
          <w:p>
            <w:pPr>
              <w:pStyle w:val="TableContents"/>
              <w:bidi w:val="0"/>
              <w:spacing w:before="0" w:after="283"/>
              <w:jc w:val="center"/>
              <w:rPr/>
            </w:pPr>
            <w:r>
              <w:rPr/>
              <w:t>$5,500 million</w:t>
            </w:r>
          </w:p>
        </w:tc>
        <w:tc>
          <w:tcPr>
            <w:tcW w:w="120" w:type="dxa"/>
            <w:tcBorders/>
            <w:shd w:fill="E5E5E5" w:val="clear"/>
            <w:vAlign w:val="center"/>
          </w:tcPr>
          <w:p>
            <w:pPr>
              <w:pStyle w:val="TableContents"/>
              <w:bidi w:val="0"/>
              <w:spacing w:before="0" w:after="283"/>
              <w:jc w:val="left"/>
              <w:rPr/>
            </w:pPr>
            <w:r>
              <w:rPr/>
              <w:t>  </w:t>
            </w:r>
          </w:p>
        </w:tc>
        <w:tc>
          <w:tcPr>
            <w:tcW w:w="1415" w:type="dxa"/>
            <w:tcBorders/>
            <w:shd w:fill="E5E5E5" w:val="clear"/>
            <w:vAlign w:val="center"/>
          </w:tcPr>
          <w:p>
            <w:pPr>
              <w:pStyle w:val="TableContents"/>
              <w:bidi w:val="0"/>
              <w:spacing w:before="0" w:after="283"/>
              <w:jc w:val="center"/>
              <w:rPr/>
            </w:pPr>
            <w:r>
              <w:rPr/>
              <w:t>$5,367 million</w:t>
            </w:r>
          </w:p>
        </w:tc>
      </w:tr>
      <w:tr>
        <w:trPr/>
        <w:tc>
          <w:tcPr>
            <w:tcW w:w="2615" w:type="dxa"/>
            <w:tcBorders/>
            <w:vAlign w:val="center"/>
          </w:tcPr>
          <w:p>
            <w:pPr>
              <w:pStyle w:val="TableContents"/>
              <w:bidi w:val="0"/>
              <w:spacing w:before="0" w:after="0"/>
              <w:jc w:val="left"/>
              <w:rPr>
                <w:rFonts w:ascii="ARIAL" w:hAnsi="ARIAL"/>
                <w:sz w:val="18"/>
              </w:rPr>
            </w:pPr>
            <w:r>
              <w:rPr>
                <w:rFonts w:ascii="ARIAL" w:hAnsi="ARIAL"/>
                <w:sz w:val="18"/>
              </w:rPr>
              <w:t>Free Cash Flow**</w:t>
            </w:r>
          </w:p>
        </w:tc>
        <w:tc>
          <w:tcPr>
            <w:tcW w:w="12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40%</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$2,200 million</w:t>
            </w:r>
          </w:p>
        </w:tc>
        <w:tc>
          <w:tcPr>
            <w:tcW w:w="12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$2,500 million</w:t>
            </w:r>
          </w:p>
        </w:tc>
        <w:tc>
          <w:tcPr>
            <w:tcW w:w="12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$2,800 million</w:t>
            </w:r>
          </w:p>
        </w:tc>
        <w:tc>
          <w:tcPr>
            <w:tcW w:w="12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center"/>
              <w:rPr/>
            </w:pPr>
            <w:r>
              <w:rPr/>
              <w:t>$2,916 million</w:t>
            </w:r>
          </w:p>
        </w:tc>
      </w:tr>
      <w:tr>
        <w:trPr/>
        <w:tc>
          <w:tcPr>
            <w:tcW w:w="2615" w:type="dxa"/>
            <w:tcBorders>
              <w:bottom w:val="single" w:sz="8" w:space="0" w:color="732282"/>
            </w:tcBorders>
            <w:shd w:fill="E5E5E5" w:val="clear"/>
            <w:tcMar>
              <w:bottom w:w="28" w:type="dxa"/>
            </w:tcMar>
            <w:vAlign w:val="center"/>
          </w:tcPr>
          <w:p>
            <w:pPr>
              <w:pStyle w:val="TableContents"/>
              <w:bidi w:val="0"/>
              <w:spacing w:before="0" w:after="0"/>
              <w:jc w:val="left"/>
              <w:rPr>
                <w:rFonts w:ascii="ARIAL" w:hAnsi="ARIAL"/>
                <w:sz w:val="18"/>
              </w:rPr>
            </w:pPr>
            <w:r>
              <w:rPr>
                <w:rFonts w:ascii="ARIAL" w:hAnsi="ARIAL"/>
                <w:sz w:val="18"/>
              </w:rPr>
              <w:t>Global Regulatory Submissions</w:t>
            </w:r>
          </w:p>
        </w:tc>
        <w:tc>
          <w:tcPr>
            <w:tcW w:w="12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070" w:type="dxa"/>
            <w:tcBorders>
              <w:bottom w:val="single" w:sz="8" w:space="0" w:color="732282"/>
            </w:tcBorders>
            <w:shd w:fill="E5E5E5" w:val="clear"/>
            <w:tcMar>
              <w:bottom w:w="28" w:type="dxa"/>
            </w:tcMar>
            <w:vAlign w:val="center"/>
          </w:tcPr>
          <w:p>
            <w:pPr>
              <w:pStyle w:val="TableContents"/>
              <w:bidi w:val="0"/>
              <w:spacing w:before="0" w:after="283"/>
              <w:jc w:val="center"/>
              <w:rPr/>
            </w:pPr>
            <w:r>
              <w:rPr/>
              <w:t>20%</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400" w:type="dxa"/>
            <w:tcBorders>
              <w:bottom w:val="single" w:sz="8" w:space="0" w:color="732282"/>
            </w:tcBorders>
            <w:shd w:fill="E5E5E5" w:val="clear"/>
            <w:tcMar>
              <w:bottom w:w="28" w:type="dxa"/>
            </w:tcMar>
            <w:vAlign w:val="center"/>
          </w:tcPr>
          <w:p>
            <w:pPr>
              <w:pStyle w:val="TableContents"/>
              <w:bidi w:val="0"/>
              <w:spacing w:before="0" w:after="283"/>
              <w:jc w:val="center"/>
              <w:rPr/>
            </w:pPr>
            <w:r>
              <w:rPr/>
              <w:t>100</w:t>
            </w:r>
          </w:p>
        </w:tc>
        <w:tc>
          <w:tcPr>
            <w:tcW w:w="12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400" w:type="dxa"/>
            <w:tcBorders>
              <w:bottom w:val="single" w:sz="8" w:space="0" w:color="732282"/>
            </w:tcBorders>
            <w:shd w:fill="E5E5E5" w:val="clear"/>
            <w:tcMar>
              <w:bottom w:w="28" w:type="dxa"/>
            </w:tcMar>
            <w:vAlign w:val="center"/>
          </w:tcPr>
          <w:p>
            <w:pPr>
              <w:pStyle w:val="TableContents"/>
              <w:bidi w:val="0"/>
              <w:spacing w:before="0" w:after="283"/>
              <w:jc w:val="center"/>
              <w:rPr/>
            </w:pPr>
            <w:r>
              <w:rPr/>
              <w:t>120</w:t>
            </w:r>
          </w:p>
        </w:tc>
        <w:tc>
          <w:tcPr>
            <w:tcW w:w="12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400" w:type="dxa"/>
            <w:tcBorders>
              <w:bottom w:val="single" w:sz="8" w:space="0" w:color="732282"/>
            </w:tcBorders>
            <w:shd w:fill="E5E5E5" w:val="clear"/>
            <w:tcMar>
              <w:bottom w:w="28" w:type="dxa"/>
            </w:tcMar>
            <w:vAlign w:val="center"/>
          </w:tcPr>
          <w:p>
            <w:pPr>
              <w:pStyle w:val="TableContents"/>
              <w:bidi w:val="0"/>
              <w:spacing w:before="0" w:after="283"/>
              <w:jc w:val="center"/>
              <w:rPr/>
            </w:pPr>
            <w:r>
              <w:rPr/>
              <w:t>140</w:t>
            </w:r>
          </w:p>
        </w:tc>
        <w:tc>
          <w:tcPr>
            <w:tcW w:w="12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415" w:type="dxa"/>
            <w:tcBorders>
              <w:bottom w:val="single" w:sz="8" w:space="0" w:color="732282"/>
            </w:tcBorders>
            <w:shd w:fill="E5E5E5" w:val="clear"/>
            <w:tcMar>
              <w:bottom w:w="28" w:type="dxa"/>
            </w:tcMar>
            <w:vAlign w:val="center"/>
          </w:tcPr>
          <w:p>
            <w:pPr>
              <w:pStyle w:val="TableContents"/>
              <w:bidi w:val="0"/>
              <w:spacing w:before="0" w:after="283"/>
              <w:jc w:val="center"/>
              <w:rPr/>
            </w:pPr>
            <w:r>
              <w:rPr/>
              <w:t>148</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rFonts w:ascii="arial" w:hAnsi="arial"/>
                <w:sz w:val="14"/>
              </w:rPr>
            </w:pPr>
            <w:r>
              <w:rPr>
                <w:rFonts w:ascii="arial" w:hAnsi="arial"/>
                <w:sz w:val="14"/>
              </w:rPr>
              <w:t xml:space="preserve">Adjusted EBITDA is derived from Viatris’ financial statements in the same manner as Viatris’ publicly reported adjusted EBITDA for 2023, except that the calculation for the 2023 annual incentive program utilized 2023 budgeted foreign exchange rates and further adjusts for acquired in-process research and development (“IPR&amp;D”) costs and the impact of divestitures. Viatris’ adjusted EBITDA as reported for the twelve months ended December 31, 2023 is reconciled to the most directly comparable U.S. GAAP measure in Appendix A.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0"/>
              <w:jc w:val="both"/>
              <w:rPr>
                <w:rFonts w:ascii="arial" w:hAnsi="arial"/>
                <w:sz w:val="14"/>
              </w:rPr>
            </w:pPr>
            <w:r>
              <w:rPr>
                <w:rFonts w:ascii="arial" w:hAnsi="arial"/>
                <w:sz w:val="14"/>
              </w:rPr>
              <w:t xml:space="preserve">Free cash flow is derived from Viatris’ audited financial statements in the same manner as Viatris’ publicly reported free cash flow for 2023, except that the calculation for the 2023 annual incentive program utilized 2023 budgeted foreign exchange rates and further adjusts for transaction costs and taxes related to the acquisitions of Oyster Point and Famy Life Sciences as well as any incremental transaction costs and taxes related to other select assets sales or reshaping initiatives and other impacts of divestitures, acquired IPR&amp;D costs, and proceeds from the sale of property, plant and equipment. Viatris’ free cash flow as reported for the twelve months ended December 31, 2023 is reconciled to the most directly comparable U.S. GAAP measure in Appendix A. </w:t>
            </w:r>
          </w:p>
        </w:tc>
      </w:tr>
    </w:tbl>
    <w:p>
      <w:pPr>
        <w:pStyle w:val="TextBody"/>
        <w:bidi w:val="0"/>
        <w:spacing w:before="240" w:after="0"/>
        <w:jc w:val="both"/>
        <w:rPr>
          <w:rFonts w:ascii="arial" w:hAnsi="arial"/>
          <w:sz w:val="18"/>
        </w:rPr>
      </w:pPr>
      <w:r>
        <w:rPr>
          <w:rFonts w:ascii="arial" w:hAnsi="arial"/>
          <w:sz w:val="18"/>
        </w:rPr>
        <w:t xml:space="preserve">The following table shows the 2023 actual incentive payout for each NEO reflecting Company performance at 182.31% of target.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655"/>
        <w:gridCol w:w="120"/>
        <w:gridCol w:w="89"/>
        <w:gridCol w:w="1641"/>
        <w:gridCol w:w="75"/>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bottom w:val="single" w:sz="8" w:space="0" w:color="732282"/>
            </w:tcBorders>
            <w:tcMar>
              <w:bottom w:w="28" w:type="dxa"/>
            </w:tcMar>
            <w:vAlign w:val="center"/>
          </w:tcPr>
          <w:p>
            <w:pPr>
              <w:pStyle w:val="TableContents"/>
              <w:bidi w:val="0"/>
              <w:spacing w:before="0" w:after="0"/>
              <w:jc w:val="left"/>
              <w:rPr>
                <w:rFonts w:ascii="ARIAL" w:hAnsi="ARIAL"/>
                <w:b/>
                <w:color w:val="732282"/>
                <w:sz w:val="18"/>
              </w:rPr>
            </w:pPr>
            <w:r>
              <w:rPr>
                <w:rFonts w:ascii="ARIAL" w:hAnsi="ARIAL"/>
                <w:b/>
                <w:color w:val="732282"/>
                <w:sz w:val="18"/>
              </w:rPr>
              <w:t>NEO</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730" w:type="dxa"/>
            <w:gridSpan w:val="2"/>
            <w:tcBorders>
              <w:bottom w:val="single" w:sz="8" w:space="0" w:color="732282"/>
            </w:tcBorders>
            <w:tcMar>
              <w:bottom w:w="28" w:type="dxa"/>
            </w:tcMar>
            <w:vAlign w:val="center"/>
          </w:tcPr>
          <w:p>
            <w:pPr>
              <w:pStyle w:val="TableContents"/>
              <w:bidi w:val="0"/>
              <w:spacing w:before="0" w:after="283"/>
              <w:jc w:val="right"/>
              <w:rPr>
                <w:b/>
                <w:color w:val="732282"/>
              </w:rPr>
            </w:pPr>
            <w:r>
              <w:rPr>
                <w:b/>
                <w:color w:val="732282"/>
              </w:rPr>
              <w:t>Actual Annual</w:t>
              <w:br/>
              <w:t>Incentive Award</w:t>
            </w:r>
          </w:p>
        </w:tc>
        <w:tc>
          <w:tcPr>
            <w:tcW w:w="75" w:type="dxa"/>
            <w:tcBorders>
              <w:bottom w:val="single" w:sz="8" w:space="0" w:color="732282"/>
            </w:tcBorders>
            <w:tcMar>
              <w:bottom w:w="28" w:type="dxa"/>
            </w:tcMar>
            <w:vAlign w:val="center"/>
          </w:tcPr>
          <w:p>
            <w:pPr>
              <w:pStyle w:val="TableContents"/>
              <w:bidi w:val="0"/>
              <w:spacing w:before="0" w:after="283"/>
              <w:jc w:val="left"/>
              <w:rPr/>
            </w:pPr>
            <w:r>
              <w:rPr/>
              <w:t> </w:t>
            </w:r>
          </w:p>
        </w:tc>
      </w:tr>
      <w:tr>
        <w:trPr/>
        <w:tc>
          <w:tcPr>
            <w:tcW w:w="1655" w:type="dxa"/>
            <w:tcBorders/>
            <w:shd w:fill="E5E5E5" w:val="clear"/>
            <w:vAlign w:val="center"/>
          </w:tcPr>
          <w:p>
            <w:pPr>
              <w:pStyle w:val="TableContents"/>
              <w:bidi w:val="0"/>
              <w:spacing w:before="0" w:after="283"/>
              <w:jc w:val="left"/>
              <w:rPr>
                <w:sz w:val="4"/>
                <w:szCs w:val="4"/>
              </w:rPr>
            </w:pPr>
            <w:r>
              <w:rPr>
                <w:sz w:val="4"/>
                <w:szCs w:val="4"/>
              </w:rPr>
            </w:r>
          </w:p>
        </w:tc>
        <w:tc>
          <w:tcPr>
            <w:tcW w:w="192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1655" w:type="dxa"/>
            <w:tcBorders/>
            <w:shd w:fill="E5E5E5" w:val="clear"/>
            <w:vAlign w:val="center"/>
          </w:tcPr>
          <w:p>
            <w:pPr>
              <w:pStyle w:val="TableContents"/>
              <w:bidi w:val="0"/>
              <w:spacing w:before="0" w:after="0"/>
              <w:jc w:val="left"/>
              <w:rPr>
                <w:rFonts w:ascii="ARIAL" w:hAnsi="ARIAL"/>
                <w:b/>
                <w:sz w:val="18"/>
              </w:rPr>
            </w:pPr>
            <w:r>
              <w:rPr>
                <w:rFonts w:ascii="ARIAL" w:hAnsi="ARIAL"/>
                <w:b/>
                <w:sz w:val="18"/>
              </w:rPr>
              <w:t>Scott A. Smith(1)</w:t>
            </w:r>
          </w:p>
        </w:tc>
        <w:tc>
          <w:tcPr>
            <w:tcW w:w="120" w:type="dxa"/>
            <w:tcBorders/>
            <w:shd w:fill="E5E5E5" w:val="clear"/>
            <w:vAlign w:val="center"/>
          </w:tcPr>
          <w:p>
            <w:pPr>
              <w:pStyle w:val="TableContents"/>
              <w:bidi w:val="0"/>
              <w:spacing w:before="0" w:after="283"/>
              <w:jc w:val="left"/>
              <w:rPr/>
            </w:pPr>
            <w:r>
              <w:rPr/>
              <w:t>  </w:t>
            </w:r>
          </w:p>
        </w:tc>
        <w:tc>
          <w:tcPr>
            <w:tcW w:w="89" w:type="dxa"/>
            <w:tcBorders/>
            <w:shd w:fill="E5E5E5" w:val="clear"/>
            <w:vAlign w:val="center"/>
          </w:tcPr>
          <w:p>
            <w:pPr>
              <w:pStyle w:val="TableContents"/>
              <w:bidi w:val="0"/>
              <w:spacing w:before="0" w:after="283"/>
              <w:jc w:val="left"/>
              <w:rPr/>
            </w:pPr>
            <w:r>
              <w:rPr/>
              <w:t> </w:t>
            </w:r>
          </w:p>
        </w:tc>
        <w:tc>
          <w:tcPr>
            <w:tcW w:w="1641" w:type="dxa"/>
            <w:tcBorders/>
            <w:shd w:fill="E5E5E5" w:val="clear"/>
            <w:vAlign w:val="center"/>
          </w:tcPr>
          <w:p>
            <w:pPr>
              <w:pStyle w:val="TableContents"/>
              <w:bidi w:val="0"/>
              <w:spacing w:before="0" w:after="283"/>
              <w:jc w:val="right"/>
              <w:rPr/>
            </w:pPr>
            <w:r>
              <w:rPr/>
              <w:t>$2,884,494</w:t>
            </w:r>
          </w:p>
        </w:tc>
        <w:tc>
          <w:tcPr>
            <w:tcW w:w="75" w:type="dxa"/>
            <w:tcBorders/>
            <w:shd w:fill="E5E5E5"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ARIAL" w:hAnsi="ARIAL"/>
                <w:b/>
                <w:sz w:val="18"/>
              </w:rPr>
            </w:pPr>
            <w:r>
              <w:rPr>
                <w:rFonts w:ascii="ARIAL" w:hAnsi="ARIAL"/>
                <w:b/>
                <w:sz w:val="18"/>
              </w:rPr>
              <w:t>Rajiv Malik</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641" w:type="dxa"/>
            <w:tcBorders/>
            <w:vAlign w:val="center"/>
          </w:tcPr>
          <w:p>
            <w:pPr>
              <w:pStyle w:val="TableContents"/>
              <w:bidi w:val="0"/>
              <w:spacing w:before="0" w:after="283"/>
              <w:jc w:val="right"/>
              <w:rPr/>
            </w:pPr>
            <w:r>
              <w:rPr/>
              <w:t>$2,962,538</w:t>
            </w:r>
          </w:p>
        </w:tc>
        <w:tc>
          <w:tcPr>
            <w:tcW w:w="75" w:type="dxa"/>
            <w:tcBorders/>
            <w:vAlign w:val="center"/>
          </w:tcPr>
          <w:p>
            <w:pPr>
              <w:pStyle w:val="TableContents"/>
              <w:bidi w:val="0"/>
              <w:spacing w:before="0" w:after="283"/>
              <w:jc w:val="left"/>
              <w:rPr/>
            </w:pPr>
            <w:r>
              <w:rPr/>
              <w:t> </w:t>
            </w:r>
          </w:p>
        </w:tc>
      </w:tr>
      <w:tr>
        <w:trPr/>
        <w:tc>
          <w:tcPr>
            <w:tcW w:w="1655" w:type="dxa"/>
            <w:tcBorders/>
            <w:shd w:fill="E5E5E5" w:val="clear"/>
            <w:vAlign w:val="center"/>
          </w:tcPr>
          <w:p>
            <w:pPr>
              <w:pStyle w:val="TableContents"/>
              <w:bidi w:val="0"/>
              <w:spacing w:before="0" w:after="283"/>
              <w:jc w:val="left"/>
              <w:rPr>
                <w:sz w:val="4"/>
                <w:szCs w:val="4"/>
              </w:rPr>
            </w:pPr>
            <w:r>
              <w:rPr>
                <w:sz w:val="4"/>
                <w:szCs w:val="4"/>
              </w:rPr>
            </w:r>
          </w:p>
        </w:tc>
        <w:tc>
          <w:tcPr>
            <w:tcW w:w="192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1655" w:type="dxa"/>
            <w:tcBorders/>
            <w:shd w:fill="E5E5E5" w:val="clear"/>
            <w:vAlign w:val="center"/>
          </w:tcPr>
          <w:p>
            <w:pPr>
              <w:pStyle w:val="TableContents"/>
              <w:bidi w:val="0"/>
              <w:spacing w:before="0" w:after="0"/>
              <w:jc w:val="left"/>
              <w:rPr>
                <w:rFonts w:ascii="ARIAL" w:hAnsi="ARIAL"/>
                <w:b/>
                <w:sz w:val="18"/>
              </w:rPr>
            </w:pPr>
            <w:r>
              <w:rPr>
                <w:rFonts w:ascii="ARIAL" w:hAnsi="ARIAL"/>
                <w:b/>
                <w:sz w:val="18"/>
              </w:rPr>
              <w:t>Sanjeev Narula</w:t>
            </w:r>
          </w:p>
        </w:tc>
        <w:tc>
          <w:tcPr>
            <w:tcW w:w="120" w:type="dxa"/>
            <w:tcBorders/>
            <w:shd w:fill="E5E5E5" w:val="clear"/>
            <w:vAlign w:val="center"/>
          </w:tcPr>
          <w:p>
            <w:pPr>
              <w:pStyle w:val="TableContents"/>
              <w:bidi w:val="0"/>
              <w:spacing w:before="0" w:after="283"/>
              <w:jc w:val="left"/>
              <w:rPr/>
            </w:pPr>
            <w:r>
              <w:rPr/>
              <w:t>  </w:t>
            </w:r>
          </w:p>
        </w:tc>
        <w:tc>
          <w:tcPr>
            <w:tcW w:w="89" w:type="dxa"/>
            <w:tcBorders/>
            <w:shd w:fill="E5E5E5" w:val="clear"/>
            <w:vAlign w:val="center"/>
          </w:tcPr>
          <w:p>
            <w:pPr>
              <w:pStyle w:val="TableContents"/>
              <w:bidi w:val="0"/>
              <w:spacing w:before="0" w:after="283"/>
              <w:jc w:val="left"/>
              <w:rPr/>
            </w:pPr>
            <w:r>
              <w:rPr/>
              <w:t> </w:t>
            </w:r>
          </w:p>
        </w:tc>
        <w:tc>
          <w:tcPr>
            <w:tcW w:w="1641" w:type="dxa"/>
            <w:tcBorders/>
            <w:shd w:fill="E5E5E5" w:val="clear"/>
            <w:vAlign w:val="center"/>
          </w:tcPr>
          <w:p>
            <w:pPr>
              <w:pStyle w:val="TableContents"/>
              <w:bidi w:val="0"/>
              <w:spacing w:before="0" w:after="283"/>
              <w:jc w:val="right"/>
              <w:rPr/>
            </w:pPr>
            <w:r>
              <w:rPr/>
              <w:t>$1,686,368</w:t>
            </w:r>
          </w:p>
        </w:tc>
        <w:tc>
          <w:tcPr>
            <w:tcW w:w="75" w:type="dxa"/>
            <w:tcBorders/>
            <w:shd w:fill="E5E5E5"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ARIAL" w:hAnsi="ARIAL"/>
                <w:b/>
                <w:sz w:val="18"/>
              </w:rPr>
            </w:pPr>
            <w:r>
              <w:rPr>
                <w:rFonts w:ascii="ARIAL" w:hAnsi="ARIAL"/>
                <w:b/>
                <w:sz w:val="18"/>
              </w:rPr>
              <w:t>Anthony Mauro</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641" w:type="dxa"/>
            <w:tcBorders/>
            <w:vAlign w:val="center"/>
          </w:tcPr>
          <w:p>
            <w:pPr>
              <w:pStyle w:val="TableContents"/>
              <w:bidi w:val="0"/>
              <w:spacing w:before="0" w:after="283"/>
              <w:jc w:val="right"/>
              <w:rPr/>
            </w:pPr>
            <w:r>
              <w:rPr/>
              <w:t>$1,803,046</w:t>
            </w:r>
          </w:p>
        </w:tc>
        <w:tc>
          <w:tcPr>
            <w:tcW w:w="75" w:type="dxa"/>
            <w:tcBorders/>
            <w:vAlign w:val="center"/>
          </w:tcPr>
          <w:p>
            <w:pPr>
              <w:pStyle w:val="TableContents"/>
              <w:bidi w:val="0"/>
              <w:spacing w:before="0" w:after="283"/>
              <w:jc w:val="left"/>
              <w:rPr/>
            </w:pPr>
            <w:r>
              <w:rPr/>
              <w:t> </w:t>
            </w:r>
          </w:p>
        </w:tc>
      </w:tr>
      <w:tr>
        <w:trPr/>
        <w:tc>
          <w:tcPr>
            <w:tcW w:w="1655" w:type="dxa"/>
            <w:tcBorders/>
            <w:shd w:fill="E5E5E5" w:val="clear"/>
            <w:vAlign w:val="center"/>
          </w:tcPr>
          <w:p>
            <w:pPr>
              <w:pStyle w:val="TableContents"/>
              <w:bidi w:val="0"/>
              <w:spacing w:before="0" w:after="283"/>
              <w:jc w:val="left"/>
              <w:rPr>
                <w:sz w:val="4"/>
                <w:szCs w:val="4"/>
              </w:rPr>
            </w:pPr>
            <w:r>
              <w:rPr>
                <w:sz w:val="4"/>
                <w:szCs w:val="4"/>
              </w:rPr>
            </w:r>
          </w:p>
        </w:tc>
        <w:tc>
          <w:tcPr>
            <w:tcW w:w="192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1655" w:type="dxa"/>
            <w:tcBorders/>
            <w:shd w:fill="E5E5E5" w:val="clear"/>
            <w:vAlign w:val="center"/>
          </w:tcPr>
          <w:p>
            <w:pPr>
              <w:pStyle w:val="TableContents"/>
              <w:bidi w:val="0"/>
              <w:spacing w:before="0" w:after="0"/>
              <w:jc w:val="left"/>
              <w:rPr>
                <w:rFonts w:ascii="ARIAL" w:hAnsi="ARIAL"/>
                <w:b/>
                <w:sz w:val="18"/>
              </w:rPr>
            </w:pPr>
            <w:r>
              <w:rPr>
                <w:rFonts w:ascii="ARIAL" w:hAnsi="ARIAL"/>
                <w:b/>
                <w:sz w:val="18"/>
              </w:rPr>
              <w:t>Brian Roman</w:t>
            </w:r>
          </w:p>
        </w:tc>
        <w:tc>
          <w:tcPr>
            <w:tcW w:w="120" w:type="dxa"/>
            <w:tcBorders/>
            <w:shd w:fill="E5E5E5" w:val="clear"/>
            <w:vAlign w:val="center"/>
          </w:tcPr>
          <w:p>
            <w:pPr>
              <w:pStyle w:val="TableContents"/>
              <w:bidi w:val="0"/>
              <w:spacing w:before="0" w:after="283"/>
              <w:jc w:val="left"/>
              <w:rPr/>
            </w:pPr>
            <w:r>
              <w:rPr/>
              <w:t>  </w:t>
            </w:r>
          </w:p>
        </w:tc>
        <w:tc>
          <w:tcPr>
            <w:tcW w:w="89" w:type="dxa"/>
            <w:tcBorders/>
            <w:shd w:fill="E5E5E5" w:val="clear"/>
            <w:vAlign w:val="center"/>
          </w:tcPr>
          <w:p>
            <w:pPr>
              <w:pStyle w:val="TableContents"/>
              <w:bidi w:val="0"/>
              <w:spacing w:before="0" w:after="283"/>
              <w:jc w:val="left"/>
              <w:rPr/>
            </w:pPr>
            <w:r>
              <w:rPr/>
              <w:t> </w:t>
            </w:r>
          </w:p>
        </w:tc>
        <w:tc>
          <w:tcPr>
            <w:tcW w:w="1641" w:type="dxa"/>
            <w:tcBorders/>
            <w:shd w:fill="E5E5E5" w:val="clear"/>
            <w:vAlign w:val="center"/>
          </w:tcPr>
          <w:p>
            <w:pPr>
              <w:pStyle w:val="TableContents"/>
              <w:bidi w:val="0"/>
              <w:spacing w:before="0" w:after="283"/>
              <w:jc w:val="right"/>
              <w:rPr/>
            </w:pPr>
            <w:r>
              <w:rPr/>
              <w:t>$1,458,480</w:t>
            </w:r>
          </w:p>
        </w:tc>
        <w:tc>
          <w:tcPr>
            <w:tcW w:w="75" w:type="dxa"/>
            <w:tcBorders/>
            <w:shd w:fill="E5E5E5"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ARIAL" w:hAnsi="ARIAL"/>
                <w:b/>
                <w:sz w:val="18"/>
              </w:rPr>
            </w:pPr>
            <w:r>
              <w:rPr>
                <w:rFonts w:ascii="ARIAL" w:hAnsi="ARIAL"/>
                <w:b/>
                <w:sz w:val="18"/>
              </w:rPr>
              <w:t>Michael Goettler(1)</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641" w:type="dxa"/>
            <w:tcBorders/>
            <w:vAlign w:val="center"/>
          </w:tcPr>
          <w:p>
            <w:pPr>
              <w:pStyle w:val="TableContents"/>
              <w:bidi w:val="0"/>
              <w:spacing w:before="0" w:after="283"/>
              <w:jc w:val="right"/>
              <w:rPr/>
            </w:pPr>
            <w:r>
              <w:rPr/>
              <w:t>$886,326</w:t>
            </w:r>
          </w:p>
        </w:tc>
        <w:tc>
          <w:tcPr>
            <w:tcW w:w="75" w:type="dxa"/>
            <w:tcBorders/>
            <w:vAlign w:val="center"/>
          </w:tcPr>
          <w:p>
            <w:pPr>
              <w:pStyle w:val="TableContents"/>
              <w:bidi w:val="0"/>
              <w:spacing w:before="0" w:after="283"/>
              <w:jc w:val="left"/>
              <w:rPr/>
            </w:pPr>
            <w:r>
              <w:rPr/>
              <w:t> </w:t>
            </w:r>
          </w:p>
        </w:tc>
      </w:tr>
      <w:tr>
        <w:trPr/>
        <w:tc>
          <w:tcPr>
            <w:tcW w:w="1655" w:type="dxa"/>
            <w:tcBorders/>
            <w:shd w:fill="E5E5E5" w:val="clear"/>
            <w:vAlign w:val="center"/>
          </w:tcPr>
          <w:p>
            <w:pPr>
              <w:pStyle w:val="TableContents"/>
              <w:bidi w:val="0"/>
              <w:spacing w:before="0" w:after="283"/>
              <w:jc w:val="left"/>
              <w:rPr>
                <w:sz w:val="4"/>
                <w:szCs w:val="4"/>
              </w:rPr>
            </w:pPr>
            <w:r>
              <w:rPr>
                <w:sz w:val="4"/>
                <w:szCs w:val="4"/>
              </w:rPr>
            </w:r>
          </w:p>
        </w:tc>
        <w:tc>
          <w:tcPr>
            <w:tcW w:w="192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1655" w:type="dxa"/>
            <w:tcBorders>
              <w:bottom w:val="single" w:sz="8" w:space="0" w:color="732282"/>
            </w:tcBorders>
            <w:shd w:fill="E5E5E5" w:val="clear"/>
            <w:tcMar>
              <w:bottom w:w="40" w:type="dxa"/>
            </w:tcMar>
            <w:vAlign w:val="center"/>
          </w:tcPr>
          <w:p>
            <w:pPr>
              <w:pStyle w:val="TableContents"/>
              <w:bidi w:val="0"/>
              <w:spacing w:before="0" w:after="0"/>
              <w:jc w:val="left"/>
              <w:rPr>
                <w:rFonts w:ascii="ARIAL" w:hAnsi="ARIAL"/>
                <w:b/>
                <w:sz w:val="18"/>
              </w:rPr>
            </w:pPr>
            <w:r>
              <w:rPr>
                <w:rFonts w:ascii="ARIAL" w:hAnsi="ARIAL"/>
                <w:b/>
                <w:sz w:val="18"/>
              </w:rPr>
              <w:t>Robert J. Coury(1)</w:t>
            </w:r>
          </w:p>
        </w:tc>
        <w:tc>
          <w:tcPr>
            <w:tcW w:w="12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89" w:type="dxa"/>
            <w:tcBorders>
              <w:bottom w:val="single" w:sz="8" w:space="0" w:color="732282"/>
            </w:tcBorders>
            <w:shd w:fill="E5E5E5" w:val="clear"/>
            <w:tcMar>
              <w:bottom w:w="40" w:type="dxa"/>
            </w:tcMar>
            <w:vAlign w:val="center"/>
          </w:tcPr>
          <w:p>
            <w:pPr>
              <w:pStyle w:val="TableContents"/>
              <w:bidi w:val="0"/>
              <w:spacing w:before="0" w:after="283"/>
              <w:jc w:val="left"/>
              <w:rPr/>
            </w:pPr>
            <w:r>
              <w:rPr/>
              <w:t> </w:t>
            </w:r>
          </w:p>
        </w:tc>
        <w:tc>
          <w:tcPr>
            <w:tcW w:w="1641" w:type="dxa"/>
            <w:tcBorders>
              <w:bottom w:val="single" w:sz="8" w:space="0" w:color="732282"/>
            </w:tcBorders>
            <w:shd w:fill="E5E5E5" w:val="clear"/>
            <w:tcMar>
              <w:bottom w:w="40" w:type="dxa"/>
            </w:tcMar>
            <w:vAlign w:val="center"/>
          </w:tcPr>
          <w:p>
            <w:pPr>
              <w:pStyle w:val="TableContents"/>
              <w:bidi w:val="0"/>
              <w:spacing w:before="0" w:after="283"/>
              <w:jc w:val="right"/>
              <w:rPr/>
            </w:pPr>
            <w:r>
              <w:rPr/>
              <w:t>$5,098,811</w:t>
            </w:r>
          </w:p>
        </w:tc>
        <w:tc>
          <w:tcPr>
            <w:tcW w:w="75" w:type="dxa"/>
            <w:tcBorders>
              <w:bottom w:val="single" w:sz="8" w:space="0" w:color="732282"/>
            </w:tcBorders>
            <w:shd w:fill="E5E5E5" w:val="clear"/>
            <w:tcMar>
              <w:bottom w:w="4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pPr>
            <w:r>
              <w:rPr/>
              <w:t>(1) </w:t>
            </w:r>
          </w:p>
        </w:tc>
        <w:tc>
          <w:tcPr>
            <w:tcW w:w="9880" w:type="dxa"/>
            <w:tcBorders/>
            <w:vAlign w:val="center"/>
          </w:tcPr>
          <w:p>
            <w:pPr>
              <w:pStyle w:val="TableContents"/>
              <w:bidi w:val="0"/>
              <w:spacing w:before="0" w:after="0"/>
              <w:jc w:val="both"/>
              <w:rPr>
                <w:rFonts w:ascii="arial" w:hAnsi="arial"/>
                <w:sz w:val="14"/>
              </w:rPr>
            </w:pPr>
            <w:r>
              <w:rPr>
                <w:rFonts w:ascii="arial" w:hAnsi="arial"/>
                <w:sz w:val="14"/>
              </w:rPr>
              <w:t xml:space="preserve">For Messrs. Smith, Goettler, and Coury, payouts represent a prorated amount to reflect the number of days each respectively served as an active employee during 2023 and were based on actual Company performance.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34 </w:t>
      </w:r>
      <w:r>
        <w:br w:type="page"/>
      </w:r>
    </w:p>
    <w:p>
      <w:pPr>
        <w:pStyle w:val="HorizontalLine"/>
        <w:bidi w:val="0"/>
        <w:jc w:val="left"/>
        <w:rPr/>
      </w:pPr>
      <w:r>
        <w:rPr/>
      </w:r>
    </w:p>
    <w:p>
      <w:pPr>
        <w:pStyle w:val="TextBody"/>
        <w:bidi w:val="0"/>
        <w:spacing w:before="0" w:after="0"/>
        <w:jc w:val="left"/>
        <w:rPr>
          <w:rFonts w:ascii="ARIAL" w:hAnsi="ARIAL"/>
          <w:b/>
          <w:sz w:val="20"/>
        </w:rPr>
      </w:pPr>
      <w:r>
        <w:rPr>
          <w:rFonts w:ascii="ARIAL" w:hAnsi="ARIAL"/>
          <w:b/>
          <w:sz w:val="20"/>
        </w:rPr>
        <w:t xml:space="preserve">2023 Long-Term Incentive Compensation Programs </w:t>
      </w:r>
    </w:p>
    <w:p>
      <w:pPr>
        <w:pStyle w:val="TextBody"/>
        <w:bidi w:val="0"/>
        <w:spacing w:before="120" w:after="0"/>
        <w:jc w:val="both"/>
        <w:rPr>
          <w:rFonts w:ascii="ARIAL" w:hAnsi="ARIAL"/>
          <w:b/>
          <w:i/>
          <w:sz w:val="20"/>
        </w:rPr>
      </w:pPr>
      <w:r>
        <w:rPr>
          <w:rFonts w:ascii="ARIAL" w:hAnsi="ARIAL"/>
          <w:b/>
          <w:i/>
          <w:sz w:val="20"/>
        </w:rPr>
        <w:t xml:space="preserve">Long-Term Incentive Compensation Grants for 2023 </w:t>
      </w:r>
    </w:p>
    <w:p>
      <w:pPr>
        <w:pStyle w:val="TextBody"/>
        <w:bidi w:val="0"/>
        <w:spacing w:before="120" w:after="0"/>
        <w:jc w:val="both"/>
        <w:rPr>
          <w:rFonts w:ascii="arial" w:hAnsi="arial"/>
          <w:sz w:val="18"/>
        </w:rPr>
      </w:pPr>
      <w:r>
        <w:rPr>
          <w:rFonts w:ascii="arial" w:hAnsi="arial"/>
          <w:sz w:val="18"/>
        </w:rPr>
        <w:t xml:space="preserve">The Compensation Committee believes that the value of long-term incentives should be directly related to the performance of Viatris’ common stock over several years, as well as other measures associated with the growth, success, and long-term sustainability of Viatris. The Compensation Committee approved annual long-term incentive (“LTI”) award grants in the first quarter of 2023. </w:t>
      </w:r>
    </w:p>
    <w:p>
      <w:pPr>
        <w:pStyle w:val="TextBody"/>
        <w:bidi w:val="0"/>
        <w:spacing w:before="240" w:after="0"/>
        <w:jc w:val="both"/>
        <w:rPr>
          <w:rFonts w:ascii="arial" w:hAnsi="arial"/>
          <w:sz w:val="18"/>
        </w:rPr>
      </w:pPr>
      <w:r>
        <w:rPr>
          <w:rFonts w:ascii="arial" w:hAnsi="arial"/>
          <w:sz w:val="18"/>
        </w:rPr>
        <w:t xml:space="preserve">In 2022, we increased the percentage of performance-based awards (which are subject to a TSR modifier) from 60% to 65%, with 65% of each NEO’s award in the form of PRSUs and 35% in the form of RSUs, and we continued this practice in 2023. This increase in the allocation to PRSUs reflects a further reinforcement of our pay-for-performance philosophy and our robust shareholder engagement. RSUs vest ratably over a three-year period following the grant date, and PRSUs vest as described below. This mix of LTI awards provides NEOs with a combination of incentives and aligns them with the interests of shareholders. </w:t>
      </w:r>
    </w:p>
    <w:p>
      <w:pPr>
        <w:pStyle w:val="TextBody"/>
        <w:bidi w:val="0"/>
        <w:spacing w:before="240" w:after="0"/>
        <w:jc w:val="both"/>
        <w:rPr>
          <w:rFonts w:ascii="arial" w:hAnsi="arial"/>
          <w:sz w:val="18"/>
        </w:rPr>
      </w:pPr>
      <w:r>
        <w:rPr>
          <w:rFonts w:ascii="arial" w:hAnsi="arial"/>
          <w:sz w:val="18"/>
        </w:rPr>
        <w:t xml:space="preserve">Each NEO’s 2023 LTI award had a targeted value at grant equal to a percentage of the NEO’s base salary. In setting each NEO’s LTI targeted value, the Compensation Committee considered a variety of factors, including, among others, peer group compensation and expectations regarding individual roles and responsibilities. </w:t>
      </w:r>
    </w:p>
    <w:p>
      <w:pPr>
        <w:pStyle w:val="TextBody"/>
        <w:bidi w:val="0"/>
        <w:spacing w:before="240" w:after="0"/>
        <w:jc w:val="both"/>
        <w:rPr>
          <w:rFonts w:ascii="arial" w:hAnsi="arial"/>
          <w:sz w:val="18"/>
        </w:rPr>
      </w:pPr>
      <w:r>
        <w:rPr>
          <w:rFonts w:ascii="arial" w:hAnsi="arial"/>
          <w:sz w:val="18"/>
        </w:rPr>
        <w:t xml:space="preserve">For 2023, the Compensation Committee approved the following annual LTI award values for our NEOs: </w:t>
      </w:r>
    </w:p>
    <w:p>
      <w:pPr>
        <w:pStyle w:val="TextBody"/>
        <w:bidi w:val="0"/>
        <w:spacing w:before="0" w:after="0"/>
        <w:jc w:val="left"/>
        <w:rPr/>
      </w:pPr>
      <w:r>
        <w:rPr/>
        <w:t> </w:t>
      </w:r>
    </w:p>
    <w:tbl>
      <w:tblPr>
        <w:tblW w:w="5900" w:type="dxa"/>
        <w:jc w:val="left"/>
        <w:tblInd w:w="0" w:type="dxa"/>
        <w:tblLayout w:type="fixed"/>
        <w:tblCellMar>
          <w:top w:w="0" w:type="dxa"/>
          <w:left w:w="0" w:type="dxa"/>
          <w:bottom w:w="0" w:type="dxa"/>
          <w:right w:w="0" w:type="dxa"/>
        </w:tblCellMar>
      </w:tblPr>
      <w:tblGrid>
        <w:gridCol w:w="1385"/>
        <w:gridCol w:w="120"/>
        <w:gridCol w:w="60"/>
        <w:gridCol w:w="1220"/>
        <w:gridCol w:w="60"/>
        <w:gridCol w:w="120"/>
        <w:gridCol w:w="60"/>
        <w:gridCol w:w="1220"/>
        <w:gridCol w:w="60"/>
        <w:gridCol w:w="120"/>
        <w:gridCol w:w="60"/>
        <w:gridCol w:w="1340"/>
        <w:gridCol w:w="75"/>
      </w:tblGrid>
      <w:tr>
        <w:trPr/>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85" w:type="dxa"/>
            <w:tcBorders>
              <w:bottom w:val="single" w:sz="8" w:space="0" w:color="732282"/>
            </w:tcBorders>
            <w:tcMar>
              <w:bottom w:w="28" w:type="dxa"/>
            </w:tcMar>
            <w:vAlign w:val="center"/>
          </w:tcPr>
          <w:p>
            <w:pPr>
              <w:pStyle w:val="TableContents"/>
              <w:bidi w:val="0"/>
              <w:spacing w:before="0" w:after="0"/>
              <w:jc w:val="left"/>
              <w:rPr>
                <w:rFonts w:ascii="ARIAL" w:hAnsi="ARIAL"/>
                <w:b/>
                <w:color w:val="732282"/>
                <w:sz w:val="18"/>
              </w:rPr>
            </w:pPr>
            <w:r>
              <w:rPr>
                <w:rFonts w:ascii="ARIAL" w:hAnsi="ARIAL"/>
                <w:b/>
                <w:color w:val="732282"/>
                <w:sz w:val="18"/>
              </w:rPr>
              <w:t>NEO(1)</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280" w:type="dxa"/>
            <w:gridSpan w:val="2"/>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PRSUs 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280" w:type="dxa"/>
            <w:gridSpan w:val="2"/>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RSUs 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400" w:type="dxa"/>
            <w:gridSpan w:val="2"/>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Total LTI </w:t>
              <w:br/>
              <w:t>Award </w:t>
            </w:r>
          </w:p>
        </w:tc>
        <w:tc>
          <w:tcPr>
            <w:tcW w:w="75" w:type="dxa"/>
            <w:tcBorders>
              <w:bottom w:val="single" w:sz="8" w:space="0" w:color="732282"/>
            </w:tcBorders>
            <w:tcMar>
              <w:bottom w:w="28" w:type="dxa"/>
            </w:tcMar>
            <w:vAlign w:val="center"/>
          </w:tcPr>
          <w:p>
            <w:pPr>
              <w:pStyle w:val="TableContents"/>
              <w:bidi w:val="0"/>
              <w:spacing w:before="0" w:after="283"/>
              <w:jc w:val="left"/>
              <w:rPr/>
            </w:pPr>
            <w:r>
              <w:rPr/>
              <w:t> </w:t>
            </w:r>
          </w:p>
        </w:tc>
      </w:tr>
      <w:tr>
        <w:trPr/>
        <w:tc>
          <w:tcPr>
            <w:tcW w:w="1385" w:type="dxa"/>
            <w:tcBorders/>
            <w:shd w:fill="E5E5E5" w:val="clear"/>
            <w:vAlign w:val="center"/>
          </w:tcPr>
          <w:p>
            <w:pPr>
              <w:pStyle w:val="TableContents"/>
              <w:bidi w:val="0"/>
              <w:spacing w:before="0" w:after="283"/>
              <w:jc w:val="left"/>
              <w:rPr>
                <w:sz w:val="4"/>
                <w:szCs w:val="4"/>
              </w:rPr>
            </w:pPr>
            <w:r>
              <w:rPr>
                <w:sz w:val="4"/>
                <w:szCs w:val="4"/>
              </w:rPr>
            </w:r>
          </w:p>
        </w:tc>
        <w:tc>
          <w:tcPr>
            <w:tcW w:w="1460" w:type="dxa"/>
            <w:gridSpan w:val="4"/>
            <w:tcBorders/>
            <w:shd w:fill="E5E5E5" w:val="clear"/>
            <w:vAlign w:val="center"/>
          </w:tcPr>
          <w:p>
            <w:pPr>
              <w:pStyle w:val="TableContents"/>
              <w:bidi w:val="0"/>
              <w:spacing w:before="0" w:after="283"/>
              <w:jc w:val="left"/>
              <w:rPr>
                <w:sz w:val="4"/>
                <w:szCs w:val="4"/>
              </w:rPr>
            </w:pPr>
            <w:r>
              <w:rPr>
                <w:sz w:val="4"/>
                <w:szCs w:val="4"/>
              </w:rPr>
            </w:r>
          </w:p>
        </w:tc>
        <w:tc>
          <w:tcPr>
            <w:tcW w:w="1460" w:type="dxa"/>
            <w:gridSpan w:val="4"/>
            <w:tcBorders/>
            <w:shd w:fill="E5E5E5" w:val="clear"/>
            <w:vAlign w:val="center"/>
          </w:tcPr>
          <w:p>
            <w:pPr>
              <w:pStyle w:val="TableContents"/>
              <w:bidi w:val="0"/>
              <w:spacing w:before="0" w:after="283"/>
              <w:jc w:val="left"/>
              <w:rPr>
                <w:sz w:val="4"/>
                <w:szCs w:val="4"/>
              </w:rPr>
            </w:pPr>
            <w:r>
              <w:rPr>
                <w:sz w:val="4"/>
                <w:szCs w:val="4"/>
              </w:rPr>
            </w:r>
          </w:p>
        </w:tc>
        <w:tc>
          <w:tcPr>
            <w:tcW w:w="159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1385" w:type="dxa"/>
            <w:tcBorders/>
            <w:shd w:fill="E5E5E5" w:val="clear"/>
            <w:vAlign w:val="center"/>
          </w:tcPr>
          <w:p>
            <w:pPr>
              <w:pStyle w:val="TableContents"/>
              <w:bidi w:val="0"/>
              <w:spacing w:before="0" w:after="0"/>
              <w:jc w:val="left"/>
              <w:rPr>
                <w:rFonts w:ascii="ARIAL" w:hAnsi="ARIAL"/>
                <w:b/>
                <w:sz w:val="18"/>
              </w:rPr>
            </w:pPr>
            <w:r>
              <w:rPr>
                <w:rFonts w:ascii="ARIAL" w:hAnsi="ARIAL"/>
                <w:b/>
                <w:sz w:val="18"/>
              </w:rPr>
              <w:t>Scott A. Smith</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$7,280,000 </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$3,920,000 </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340" w:type="dxa"/>
            <w:tcBorders/>
            <w:shd w:fill="E5E5E5" w:val="clear"/>
            <w:vAlign w:val="center"/>
          </w:tcPr>
          <w:p>
            <w:pPr>
              <w:pStyle w:val="TableContents"/>
              <w:bidi w:val="0"/>
              <w:spacing w:before="0" w:after="283"/>
              <w:jc w:val="right"/>
              <w:rPr/>
            </w:pPr>
            <w:r>
              <w:rPr/>
              <w:t>$11,200,000 </w:t>
            </w:r>
          </w:p>
        </w:tc>
        <w:tc>
          <w:tcPr>
            <w:tcW w:w="75" w:type="dxa"/>
            <w:tcBorders/>
            <w:shd w:fill="E5E5E5" w:val="clear"/>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bidi w:val="0"/>
              <w:spacing w:before="0" w:after="0"/>
              <w:jc w:val="left"/>
              <w:rPr>
                <w:rFonts w:ascii="ARIAL" w:hAnsi="ARIAL"/>
                <w:b/>
                <w:sz w:val="18"/>
              </w:rPr>
            </w:pPr>
            <w:r>
              <w:rPr>
                <w:rFonts w:ascii="ARIAL" w:hAnsi="ARIAL"/>
                <w:b/>
                <w:sz w:val="18"/>
              </w:rPr>
              <w:t>Rajiv Malik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$5,070,000 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$2,730,000 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$7,800,000 </w:t>
            </w:r>
          </w:p>
        </w:tc>
        <w:tc>
          <w:tcPr>
            <w:tcW w:w="75" w:type="dxa"/>
            <w:tcBorders/>
            <w:vAlign w:val="center"/>
          </w:tcPr>
          <w:p>
            <w:pPr>
              <w:pStyle w:val="TableContents"/>
              <w:bidi w:val="0"/>
              <w:spacing w:before="0" w:after="283"/>
              <w:jc w:val="left"/>
              <w:rPr/>
            </w:pPr>
            <w:r>
              <w:rPr/>
              <w:t> </w:t>
            </w:r>
          </w:p>
        </w:tc>
      </w:tr>
      <w:tr>
        <w:trPr/>
        <w:tc>
          <w:tcPr>
            <w:tcW w:w="1385" w:type="dxa"/>
            <w:tcBorders/>
            <w:shd w:fill="E5E5E5" w:val="clear"/>
            <w:vAlign w:val="center"/>
          </w:tcPr>
          <w:p>
            <w:pPr>
              <w:pStyle w:val="TableContents"/>
              <w:bidi w:val="0"/>
              <w:spacing w:before="0" w:after="283"/>
              <w:jc w:val="left"/>
              <w:rPr>
                <w:sz w:val="4"/>
                <w:szCs w:val="4"/>
              </w:rPr>
            </w:pPr>
            <w:r>
              <w:rPr>
                <w:sz w:val="4"/>
                <w:szCs w:val="4"/>
              </w:rPr>
            </w:r>
          </w:p>
        </w:tc>
        <w:tc>
          <w:tcPr>
            <w:tcW w:w="1460" w:type="dxa"/>
            <w:gridSpan w:val="4"/>
            <w:tcBorders/>
            <w:shd w:fill="E5E5E5" w:val="clear"/>
            <w:vAlign w:val="center"/>
          </w:tcPr>
          <w:p>
            <w:pPr>
              <w:pStyle w:val="TableContents"/>
              <w:bidi w:val="0"/>
              <w:spacing w:before="0" w:after="283"/>
              <w:jc w:val="left"/>
              <w:rPr>
                <w:sz w:val="4"/>
                <w:szCs w:val="4"/>
              </w:rPr>
            </w:pPr>
            <w:r>
              <w:rPr>
                <w:sz w:val="4"/>
                <w:szCs w:val="4"/>
              </w:rPr>
            </w:r>
          </w:p>
        </w:tc>
        <w:tc>
          <w:tcPr>
            <w:tcW w:w="1460" w:type="dxa"/>
            <w:gridSpan w:val="4"/>
            <w:tcBorders/>
            <w:shd w:fill="E5E5E5" w:val="clear"/>
            <w:vAlign w:val="center"/>
          </w:tcPr>
          <w:p>
            <w:pPr>
              <w:pStyle w:val="TableContents"/>
              <w:bidi w:val="0"/>
              <w:spacing w:before="0" w:after="283"/>
              <w:jc w:val="left"/>
              <w:rPr>
                <w:sz w:val="4"/>
                <w:szCs w:val="4"/>
              </w:rPr>
            </w:pPr>
            <w:r>
              <w:rPr>
                <w:sz w:val="4"/>
                <w:szCs w:val="4"/>
              </w:rPr>
            </w:r>
          </w:p>
        </w:tc>
        <w:tc>
          <w:tcPr>
            <w:tcW w:w="159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1385" w:type="dxa"/>
            <w:tcBorders/>
            <w:shd w:fill="E5E5E5" w:val="clear"/>
            <w:vAlign w:val="center"/>
          </w:tcPr>
          <w:p>
            <w:pPr>
              <w:pStyle w:val="TableContents"/>
              <w:bidi w:val="0"/>
              <w:spacing w:before="0" w:after="0"/>
              <w:jc w:val="left"/>
              <w:rPr>
                <w:rFonts w:ascii="ARIAL" w:hAnsi="ARIAL"/>
                <w:b/>
                <w:sz w:val="18"/>
              </w:rPr>
            </w:pPr>
            <w:r>
              <w:rPr>
                <w:rFonts w:ascii="ARIAL" w:hAnsi="ARIAL"/>
                <w:b/>
                <w:sz w:val="18"/>
              </w:rPr>
              <w:t>Sanjeev Narula</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$2,405,000 </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$1,295,000 </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340" w:type="dxa"/>
            <w:tcBorders/>
            <w:shd w:fill="E5E5E5" w:val="clear"/>
            <w:vAlign w:val="center"/>
          </w:tcPr>
          <w:p>
            <w:pPr>
              <w:pStyle w:val="TableContents"/>
              <w:bidi w:val="0"/>
              <w:spacing w:before="0" w:after="283"/>
              <w:jc w:val="right"/>
              <w:rPr/>
            </w:pPr>
            <w:r>
              <w:rPr/>
              <w:t>$3,700,000 </w:t>
            </w:r>
          </w:p>
        </w:tc>
        <w:tc>
          <w:tcPr>
            <w:tcW w:w="75" w:type="dxa"/>
            <w:tcBorders/>
            <w:shd w:fill="E5E5E5" w:val="clear"/>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bidi w:val="0"/>
              <w:spacing w:before="0" w:after="0"/>
              <w:jc w:val="left"/>
              <w:rPr>
                <w:rFonts w:ascii="ARIAL" w:hAnsi="ARIAL"/>
                <w:b/>
                <w:sz w:val="18"/>
              </w:rPr>
            </w:pPr>
            <w:r>
              <w:rPr>
                <w:rFonts w:ascii="ARIAL" w:hAnsi="ARIAL"/>
                <w:b/>
                <w:sz w:val="18"/>
              </w:rPr>
              <w:t>Anthony Mauro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$2,236,000 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$1,204,000 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$3,440,000 </w:t>
            </w:r>
          </w:p>
        </w:tc>
        <w:tc>
          <w:tcPr>
            <w:tcW w:w="75" w:type="dxa"/>
            <w:tcBorders/>
            <w:vAlign w:val="center"/>
          </w:tcPr>
          <w:p>
            <w:pPr>
              <w:pStyle w:val="TableContents"/>
              <w:bidi w:val="0"/>
              <w:spacing w:before="0" w:after="283"/>
              <w:jc w:val="left"/>
              <w:rPr/>
            </w:pPr>
            <w:r>
              <w:rPr/>
              <w:t> </w:t>
            </w:r>
          </w:p>
        </w:tc>
      </w:tr>
      <w:tr>
        <w:trPr/>
        <w:tc>
          <w:tcPr>
            <w:tcW w:w="1385" w:type="dxa"/>
            <w:tcBorders/>
            <w:shd w:fill="E5E5E5" w:val="clear"/>
            <w:vAlign w:val="center"/>
          </w:tcPr>
          <w:p>
            <w:pPr>
              <w:pStyle w:val="TableContents"/>
              <w:bidi w:val="0"/>
              <w:spacing w:before="0" w:after="283"/>
              <w:jc w:val="left"/>
              <w:rPr>
                <w:sz w:val="4"/>
                <w:szCs w:val="4"/>
              </w:rPr>
            </w:pPr>
            <w:r>
              <w:rPr>
                <w:sz w:val="4"/>
                <w:szCs w:val="4"/>
              </w:rPr>
            </w:r>
          </w:p>
        </w:tc>
        <w:tc>
          <w:tcPr>
            <w:tcW w:w="1460" w:type="dxa"/>
            <w:gridSpan w:val="4"/>
            <w:tcBorders/>
            <w:shd w:fill="E5E5E5" w:val="clear"/>
            <w:vAlign w:val="center"/>
          </w:tcPr>
          <w:p>
            <w:pPr>
              <w:pStyle w:val="TableContents"/>
              <w:bidi w:val="0"/>
              <w:spacing w:before="0" w:after="283"/>
              <w:jc w:val="left"/>
              <w:rPr>
                <w:sz w:val="4"/>
                <w:szCs w:val="4"/>
              </w:rPr>
            </w:pPr>
            <w:r>
              <w:rPr>
                <w:sz w:val="4"/>
                <w:szCs w:val="4"/>
              </w:rPr>
            </w:r>
          </w:p>
        </w:tc>
        <w:tc>
          <w:tcPr>
            <w:tcW w:w="1460" w:type="dxa"/>
            <w:gridSpan w:val="4"/>
            <w:tcBorders/>
            <w:shd w:fill="E5E5E5" w:val="clear"/>
            <w:vAlign w:val="center"/>
          </w:tcPr>
          <w:p>
            <w:pPr>
              <w:pStyle w:val="TableContents"/>
              <w:bidi w:val="0"/>
              <w:spacing w:before="0" w:after="283"/>
              <w:jc w:val="left"/>
              <w:rPr>
                <w:sz w:val="4"/>
                <w:szCs w:val="4"/>
              </w:rPr>
            </w:pPr>
            <w:r>
              <w:rPr>
                <w:sz w:val="4"/>
                <w:szCs w:val="4"/>
              </w:rPr>
            </w:r>
          </w:p>
        </w:tc>
        <w:tc>
          <w:tcPr>
            <w:tcW w:w="159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1385" w:type="dxa"/>
            <w:tcBorders/>
            <w:shd w:fill="E5E5E5" w:val="clear"/>
            <w:vAlign w:val="center"/>
          </w:tcPr>
          <w:p>
            <w:pPr>
              <w:pStyle w:val="TableContents"/>
              <w:bidi w:val="0"/>
              <w:spacing w:before="0" w:after="0"/>
              <w:jc w:val="left"/>
              <w:rPr>
                <w:rFonts w:ascii="ARIAL" w:hAnsi="ARIAL"/>
                <w:b/>
                <w:sz w:val="18"/>
              </w:rPr>
            </w:pPr>
            <w:r>
              <w:rPr>
                <w:rFonts w:ascii="ARIAL" w:hAnsi="ARIAL"/>
                <w:b/>
                <w:sz w:val="18"/>
              </w:rPr>
              <w:t>Brian Roman</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$1,040,000 </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$560,000 </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340" w:type="dxa"/>
            <w:tcBorders/>
            <w:shd w:fill="E5E5E5" w:val="clear"/>
            <w:vAlign w:val="center"/>
          </w:tcPr>
          <w:p>
            <w:pPr>
              <w:pStyle w:val="TableContents"/>
              <w:bidi w:val="0"/>
              <w:spacing w:before="0" w:after="283"/>
              <w:jc w:val="right"/>
              <w:rPr/>
            </w:pPr>
            <w:r>
              <w:rPr/>
              <w:t>$1,600,000 </w:t>
            </w:r>
          </w:p>
        </w:tc>
        <w:tc>
          <w:tcPr>
            <w:tcW w:w="75" w:type="dxa"/>
            <w:tcBorders/>
            <w:shd w:fill="E5E5E5" w:val="clear"/>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r>
      <w:tr>
        <w:trPr/>
        <w:tc>
          <w:tcPr>
            <w:tcW w:w="1385" w:type="dxa"/>
            <w:tcBorders>
              <w:bottom w:val="single" w:sz="8" w:space="0" w:color="732282"/>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Robert J. Coury</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40" w:type="dxa"/>
            </w:tcMar>
            <w:vAlign w:val="center"/>
          </w:tcPr>
          <w:p>
            <w:pPr>
              <w:pStyle w:val="TableContents"/>
              <w:bidi w:val="0"/>
              <w:spacing w:before="0" w:after="283"/>
              <w:jc w:val="left"/>
              <w:rPr/>
            </w:pPr>
            <w:r>
              <w:rPr/>
              <w:t> </w:t>
            </w:r>
          </w:p>
        </w:tc>
        <w:tc>
          <w:tcPr>
            <w:tcW w:w="1220" w:type="dxa"/>
            <w:tcBorders>
              <w:bottom w:val="single" w:sz="8" w:space="0" w:color="732282"/>
            </w:tcBorders>
            <w:tcMar>
              <w:bottom w:w="40" w:type="dxa"/>
            </w:tcMar>
            <w:vAlign w:val="center"/>
          </w:tcPr>
          <w:p>
            <w:pPr>
              <w:pStyle w:val="TableContents"/>
              <w:bidi w:val="0"/>
              <w:spacing w:before="0" w:after="283"/>
              <w:jc w:val="right"/>
              <w:rPr/>
            </w:pPr>
            <w:r>
              <w:rPr/>
              <w:t>$7,605,000 </w:t>
            </w:r>
          </w:p>
        </w:tc>
        <w:tc>
          <w:tcPr>
            <w:tcW w:w="60" w:type="dxa"/>
            <w:tcBorders>
              <w:bottom w:val="single" w:sz="8" w:space="0" w:color="732282"/>
            </w:tcBorders>
            <w:tcMar>
              <w:bottom w:w="40" w:type="dxa"/>
            </w:tcMar>
            <w:vAlign w:val="center"/>
          </w:tcPr>
          <w:p>
            <w:pPr>
              <w:pStyle w:val="TableContents"/>
              <w:bidi w:val="0"/>
              <w:spacing w:before="0" w:after="283"/>
              <w:jc w:val="left"/>
              <w:rPr/>
            </w:pPr>
            <w:r>
              <w:rPr/>
              <w:t> </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40" w:type="dxa"/>
            </w:tcMar>
            <w:vAlign w:val="center"/>
          </w:tcPr>
          <w:p>
            <w:pPr>
              <w:pStyle w:val="TableContents"/>
              <w:bidi w:val="0"/>
              <w:spacing w:before="0" w:after="283"/>
              <w:jc w:val="left"/>
              <w:rPr/>
            </w:pPr>
            <w:r>
              <w:rPr/>
              <w:t> </w:t>
            </w:r>
          </w:p>
        </w:tc>
        <w:tc>
          <w:tcPr>
            <w:tcW w:w="1220" w:type="dxa"/>
            <w:tcBorders>
              <w:bottom w:val="single" w:sz="8" w:space="0" w:color="732282"/>
            </w:tcBorders>
            <w:tcMar>
              <w:bottom w:w="40" w:type="dxa"/>
            </w:tcMar>
            <w:vAlign w:val="center"/>
          </w:tcPr>
          <w:p>
            <w:pPr>
              <w:pStyle w:val="TableContents"/>
              <w:bidi w:val="0"/>
              <w:spacing w:before="0" w:after="283"/>
              <w:jc w:val="right"/>
              <w:rPr/>
            </w:pPr>
            <w:r>
              <w:rPr/>
              <w:t>$4,095,000 </w:t>
            </w:r>
          </w:p>
        </w:tc>
        <w:tc>
          <w:tcPr>
            <w:tcW w:w="60" w:type="dxa"/>
            <w:tcBorders>
              <w:bottom w:val="single" w:sz="8" w:space="0" w:color="732282"/>
            </w:tcBorders>
            <w:tcMar>
              <w:bottom w:w="40" w:type="dxa"/>
            </w:tcMar>
            <w:vAlign w:val="center"/>
          </w:tcPr>
          <w:p>
            <w:pPr>
              <w:pStyle w:val="TableContents"/>
              <w:bidi w:val="0"/>
              <w:spacing w:before="0" w:after="283"/>
              <w:jc w:val="left"/>
              <w:rPr/>
            </w:pPr>
            <w:r>
              <w:rPr/>
              <w:t> </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40" w:type="dxa"/>
            </w:tcMar>
            <w:vAlign w:val="center"/>
          </w:tcPr>
          <w:p>
            <w:pPr>
              <w:pStyle w:val="TableContents"/>
              <w:bidi w:val="0"/>
              <w:spacing w:before="0" w:after="283"/>
              <w:jc w:val="left"/>
              <w:rPr/>
            </w:pPr>
            <w:r>
              <w:rPr/>
              <w:t> </w:t>
            </w:r>
          </w:p>
        </w:tc>
        <w:tc>
          <w:tcPr>
            <w:tcW w:w="1340" w:type="dxa"/>
            <w:tcBorders>
              <w:bottom w:val="single" w:sz="8" w:space="0" w:color="732282"/>
            </w:tcBorders>
            <w:tcMar>
              <w:bottom w:w="40" w:type="dxa"/>
            </w:tcMar>
            <w:vAlign w:val="center"/>
          </w:tcPr>
          <w:p>
            <w:pPr>
              <w:pStyle w:val="TableContents"/>
              <w:bidi w:val="0"/>
              <w:spacing w:before="0" w:after="283"/>
              <w:jc w:val="right"/>
              <w:rPr/>
            </w:pPr>
            <w:r>
              <w:rPr/>
              <w:t>$11,700,000 </w:t>
            </w:r>
          </w:p>
        </w:tc>
        <w:tc>
          <w:tcPr>
            <w:tcW w:w="75" w:type="dxa"/>
            <w:tcBorders>
              <w:bottom w:val="single" w:sz="8" w:space="0" w:color="732282"/>
            </w:tcBorders>
            <w:tcMar>
              <w:bottom w:w="40" w:type="dxa"/>
            </w:tcMar>
            <w:vAlign w:val="center"/>
          </w:tcPr>
          <w:p>
            <w:pPr>
              <w:pStyle w:val="TableContents"/>
              <w:bidi w:val="0"/>
              <w:spacing w:before="0" w:after="283"/>
              <w:jc w:val="left"/>
              <w:rPr/>
            </w:pPr>
            <w:r>
              <w:rPr/>
              <w:t> </w:t>
            </w:r>
          </w:p>
        </w:tc>
      </w:tr>
    </w:tbl>
    <w:tbl>
      <w:tblPr>
        <w:tblW w:w="4420" w:type="dxa"/>
        <w:jc w:val="left"/>
        <w:tblInd w:w="0" w:type="dxa"/>
        <w:tblLayout w:type="fixed"/>
        <w:tblCellMar>
          <w:top w:w="0" w:type="dxa"/>
          <w:left w:w="0" w:type="dxa"/>
          <w:bottom w:w="0" w:type="dxa"/>
          <w:right w:w="0" w:type="dxa"/>
        </w:tblCellMar>
      </w:tblPr>
      <w:tblGrid>
        <w:gridCol w:w="365"/>
        <w:gridCol w:w="4055"/>
      </w:tblGrid>
      <w:tr>
        <w:trPr/>
        <w:tc>
          <w:tcPr>
            <w:tcW w:w="365" w:type="dxa"/>
            <w:tcBorders/>
            <w:vAlign w:val="center"/>
          </w:tcPr>
          <w:p>
            <w:pPr>
              <w:pStyle w:val="TableContents"/>
              <w:bidi w:val="0"/>
              <w:spacing w:before="0" w:after="283"/>
              <w:jc w:val="left"/>
              <w:rPr/>
            </w:pPr>
            <w:r>
              <w:rPr/>
              <w:t>(1) </w:t>
            </w:r>
          </w:p>
        </w:tc>
        <w:tc>
          <w:tcPr>
            <w:tcW w:w="4055" w:type="dxa"/>
            <w:tcBorders/>
            <w:vAlign w:val="center"/>
          </w:tcPr>
          <w:p>
            <w:pPr>
              <w:pStyle w:val="TableContents"/>
              <w:bidi w:val="0"/>
              <w:spacing w:before="0" w:after="0"/>
              <w:jc w:val="both"/>
              <w:rPr>
                <w:rFonts w:ascii="arial" w:hAnsi="arial"/>
                <w:sz w:val="14"/>
              </w:rPr>
            </w:pPr>
            <w:r>
              <w:rPr>
                <w:rFonts w:ascii="arial" w:hAnsi="arial"/>
                <w:sz w:val="14"/>
              </w:rPr>
              <w:t xml:space="preserve">Mr. Goettler did not receive a long-term incentive award in 2023. </w:t>
            </w:r>
          </w:p>
        </w:tc>
      </w:tr>
    </w:tbl>
    <w:p>
      <w:pPr>
        <w:pStyle w:val="TextBody"/>
        <w:bidi w:val="0"/>
        <w:spacing w:before="240" w:after="0"/>
        <w:jc w:val="both"/>
        <w:rPr>
          <w:rFonts w:ascii="ARIAL" w:hAnsi="ARIAL"/>
          <w:b/>
          <w:i/>
          <w:sz w:val="20"/>
        </w:rPr>
      </w:pPr>
      <w:r>
        <w:rPr>
          <w:rFonts w:ascii="ARIAL" w:hAnsi="ARIAL"/>
          <w:b/>
          <w:i/>
          <w:sz w:val="20"/>
        </w:rPr>
        <w:t xml:space="preserve">2023 Three-Year PRSU Performance Metrics </w:t>
      </w:r>
    </w:p>
    <w:p>
      <w:pPr>
        <w:pStyle w:val="TextBody"/>
        <w:bidi w:val="0"/>
        <w:spacing w:before="120" w:after="0"/>
        <w:jc w:val="both"/>
        <w:rPr>
          <w:rFonts w:ascii="arial" w:hAnsi="arial"/>
          <w:sz w:val="18"/>
        </w:rPr>
      </w:pPr>
      <w:r>
        <w:rPr>
          <w:rFonts w:ascii="arial" w:hAnsi="arial"/>
          <w:sz w:val="18"/>
        </w:rPr>
        <w:t>The 2023 grant of PRSUs is subject to free cash flow and relative market performance metrics (</w:t>
      </w:r>
      <w:r>
        <w:rPr>
          <w:rFonts w:ascii="arial" w:hAnsi="arial"/>
          <w:i/>
          <w:sz w:val="18"/>
        </w:rPr>
        <w:t>i.e.</w:t>
      </w:r>
      <w:r>
        <w:rPr>
          <w:rFonts w:ascii="arial" w:hAnsi="arial"/>
          <w:sz w:val="18"/>
        </w:rPr>
        <w:t xml:space="preserve">, relative TSR using the S&amp;P 500 Pharmaceutical Index), which is used as a modifier to determine the final payout percentage, as described below. The free cash flow metric incentivizes effective use of Viatris’ capital to drive cash flow generation, encouraging behavior that is closely aligned with our efforts to drive a durable and sustainable business. In addition, the relative TSR modifier impacts executive pay based on Viatris’ performance as compared to industry competitors. </w:t>
      </w:r>
    </w:p>
    <w:p>
      <w:pPr>
        <w:pStyle w:val="TextBody"/>
        <w:bidi w:val="0"/>
        <w:spacing w:before="240" w:after="0"/>
        <w:jc w:val="both"/>
        <w:rPr>
          <w:rFonts w:ascii="arial" w:hAnsi="arial"/>
          <w:sz w:val="18"/>
        </w:rPr>
      </w:pPr>
      <w:r>
        <w:rPr>
          <w:rFonts w:ascii="arial" w:hAnsi="arial"/>
          <w:sz w:val="18"/>
        </w:rPr>
        <w:t xml:space="preserve">As shown in the table below, payouts under the 2023 PRSUs will be determined in two steps. First, in the first quarter of 2026, the outcome of the free cash flow metric will be assessed, resulting in an initial payout percentage of 50% for threshold performance (with 0% payout for below threshold performance) up to 150% for maximum performance, with linear interpolation for achievement between threshold and maximum. Second, the relative TSR metric will be applied as a modifier to the initial payout percentage, decreasing it by 30%, leaving it unaffected, or increasing it by 30%, in order to calculate the final payout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35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sz w:val="18"/>
        </w:rPr>
        <w:t xml:space="preserve">percentage. The reduction in amounts in setting the free cash flow metric reflects the Company’s expectations regarding the negative impact on free cash flows resulting from previously announced divestitures. </w:t>
      </w:r>
    </w:p>
    <w:p>
      <w:pPr>
        <w:pStyle w:val="TextBody"/>
        <w:bidi w:val="0"/>
        <w:spacing w:before="0" w:after="0"/>
        <w:jc w:val="left"/>
        <w:rPr/>
      </w:pPr>
      <w:r>
        <w:rPr/>
        <w:t> </w:t>
      </w:r>
    </w:p>
    <w:tbl>
      <w:tblPr>
        <w:tblW w:w="9100" w:type="dxa"/>
        <w:jc w:val="left"/>
        <w:tblInd w:w="0" w:type="dxa"/>
        <w:tblLayout w:type="fixed"/>
        <w:tblCellMar>
          <w:top w:w="0" w:type="dxa"/>
          <w:left w:w="0" w:type="dxa"/>
          <w:bottom w:w="0" w:type="dxa"/>
          <w:right w:w="0" w:type="dxa"/>
        </w:tblCellMar>
      </w:tblPr>
      <w:tblGrid>
        <w:gridCol w:w="2930"/>
        <w:gridCol w:w="120"/>
        <w:gridCol w:w="1070"/>
        <w:gridCol w:w="120"/>
        <w:gridCol w:w="1430"/>
        <w:gridCol w:w="120"/>
        <w:gridCol w:w="1745"/>
        <w:gridCol w:w="120"/>
        <w:gridCol w:w="1445"/>
      </w:tblGrid>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2930" w:type="dxa"/>
            <w:tcBorders>
              <w:bottom w:val="single" w:sz="8" w:space="0" w:color="732282"/>
            </w:tcBorders>
            <w:tcMar>
              <w:bottom w:w="28" w:type="dxa"/>
            </w:tcMar>
            <w:vAlign w:val="center"/>
          </w:tcPr>
          <w:p>
            <w:pPr>
              <w:pStyle w:val="TableContents"/>
              <w:bidi w:val="0"/>
              <w:spacing w:before="0" w:after="0"/>
              <w:jc w:val="left"/>
              <w:rPr>
                <w:rFonts w:ascii="ARIAL" w:hAnsi="ARIAL"/>
                <w:b/>
                <w:color w:val="732282"/>
                <w:sz w:val="18"/>
              </w:rPr>
            </w:pPr>
            <w:r>
              <w:rPr>
                <w:rFonts w:ascii="ARIAL" w:hAnsi="ARIAL"/>
                <w:b/>
                <w:color w:val="732282"/>
                <w:sz w:val="18"/>
              </w:rPr>
              <w:t>Metric</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070" w:type="dxa"/>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Weighting</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430" w:type="dxa"/>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Threshold</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745" w:type="dxa"/>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Target</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445" w:type="dxa"/>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Maximum</w:t>
            </w:r>
          </w:p>
        </w:tc>
      </w:tr>
      <w:tr>
        <w:trPr/>
        <w:tc>
          <w:tcPr>
            <w:tcW w:w="2930" w:type="dxa"/>
            <w:tcBorders/>
            <w:shd w:fill="E5E5E5" w:val="clear"/>
            <w:vAlign w:val="center"/>
          </w:tcPr>
          <w:p>
            <w:pPr>
              <w:pStyle w:val="TableContents"/>
              <w:bidi w:val="0"/>
              <w:spacing w:before="0" w:after="283"/>
              <w:jc w:val="left"/>
              <w:rPr>
                <w:sz w:val="4"/>
                <w:szCs w:val="4"/>
              </w:rPr>
            </w:pPr>
            <w:r>
              <w:rPr>
                <w:sz w:val="4"/>
                <w:szCs w:val="4"/>
              </w:rPr>
            </w:r>
          </w:p>
        </w:tc>
        <w:tc>
          <w:tcPr>
            <w:tcW w:w="1190" w:type="dxa"/>
            <w:gridSpan w:val="2"/>
            <w:tcBorders/>
            <w:shd w:fill="E5E5E5" w:val="clear"/>
            <w:vAlign w:val="center"/>
          </w:tcPr>
          <w:p>
            <w:pPr>
              <w:pStyle w:val="TableContents"/>
              <w:bidi w:val="0"/>
              <w:spacing w:before="0" w:after="283"/>
              <w:jc w:val="left"/>
              <w:rPr>
                <w:sz w:val="4"/>
                <w:szCs w:val="4"/>
              </w:rPr>
            </w:pPr>
            <w:r>
              <w:rPr>
                <w:sz w:val="4"/>
                <w:szCs w:val="4"/>
              </w:rPr>
            </w:r>
          </w:p>
        </w:tc>
        <w:tc>
          <w:tcPr>
            <w:tcW w:w="1550" w:type="dxa"/>
            <w:gridSpan w:val="2"/>
            <w:tcBorders/>
            <w:shd w:fill="E5E5E5" w:val="clear"/>
            <w:vAlign w:val="center"/>
          </w:tcPr>
          <w:p>
            <w:pPr>
              <w:pStyle w:val="TableContents"/>
              <w:bidi w:val="0"/>
              <w:spacing w:before="0" w:after="283"/>
              <w:jc w:val="left"/>
              <w:rPr>
                <w:sz w:val="4"/>
                <w:szCs w:val="4"/>
              </w:rPr>
            </w:pPr>
            <w:r>
              <w:rPr>
                <w:sz w:val="4"/>
                <w:szCs w:val="4"/>
              </w:rPr>
            </w:r>
          </w:p>
        </w:tc>
        <w:tc>
          <w:tcPr>
            <w:tcW w:w="1865" w:type="dxa"/>
            <w:gridSpan w:val="2"/>
            <w:tcBorders/>
            <w:shd w:fill="E5E5E5" w:val="clear"/>
            <w:vAlign w:val="center"/>
          </w:tcPr>
          <w:p>
            <w:pPr>
              <w:pStyle w:val="TableContents"/>
              <w:bidi w:val="0"/>
              <w:spacing w:before="0" w:after="283"/>
              <w:jc w:val="left"/>
              <w:rPr>
                <w:sz w:val="4"/>
                <w:szCs w:val="4"/>
              </w:rPr>
            </w:pPr>
            <w:r>
              <w:rPr>
                <w:sz w:val="4"/>
                <w:szCs w:val="4"/>
              </w:rPr>
            </w:r>
          </w:p>
        </w:tc>
        <w:tc>
          <w:tcPr>
            <w:tcW w:w="1565" w:type="dxa"/>
            <w:gridSpan w:val="2"/>
            <w:tcBorders/>
            <w:shd w:fill="E5E5E5" w:val="clear"/>
            <w:vAlign w:val="center"/>
          </w:tcPr>
          <w:p>
            <w:pPr>
              <w:pStyle w:val="TableContents"/>
              <w:bidi w:val="0"/>
              <w:spacing w:before="0" w:after="283"/>
              <w:jc w:val="left"/>
              <w:rPr>
                <w:sz w:val="4"/>
                <w:szCs w:val="4"/>
              </w:rPr>
            </w:pPr>
            <w:r>
              <w:rPr>
                <w:sz w:val="4"/>
                <w:szCs w:val="4"/>
              </w:rPr>
            </w:r>
          </w:p>
        </w:tc>
      </w:tr>
      <w:tr>
        <w:trPr/>
        <w:tc>
          <w:tcPr>
            <w:tcW w:w="2930" w:type="dxa"/>
            <w:tcBorders/>
            <w:shd w:fill="E5E5E5" w:val="clear"/>
            <w:vAlign w:val="center"/>
          </w:tcPr>
          <w:p>
            <w:pPr>
              <w:pStyle w:val="TableContents"/>
              <w:bidi w:val="0"/>
              <w:spacing w:before="0" w:after="0"/>
              <w:jc w:val="left"/>
              <w:rPr>
                <w:rFonts w:ascii="ARIAL" w:hAnsi="ARIAL"/>
                <w:sz w:val="18"/>
              </w:rPr>
            </w:pPr>
            <w:r>
              <w:rPr>
                <w:rFonts w:ascii="ARIAL" w:hAnsi="ARIAL"/>
                <w:sz w:val="18"/>
              </w:rPr>
              <w:t>Free Cash Flow*</w:t>
            </w:r>
          </w:p>
        </w:tc>
        <w:tc>
          <w:tcPr>
            <w:tcW w:w="120" w:type="dxa"/>
            <w:tcBorders/>
            <w:shd w:fill="E5E5E5" w:val="clear"/>
            <w:vAlign w:val="center"/>
          </w:tcPr>
          <w:p>
            <w:pPr>
              <w:pStyle w:val="TableContents"/>
              <w:bidi w:val="0"/>
              <w:spacing w:before="0" w:after="283"/>
              <w:jc w:val="left"/>
              <w:rPr/>
            </w:pPr>
            <w:r>
              <w:rPr/>
              <w:t>  </w:t>
            </w:r>
          </w:p>
        </w:tc>
        <w:tc>
          <w:tcPr>
            <w:tcW w:w="1070" w:type="dxa"/>
            <w:tcBorders/>
            <w:shd w:fill="E5E5E5" w:val="clear"/>
            <w:vAlign w:val="center"/>
          </w:tcPr>
          <w:p>
            <w:pPr>
              <w:pStyle w:val="TableContents"/>
              <w:bidi w:val="0"/>
              <w:spacing w:before="0" w:after="283"/>
              <w:jc w:val="center"/>
              <w:rPr/>
            </w:pPr>
            <w:r>
              <w:rPr/>
              <w:t>100%</w:t>
            </w:r>
          </w:p>
        </w:tc>
        <w:tc>
          <w:tcPr>
            <w:tcW w:w="120" w:type="dxa"/>
            <w:tcBorders/>
            <w:shd w:fill="E5E5E5" w:val="clear"/>
            <w:vAlign w:val="center"/>
          </w:tcPr>
          <w:p>
            <w:pPr>
              <w:pStyle w:val="TableContents"/>
              <w:bidi w:val="0"/>
              <w:spacing w:before="0" w:after="283"/>
              <w:jc w:val="left"/>
              <w:rPr/>
            </w:pPr>
            <w:r>
              <w:rPr/>
              <w:t>  </w:t>
            </w:r>
          </w:p>
        </w:tc>
        <w:tc>
          <w:tcPr>
            <w:tcW w:w="1430" w:type="dxa"/>
            <w:tcBorders/>
            <w:shd w:fill="E5E5E5" w:val="clear"/>
            <w:vAlign w:val="center"/>
          </w:tcPr>
          <w:p>
            <w:pPr>
              <w:pStyle w:val="TableContents"/>
              <w:bidi w:val="0"/>
              <w:spacing w:before="0" w:after="283"/>
              <w:jc w:val="center"/>
              <w:rPr/>
            </w:pPr>
            <w:r>
              <w:rPr/>
              <w:t>$6,000 million</w:t>
            </w:r>
          </w:p>
        </w:tc>
        <w:tc>
          <w:tcPr>
            <w:tcW w:w="120" w:type="dxa"/>
            <w:tcBorders/>
            <w:shd w:fill="E5E5E5" w:val="clear"/>
            <w:vAlign w:val="center"/>
          </w:tcPr>
          <w:p>
            <w:pPr>
              <w:pStyle w:val="TableContents"/>
              <w:bidi w:val="0"/>
              <w:spacing w:before="0" w:after="283"/>
              <w:jc w:val="left"/>
              <w:rPr/>
            </w:pPr>
            <w:r>
              <w:rPr/>
              <w:t>  </w:t>
            </w:r>
          </w:p>
        </w:tc>
        <w:tc>
          <w:tcPr>
            <w:tcW w:w="1745" w:type="dxa"/>
            <w:tcBorders/>
            <w:shd w:fill="E5E5E5" w:val="clear"/>
            <w:vAlign w:val="center"/>
          </w:tcPr>
          <w:p>
            <w:pPr>
              <w:pStyle w:val="TableContents"/>
              <w:bidi w:val="0"/>
              <w:spacing w:before="0" w:after="283"/>
              <w:jc w:val="center"/>
              <w:rPr/>
            </w:pPr>
            <w:r>
              <w:rPr/>
              <w:t>$7,000 million</w:t>
            </w:r>
          </w:p>
        </w:tc>
        <w:tc>
          <w:tcPr>
            <w:tcW w:w="120" w:type="dxa"/>
            <w:tcBorders/>
            <w:shd w:fill="E5E5E5" w:val="clear"/>
            <w:vAlign w:val="center"/>
          </w:tcPr>
          <w:p>
            <w:pPr>
              <w:pStyle w:val="TableContents"/>
              <w:bidi w:val="0"/>
              <w:spacing w:before="0" w:after="283"/>
              <w:jc w:val="left"/>
              <w:rPr/>
            </w:pPr>
            <w:r>
              <w:rPr/>
              <w:t>  </w:t>
            </w:r>
          </w:p>
        </w:tc>
        <w:tc>
          <w:tcPr>
            <w:tcW w:w="1445" w:type="dxa"/>
            <w:tcBorders/>
            <w:shd w:fill="E5E5E5" w:val="clear"/>
            <w:vAlign w:val="center"/>
          </w:tcPr>
          <w:p>
            <w:pPr>
              <w:pStyle w:val="TableContents"/>
              <w:bidi w:val="0"/>
              <w:spacing w:before="0" w:after="283"/>
              <w:jc w:val="center"/>
              <w:rPr/>
            </w:pPr>
            <w:r>
              <w:rPr/>
              <w:t>$8,000 million</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865"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0"/>
              <w:jc w:val="left"/>
              <w:rPr>
                <w:rFonts w:ascii="ARIAL" w:hAnsi="ARIAL"/>
                <w:sz w:val="18"/>
              </w:rPr>
            </w:pPr>
            <w:r>
              <w:rPr>
                <w:rFonts w:ascii="ARIAL" w:hAnsi="ARIAL"/>
                <w:sz w:val="18"/>
              </w:rPr>
              <w:t>Relative TSR of Peer Group**</w:t>
            </w:r>
          </w:p>
        </w:tc>
        <w:tc>
          <w:tcPr>
            <w:tcW w:w="12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Multiplier</w:t>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At or Below</w:t>
              <w:br/>
              <w:t>25th Percentile</w:t>
              <w:br/>
              <w:t>of Peer Group</w:t>
            </w:r>
          </w:p>
        </w:tc>
        <w:tc>
          <w:tcPr>
            <w:tcW w:w="12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Between 25th and</w:t>
              <w:br/>
              <w:t>75th Percentiles</w:t>
              <w:br/>
              <w:t>of Peer Group</w:t>
            </w:r>
          </w:p>
        </w:tc>
        <w:tc>
          <w:tcPr>
            <w:tcW w:w="12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At or Above</w:t>
              <w:br/>
              <w:t>75th Percentile</w:t>
              <w:br/>
              <w:t>of Peer Group</w:t>
            </w:r>
          </w:p>
        </w:tc>
      </w:tr>
      <w:tr>
        <w:trPr/>
        <w:tc>
          <w:tcPr>
            <w:tcW w:w="2930" w:type="dxa"/>
            <w:tcBorders/>
            <w:shd w:fill="E5E5E5" w:val="clear"/>
            <w:vAlign w:val="center"/>
          </w:tcPr>
          <w:p>
            <w:pPr>
              <w:pStyle w:val="TableContents"/>
              <w:bidi w:val="0"/>
              <w:spacing w:before="0" w:after="283"/>
              <w:jc w:val="left"/>
              <w:rPr>
                <w:sz w:val="4"/>
                <w:szCs w:val="4"/>
              </w:rPr>
            </w:pPr>
            <w:r>
              <w:rPr>
                <w:sz w:val="4"/>
                <w:szCs w:val="4"/>
              </w:rPr>
            </w:r>
          </w:p>
        </w:tc>
        <w:tc>
          <w:tcPr>
            <w:tcW w:w="1190" w:type="dxa"/>
            <w:gridSpan w:val="2"/>
            <w:tcBorders/>
            <w:shd w:fill="E5E5E5" w:val="clear"/>
            <w:vAlign w:val="center"/>
          </w:tcPr>
          <w:p>
            <w:pPr>
              <w:pStyle w:val="TableContents"/>
              <w:bidi w:val="0"/>
              <w:spacing w:before="0" w:after="283"/>
              <w:jc w:val="left"/>
              <w:rPr>
                <w:sz w:val="4"/>
                <w:szCs w:val="4"/>
              </w:rPr>
            </w:pPr>
            <w:r>
              <w:rPr>
                <w:sz w:val="4"/>
                <w:szCs w:val="4"/>
              </w:rPr>
            </w:r>
          </w:p>
        </w:tc>
        <w:tc>
          <w:tcPr>
            <w:tcW w:w="1550" w:type="dxa"/>
            <w:gridSpan w:val="2"/>
            <w:tcBorders/>
            <w:shd w:fill="E5E5E5" w:val="clear"/>
            <w:vAlign w:val="center"/>
          </w:tcPr>
          <w:p>
            <w:pPr>
              <w:pStyle w:val="TableContents"/>
              <w:bidi w:val="0"/>
              <w:spacing w:before="0" w:after="283"/>
              <w:jc w:val="left"/>
              <w:rPr>
                <w:sz w:val="4"/>
                <w:szCs w:val="4"/>
              </w:rPr>
            </w:pPr>
            <w:r>
              <w:rPr>
                <w:sz w:val="4"/>
                <w:szCs w:val="4"/>
              </w:rPr>
            </w:r>
          </w:p>
        </w:tc>
        <w:tc>
          <w:tcPr>
            <w:tcW w:w="1865" w:type="dxa"/>
            <w:gridSpan w:val="2"/>
            <w:tcBorders/>
            <w:shd w:fill="E5E5E5" w:val="clear"/>
            <w:vAlign w:val="center"/>
          </w:tcPr>
          <w:p>
            <w:pPr>
              <w:pStyle w:val="TableContents"/>
              <w:bidi w:val="0"/>
              <w:spacing w:before="0" w:after="283"/>
              <w:jc w:val="left"/>
              <w:rPr>
                <w:sz w:val="4"/>
                <w:szCs w:val="4"/>
              </w:rPr>
            </w:pPr>
            <w:r>
              <w:rPr>
                <w:sz w:val="4"/>
                <w:szCs w:val="4"/>
              </w:rPr>
            </w:r>
          </w:p>
        </w:tc>
        <w:tc>
          <w:tcPr>
            <w:tcW w:w="1565" w:type="dxa"/>
            <w:gridSpan w:val="2"/>
            <w:tcBorders/>
            <w:shd w:fill="E5E5E5" w:val="clear"/>
            <w:vAlign w:val="center"/>
          </w:tcPr>
          <w:p>
            <w:pPr>
              <w:pStyle w:val="TableContents"/>
              <w:bidi w:val="0"/>
              <w:spacing w:before="0" w:after="283"/>
              <w:jc w:val="left"/>
              <w:rPr>
                <w:sz w:val="4"/>
                <w:szCs w:val="4"/>
              </w:rPr>
            </w:pPr>
            <w:r>
              <w:rPr>
                <w:sz w:val="4"/>
                <w:szCs w:val="4"/>
              </w:rPr>
            </w:r>
          </w:p>
        </w:tc>
      </w:tr>
      <w:tr>
        <w:trPr/>
        <w:tc>
          <w:tcPr>
            <w:tcW w:w="2930" w:type="dxa"/>
            <w:tcBorders>
              <w:bottom w:val="single" w:sz="8" w:space="0" w:color="732282"/>
            </w:tcBorders>
            <w:shd w:fill="E5E5E5" w:val="clear"/>
            <w:tcMar>
              <w:bottom w:w="40" w:type="dxa"/>
            </w:tcMar>
            <w:vAlign w:val="center"/>
          </w:tcPr>
          <w:p>
            <w:pPr>
              <w:pStyle w:val="TableContents"/>
              <w:bidi w:val="0"/>
              <w:spacing w:before="0" w:after="0"/>
              <w:jc w:val="left"/>
              <w:rPr>
                <w:rFonts w:ascii="ARIAL" w:hAnsi="ARIAL"/>
                <w:sz w:val="18"/>
              </w:rPr>
            </w:pPr>
            <w:r>
              <w:rPr>
                <w:rFonts w:ascii="ARIAL" w:hAnsi="ARIAL"/>
                <w:sz w:val="18"/>
              </w:rPr>
              <w:t>Payout Opportunity (as % of Target)</w:t>
            </w:r>
          </w:p>
        </w:tc>
        <w:tc>
          <w:tcPr>
            <w:tcW w:w="12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070" w:type="dxa"/>
            <w:tcBorders>
              <w:bottom w:val="single" w:sz="8" w:space="0" w:color="732282"/>
            </w:tcBorders>
            <w:shd w:fill="E5E5E5"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430" w:type="dxa"/>
            <w:tcBorders>
              <w:bottom w:val="single" w:sz="8" w:space="0" w:color="732282"/>
            </w:tcBorders>
            <w:shd w:fill="E5E5E5" w:val="clear"/>
            <w:tcMar>
              <w:bottom w:w="40" w:type="dxa"/>
            </w:tcMar>
            <w:vAlign w:val="center"/>
          </w:tcPr>
          <w:p>
            <w:pPr>
              <w:pStyle w:val="TableContents"/>
              <w:bidi w:val="0"/>
              <w:spacing w:before="0" w:after="283"/>
              <w:jc w:val="center"/>
              <w:rPr/>
            </w:pPr>
            <w:r>
              <w:rPr/>
              <w:t>35%</w:t>
            </w:r>
          </w:p>
        </w:tc>
        <w:tc>
          <w:tcPr>
            <w:tcW w:w="12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745" w:type="dxa"/>
            <w:tcBorders>
              <w:bottom w:val="single" w:sz="8" w:space="0" w:color="732282"/>
            </w:tcBorders>
            <w:shd w:fill="E5E5E5" w:val="clear"/>
            <w:tcMar>
              <w:bottom w:w="40" w:type="dxa"/>
            </w:tcMar>
            <w:vAlign w:val="center"/>
          </w:tcPr>
          <w:p>
            <w:pPr>
              <w:pStyle w:val="TableContents"/>
              <w:bidi w:val="0"/>
              <w:spacing w:before="0" w:after="283"/>
              <w:jc w:val="center"/>
              <w:rPr/>
            </w:pPr>
            <w:r>
              <w:rPr/>
              <w:t>100%</w:t>
            </w:r>
          </w:p>
        </w:tc>
        <w:tc>
          <w:tcPr>
            <w:tcW w:w="12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445" w:type="dxa"/>
            <w:tcBorders>
              <w:bottom w:val="single" w:sz="8" w:space="0" w:color="732282"/>
            </w:tcBorders>
            <w:shd w:fill="E5E5E5" w:val="clear"/>
            <w:tcMar>
              <w:bottom w:w="40" w:type="dxa"/>
            </w:tcMar>
            <w:vAlign w:val="center"/>
          </w:tcPr>
          <w:p>
            <w:pPr>
              <w:pStyle w:val="TableContents"/>
              <w:bidi w:val="0"/>
              <w:spacing w:before="0" w:after="283"/>
              <w:jc w:val="center"/>
              <w:rPr/>
            </w:pPr>
            <w:r>
              <w:rPr/>
              <w:t>195%</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rFonts w:ascii="arial" w:hAnsi="arial"/>
                <w:sz w:val="14"/>
              </w:rPr>
            </w:pPr>
            <w:r>
              <w:rPr>
                <w:rFonts w:ascii="arial" w:hAnsi="arial"/>
                <w:sz w:val="14"/>
              </w:rPr>
              <w:t xml:space="preserve">Free cash flow is derived from Viatris’ audited financial statements in the same manner as the calculation for Viatris’ 2023 annual incentive program, except that the calculation for the 2023 PRSUs further adjusts for any of the following, as applicable: transaction costs and taxes related to certain acquisitions and divestitures as well as any incremental transaction costs and taxes related to other select asset sales or reshaping initiatives and other impacts of divestitures, unbudgeted restructuring costs, unbudgeted R&amp;D expense, material unplanned litigation gains or losses equal to or greater than $25 million in the aggregate, changes in tax laws, and all impacts of material acquisition activities. Free cash flow for the 2023 PRSUs will be the sum of such free cash flow measure for each of the years ended December 31, 2023, 2024 and 2025 and will utilize budgeted foreign exchange rates for the relevant year. Viatris’ free cash flow as reported for the twelve months ended December 31, 2023 is reconciled to the most directly comparable U.S. GAAP measure in Appendix A.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pPr>
            <w:r>
              <w:rPr/>
              <w:t>**</w:t>
            </w:r>
          </w:p>
        </w:tc>
        <w:tc>
          <w:tcPr>
            <w:tcW w:w="10001" w:type="dxa"/>
            <w:tcBorders/>
            <w:vAlign w:val="center"/>
          </w:tcPr>
          <w:p>
            <w:pPr>
              <w:pStyle w:val="TableContents"/>
              <w:bidi w:val="0"/>
              <w:spacing w:before="0" w:after="0"/>
              <w:jc w:val="both"/>
              <w:rPr>
                <w:rFonts w:ascii="arial" w:hAnsi="arial"/>
                <w:sz w:val="14"/>
              </w:rPr>
            </w:pPr>
            <w:r>
              <w:rPr>
                <w:rFonts w:ascii="arial" w:hAnsi="arial"/>
                <w:sz w:val="14"/>
              </w:rPr>
              <w:t xml:space="preserve">Relative TSR is calculated by comparing the difference between Viatris’ 30-day trailing average closing ordinary share price at the day before the beginning of the performance period and day before the end of the performance period plus any dividends paid during the performance period against the same metric for each company in the S&amp;P 500 Pharmaceutical Index. </w:t>
            </w:r>
          </w:p>
        </w:tc>
      </w:tr>
    </w:tbl>
    <w:p>
      <w:pPr>
        <w:pStyle w:val="TextBody"/>
        <w:bidi w:val="0"/>
        <w:spacing w:before="240" w:after="0"/>
        <w:jc w:val="both"/>
        <w:rPr>
          <w:rFonts w:ascii="arial" w:hAnsi="arial"/>
          <w:sz w:val="18"/>
        </w:rPr>
      </w:pPr>
      <w:r>
        <w:rPr>
          <w:rFonts w:ascii="arial" w:hAnsi="arial"/>
          <w:sz w:val="18"/>
        </w:rPr>
        <w:t xml:space="preserve">Payouts with respect to PRSUs granted in 2023 will be determined in early 2026 following the conclusion of the three-year performance cycle. </w:t>
      </w:r>
    </w:p>
    <w:p>
      <w:pPr>
        <w:pStyle w:val="TextBody"/>
        <w:bidi w:val="0"/>
        <w:spacing w:before="200" w:after="0"/>
        <w:jc w:val="both"/>
        <w:rPr>
          <w:rFonts w:ascii="ARIAL" w:hAnsi="ARIAL"/>
          <w:b/>
          <w:i/>
          <w:sz w:val="20"/>
        </w:rPr>
      </w:pPr>
      <w:r>
        <w:rPr>
          <w:rFonts w:ascii="ARIAL" w:hAnsi="ARIAL"/>
          <w:b/>
          <w:i/>
          <w:sz w:val="20"/>
        </w:rPr>
        <w:t xml:space="preserve">2021-2023 Three-Year PRSU Performance Metric Results </w:t>
      </w:r>
    </w:p>
    <w:p>
      <w:pPr>
        <w:pStyle w:val="TextBody"/>
        <w:bidi w:val="0"/>
        <w:spacing w:before="120" w:after="0"/>
        <w:jc w:val="both"/>
        <w:rPr>
          <w:rFonts w:ascii="arial" w:hAnsi="arial"/>
          <w:sz w:val="18"/>
        </w:rPr>
      </w:pPr>
      <w:r>
        <w:rPr>
          <w:rFonts w:ascii="arial" w:hAnsi="arial"/>
          <w:sz w:val="18"/>
        </w:rPr>
        <w:t xml:space="preserve">During the three-year period of 2021 to 2023, Viatris achieved the following performance against the Compensation Committee-approved performance goals: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75"/>
        <w:gridCol w:w="60"/>
        <w:gridCol w:w="1070"/>
        <w:gridCol w:w="60"/>
        <w:gridCol w:w="1685"/>
        <w:gridCol w:w="60"/>
        <w:gridCol w:w="1775"/>
        <w:gridCol w:w="60"/>
        <w:gridCol w:w="1685"/>
        <w:gridCol w:w="60"/>
        <w:gridCol w:w="1415"/>
      </w:tblGrid>
      <w:tr>
        <w:trPr/>
        <w:tc>
          <w:tcPr>
            <w:tcW w:w="2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2275" w:type="dxa"/>
            <w:tcBorders>
              <w:bottom w:val="single" w:sz="8" w:space="0" w:color="732282"/>
            </w:tcBorders>
            <w:tcMar>
              <w:bottom w:w="28" w:type="dxa"/>
            </w:tcMar>
            <w:vAlign w:val="center"/>
          </w:tcPr>
          <w:p>
            <w:pPr>
              <w:pStyle w:val="TableContents"/>
              <w:bidi w:val="0"/>
              <w:spacing w:before="0" w:after="20"/>
              <w:jc w:val="left"/>
              <w:rPr>
                <w:rFonts w:ascii="ARIAL" w:hAnsi="ARIAL"/>
                <w:b/>
                <w:color w:val="732282"/>
                <w:sz w:val="18"/>
              </w:rPr>
            </w:pPr>
            <w:r>
              <w:rPr>
                <w:rFonts w:ascii="ARIAL" w:hAnsi="ARIAL"/>
                <w:b/>
                <w:color w:val="732282"/>
                <w:sz w:val="18"/>
              </w:rPr>
              <w:t>Metric</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070" w:type="dxa"/>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Weighting</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685" w:type="dxa"/>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Threshold</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775" w:type="dxa"/>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Target</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685" w:type="dxa"/>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Maximum</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415" w:type="dxa"/>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Results</w:t>
            </w:r>
          </w:p>
        </w:tc>
      </w:tr>
      <w:tr>
        <w:trPr/>
        <w:tc>
          <w:tcPr>
            <w:tcW w:w="2275" w:type="dxa"/>
            <w:tcBorders/>
            <w:shd w:fill="E5E5E5" w:val="clear"/>
            <w:vAlign w:val="center"/>
          </w:tcPr>
          <w:p>
            <w:pPr>
              <w:pStyle w:val="TableContents"/>
              <w:bidi w:val="0"/>
              <w:spacing w:before="0" w:after="283"/>
              <w:jc w:val="left"/>
              <w:rPr>
                <w:sz w:val="4"/>
                <w:szCs w:val="4"/>
              </w:rPr>
            </w:pPr>
            <w:r>
              <w:rPr>
                <w:sz w:val="4"/>
                <w:szCs w:val="4"/>
              </w:rPr>
            </w:r>
          </w:p>
        </w:tc>
        <w:tc>
          <w:tcPr>
            <w:tcW w:w="1130" w:type="dxa"/>
            <w:gridSpan w:val="2"/>
            <w:tcBorders/>
            <w:shd w:fill="E5E5E5" w:val="clear"/>
            <w:vAlign w:val="center"/>
          </w:tcPr>
          <w:p>
            <w:pPr>
              <w:pStyle w:val="TableContents"/>
              <w:bidi w:val="0"/>
              <w:spacing w:before="0" w:after="283"/>
              <w:jc w:val="left"/>
              <w:rPr>
                <w:sz w:val="4"/>
                <w:szCs w:val="4"/>
              </w:rPr>
            </w:pPr>
            <w:r>
              <w:rPr>
                <w:sz w:val="4"/>
                <w:szCs w:val="4"/>
              </w:rPr>
            </w:r>
          </w:p>
        </w:tc>
        <w:tc>
          <w:tcPr>
            <w:tcW w:w="1745" w:type="dxa"/>
            <w:gridSpan w:val="2"/>
            <w:tcBorders/>
            <w:shd w:fill="E5E5E5" w:val="clear"/>
            <w:vAlign w:val="center"/>
          </w:tcPr>
          <w:p>
            <w:pPr>
              <w:pStyle w:val="TableContents"/>
              <w:bidi w:val="0"/>
              <w:spacing w:before="0" w:after="283"/>
              <w:jc w:val="left"/>
              <w:rPr>
                <w:sz w:val="4"/>
                <w:szCs w:val="4"/>
              </w:rPr>
            </w:pPr>
            <w:r>
              <w:rPr>
                <w:sz w:val="4"/>
                <w:szCs w:val="4"/>
              </w:rPr>
            </w:r>
          </w:p>
        </w:tc>
        <w:tc>
          <w:tcPr>
            <w:tcW w:w="1835" w:type="dxa"/>
            <w:gridSpan w:val="2"/>
            <w:tcBorders/>
            <w:shd w:fill="E5E5E5" w:val="clear"/>
            <w:vAlign w:val="center"/>
          </w:tcPr>
          <w:p>
            <w:pPr>
              <w:pStyle w:val="TableContents"/>
              <w:bidi w:val="0"/>
              <w:spacing w:before="0" w:after="283"/>
              <w:jc w:val="left"/>
              <w:rPr>
                <w:sz w:val="4"/>
                <w:szCs w:val="4"/>
              </w:rPr>
            </w:pPr>
            <w:r>
              <w:rPr>
                <w:sz w:val="4"/>
                <w:szCs w:val="4"/>
              </w:rPr>
            </w:r>
          </w:p>
        </w:tc>
        <w:tc>
          <w:tcPr>
            <w:tcW w:w="1745" w:type="dxa"/>
            <w:gridSpan w:val="2"/>
            <w:tcBorders/>
            <w:shd w:fill="E5E5E5" w:val="clear"/>
            <w:vAlign w:val="center"/>
          </w:tcPr>
          <w:p>
            <w:pPr>
              <w:pStyle w:val="TableContents"/>
              <w:bidi w:val="0"/>
              <w:spacing w:before="0" w:after="283"/>
              <w:jc w:val="left"/>
              <w:rPr>
                <w:sz w:val="4"/>
                <w:szCs w:val="4"/>
              </w:rPr>
            </w:pPr>
            <w:r>
              <w:rPr>
                <w:sz w:val="4"/>
                <w:szCs w:val="4"/>
              </w:rPr>
            </w:r>
          </w:p>
        </w:tc>
        <w:tc>
          <w:tcPr>
            <w:tcW w:w="1475" w:type="dxa"/>
            <w:gridSpan w:val="2"/>
            <w:tcBorders/>
            <w:shd w:fill="E5E5E5" w:val="clear"/>
            <w:vAlign w:val="center"/>
          </w:tcPr>
          <w:p>
            <w:pPr>
              <w:pStyle w:val="TableContents"/>
              <w:bidi w:val="0"/>
              <w:spacing w:before="0" w:after="283"/>
              <w:jc w:val="left"/>
              <w:rPr>
                <w:sz w:val="4"/>
                <w:szCs w:val="4"/>
              </w:rPr>
            </w:pPr>
            <w:r>
              <w:rPr>
                <w:sz w:val="4"/>
                <w:szCs w:val="4"/>
              </w:rPr>
            </w:r>
          </w:p>
        </w:tc>
      </w:tr>
      <w:tr>
        <w:trPr/>
        <w:tc>
          <w:tcPr>
            <w:tcW w:w="2275" w:type="dxa"/>
            <w:tcBorders/>
            <w:shd w:fill="E5E5E5" w:val="clear"/>
            <w:vAlign w:val="center"/>
          </w:tcPr>
          <w:p>
            <w:pPr>
              <w:pStyle w:val="TableContents"/>
              <w:bidi w:val="0"/>
              <w:spacing w:before="0" w:after="0"/>
              <w:jc w:val="left"/>
              <w:rPr>
                <w:rFonts w:ascii="ARIAL" w:hAnsi="ARIAL"/>
                <w:sz w:val="18"/>
              </w:rPr>
            </w:pPr>
            <w:r>
              <w:rPr>
                <w:rFonts w:ascii="ARIAL" w:hAnsi="ARIAL"/>
                <w:sz w:val="18"/>
              </w:rPr>
              <w:t>Free Cash Flow*</w:t>
            </w:r>
          </w:p>
        </w:tc>
        <w:tc>
          <w:tcPr>
            <w:tcW w:w="60" w:type="dxa"/>
            <w:tcBorders/>
            <w:shd w:fill="E5E5E5" w:val="clear"/>
            <w:vAlign w:val="center"/>
          </w:tcPr>
          <w:p>
            <w:pPr>
              <w:pStyle w:val="TableContents"/>
              <w:bidi w:val="0"/>
              <w:spacing w:before="0" w:after="283"/>
              <w:jc w:val="left"/>
              <w:rPr/>
            </w:pPr>
            <w:r>
              <w:rPr/>
              <w:t> </w:t>
            </w:r>
          </w:p>
        </w:tc>
        <w:tc>
          <w:tcPr>
            <w:tcW w:w="1070" w:type="dxa"/>
            <w:tcBorders/>
            <w:shd w:fill="E5E5E5" w:val="clear"/>
            <w:vAlign w:val="center"/>
          </w:tcPr>
          <w:p>
            <w:pPr>
              <w:pStyle w:val="TableContents"/>
              <w:bidi w:val="0"/>
              <w:spacing w:before="0" w:after="283"/>
              <w:jc w:val="center"/>
              <w:rPr/>
            </w:pPr>
            <w:r>
              <w:rPr/>
              <w:t>60%</w:t>
            </w:r>
          </w:p>
        </w:tc>
        <w:tc>
          <w:tcPr>
            <w:tcW w:w="60" w:type="dxa"/>
            <w:tcBorders/>
            <w:shd w:fill="E5E5E5" w:val="clear"/>
            <w:vAlign w:val="center"/>
          </w:tcPr>
          <w:p>
            <w:pPr>
              <w:pStyle w:val="TableContents"/>
              <w:bidi w:val="0"/>
              <w:spacing w:before="0" w:after="283"/>
              <w:jc w:val="left"/>
              <w:rPr/>
            </w:pPr>
            <w:r>
              <w:rPr/>
              <w:t> </w:t>
            </w:r>
          </w:p>
        </w:tc>
        <w:tc>
          <w:tcPr>
            <w:tcW w:w="1685" w:type="dxa"/>
            <w:tcBorders/>
            <w:shd w:fill="E5E5E5" w:val="clear"/>
            <w:vAlign w:val="center"/>
          </w:tcPr>
          <w:p>
            <w:pPr>
              <w:pStyle w:val="TableContents"/>
              <w:bidi w:val="0"/>
              <w:spacing w:before="0" w:after="283"/>
              <w:jc w:val="center"/>
              <w:rPr/>
            </w:pPr>
            <w:r>
              <w:rPr/>
              <w:t>$6,500 million</w:t>
            </w:r>
          </w:p>
        </w:tc>
        <w:tc>
          <w:tcPr>
            <w:tcW w:w="60" w:type="dxa"/>
            <w:tcBorders/>
            <w:shd w:fill="E5E5E5" w:val="clear"/>
            <w:vAlign w:val="center"/>
          </w:tcPr>
          <w:p>
            <w:pPr>
              <w:pStyle w:val="TableContents"/>
              <w:bidi w:val="0"/>
              <w:spacing w:before="0" w:after="283"/>
              <w:jc w:val="left"/>
              <w:rPr/>
            </w:pPr>
            <w:r>
              <w:rPr/>
              <w:t> </w:t>
            </w:r>
          </w:p>
        </w:tc>
        <w:tc>
          <w:tcPr>
            <w:tcW w:w="1775" w:type="dxa"/>
            <w:tcBorders/>
            <w:shd w:fill="E5E5E5" w:val="clear"/>
            <w:vAlign w:val="center"/>
          </w:tcPr>
          <w:p>
            <w:pPr>
              <w:pStyle w:val="TableContents"/>
              <w:bidi w:val="0"/>
              <w:spacing w:before="0" w:after="283"/>
              <w:jc w:val="center"/>
              <w:rPr/>
            </w:pPr>
            <w:r>
              <w:rPr/>
              <w:t>$7,500 million</w:t>
            </w:r>
          </w:p>
        </w:tc>
        <w:tc>
          <w:tcPr>
            <w:tcW w:w="60" w:type="dxa"/>
            <w:tcBorders/>
            <w:shd w:fill="E5E5E5" w:val="clear"/>
            <w:vAlign w:val="center"/>
          </w:tcPr>
          <w:p>
            <w:pPr>
              <w:pStyle w:val="TableContents"/>
              <w:bidi w:val="0"/>
              <w:spacing w:before="0" w:after="283"/>
              <w:jc w:val="left"/>
              <w:rPr/>
            </w:pPr>
            <w:r>
              <w:rPr/>
              <w:t> </w:t>
            </w:r>
          </w:p>
        </w:tc>
        <w:tc>
          <w:tcPr>
            <w:tcW w:w="1685" w:type="dxa"/>
            <w:tcBorders/>
            <w:shd w:fill="E5E5E5" w:val="clear"/>
            <w:vAlign w:val="center"/>
          </w:tcPr>
          <w:p>
            <w:pPr>
              <w:pStyle w:val="TableContents"/>
              <w:bidi w:val="0"/>
              <w:spacing w:before="0" w:after="283"/>
              <w:jc w:val="center"/>
              <w:rPr/>
            </w:pPr>
            <w:r>
              <w:rPr/>
              <w:t>$8,500 million</w:t>
            </w:r>
          </w:p>
        </w:tc>
        <w:tc>
          <w:tcPr>
            <w:tcW w:w="60" w:type="dxa"/>
            <w:tcBorders/>
            <w:shd w:fill="E5E5E5" w:val="clear"/>
            <w:vAlign w:val="center"/>
          </w:tcPr>
          <w:p>
            <w:pPr>
              <w:pStyle w:val="TableContents"/>
              <w:bidi w:val="0"/>
              <w:spacing w:before="0" w:after="283"/>
              <w:jc w:val="left"/>
              <w:rPr/>
            </w:pPr>
            <w:r>
              <w:rPr/>
              <w:t> </w:t>
            </w:r>
          </w:p>
        </w:tc>
        <w:tc>
          <w:tcPr>
            <w:tcW w:w="1415" w:type="dxa"/>
            <w:tcBorders/>
            <w:shd w:fill="E5E5E5" w:val="clear"/>
            <w:vAlign w:val="center"/>
          </w:tcPr>
          <w:p>
            <w:pPr>
              <w:pStyle w:val="TableContents"/>
              <w:bidi w:val="0"/>
              <w:spacing w:before="0" w:after="283"/>
              <w:jc w:val="center"/>
              <w:rPr/>
            </w:pPr>
            <w:r>
              <w:rPr/>
              <w:t>$9,500 million</w:t>
            </w:r>
          </w:p>
        </w:tc>
      </w:tr>
      <w:tr>
        <w:trPr/>
        <w:tc>
          <w:tcPr>
            <w:tcW w:w="2275" w:type="dxa"/>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745" w:type="dxa"/>
            <w:gridSpan w:val="2"/>
            <w:tcBorders/>
            <w:vAlign w:val="center"/>
          </w:tcPr>
          <w:p>
            <w:pPr>
              <w:pStyle w:val="TableContents"/>
              <w:bidi w:val="0"/>
              <w:spacing w:before="0" w:after="283"/>
              <w:jc w:val="left"/>
              <w:rPr>
                <w:sz w:val="4"/>
                <w:szCs w:val="4"/>
              </w:rPr>
            </w:pPr>
            <w:r>
              <w:rPr>
                <w:sz w:val="4"/>
                <w:szCs w:val="4"/>
              </w:rPr>
            </w:r>
          </w:p>
        </w:tc>
        <w:tc>
          <w:tcPr>
            <w:tcW w:w="1835" w:type="dxa"/>
            <w:gridSpan w:val="2"/>
            <w:tcBorders/>
            <w:vAlign w:val="center"/>
          </w:tcPr>
          <w:p>
            <w:pPr>
              <w:pStyle w:val="TableContents"/>
              <w:bidi w:val="0"/>
              <w:spacing w:before="0" w:after="283"/>
              <w:jc w:val="left"/>
              <w:rPr>
                <w:sz w:val="4"/>
                <w:szCs w:val="4"/>
              </w:rPr>
            </w:pPr>
            <w:r>
              <w:rPr>
                <w:sz w:val="4"/>
                <w:szCs w:val="4"/>
              </w:rPr>
            </w:r>
          </w:p>
        </w:tc>
        <w:tc>
          <w:tcPr>
            <w:tcW w:w="174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2275" w:type="dxa"/>
            <w:tcBorders/>
            <w:vAlign w:val="center"/>
          </w:tcPr>
          <w:p>
            <w:pPr>
              <w:pStyle w:val="TableContents"/>
              <w:bidi w:val="0"/>
              <w:spacing w:before="0" w:after="0"/>
              <w:jc w:val="left"/>
              <w:rPr>
                <w:rFonts w:ascii="ARIAL" w:hAnsi="ARIAL"/>
                <w:sz w:val="18"/>
              </w:rPr>
            </w:pPr>
            <w:r>
              <w:rPr>
                <w:rFonts w:ascii="ARIAL" w:hAnsi="ARIAL"/>
                <w:sz w:val="18"/>
              </w:rPr>
              <w:t>Gross Leverage Ratio**</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40%</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center"/>
              <w:rPr/>
            </w:pPr>
            <w:r>
              <w:rPr/>
              <w:t>3.14x</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2.99x</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center"/>
              <w:rPr/>
            </w:pPr>
            <w:r>
              <w:rPr/>
              <w:t>2.84x</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center"/>
              <w:rPr/>
            </w:pPr>
            <w:r>
              <w:rPr/>
              <w:t>2.84x</w:t>
            </w:r>
          </w:p>
        </w:tc>
      </w:tr>
      <w:tr>
        <w:trPr/>
        <w:tc>
          <w:tcPr>
            <w:tcW w:w="2275" w:type="dxa"/>
            <w:tcBorders/>
            <w:shd w:fill="E5E5E5" w:val="clear"/>
            <w:vAlign w:val="center"/>
          </w:tcPr>
          <w:p>
            <w:pPr>
              <w:pStyle w:val="TableContents"/>
              <w:bidi w:val="0"/>
              <w:spacing w:before="0" w:after="283"/>
              <w:jc w:val="left"/>
              <w:rPr>
                <w:sz w:val="4"/>
                <w:szCs w:val="4"/>
              </w:rPr>
            </w:pPr>
            <w:r>
              <w:rPr>
                <w:sz w:val="4"/>
                <w:szCs w:val="4"/>
              </w:rPr>
            </w:r>
          </w:p>
        </w:tc>
        <w:tc>
          <w:tcPr>
            <w:tcW w:w="1130" w:type="dxa"/>
            <w:gridSpan w:val="2"/>
            <w:tcBorders/>
            <w:shd w:fill="E5E5E5" w:val="clear"/>
            <w:vAlign w:val="center"/>
          </w:tcPr>
          <w:p>
            <w:pPr>
              <w:pStyle w:val="TableContents"/>
              <w:bidi w:val="0"/>
              <w:spacing w:before="0" w:after="283"/>
              <w:jc w:val="left"/>
              <w:rPr>
                <w:sz w:val="4"/>
                <w:szCs w:val="4"/>
              </w:rPr>
            </w:pPr>
            <w:r>
              <w:rPr>
                <w:sz w:val="4"/>
                <w:szCs w:val="4"/>
              </w:rPr>
            </w:r>
          </w:p>
        </w:tc>
        <w:tc>
          <w:tcPr>
            <w:tcW w:w="1745" w:type="dxa"/>
            <w:gridSpan w:val="2"/>
            <w:tcBorders/>
            <w:shd w:fill="E5E5E5" w:val="clear"/>
            <w:vAlign w:val="center"/>
          </w:tcPr>
          <w:p>
            <w:pPr>
              <w:pStyle w:val="TableContents"/>
              <w:bidi w:val="0"/>
              <w:spacing w:before="0" w:after="283"/>
              <w:jc w:val="left"/>
              <w:rPr>
                <w:sz w:val="4"/>
                <w:szCs w:val="4"/>
              </w:rPr>
            </w:pPr>
            <w:r>
              <w:rPr>
                <w:sz w:val="4"/>
                <w:szCs w:val="4"/>
              </w:rPr>
            </w:r>
          </w:p>
        </w:tc>
        <w:tc>
          <w:tcPr>
            <w:tcW w:w="1835" w:type="dxa"/>
            <w:gridSpan w:val="2"/>
            <w:tcBorders/>
            <w:shd w:fill="E5E5E5" w:val="clear"/>
            <w:vAlign w:val="center"/>
          </w:tcPr>
          <w:p>
            <w:pPr>
              <w:pStyle w:val="TableContents"/>
              <w:bidi w:val="0"/>
              <w:spacing w:before="0" w:after="283"/>
              <w:jc w:val="left"/>
              <w:rPr>
                <w:sz w:val="4"/>
                <w:szCs w:val="4"/>
              </w:rPr>
            </w:pPr>
            <w:r>
              <w:rPr>
                <w:sz w:val="4"/>
                <w:szCs w:val="4"/>
              </w:rPr>
            </w:r>
          </w:p>
        </w:tc>
        <w:tc>
          <w:tcPr>
            <w:tcW w:w="1745" w:type="dxa"/>
            <w:gridSpan w:val="2"/>
            <w:tcBorders/>
            <w:shd w:fill="E5E5E5" w:val="clear"/>
            <w:vAlign w:val="center"/>
          </w:tcPr>
          <w:p>
            <w:pPr>
              <w:pStyle w:val="TableContents"/>
              <w:bidi w:val="0"/>
              <w:spacing w:before="0" w:after="283"/>
              <w:jc w:val="left"/>
              <w:rPr>
                <w:sz w:val="4"/>
                <w:szCs w:val="4"/>
              </w:rPr>
            </w:pPr>
            <w:r>
              <w:rPr>
                <w:sz w:val="4"/>
                <w:szCs w:val="4"/>
              </w:rPr>
            </w:r>
          </w:p>
        </w:tc>
        <w:tc>
          <w:tcPr>
            <w:tcW w:w="1475" w:type="dxa"/>
            <w:gridSpan w:val="2"/>
            <w:tcBorders/>
            <w:shd w:fill="E5E5E5" w:val="clear"/>
            <w:vAlign w:val="center"/>
          </w:tcPr>
          <w:p>
            <w:pPr>
              <w:pStyle w:val="TableContents"/>
              <w:bidi w:val="0"/>
              <w:spacing w:before="0" w:after="283"/>
              <w:jc w:val="left"/>
              <w:rPr>
                <w:sz w:val="4"/>
                <w:szCs w:val="4"/>
              </w:rPr>
            </w:pPr>
            <w:r>
              <w:rPr>
                <w:sz w:val="4"/>
                <w:szCs w:val="4"/>
              </w:rPr>
            </w:r>
          </w:p>
        </w:tc>
      </w:tr>
      <w:tr>
        <w:trPr/>
        <w:tc>
          <w:tcPr>
            <w:tcW w:w="2275" w:type="dxa"/>
            <w:tcBorders/>
            <w:shd w:fill="E5E5E5" w:val="clear"/>
            <w:vAlign w:val="center"/>
          </w:tcPr>
          <w:p>
            <w:pPr>
              <w:pStyle w:val="TableContents"/>
              <w:bidi w:val="0"/>
              <w:spacing w:before="0" w:after="0"/>
              <w:jc w:val="left"/>
              <w:rPr>
                <w:rFonts w:ascii="ARIAL" w:hAnsi="ARIAL"/>
                <w:sz w:val="18"/>
              </w:rPr>
            </w:pPr>
            <w:r>
              <w:rPr>
                <w:rFonts w:ascii="ARIAL" w:hAnsi="ARIAL"/>
                <w:sz w:val="18"/>
              </w:rPr>
              <w:t>Relative TSR of Peer Group***</w:t>
            </w:r>
          </w:p>
        </w:tc>
        <w:tc>
          <w:tcPr>
            <w:tcW w:w="60" w:type="dxa"/>
            <w:tcBorders/>
            <w:shd w:fill="E5E5E5" w:val="clear"/>
            <w:vAlign w:val="center"/>
          </w:tcPr>
          <w:p>
            <w:pPr>
              <w:pStyle w:val="TableContents"/>
              <w:bidi w:val="0"/>
              <w:spacing w:before="0" w:after="283"/>
              <w:jc w:val="left"/>
              <w:rPr/>
            </w:pPr>
            <w:r>
              <w:rPr/>
              <w:t> </w:t>
            </w:r>
          </w:p>
        </w:tc>
        <w:tc>
          <w:tcPr>
            <w:tcW w:w="1070" w:type="dxa"/>
            <w:tcBorders/>
            <w:shd w:fill="E5E5E5" w:val="clear"/>
            <w:vAlign w:val="center"/>
          </w:tcPr>
          <w:p>
            <w:pPr>
              <w:pStyle w:val="TableContents"/>
              <w:bidi w:val="0"/>
              <w:spacing w:before="0" w:after="283"/>
              <w:jc w:val="center"/>
              <w:rPr/>
            </w:pPr>
            <w:r>
              <w:rPr/>
              <w:t>Multiplier</w:t>
            </w:r>
          </w:p>
        </w:tc>
        <w:tc>
          <w:tcPr>
            <w:tcW w:w="60" w:type="dxa"/>
            <w:tcBorders/>
            <w:shd w:fill="E5E5E5" w:val="clear"/>
            <w:vAlign w:val="center"/>
          </w:tcPr>
          <w:p>
            <w:pPr>
              <w:pStyle w:val="TableContents"/>
              <w:bidi w:val="0"/>
              <w:spacing w:before="0" w:after="283"/>
              <w:jc w:val="left"/>
              <w:rPr/>
            </w:pPr>
            <w:r>
              <w:rPr/>
              <w:t> </w:t>
            </w:r>
          </w:p>
        </w:tc>
        <w:tc>
          <w:tcPr>
            <w:tcW w:w="1685" w:type="dxa"/>
            <w:tcBorders/>
            <w:shd w:fill="E5E5E5" w:val="clear"/>
            <w:vAlign w:val="center"/>
          </w:tcPr>
          <w:p>
            <w:pPr>
              <w:pStyle w:val="TableContents"/>
              <w:bidi w:val="0"/>
              <w:spacing w:before="0" w:after="283"/>
              <w:jc w:val="center"/>
              <w:rPr/>
            </w:pPr>
            <w:r>
              <w:rPr/>
              <w:t>At or Below</w:t>
              <w:br/>
              <w:t>25th Percentile of</w:t>
              <w:br/>
              <w:t>Peer Group</w:t>
            </w:r>
          </w:p>
        </w:tc>
        <w:tc>
          <w:tcPr>
            <w:tcW w:w="60" w:type="dxa"/>
            <w:tcBorders/>
            <w:shd w:fill="E5E5E5" w:val="clear"/>
            <w:vAlign w:val="center"/>
          </w:tcPr>
          <w:p>
            <w:pPr>
              <w:pStyle w:val="TableContents"/>
              <w:bidi w:val="0"/>
              <w:spacing w:before="0" w:after="283"/>
              <w:jc w:val="left"/>
              <w:rPr/>
            </w:pPr>
            <w:r>
              <w:rPr/>
              <w:t> </w:t>
            </w:r>
          </w:p>
        </w:tc>
        <w:tc>
          <w:tcPr>
            <w:tcW w:w="1775" w:type="dxa"/>
            <w:tcBorders/>
            <w:shd w:fill="E5E5E5" w:val="clear"/>
            <w:vAlign w:val="center"/>
          </w:tcPr>
          <w:p>
            <w:pPr>
              <w:pStyle w:val="TableContents"/>
              <w:bidi w:val="0"/>
              <w:spacing w:before="0" w:after="283"/>
              <w:jc w:val="center"/>
              <w:rPr/>
            </w:pPr>
            <w:r>
              <w:rPr/>
              <w:t>Between 25th and</w:t>
              <w:br/>
              <w:t>75th Percentiles of</w:t>
              <w:br/>
              <w:t>Peer Group</w:t>
            </w:r>
          </w:p>
        </w:tc>
        <w:tc>
          <w:tcPr>
            <w:tcW w:w="60" w:type="dxa"/>
            <w:tcBorders/>
            <w:shd w:fill="E5E5E5" w:val="clear"/>
            <w:vAlign w:val="center"/>
          </w:tcPr>
          <w:p>
            <w:pPr>
              <w:pStyle w:val="TableContents"/>
              <w:bidi w:val="0"/>
              <w:spacing w:before="0" w:after="283"/>
              <w:jc w:val="left"/>
              <w:rPr/>
            </w:pPr>
            <w:r>
              <w:rPr/>
              <w:t> </w:t>
            </w:r>
          </w:p>
        </w:tc>
        <w:tc>
          <w:tcPr>
            <w:tcW w:w="1685" w:type="dxa"/>
            <w:tcBorders/>
            <w:shd w:fill="E5E5E5" w:val="clear"/>
            <w:vAlign w:val="center"/>
          </w:tcPr>
          <w:p>
            <w:pPr>
              <w:pStyle w:val="TableContents"/>
              <w:bidi w:val="0"/>
              <w:spacing w:before="0" w:after="283"/>
              <w:jc w:val="center"/>
              <w:rPr/>
            </w:pPr>
            <w:r>
              <w:rPr/>
              <w:t>At or Above</w:t>
              <w:br/>
              <w:t>75th Percentile of</w:t>
              <w:br/>
              <w:t>Peer Group</w:t>
            </w:r>
          </w:p>
        </w:tc>
        <w:tc>
          <w:tcPr>
            <w:tcW w:w="60" w:type="dxa"/>
            <w:tcBorders/>
            <w:shd w:fill="E5E5E5" w:val="clear"/>
            <w:vAlign w:val="center"/>
          </w:tcPr>
          <w:p>
            <w:pPr>
              <w:pStyle w:val="TableContents"/>
              <w:bidi w:val="0"/>
              <w:spacing w:before="0" w:after="283"/>
              <w:jc w:val="left"/>
              <w:rPr/>
            </w:pPr>
            <w:r>
              <w:rPr/>
              <w:t> </w:t>
            </w:r>
          </w:p>
        </w:tc>
        <w:tc>
          <w:tcPr>
            <w:tcW w:w="1415" w:type="dxa"/>
            <w:tcBorders/>
            <w:shd w:fill="E5E5E5" w:val="clear"/>
            <w:vAlign w:val="center"/>
          </w:tcPr>
          <w:p>
            <w:pPr>
              <w:pStyle w:val="TableContents"/>
              <w:bidi w:val="0"/>
              <w:spacing w:before="0" w:after="20"/>
              <w:jc w:val="center"/>
              <w:rPr>
                <w:rFonts w:ascii="ARIAL" w:hAnsi="ARIAL"/>
                <w:sz w:val="18"/>
              </w:rPr>
            </w:pPr>
            <w:r>
              <w:rPr>
                <w:rFonts w:ascii="ARIAL" w:hAnsi="ARIAL"/>
                <w:sz w:val="18"/>
              </w:rPr>
              <w:t>21st Percentile</w:t>
            </w:r>
          </w:p>
        </w:tc>
      </w:tr>
      <w:tr>
        <w:trPr/>
        <w:tc>
          <w:tcPr>
            <w:tcW w:w="2275" w:type="dxa"/>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745" w:type="dxa"/>
            <w:gridSpan w:val="2"/>
            <w:tcBorders/>
            <w:vAlign w:val="center"/>
          </w:tcPr>
          <w:p>
            <w:pPr>
              <w:pStyle w:val="TableContents"/>
              <w:bidi w:val="0"/>
              <w:spacing w:before="0" w:after="283"/>
              <w:jc w:val="left"/>
              <w:rPr>
                <w:sz w:val="4"/>
                <w:szCs w:val="4"/>
              </w:rPr>
            </w:pPr>
            <w:r>
              <w:rPr>
                <w:sz w:val="4"/>
                <w:szCs w:val="4"/>
              </w:rPr>
            </w:r>
          </w:p>
        </w:tc>
        <w:tc>
          <w:tcPr>
            <w:tcW w:w="1835" w:type="dxa"/>
            <w:gridSpan w:val="2"/>
            <w:tcBorders/>
            <w:vAlign w:val="center"/>
          </w:tcPr>
          <w:p>
            <w:pPr>
              <w:pStyle w:val="TableContents"/>
              <w:bidi w:val="0"/>
              <w:spacing w:before="0" w:after="283"/>
              <w:jc w:val="left"/>
              <w:rPr>
                <w:sz w:val="4"/>
                <w:szCs w:val="4"/>
              </w:rPr>
            </w:pPr>
            <w:r>
              <w:rPr>
                <w:sz w:val="4"/>
                <w:szCs w:val="4"/>
              </w:rPr>
            </w:r>
          </w:p>
        </w:tc>
        <w:tc>
          <w:tcPr>
            <w:tcW w:w="174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2275" w:type="dxa"/>
            <w:tcBorders>
              <w:bottom w:val="single" w:sz="8" w:space="0" w:color="732282"/>
            </w:tcBorders>
            <w:tcMar>
              <w:bottom w:w="40" w:type="dxa"/>
            </w:tcMar>
            <w:vAlign w:val="center"/>
          </w:tcPr>
          <w:p>
            <w:pPr>
              <w:pStyle w:val="TableContents"/>
              <w:bidi w:val="0"/>
              <w:spacing w:before="0" w:after="0"/>
              <w:jc w:val="left"/>
              <w:rPr>
                <w:rFonts w:ascii="ARIAL" w:hAnsi="ARIAL"/>
                <w:sz w:val="18"/>
              </w:rPr>
            </w:pPr>
            <w:r>
              <w:rPr>
                <w:rFonts w:ascii="ARIAL" w:hAnsi="ARIAL"/>
                <w:sz w:val="18"/>
              </w:rPr>
              <w:t>Payout Opportunity (as % of Target)</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070" w:type="dxa"/>
            <w:tcBorders>
              <w:bottom w:val="single" w:sz="8" w:space="0" w:color="73228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685" w:type="dxa"/>
            <w:tcBorders>
              <w:bottom w:val="single" w:sz="8" w:space="0" w:color="732282"/>
            </w:tcBorders>
            <w:tcMar>
              <w:bottom w:w="40" w:type="dxa"/>
            </w:tcMar>
            <w:vAlign w:val="center"/>
          </w:tcPr>
          <w:p>
            <w:pPr>
              <w:pStyle w:val="TableContents"/>
              <w:bidi w:val="0"/>
              <w:spacing w:before="0" w:after="283"/>
              <w:jc w:val="center"/>
              <w:rPr/>
            </w:pPr>
            <w:r>
              <w:rPr/>
              <w:t>35%</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775" w:type="dxa"/>
            <w:tcBorders>
              <w:bottom w:val="single" w:sz="8" w:space="0" w:color="732282"/>
            </w:tcBorders>
            <w:tcMar>
              <w:bottom w:w="40" w:type="dxa"/>
            </w:tcMar>
            <w:vAlign w:val="center"/>
          </w:tcPr>
          <w:p>
            <w:pPr>
              <w:pStyle w:val="TableContents"/>
              <w:bidi w:val="0"/>
              <w:spacing w:before="0" w:after="283"/>
              <w:jc w:val="center"/>
              <w:rPr/>
            </w:pPr>
            <w:r>
              <w:rPr/>
              <w:t>100%</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685" w:type="dxa"/>
            <w:tcBorders>
              <w:bottom w:val="single" w:sz="8" w:space="0" w:color="732282"/>
            </w:tcBorders>
            <w:tcMar>
              <w:bottom w:w="40" w:type="dxa"/>
            </w:tcMar>
            <w:vAlign w:val="center"/>
          </w:tcPr>
          <w:p>
            <w:pPr>
              <w:pStyle w:val="TableContents"/>
              <w:bidi w:val="0"/>
              <w:spacing w:before="0" w:after="283"/>
              <w:jc w:val="center"/>
              <w:rPr/>
            </w:pPr>
            <w:r>
              <w:rPr/>
              <w:t>195%</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415" w:type="dxa"/>
            <w:tcBorders>
              <w:bottom w:val="single" w:sz="8" w:space="0" w:color="73228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rFonts w:ascii="arial" w:hAnsi="arial"/>
                <w:sz w:val="14"/>
              </w:rPr>
            </w:pPr>
            <w:r>
              <w:rPr>
                <w:rFonts w:ascii="arial" w:hAnsi="arial"/>
                <w:sz w:val="14"/>
              </w:rPr>
              <w:t xml:space="preserve">Free cash flow is derived from Viatris’ audited financial statements in the same manner as Viatris’ free cash flow (as reported), except that the calculation for the 2021-2023 three-year PRSUs utilized budgeted foreign exchange rates for the relevant year and further adjusts for the following, as applicable: transaction costs and taxes related to the acquisitions of Oyster Point and Famy Life Sciences as well as any incremental transaction costs and taxes related to other select assets sales or reshaping initiatives and other impact of divestitures, acquired IPR&amp;D costs, proceeds from the sale of property, plant and equipment, material unplanned litigation gains or losses equal to or greater than $25 million in the aggregate, all impacts of the Biocon Biologics Transaction following its consummation including results after closing and transaction-related costs, and sales of intellectual property up to $750 million annually in the aggregate. Free cash flow for the 2021-2023 three-year PRSUs is the sum of such free cash flow measure for each of the years ended December 31, 2021, 2022, and 2023. Viatris’ free cash flow as reported for each of the three years ended December 31, 2021, 2022, and 2023 is reconciled to the most directly comparable U.S. GAAP measure in Appendix A. </w:t>
            </w:r>
          </w:p>
        </w:tc>
      </w:tr>
    </w:tbl>
    <w:tbl>
      <w:tblPr>
        <w:tblW w:w="9595" w:type="dxa"/>
        <w:jc w:val="left"/>
        <w:tblInd w:w="0" w:type="dxa"/>
        <w:tblLayout w:type="fixed"/>
        <w:tblCellMar>
          <w:top w:w="0" w:type="dxa"/>
          <w:left w:w="0" w:type="dxa"/>
          <w:bottom w:w="0" w:type="dxa"/>
          <w:right w:w="0" w:type="dxa"/>
        </w:tblCellMar>
      </w:tblPr>
      <w:tblGrid>
        <w:gridCol w:w="275"/>
        <w:gridCol w:w="9320"/>
      </w:tblGrid>
      <w:tr>
        <w:trPr/>
        <w:tc>
          <w:tcPr>
            <w:tcW w:w="275"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0"/>
              <w:jc w:val="both"/>
              <w:rPr>
                <w:rFonts w:ascii="arial" w:hAnsi="arial"/>
                <w:sz w:val="14"/>
              </w:rPr>
            </w:pPr>
            <w:r>
              <w:rPr>
                <w:rFonts w:ascii="arial" w:hAnsi="arial"/>
                <w:sz w:val="14"/>
              </w:rPr>
              <w:t xml:space="preserve">Gross leverage ratio for the 2021-2023 three-year PRSUs is derived from Viatris’ audited financial statements in the manner described in Appendix A.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w:t>
            </w:r>
          </w:p>
        </w:tc>
        <w:tc>
          <w:tcPr>
            <w:tcW w:w="9952" w:type="dxa"/>
            <w:tcBorders/>
            <w:vAlign w:val="center"/>
          </w:tcPr>
          <w:p>
            <w:pPr>
              <w:pStyle w:val="TableContents"/>
              <w:bidi w:val="0"/>
              <w:spacing w:before="0" w:after="0"/>
              <w:jc w:val="both"/>
              <w:rPr>
                <w:rFonts w:ascii="arial" w:hAnsi="arial"/>
                <w:sz w:val="14"/>
              </w:rPr>
            </w:pPr>
            <w:r>
              <w:rPr>
                <w:rFonts w:ascii="arial" w:hAnsi="arial"/>
                <w:sz w:val="14"/>
              </w:rPr>
              <w:t xml:space="preserve">Relative TSR is calculated by comparing the difference between Viatris’ 30-day trailing average closing ordinary share price at the day before the beginning of the performance period and day before the end of the performance period plus any dividends paid during the performance period against the same metric for each company in the S&amp;P 500 Pharmaceutical Index.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36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sz w:val="18"/>
        </w:rPr>
        <w:t xml:space="preserve">The following table shows the 2023 PRSU share award payout for each NEO reflecting Company performance at 105% of target. </w:t>
      </w:r>
    </w:p>
    <w:p>
      <w:pPr>
        <w:pStyle w:val="TextBody"/>
        <w:bidi w:val="0"/>
        <w:spacing w:before="0" w:after="0"/>
        <w:jc w:val="left"/>
        <w:rPr/>
      </w:pPr>
      <w:r>
        <w:rPr/>
        <w:t> </w:t>
      </w:r>
    </w:p>
    <w:tbl>
      <w:tblPr>
        <w:tblW w:w="3010" w:type="dxa"/>
        <w:jc w:val="left"/>
        <w:tblInd w:w="0" w:type="dxa"/>
        <w:tblLayout w:type="fixed"/>
        <w:tblCellMar>
          <w:top w:w="0" w:type="dxa"/>
          <w:left w:w="0" w:type="dxa"/>
          <w:bottom w:w="0" w:type="dxa"/>
          <w:right w:w="0" w:type="dxa"/>
        </w:tblCellMar>
      </w:tblPr>
      <w:tblGrid>
        <w:gridCol w:w="1340"/>
        <w:gridCol w:w="120"/>
        <w:gridCol w:w="102"/>
        <w:gridCol w:w="1373"/>
        <w:gridCol w:w="75"/>
      </w:tblGrid>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0" w:type="dxa"/>
            <w:tcBorders>
              <w:bottom w:val="single" w:sz="8" w:space="0" w:color="732282"/>
            </w:tcBorders>
            <w:tcMar>
              <w:bottom w:w="28" w:type="dxa"/>
            </w:tcMar>
            <w:vAlign w:val="center"/>
          </w:tcPr>
          <w:p>
            <w:pPr>
              <w:pStyle w:val="TableContents"/>
              <w:bidi w:val="0"/>
              <w:spacing w:before="0" w:after="0"/>
              <w:jc w:val="left"/>
              <w:rPr>
                <w:rFonts w:ascii="ARIAL" w:hAnsi="ARIAL"/>
                <w:b/>
                <w:color w:val="732282"/>
                <w:sz w:val="18"/>
              </w:rPr>
            </w:pPr>
            <w:r>
              <w:rPr>
                <w:rFonts w:ascii="ARIAL" w:hAnsi="ARIAL"/>
                <w:b/>
                <w:color w:val="732282"/>
                <w:sz w:val="18"/>
              </w:rPr>
              <w:t>NEO(1)</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475" w:type="dxa"/>
            <w:gridSpan w:val="2"/>
            <w:tcBorders>
              <w:bottom w:val="single" w:sz="8" w:space="0" w:color="732282"/>
            </w:tcBorders>
            <w:tcMar>
              <w:bottom w:w="28" w:type="dxa"/>
            </w:tcMar>
            <w:vAlign w:val="center"/>
          </w:tcPr>
          <w:p>
            <w:pPr>
              <w:pStyle w:val="TableContents"/>
              <w:bidi w:val="0"/>
              <w:spacing w:before="0" w:after="283"/>
              <w:jc w:val="right"/>
              <w:rPr>
                <w:b/>
                <w:color w:val="732282"/>
              </w:rPr>
            </w:pPr>
            <w:r>
              <w:rPr>
                <w:b/>
                <w:color w:val="732282"/>
              </w:rPr>
              <w:t>Actual Award</w:t>
              <w:br/>
              <w:t>(# of Shares)</w:t>
            </w:r>
          </w:p>
        </w:tc>
        <w:tc>
          <w:tcPr>
            <w:tcW w:w="75" w:type="dxa"/>
            <w:tcBorders>
              <w:bottom w:val="single" w:sz="8" w:space="0" w:color="732282"/>
            </w:tcBorders>
            <w:tcMar>
              <w:bottom w:w="28" w:type="dxa"/>
            </w:tcMar>
            <w:vAlign w:val="center"/>
          </w:tcPr>
          <w:p>
            <w:pPr>
              <w:pStyle w:val="TableContents"/>
              <w:bidi w:val="0"/>
              <w:spacing w:before="0" w:after="283"/>
              <w:jc w:val="left"/>
              <w:rPr/>
            </w:pPr>
            <w:r>
              <w:rPr/>
              <w:t> </w:t>
            </w:r>
          </w:p>
        </w:tc>
      </w:tr>
      <w:tr>
        <w:trPr/>
        <w:tc>
          <w:tcPr>
            <w:tcW w:w="1340" w:type="dxa"/>
            <w:tcBorders/>
            <w:shd w:fill="E5E5E5" w:val="clear"/>
            <w:vAlign w:val="center"/>
          </w:tcPr>
          <w:p>
            <w:pPr>
              <w:pStyle w:val="TableContents"/>
              <w:bidi w:val="0"/>
              <w:spacing w:before="0" w:after="283"/>
              <w:jc w:val="left"/>
              <w:rPr>
                <w:sz w:val="4"/>
                <w:szCs w:val="4"/>
              </w:rPr>
            </w:pPr>
            <w:r>
              <w:rPr>
                <w:sz w:val="4"/>
                <w:szCs w:val="4"/>
              </w:rPr>
            </w:r>
          </w:p>
        </w:tc>
        <w:tc>
          <w:tcPr>
            <w:tcW w:w="1670"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1340" w:type="dxa"/>
            <w:tcBorders/>
            <w:shd w:fill="E5E5E5" w:val="clear"/>
            <w:vAlign w:val="center"/>
          </w:tcPr>
          <w:p>
            <w:pPr>
              <w:pStyle w:val="TableContents"/>
              <w:bidi w:val="0"/>
              <w:spacing w:before="0" w:after="0"/>
              <w:jc w:val="left"/>
              <w:rPr>
                <w:rFonts w:ascii="ARIAL" w:hAnsi="ARIAL"/>
                <w:b/>
                <w:sz w:val="18"/>
              </w:rPr>
            </w:pPr>
            <w:r>
              <w:rPr>
                <w:rFonts w:ascii="ARIAL" w:hAnsi="ARIAL"/>
                <w:b/>
                <w:sz w:val="18"/>
              </w:rPr>
              <w:t>Scott A. Smith</w:t>
            </w:r>
          </w:p>
        </w:tc>
        <w:tc>
          <w:tcPr>
            <w:tcW w:w="120" w:type="dxa"/>
            <w:tcBorders/>
            <w:shd w:fill="E5E5E5" w:val="clear"/>
            <w:vAlign w:val="center"/>
          </w:tcPr>
          <w:p>
            <w:pPr>
              <w:pStyle w:val="TableContents"/>
              <w:bidi w:val="0"/>
              <w:spacing w:before="0" w:after="283"/>
              <w:jc w:val="left"/>
              <w:rPr/>
            </w:pPr>
            <w:r>
              <w:rPr/>
              <w:t>  </w:t>
            </w:r>
          </w:p>
        </w:tc>
        <w:tc>
          <w:tcPr>
            <w:tcW w:w="102" w:type="dxa"/>
            <w:tcBorders/>
            <w:shd w:fill="E5E5E5" w:val="clear"/>
            <w:vAlign w:val="center"/>
          </w:tcPr>
          <w:p>
            <w:pPr>
              <w:pStyle w:val="TableContents"/>
              <w:bidi w:val="0"/>
              <w:spacing w:before="0" w:after="283"/>
              <w:jc w:val="left"/>
              <w:rPr/>
            </w:pPr>
            <w:r>
              <w:rPr/>
              <w:t> </w:t>
            </w:r>
          </w:p>
        </w:tc>
        <w:tc>
          <w:tcPr>
            <w:tcW w:w="1373" w:type="dxa"/>
            <w:tcBorders/>
            <w:shd w:fill="E5E5E5" w:val="clear"/>
            <w:vAlign w:val="center"/>
          </w:tcPr>
          <w:p>
            <w:pPr>
              <w:pStyle w:val="TableContents"/>
              <w:bidi w:val="0"/>
              <w:spacing w:before="0" w:after="283"/>
              <w:jc w:val="right"/>
              <w:rPr/>
            </w:pPr>
            <w:r>
              <w:rPr/>
              <w:t>N/A</w:t>
            </w:r>
          </w:p>
        </w:tc>
        <w:tc>
          <w:tcPr>
            <w:tcW w:w="75" w:type="dxa"/>
            <w:tcBorders/>
            <w:shd w:fill="E5E5E5"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0"/>
              <w:jc w:val="left"/>
              <w:rPr>
                <w:rFonts w:ascii="ARIAL" w:hAnsi="ARIAL"/>
                <w:b/>
                <w:sz w:val="18"/>
              </w:rPr>
            </w:pPr>
            <w:r>
              <w:rPr>
                <w:rFonts w:ascii="ARIAL" w:hAnsi="ARIAL"/>
                <w:b/>
                <w:sz w:val="18"/>
              </w:rPr>
              <w:t>Rajiv Malik</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357,353</w:t>
            </w:r>
          </w:p>
        </w:tc>
        <w:tc>
          <w:tcPr>
            <w:tcW w:w="75" w:type="dxa"/>
            <w:tcBorders/>
            <w:vAlign w:val="center"/>
          </w:tcPr>
          <w:p>
            <w:pPr>
              <w:pStyle w:val="TableContents"/>
              <w:bidi w:val="0"/>
              <w:spacing w:before="0" w:after="283"/>
              <w:jc w:val="left"/>
              <w:rPr/>
            </w:pPr>
            <w:r>
              <w:rPr/>
              <w:t> </w:t>
            </w:r>
          </w:p>
        </w:tc>
      </w:tr>
      <w:tr>
        <w:trPr/>
        <w:tc>
          <w:tcPr>
            <w:tcW w:w="1340" w:type="dxa"/>
            <w:tcBorders/>
            <w:shd w:fill="E5E5E5" w:val="clear"/>
            <w:vAlign w:val="center"/>
          </w:tcPr>
          <w:p>
            <w:pPr>
              <w:pStyle w:val="TableContents"/>
              <w:bidi w:val="0"/>
              <w:spacing w:before="0" w:after="283"/>
              <w:jc w:val="left"/>
              <w:rPr>
                <w:sz w:val="4"/>
                <w:szCs w:val="4"/>
              </w:rPr>
            </w:pPr>
            <w:r>
              <w:rPr>
                <w:sz w:val="4"/>
                <w:szCs w:val="4"/>
              </w:rPr>
            </w:r>
          </w:p>
        </w:tc>
        <w:tc>
          <w:tcPr>
            <w:tcW w:w="1670"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1340" w:type="dxa"/>
            <w:tcBorders/>
            <w:shd w:fill="E5E5E5" w:val="clear"/>
            <w:vAlign w:val="center"/>
          </w:tcPr>
          <w:p>
            <w:pPr>
              <w:pStyle w:val="TableContents"/>
              <w:bidi w:val="0"/>
              <w:spacing w:before="0" w:after="0"/>
              <w:jc w:val="left"/>
              <w:rPr>
                <w:rFonts w:ascii="ARIAL" w:hAnsi="ARIAL"/>
                <w:b/>
                <w:sz w:val="18"/>
              </w:rPr>
            </w:pPr>
            <w:r>
              <w:rPr>
                <w:rFonts w:ascii="ARIAL" w:hAnsi="ARIAL"/>
                <w:b/>
                <w:sz w:val="18"/>
              </w:rPr>
              <w:t>Sanjeev Narula</w:t>
            </w:r>
          </w:p>
        </w:tc>
        <w:tc>
          <w:tcPr>
            <w:tcW w:w="120" w:type="dxa"/>
            <w:tcBorders/>
            <w:shd w:fill="E5E5E5" w:val="clear"/>
            <w:vAlign w:val="center"/>
          </w:tcPr>
          <w:p>
            <w:pPr>
              <w:pStyle w:val="TableContents"/>
              <w:bidi w:val="0"/>
              <w:spacing w:before="0" w:after="283"/>
              <w:jc w:val="left"/>
              <w:rPr/>
            </w:pPr>
            <w:r>
              <w:rPr/>
              <w:t>  </w:t>
            </w:r>
          </w:p>
        </w:tc>
        <w:tc>
          <w:tcPr>
            <w:tcW w:w="102" w:type="dxa"/>
            <w:tcBorders/>
            <w:shd w:fill="E5E5E5" w:val="clear"/>
            <w:vAlign w:val="center"/>
          </w:tcPr>
          <w:p>
            <w:pPr>
              <w:pStyle w:val="TableContents"/>
              <w:bidi w:val="0"/>
              <w:spacing w:before="0" w:after="283"/>
              <w:jc w:val="left"/>
              <w:rPr/>
            </w:pPr>
            <w:r>
              <w:rPr/>
              <w:t> </w:t>
            </w:r>
          </w:p>
        </w:tc>
        <w:tc>
          <w:tcPr>
            <w:tcW w:w="1373" w:type="dxa"/>
            <w:tcBorders/>
            <w:shd w:fill="E5E5E5" w:val="clear"/>
            <w:vAlign w:val="center"/>
          </w:tcPr>
          <w:p>
            <w:pPr>
              <w:pStyle w:val="TableContents"/>
              <w:bidi w:val="0"/>
              <w:spacing w:before="0" w:after="283"/>
              <w:jc w:val="right"/>
              <w:rPr/>
            </w:pPr>
            <w:r>
              <w:rPr/>
              <w:t>138,971</w:t>
            </w:r>
          </w:p>
        </w:tc>
        <w:tc>
          <w:tcPr>
            <w:tcW w:w="75" w:type="dxa"/>
            <w:tcBorders/>
            <w:shd w:fill="E5E5E5"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0"/>
              <w:jc w:val="left"/>
              <w:rPr>
                <w:rFonts w:ascii="ARIAL" w:hAnsi="ARIAL"/>
                <w:b/>
                <w:sz w:val="18"/>
              </w:rPr>
            </w:pPr>
            <w:r>
              <w:rPr>
                <w:rFonts w:ascii="ARIAL" w:hAnsi="ARIAL"/>
                <w:b/>
                <w:sz w:val="18"/>
              </w:rPr>
              <w:t>Anthony Mauro</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158,824</w:t>
            </w:r>
          </w:p>
        </w:tc>
        <w:tc>
          <w:tcPr>
            <w:tcW w:w="75" w:type="dxa"/>
            <w:tcBorders/>
            <w:vAlign w:val="center"/>
          </w:tcPr>
          <w:p>
            <w:pPr>
              <w:pStyle w:val="TableContents"/>
              <w:bidi w:val="0"/>
              <w:spacing w:before="0" w:after="283"/>
              <w:jc w:val="left"/>
              <w:rPr/>
            </w:pPr>
            <w:r>
              <w:rPr/>
              <w:t> </w:t>
            </w:r>
          </w:p>
        </w:tc>
      </w:tr>
      <w:tr>
        <w:trPr/>
        <w:tc>
          <w:tcPr>
            <w:tcW w:w="1340" w:type="dxa"/>
            <w:tcBorders/>
            <w:shd w:fill="E5E5E5" w:val="clear"/>
            <w:vAlign w:val="center"/>
          </w:tcPr>
          <w:p>
            <w:pPr>
              <w:pStyle w:val="TableContents"/>
              <w:bidi w:val="0"/>
              <w:spacing w:before="0" w:after="283"/>
              <w:jc w:val="left"/>
              <w:rPr>
                <w:sz w:val="4"/>
                <w:szCs w:val="4"/>
              </w:rPr>
            </w:pPr>
            <w:r>
              <w:rPr>
                <w:sz w:val="4"/>
                <w:szCs w:val="4"/>
              </w:rPr>
            </w:r>
          </w:p>
        </w:tc>
        <w:tc>
          <w:tcPr>
            <w:tcW w:w="1670"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1340" w:type="dxa"/>
            <w:tcBorders>
              <w:bottom w:val="single" w:sz="8" w:space="0" w:color="732282"/>
            </w:tcBorders>
            <w:shd w:fill="E5E5E5" w:val="clear"/>
            <w:tcMar>
              <w:bottom w:w="40" w:type="dxa"/>
            </w:tcMar>
            <w:vAlign w:val="center"/>
          </w:tcPr>
          <w:p>
            <w:pPr>
              <w:pStyle w:val="TableContents"/>
              <w:bidi w:val="0"/>
              <w:spacing w:before="0" w:after="0"/>
              <w:jc w:val="left"/>
              <w:rPr>
                <w:rFonts w:ascii="ARIAL" w:hAnsi="ARIAL"/>
                <w:b/>
                <w:sz w:val="18"/>
              </w:rPr>
            </w:pPr>
            <w:r>
              <w:rPr>
                <w:rFonts w:ascii="ARIAL" w:hAnsi="ARIAL"/>
                <w:b/>
                <w:sz w:val="18"/>
              </w:rPr>
              <w:t>Brian Roman</w:t>
            </w:r>
          </w:p>
        </w:tc>
        <w:tc>
          <w:tcPr>
            <w:tcW w:w="12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02" w:type="dxa"/>
            <w:tcBorders>
              <w:bottom w:val="single" w:sz="8" w:space="0" w:color="732282"/>
            </w:tcBorders>
            <w:shd w:fill="E5E5E5" w:val="clear"/>
            <w:tcMar>
              <w:bottom w:w="40" w:type="dxa"/>
            </w:tcMar>
            <w:vAlign w:val="center"/>
          </w:tcPr>
          <w:p>
            <w:pPr>
              <w:pStyle w:val="TableContents"/>
              <w:bidi w:val="0"/>
              <w:spacing w:before="0" w:after="283"/>
              <w:jc w:val="left"/>
              <w:rPr/>
            </w:pPr>
            <w:r>
              <w:rPr/>
              <w:t> </w:t>
            </w:r>
          </w:p>
        </w:tc>
        <w:tc>
          <w:tcPr>
            <w:tcW w:w="1373" w:type="dxa"/>
            <w:tcBorders>
              <w:bottom w:val="single" w:sz="8" w:space="0" w:color="732282"/>
            </w:tcBorders>
            <w:shd w:fill="E5E5E5" w:val="clear"/>
            <w:tcMar>
              <w:bottom w:w="40" w:type="dxa"/>
            </w:tcMar>
            <w:vAlign w:val="center"/>
          </w:tcPr>
          <w:p>
            <w:pPr>
              <w:pStyle w:val="TableContents"/>
              <w:bidi w:val="0"/>
              <w:spacing w:before="0" w:after="283"/>
              <w:jc w:val="right"/>
              <w:rPr/>
            </w:pPr>
            <w:r>
              <w:rPr/>
              <w:t>69,486</w:t>
            </w:r>
          </w:p>
        </w:tc>
        <w:tc>
          <w:tcPr>
            <w:tcW w:w="75" w:type="dxa"/>
            <w:tcBorders>
              <w:bottom w:val="single" w:sz="8" w:space="0" w:color="732282"/>
            </w:tcBorders>
            <w:shd w:fill="E5E5E5" w:val="clear"/>
            <w:tcMar>
              <w:bottom w:w="4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(1) </w:t>
            </w:r>
          </w:p>
        </w:tc>
        <w:tc>
          <w:tcPr>
            <w:tcW w:w="9919" w:type="dxa"/>
            <w:tcBorders/>
            <w:vAlign w:val="center"/>
          </w:tcPr>
          <w:p>
            <w:pPr>
              <w:pStyle w:val="TableContents"/>
              <w:bidi w:val="0"/>
              <w:spacing w:before="0" w:after="0"/>
              <w:jc w:val="both"/>
              <w:rPr>
                <w:rFonts w:ascii="arial" w:hAnsi="arial"/>
                <w:sz w:val="14"/>
              </w:rPr>
            </w:pPr>
            <w:r>
              <w:rPr>
                <w:rFonts w:ascii="arial" w:hAnsi="arial"/>
                <w:sz w:val="14"/>
              </w:rPr>
              <w:t xml:space="preserve">Mr. Goettler did not vest in any portion of the 2021 PRSU grant based on his termination of employment. Mr. Coury vested in his 2021 PRSUs at target performance levels at the time of his separation from employment based on the pre-existing contractual terms of his Executive Employment Agreement relating to a separation from employment for “good reason”. </w:t>
            </w:r>
          </w:p>
        </w:tc>
      </w:tr>
    </w:tbl>
    <w:p>
      <w:pPr>
        <w:pStyle w:val="TextBody"/>
        <w:bidi w:val="0"/>
        <w:spacing w:before="200" w:after="0"/>
        <w:jc w:val="both"/>
        <w:rPr>
          <w:rFonts w:ascii="ARIAL" w:hAnsi="ARIAL"/>
          <w:b/>
          <w:i/>
          <w:sz w:val="20"/>
        </w:rPr>
      </w:pPr>
      <w:r>
        <w:rPr>
          <w:rFonts w:ascii="ARIAL" w:hAnsi="ARIAL"/>
          <w:b/>
          <w:i/>
          <w:sz w:val="20"/>
        </w:rPr>
        <w:t xml:space="preserve">Governance and Other Considerations Impacting Viatris Compensation Decisions </w:t>
      </w:r>
    </w:p>
    <w:p>
      <w:pPr>
        <w:pStyle w:val="TextBody"/>
        <w:bidi w:val="0"/>
        <w:spacing w:before="120" w:after="0"/>
        <w:jc w:val="both"/>
        <w:rPr>
          <w:rFonts w:ascii="arial" w:hAnsi="arial"/>
          <w:sz w:val="18"/>
        </w:rPr>
      </w:pPr>
      <w:r>
        <w:rPr>
          <w:rFonts w:ascii="arial" w:hAnsi="arial"/>
          <w:sz w:val="18"/>
        </w:rPr>
        <w:t xml:space="preserve">The Compensation Committee and Board proactively consider external governance-related developments and trends relating to executive compensation. In setting or approving executive compensation, the Compensation Committee and Board may consider, in addition to any corporate goals and objectives applicable to an individual executive, some or all of the following: recognition of individual performance and contributions; pay-for-performance; alignment with long-term shareholder interests; advancement of Company strategic goals; maintenance of an appropriate level of fixed and at-risk compensation; remaining competitive with companies within the Company’s peer group; competition for executive talent; internal pay equity; leadership and mentoring skills and contributions; talent management; contributions to establishment or execution of corporate strategy; retention; compliance with applicable law and the Code of Business Conduct and Ethics and Company policy; and/or any other factors determined by the Board or the Compensation Committee to be in the interests of the Company. </w:t>
      </w:r>
    </w:p>
    <w:p>
      <w:pPr>
        <w:pStyle w:val="TextBody"/>
        <w:bidi w:val="0"/>
        <w:spacing w:before="240" w:after="0"/>
        <w:jc w:val="both"/>
        <w:rPr>
          <w:rFonts w:ascii="arial" w:hAnsi="arial"/>
          <w:sz w:val="18"/>
        </w:rPr>
      </w:pPr>
      <w:r>
        <w:rPr>
          <w:rFonts w:ascii="arial" w:hAnsi="arial"/>
          <w:sz w:val="18"/>
        </w:rPr>
        <w:t xml:space="preserve">The Compensation Committee and Board believe that each company must independently assess which market practices and trends are appropriate for the company at any particular time in the company’s history and remain fully committed to maintaining a strong compensation governance philosophy that is aligned with shareholder interests and best practices. See also page 31. </w:t>
      </w:r>
    </w:p>
    <w:p>
      <w:pPr>
        <w:pStyle w:val="TextBody"/>
        <w:bidi w:val="0"/>
        <w:spacing w:before="200" w:after="0"/>
        <w:jc w:val="both"/>
        <w:rPr>
          <w:rFonts w:ascii="ARIAL" w:hAnsi="ARIAL"/>
          <w:b/>
          <w:i/>
          <w:sz w:val="20"/>
        </w:rPr>
      </w:pPr>
      <w:r>
        <w:rPr>
          <w:rFonts w:ascii="ARIAL" w:hAnsi="ARIAL"/>
          <w:b/>
          <w:i/>
          <w:sz w:val="20"/>
        </w:rPr>
        <w:t xml:space="preserve">Commitment to Responsible, Shareholder-Aligned Compensation Governance Practices </w:t>
      </w:r>
    </w:p>
    <w:p>
      <w:pPr>
        <w:pStyle w:val="TextBody"/>
        <w:bidi w:val="0"/>
        <w:spacing w:before="120" w:after="0"/>
        <w:jc w:val="both"/>
        <w:rPr>
          <w:rFonts w:ascii="arial" w:hAnsi="arial"/>
          <w:sz w:val="18"/>
        </w:rPr>
      </w:pPr>
      <w:r>
        <w:rPr>
          <w:rFonts w:ascii="arial" w:hAnsi="arial"/>
          <w:sz w:val="18"/>
        </w:rPr>
        <w:t xml:space="preserve">The following table summarizes certain specific compensation-related governance practices adopted by the Compensation Committee and Board with respect to 2023 compensation. We note that implementation of many of these practices was responsive to comments from shareholders or otherwise endorsed by shareholders during our robust shareholder engagement program or prior say-on-pay votes.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6" w:space="0" w:color="732282"/>
              <w:left w:val="single" w:sz="6" w:space="0" w:color="732282"/>
              <w:right w:val="single" w:sz="6" w:space="0" w:color="732282"/>
            </w:tcBorders>
            <w:shd w:fill="732282" w:val="clear"/>
            <w:tcMar>
              <w:top w:w="28" w:type="dxa"/>
              <w:left w:w="160" w:type="dxa"/>
              <w:right w:w="40" w:type="dxa"/>
            </w:tcMar>
            <w:vAlign w:val="center"/>
          </w:tcPr>
          <w:p>
            <w:pPr>
              <w:pStyle w:val="TableContents"/>
              <w:bidi w:val="0"/>
              <w:spacing w:before="0" w:after="0"/>
              <w:jc w:val="left"/>
              <w:rPr>
                <w:rFonts w:ascii="arial" w:hAnsi="arial"/>
                <w:b/>
                <w:color w:val="FFFFFF"/>
                <w:sz w:val="18"/>
              </w:rPr>
            </w:pPr>
            <w:r>
              <w:rPr>
                <w:rFonts w:ascii="arial" w:hAnsi="arial"/>
                <w:b/>
                <w:color w:val="FFFFFF"/>
                <w:sz w:val="18"/>
              </w:rPr>
              <w:t>What We Do</w:t>
            </w:r>
          </w:p>
        </w:tc>
      </w:tr>
      <w:tr>
        <w:trPr/>
        <w:tc>
          <w:tcPr>
            <w:tcW w:w="10205" w:type="dxa"/>
            <w:tcBorders>
              <w:left w:val="single" w:sz="6" w:space="0" w:color="732282"/>
              <w:right w:val="single" w:sz="6" w:space="0" w:color="732282"/>
            </w:tcBorders>
            <w:tcMar>
              <w:left w:w="160" w:type="dxa"/>
              <w:right w:w="40" w:type="dxa"/>
            </w:tcMar>
            <w:vAlign w:val="center"/>
          </w:tcPr>
          <w:p>
            <w:pPr>
              <w:pStyle w:val="TableContents"/>
              <w:bidi w:val="0"/>
              <w:spacing w:before="0" w:after="0"/>
              <w:jc w:val="both"/>
              <w:rPr/>
            </w:pPr>
            <w:r>
              <w:rPr/>
              <w:t>✓  </w:t>
            </w:r>
            <w:r>
              <w:rPr>
                <w:rFonts w:ascii="arial" w:hAnsi="arial"/>
                <w:sz w:val="18"/>
              </w:rPr>
              <w:t>Maintain a significant portion of compensation aligned with shareholder interests and tied to share price or financial and operational business performance</w:t>
            </w:r>
          </w:p>
        </w:tc>
      </w:tr>
      <w:tr>
        <w:trPr/>
        <w:tc>
          <w:tcPr>
            <w:tcW w:w="10205" w:type="dxa"/>
            <w:tcBorders>
              <w:left w:val="single" w:sz="6" w:space="0" w:color="732282"/>
              <w:right w:val="single" w:sz="6" w:space="0" w:color="732282"/>
            </w:tcBorders>
            <w:shd w:fill="E5E5E5" w:val="clear"/>
            <w:tcMar>
              <w:left w:w="160" w:type="dxa"/>
              <w:right w:w="40" w:type="dxa"/>
            </w:tcMar>
            <w:vAlign w:val="center"/>
          </w:tcPr>
          <w:p>
            <w:pPr>
              <w:pStyle w:val="TableContents"/>
              <w:bidi w:val="0"/>
              <w:spacing w:before="0" w:after="0"/>
              <w:jc w:val="both"/>
              <w:rPr/>
            </w:pPr>
            <w:r>
              <w:rPr/>
              <w:t>✓  </w:t>
            </w:r>
            <w:r>
              <w:rPr>
                <w:rFonts w:ascii="arial" w:hAnsi="arial"/>
                <w:sz w:val="18"/>
              </w:rPr>
              <w:t>Employ metrics for annual and long-term incentives that support both short- and long-term strategies and align with shareholder interests, including a non-financial metric in the annual program tied to important product development initiatives</w:t>
            </w:r>
          </w:p>
        </w:tc>
      </w:tr>
      <w:tr>
        <w:trPr/>
        <w:tc>
          <w:tcPr>
            <w:tcW w:w="10205" w:type="dxa"/>
            <w:tcBorders>
              <w:left w:val="single" w:sz="6" w:space="0" w:color="732282"/>
              <w:right w:val="single" w:sz="6" w:space="0" w:color="732282"/>
            </w:tcBorders>
            <w:tcMar>
              <w:left w:w="160" w:type="dxa"/>
              <w:right w:w="40" w:type="dxa"/>
            </w:tcMar>
            <w:vAlign w:val="center"/>
          </w:tcPr>
          <w:p>
            <w:pPr>
              <w:pStyle w:val="TableContents"/>
              <w:bidi w:val="0"/>
              <w:spacing w:before="0" w:after="0"/>
              <w:jc w:val="both"/>
              <w:rPr/>
            </w:pPr>
            <w:r>
              <w:rPr/>
              <w:t>✓  </w:t>
            </w:r>
            <w:r>
              <w:rPr>
                <w:rFonts w:ascii="arial" w:hAnsi="arial"/>
                <w:sz w:val="18"/>
              </w:rPr>
              <w:t>Base long-term incentives heavily on performance-based metrics and short-term incentives entirely on performance-based metrics</w:t>
            </w:r>
          </w:p>
        </w:tc>
      </w:tr>
      <w:tr>
        <w:trPr/>
        <w:tc>
          <w:tcPr>
            <w:tcW w:w="10205" w:type="dxa"/>
            <w:tcBorders>
              <w:left w:val="single" w:sz="6" w:space="0" w:color="732282"/>
              <w:right w:val="single" w:sz="6" w:space="0" w:color="732282"/>
            </w:tcBorders>
            <w:shd w:fill="E5E5E5" w:val="clear"/>
            <w:tcMar>
              <w:left w:w="160" w:type="dxa"/>
              <w:right w:w="40" w:type="dxa"/>
            </w:tcMar>
            <w:vAlign w:val="center"/>
          </w:tcPr>
          <w:p>
            <w:pPr>
              <w:pStyle w:val="TableContents"/>
              <w:bidi w:val="0"/>
              <w:spacing w:before="0" w:after="0"/>
              <w:jc w:val="both"/>
              <w:rPr/>
            </w:pPr>
            <w:r>
              <w:rPr/>
              <w:t>✓  </w:t>
            </w:r>
            <w:r>
              <w:rPr>
                <w:rFonts w:ascii="arial" w:hAnsi="arial"/>
                <w:sz w:val="18"/>
              </w:rPr>
              <w:t>Set rigorous and measurable performance goals and periodically review and discuss our executives’ performance</w:t>
            </w:r>
          </w:p>
        </w:tc>
      </w:tr>
      <w:tr>
        <w:trPr/>
        <w:tc>
          <w:tcPr>
            <w:tcW w:w="10205" w:type="dxa"/>
            <w:tcBorders>
              <w:left w:val="single" w:sz="6" w:space="0" w:color="732282"/>
              <w:right w:val="single" w:sz="6" w:space="0" w:color="732282"/>
            </w:tcBorders>
            <w:tcMar>
              <w:left w:w="160" w:type="dxa"/>
              <w:right w:w="40" w:type="dxa"/>
            </w:tcMar>
            <w:vAlign w:val="center"/>
          </w:tcPr>
          <w:p>
            <w:pPr>
              <w:pStyle w:val="TableContents"/>
              <w:bidi w:val="0"/>
              <w:spacing w:before="0" w:after="0"/>
              <w:jc w:val="both"/>
              <w:rPr/>
            </w:pPr>
            <w:r>
              <w:rPr/>
              <w:t>✓  </w:t>
            </w:r>
            <w:r>
              <w:rPr>
                <w:rFonts w:ascii="arial" w:hAnsi="arial"/>
                <w:sz w:val="18"/>
              </w:rPr>
              <w:t>Use double-trigger vesting for annual long-term incentive awards upon a change in control</w:t>
            </w:r>
          </w:p>
        </w:tc>
      </w:tr>
      <w:tr>
        <w:trPr/>
        <w:tc>
          <w:tcPr>
            <w:tcW w:w="10205" w:type="dxa"/>
            <w:tcBorders>
              <w:left w:val="single" w:sz="6" w:space="0" w:color="732282"/>
              <w:right w:val="single" w:sz="6" w:space="0" w:color="732282"/>
            </w:tcBorders>
            <w:shd w:fill="E5E5E5" w:val="clear"/>
            <w:tcMar>
              <w:left w:w="160" w:type="dxa"/>
              <w:right w:w="40" w:type="dxa"/>
            </w:tcMar>
            <w:vAlign w:val="center"/>
          </w:tcPr>
          <w:p>
            <w:pPr>
              <w:pStyle w:val="TableContents"/>
              <w:bidi w:val="0"/>
              <w:spacing w:before="0" w:after="0"/>
              <w:jc w:val="both"/>
              <w:rPr/>
            </w:pPr>
            <w:r>
              <w:rPr/>
              <w:t>✓  </w:t>
            </w:r>
            <w:r>
              <w:rPr>
                <w:rFonts w:ascii="arial" w:hAnsi="arial"/>
                <w:sz w:val="18"/>
              </w:rPr>
              <w:t>Retain independent compensation consultants that report directly to the Compensation Committee</w:t>
            </w:r>
          </w:p>
        </w:tc>
      </w:tr>
      <w:tr>
        <w:trPr/>
        <w:tc>
          <w:tcPr>
            <w:tcW w:w="10205" w:type="dxa"/>
            <w:tcBorders>
              <w:left w:val="single" w:sz="6" w:space="0" w:color="732282"/>
              <w:right w:val="single" w:sz="6" w:space="0" w:color="732282"/>
            </w:tcBorders>
            <w:tcMar>
              <w:left w:w="160" w:type="dxa"/>
              <w:right w:w="40" w:type="dxa"/>
            </w:tcMar>
            <w:vAlign w:val="center"/>
          </w:tcPr>
          <w:p>
            <w:pPr>
              <w:pStyle w:val="TableContents"/>
              <w:bidi w:val="0"/>
              <w:spacing w:before="0" w:after="0"/>
              <w:jc w:val="both"/>
              <w:rPr/>
            </w:pPr>
            <w:r>
              <w:rPr/>
              <w:t>✓  </w:t>
            </w:r>
            <w:r>
              <w:rPr>
                <w:rFonts w:ascii="arial" w:hAnsi="arial"/>
                <w:sz w:val="18"/>
              </w:rPr>
              <w:t>Maintain strong share ownership guidelines</w:t>
            </w:r>
          </w:p>
        </w:tc>
      </w:tr>
      <w:tr>
        <w:trPr/>
        <w:tc>
          <w:tcPr>
            <w:tcW w:w="10205" w:type="dxa"/>
            <w:tcBorders>
              <w:left w:val="single" w:sz="6" w:space="0" w:color="732282"/>
              <w:right w:val="single" w:sz="6" w:space="0" w:color="732282"/>
            </w:tcBorders>
            <w:shd w:fill="E5E5E5" w:val="clear"/>
            <w:tcMar>
              <w:left w:w="160" w:type="dxa"/>
              <w:right w:w="40" w:type="dxa"/>
            </w:tcMar>
            <w:vAlign w:val="center"/>
          </w:tcPr>
          <w:p>
            <w:pPr>
              <w:pStyle w:val="TableContents"/>
              <w:bidi w:val="0"/>
              <w:spacing w:before="0" w:after="0"/>
              <w:jc w:val="both"/>
              <w:rPr/>
            </w:pPr>
            <w:r>
              <w:rPr/>
              <w:t>✓  </w:t>
            </w:r>
            <w:r>
              <w:rPr>
                <w:rFonts w:ascii="arial" w:hAnsi="arial"/>
                <w:sz w:val="18"/>
              </w:rPr>
              <w:t>Maintain a robust clawback policy</w:t>
            </w:r>
          </w:p>
        </w:tc>
      </w:tr>
      <w:tr>
        <w:trPr/>
        <w:tc>
          <w:tcPr>
            <w:tcW w:w="10205" w:type="dxa"/>
            <w:tcBorders>
              <w:left w:val="single" w:sz="6" w:space="0" w:color="732282"/>
              <w:right w:val="single" w:sz="6" w:space="0" w:color="732282"/>
            </w:tcBorders>
            <w:tcMar>
              <w:left w:w="160" w:type="dxa"/>
              <w:right w:w="40" w:type="dxa"/>
            </w:tcMar>
            <w:vAlign w:val="center"/>
          </w:tcPr>
          <w:p>
            <w:pPr>
              <w:pStyle w:val="TableContents"/>
              <w:bidi w:val="0"/>
              <w:spacing w:before="0" w:after="0"/>
              <w:jc w:val="both"/>
              <w:rPr/>
            </w:pPr>
            <w:r>
              <w:rPr/>
              <w:t>✓  </w:t>
            </w:r>
            <w:r>
              <w:rPr>
                <w:rFonts w:ascii="arial" w:hAnsi="arial"/>
                <w:sz w:val="18"/>
              </w:rPr>
              <w:t>Engage with shareholders on compensation and governance matters</w:t>
            </w:r>
          </w:p>
        </w:tc>
      </w:tr>
      <w:tr>
        <w:trPr/>
        <w:tc>
          <w:tcPr>
            <w:tcW w:w="10205" w:type="dxa"/>
            <w:tcBorders>
              <w:left w:val="single" w:sz="6" w:space="0" w:color="732282"/>
              <w:right w:val="single" w:sz="6" w:space="0" w:color="732282"/>
            </w:tcBorders>
            <w:shd w:fill="E5E5E5" w:val="clear"/>
            <w:tcMar>
              <w:left w:w="160" w:type="dxa"/>
              <w:right w:w="40" w:type="dxa"/>
            </w:tcMar>
            <w:vAlign w:val="center"/>
          </w:tcPr>
          <w:p>
            <w:pPr>
              <w:pStyle w:val="TableContents"/>
              <w:bidi w:val="0"/>
              <w:spacing w:before="0" w:after="0"/>
              <w:jc w:val="both"/>
              <w:rPr/>
            </w:pPr>
            <w:r>
              <w:rPr/>
              <w:t>✓  </w:t>
            </w:r>
            <w:r>
              <w:rPr>
                <w:rFonts w:ascii="arial" w:hAnsi="arial"/>
                <w:sz w:val="18"/>
              </w:rPr>
              <w:t>Consider peer groups and market data in determining compensation</w:t>
            </w:r>
          </w:p>
        </w:tc>
      </w:tr>
      <w:tr>
        <w:trPr/>
        <w:tc>
          <w:tcPr>
            <w:tcW w:w="10205" w:type="dxa"/>
            <w:tcBorders>
              <w:left w:val="single" w:sz="6" w:space="0" w:color="732282"/>
              <w:bottom w:val="single" w:sz="6" w:space="0" w:color="732282"/>
              <w:right w:val="single" w:sz="6" w:space="0" w:color="732282"/>
            </w:tcBorders>
            <w:tcMar>
              <w:left w:w="160" w:type="dxa"/>
              <w:bottom w:w="28" w:type="dxa"/>
              <w:right w:w="40" w:type="dxa"/>
            </w:tcMar>
            <w:vAlign w:val="center"/>
          </w:tcPr>
          <w:p>
            <w:pPr>
              <w:pStyle w:val="TableContents"/>
              <w:bidi w:val="0"/>
              <w:spacing w:before="0" w:after="0"/>
              <w:jc w:val="both"/>
              <w:rPr/>
            </w:pPr>
            <w:r>
              <w:rPr/>
              <w:t>✓  </w:t>
            </w:r>
            <w:r>
              <w:rPr>
                <w:rFonts w:ascii="arial" w:hAnsi="arial"/>
                <w:sz w:val="18"/>
              </w:rPr>
              <w:t>Annual Say-on-Pay Vote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6" w:space="0" w:color="732282"/>
              <w:left w:val="single" w:sz="6" w:space="0" w:color="732282"/>
              <w:right w:val="single" w:sz="6" w:space="0" w:color="732282"/>
            </w:tcBorders>
            <w:shd w:fill="732282" w:val="clear"/>
            <w:tcMar>
              <w:top w:w="28" w:type="dxa"/>
              <w:left w:w="160" w:type="dxa"/>
              <w:right w:w="40" w:type="dxa"/>
            </w:tcMar>
            <w:vAlign w:val="center"/>
          </w:tcPr>
          <w:p>
            <w:pPr>
              <w:pStyle w:val="TableContents"/>
              <w:bidi w:val="0"/>
              <w:spacing w:before="0" w:after="0"/>
              <w:jc w:val="left"/>
              <w:rPr>
                <w:rFonts w:ascii="arial" w:hAnsi="arial"/>
                <w:b/>
                <w:color w:val="FFFFFF"/>
                <w:sz w:val="18"/>
              </w:rPr>
            </w:pPr>
            <w:r>
              <w:rPr>
                <w:rFonts w:ascii="arial" w:hAnsi="arial"/>
                <w:b/>
                <w:color w:val="FFFFFF"/>
                <w:sz w:val="18"/>
              </w:rPr>
              <w:t>What We Don’t Do</w:t>
            </w:r>
          </w:p>
        </w:tc>
      </w:tr>
      <w:tr>
        <w:trPr/>
        <w:tc>
          <w:tcPr>
            <w:tcW w:w="10205" w:type="dxa"/>
            <w:tcBorders>
              <w:left w:val="single" w:sz="6" w:space="0" w:color="732282"/>
              <w:right w:val="single" w:sz="6" w:space="0" w:color="732282"/>
            </w:tcBorders>
            <w:tcMar>
              <w:left w:w="160" w:type="dxa"/>
              <w:right w:w="40" w:type="dxa"/>
            </w:tcMar>
            <w:vAlign w:val="center"/>
          </w:tcPr>
          <w:p>
            <w:pPr>
              <w:pStyle w:val="TableContents"/>
              <w:bidi w:val="0"/>
              <w:spacing w:before="0" w:after="0"/>
              <w:jc w:val="both"/>
              <w:rPr>
                <w:rFonts w:ascii="arial" w:hAnsi="arial"/>
                <w:sz w:val="18"/>
              </w:rPr>
            </w:pPr>
            <w:r>
              <w:rPr>
                <w:rFonts w:ascii="arial" w:hAnsi="arial"/>
                <w:i/>
                <w:sz w:val="18"/>
              </w:rPr>
              <w:t>X</w:t>
            </w:r>
            <w:r>
              <w:rPr>
                <w:rFonts w:ascii="arial" w:hAnsi="arial"/>
                <w:sz w:val="18"/>
              </w:rPr>
              <w:t>   New fixed-term NEO employment agreements</w:t>
            </w:r>
          </w:p>
        </w:tc>
      </w:tr>
      <w:tr>
        <w:trPr/>
        <w:tc>
          <w:tcPr>
            <w:tcW w:w="10205" w:type="dxa"/>
            <w:tcBorders>
              <w:left w:val="single" w:sz="6" w:space="0" w:color="732282"/>
              <w:right w:val="single" w:sz="6" w:space="0" w:color="732282"/>
            </w:tcBorders>
            <w:shd w:fill="E5E5E5" w:val="clear"/>
            <w:tcMar>
              <w:left w:w="160" w:type="dxa"/>
              <w:right w:w="40" w:type="dxa"/>
            </w:tcMar>
            <w:vAlign w:val="center"/>
          </w:tcPr>
          <w:p>
            <w:pPr>
              <w:pStyle w:val="TableContents"/>
              <w:bidi w:val="0"/>
              <w:spacing w:before="0" w:after="0"/>
              <w:jc w:val="both"/>
              <w:rPr>
                <w:rFonts w:ascii="arial" w:hAnsi="arial"/>
                <w:sz w:val="18"/>
              </w:rPr>
            </w:pPr>
            <w:r>
              <w:rPr>
                <w:rFonts w:ascii="arial" w:hAnsi="arial"/>
                <w:i/>
                <w:sz w:val="18"/>
              </w:rPr>
              <w:t>X</w:t>
            </w:r>
            <w:r>
              <w:rPr>
                <w:rFonts w:ascii="arial" w:hAnsi="arial"/>
                <w:sz w:val="18"/>
              </w:rPr>
              <w:t>   Excise tax gross-ups</w:t>
            </w:r>
          </w:p>
        </w:tc>
      </w:tr>
      <w:tr>
        <w:trPr/>
        <w:tc>
          <w:tcPr>
            <w:tcW w:w="10205" w:type="dxa"/>
            <w:tcBorders>
              <w:left w:val="single" w:sz="6" w:space="0" w:color="732282"/>
              <w:right w:val="single" w:sz="6" w:space="0" w:color="732282"/>
            </w:tcBorders>
            <w:tcMar>
              <w:left w:w="160" w:type="dxa"/>
              <w:right w:w="40" w:type="dxa"/>
            </w:tcMar>
            <w:vAlign w:val="center"/>
          </w:tcPr>
          <w:p>
            <w:pPr>
              <w:pStyle w:val="TableContents"/>
              <w:bidi w:val="0"/>
              <w:spacing w:before="0" w:after="0"/>
              <w:jc w:val="both"/>
              <w:rPr>
                <w:rFonts w:ascii="arial" w:hAnsi="arial"/>
                <w:sz w:val="18"/>
              </w:rPr>
            </w:pPr>
            <w:r>
              <w:rPr>
                <w:rFonts w:ascii="arial" w:hAnsi="arial"/>
                <w:i/>
                <w:sz w:val="18"/>
              </w:rPr>
              <w:t>X</w:t>
            </w:r>
            <w:r>
              <w:rPr>
                <w:rFonts w:ascii="arial" w:hAnsi="arial"/>
                <w:sz w:val="18"/>
              </w:rPr>
              <w:t>   Modified single-trigger severance arrangements</w:t>
            </w:r>
          </w:p>
        </w:tc>
      </w:tr>
      <w:tr>
        <w:trPr/>
        <w:tc>
          <w:tcPr>
            <w:tcW w:w="10205" w:type="dxa"/>
            <w:tcBorders>
              <w:left w:val="single" w:sz="6" w:space="0" w:color="732282"/>
              <w:right w:val="single" w:sz="6" w:space="0" w:color="732282"/>
            </w:tcBorders>
            <w:shd w:fill="E5E5E5" w:val="clear"/>
            <w:tcMar>
              <w:left w:w="160" w:type="dxa"/>
              <w:right w:w="40" w:type="dxa"/>
            </w:tcMar>
            <w:vAlign w:val="center"/>
          </w:tcPr>
          <w:p>
            <w:pPr>
              <w:pStyle w:val="TableContents"/>
              <w:bidi w:val="0"/>
              <w:spacing w:before="0" w:after="0"/>
              <w:jc w:val="both"/>
              <w:rPr>
                <w:rFonts w:ascii="arial" w:hAnsi="arial"/>
                <w:sz w:val="18"/>
              </w:rPr>
            </w:pPr>
            <w:r>
              <w:rPr>
                <w:rFonts w:ascii="arial" w:hAnsi="arial"/>
                <w:i/>
                <w:sz w:val="18"/>
              </w:rPr>
              <w:t>X</w:t>
            </w:r>
            <w:r>
              <w:rPr>
                <w:rFonts w:ascii="arial" w:hAnsi="arial"/>
                <w:sz w:val="18"/>
              </w:rPr>
              <w:t>   Supplemental retirement agreements</w:t>
            </w:r>
          </w:p>
        </w:tc>
      </w:tr>
      <w:tr>
        <w:trPr/>
        <w:tc>
          <w:tcPr>
            <w:tcW w:w="10205" w:type="dxa"/>
            <w:tcBorders>
              <w:left w:val="single" w:sz="6" w:space="0" w:color="732282"/>
              <w:right w:val="single" w:sz="6" w:space="0" w:color="732282"/>
            </w:tcBorders>
            <w:tcMar>
              <w:left w:w="160" w:type="dxa"/>
              <w:right w:w="40" w:type="dxa"/>
            </w:tcMar>
            <w:vAlign w:val="center"/>
          </w:tcPr>
          <w:p>
            <w:pPr>
              <w:pStyle w:val="TableContents"/>
              <w:bidi w:val="0"/>
              <w:spacing w:before="0" w:after="0"/>
              <w:jc w:val="both"/>
              <w:rPr>
                <w:rFonts w:ascii="arial" w:hAnsi="arial"/>
                <w:sz w:val="18"/>
              </w:rPr>
            </w:pPr>
            <w:r>
              <w:rPr>
                <w:rFonts w:ascii="arial" w:hAnsi="arial"/>
                <w:i/>
                <w:sz w:val="18"/>
              </w:rPr>
              <w:t>X</w:t>
            </w:r>
            <w:r>
              <w:rPr>
                <w:rFonts w:ascii="arial" w:hAnsi="arial"/>
                <w:sz w:val="18"/>
              </w:rPr>
              <w:t>   Exercise positive discretion in determining annual incentive compensation or LTI payouts</w:t>
            </w:r>
          </w:p>
        </w:tc>
      </w:tr>
      <w:tr>
        <w:trPr/>
        <w:tc>
          <w:tcPr>
            <w:tcW w:w="10205" w:type="dxa"/>
            <w:tcBorders>
              <w:left w:val="single" w:sz="6" w:space="0" w:color="732282"/>
              <w:right w:val="single" w:sz="6" w:space="0" w:color="732282"/>
            </w:tcBorders>
            <w:shd w:fill="E5E5E5" w:val="clear"/>
            <w:tcMar>
              <w:left w:w="160" w:type="dxa"/>
              <w:right w:w="40" w:type="dxa"/>
            </w:tcMar>
            <w:vAlign w:val="center"/>
          </w:tcPr>
          <w:p>
            <w:pPr>
              <w:pStyle w:val="TableContents"/>
              <w:bidi w:val="0"/>
              <w:spacing w:before="0" w:after="0"/>
              <w:jc w:val="both"/>
              <w:rPr>
                <w:rFonts w:ascii="arial" w:hAnsi="arial"/>
                <w:sz w:val="18"/>
              </w:rPr>
            </w:pPr>
            <w:r>
              <w:rPr>
                <w:rFonts w:ascii="arial" w:hAnsi="arial"/>
                <w:i/>
                <w:sz w:val="18"/>
              </w:rPr>
              <w:t>X</w:t>
            </w:r>
            <w:r>
              <w:rPr>
                <w:rFonts w:ascii="arial" w:hAnsi="arial"/>
                <w:sz w:val="18"/>
              </w:rPr>
              <w:t>   Re-pricing of stock options without shareholder approval</w:t>
            </w:r>
          </w:p>
        </w:tc>
      </w:tr>
      <w:tr>
        <w:trPr/>
        <w:tc>
          <w:tcPr>
            <w:tcW w:w="10205" w:type="dxa"/>
            <w:tcBorders>
              <w:left w:val="single" w:sz="6" w:space="0" w:color="732282"/>
              <w:right w:val="single" w:sz="6" w:space="0" w:color="732282"/>
            </w:tcBorders>
            <w:tcMar>
              <w:left w:w="160" w:type="dxa"/>
              <w:right w:w="40" w:type="dxa"/>
            </w:tcMar>
            <w:vAlign w:val="center"/>
          </w:tcPr>
          <w:p>
            <w:pPr>
              <w:pStyle w:val="TableContents"/>
              <w:bidi w:val="0"/>
              <w:spacing w:before="0" w:after="0"/>
              <w:jc w:val="both"/>
              <w:rPr>
                <w:rFonts w:ascii="arial" w:hAnsi="arial"/>
                <w:sz w:val="18"/>
              </w:rPr>
            </w:pPr>
            <w:r>
              <w:rPr>
                <w:rFonts w:ascii="arial" w:hAnsi="arial"/>
                <w:i/>
                <w:sz w:val="18"/>
              </w:rPr>
              <w:t>X</w:t>
            </w:r>
            <w:r>
              <w:rPr>
                <w:rFonts w:ascii="arial" w:hAnsi="arial"/>
                <w:sz w:val="18"/>
              </w:rPr>
              <w:t>   Hedging or pledging of shares</w:t>
            </w:r>
          </w:p>
        </w:tc>
      </w:tr>
      <w:tr>
        <w:trPr/>
        <w:tc>
          <w:tcPr>
            <w:tcW w:w="10205" w:type="dxa"/>
            <w:tcBorders>
              <w:left w:val="single" w:sz="6" w:space="0" w:color="732282"/>
              <w:bottom w:val="single" w:sz="6" w:space="0" w:color="732282"/>
              <w:right w:val="single" w:sz="6" w:space="0" w:color="732282"/>
            </w:tcBorders>
            <w:shd w:fill="E5E5E5" w:val="clear"/>
            <w:tcMar>
              <w:left w:w="160" w:type="dxa"/>
              <w:bottom w:w="28" w:type="dxa"/>
              <w:right w:w="40" w:type="dxa"/>
            </w:tcMar>
            <w:vAlign w:val="center"/>
          </w:tcPr>
          <w:p>
            <w:pPr>
              <w:pStyle w:val="TableContents"/>
              <w:bidi w:val="0"/>
              <w:spacing w:before="0" w:after="0"/>
              <w:jc w:val="both"/>
              <w:rPr>
                <w:rFonts w:ascii="arial" w:hAnsi="arial"/>
                <w:sz w:val="18"/>
              </w:rPr>
            </w:pPr>
            <w:r>
              <w:rPr>
                <w:rFonts w:ascii="arial" w:hAnsi="arial"/>
                <w:i/>
                <w:sz w:val="18"/>
              </w:rPr>
              <w:t>X</w:t>
            </w:r>
            <w:r>
              <w:rPr>
                <w:rFonts w:ascii="arial" w:hAnsi="arial"/>
                <w:sz w:val="18"/>
              </w:rPr>
              <w:t>   New cash-based retention awards for NEOs without performance vesting conditions except in extraordinary situations or in connection with new hires</w:t>
            </w:r>
          </w:p>
        </w:tc>
      </w:tr>
    </w:tbl>
    <w:p>
      <w:pPr>
        <w:pStyle w:val="TextBody"/>
        <w:bidi w:val="0"/>
        <w:spacing w:before="240" w:after="0"/>
        <w:jc w:val="left"/>
        <w:rPr>
          <w:rFonts w:ascii="ARIAL" w:hAnsi="ARIAL"/>
          <w:b/>
          <w:sz w:val="20"/>
        </w:rPr>
      </w:pPr>
      <w:r>
        <w:rPr>
          <w:rFonts w:ascii="ARIAL" w:hAnsi="ARIAL"/>
          <w:b/>
          <w:sz w:val="20"/>
        </w:rPr>
        <w:t xml:space="preserve">Limited Perquisites </w:t>
      </w:r>
    </w:p>
    <w:p>
      <w:pPr>
        <w:pStyle w:val="TextBody"/>
        <w:bidi w:val="0"/>
        <w:spacing w:before="120" w:after="0"/>
        <w:jc w:val="both"/>
        <w:rPr>
          <w:rFonts w:ascii="arial" w:hAnsi="arial"/>
          <w:sz w:val="18"/>
        </w:rPr>
      </w:pPr>
      <w:r>
        <w:rPr>
          <w:rFonts w:ascii="arial" w:hAnsi="arial"/>
          <w:sz w:val="18"/>
        </w:rPr>
        <w:t xml:space="preserve">We provide certain limited perquisites to our NEOs,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Each NEO receives a car allowance or the use of a leased vehicle and payment of certain ancillary expenses. The NEOs are responsible for paying any taxes incurred relating to this perquisite.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Our NEOs take an extraordinarily active approach to overseeing and managing Viatris’ global operations, which necessitates and will continue to necessitate a significant amount of U.S. domestic and international travel time due to our diverse business centers, manufacturing and other facilities, and many client and vendor locations around the world. Viatris provides management with access to corporate aircraft to assist in the management of Viatris’ global platform by providing a more efficient and secure traveling environment, including where sensitive business issues may be discussed or reviewed, as well as maximum flexibility to our executives in the conduct of business. For reasons of business efficiency and continued security-related concerns (including personal security, especially given the global nature of Viatris’ business, as well as privacy of business information and communications),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38 </w:t>
      </w:r>
      <w:r>
        <w:br w:type="page"/>
      </w:r>
    </w:p>
    <w:p>
      <w:pPr>
        <w:pStyle w:val="HorizontalLine"/>
        <w:bidi w:val="0"/>
        <w:jc w:val="left"/>
        <w:rPr/>
      </w:pPr>
      <w:r>
        <w:rPr/>
      </w:r>
    </w:p>
    <w:tbl>
      <w:tblPr>
        <w:tblW w:w="9680" w:type="dxa"/>
        <w:jc w:val="left"/>
        <w:tblInd w:w="0" w:type="dxa"/>
        <w:tblLayout w:type="fixed"/>
        <w:tblCellMar>
          <w:top w:w="0" w:type="dxa"/>
          <w:left w:w="0" w:type="dxa"/>
          <w:bottom w:w="0" w:type="dxa"/>
          <w:right w:w="0" w:type="dxa"/>
        </w:tblCellMar>
      </w:tblPr>
      <w:tblGrid>
        <w:gridCol w:w="75"/>
        <w:gridCol w:w="9605"/>
      </w:tblGrid>
      <w:tr>
        <w:trPr/>
        <w:tc>
          <w:tcPr>
            <w:tcW w:w="75"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0"/>
              <w:jc w:val="both"/>
              <w:rPr>
                <w:rFonts w:ascii="arial" w:hAnsi="arial"/>
                <w:sz w:val="18"/>
              </w:rPr>
            </w:pPr>
            <w:r>
              <w:rPr>
                <w:rFonts w:ascii="arial" w:hAnsi="arial"/>
                <w:sz w:val="18"/>
              </w:rPr>
              <w:t xml:space="preserve">we also may from time to time require certain executives to use corporate aircraft for business and personal purposes. </w:t>
            </w:r>
          </w:p>
        </w:tc>
      </w:tr>
    </w:tbl>
    <w:p>
      <w:pPr>
        <w:pStyle w:val="TextBody"/>
        <w:bidi w:val="0"/>
        <w:spacing w:before="0" w:after="0"/>
        <w:jc w:val="left"/>
        <w:rPr/>
      </w:pPr>
      <w:r>
        <w:rPr/>
        <w:t> </w:t>
      </w:r>
    </w:p>
    <w:tbl>
      <w:tblPr>
        <w:tblW w:w="9970" w:type="dxa"/>
        <w:jc w:val="left"/>
        <w:tblInd w:w="0" w:type="dxa"/>
        <w:tblLayout w:type="fixed"/>
        <w:tblCellMar>
          <w:top w:w="0" w:type="dxa"/>
          <w:left w:w="0" w:type="dxa"/>
          <w:bottom w:w="0" w:type="dxa"/>
          <w:right w:w="0" w:type="dxa"/>
        </w:tblCellMar>
      </w:tblPr>
      <w:tblGrid>
        <w:gridCol w:w="75"/>
        <w:gridCol w:w="110"/>
        <w:gridCol w:w="60"/>
        <w:gridCol w:w="9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0"/>
              <w:jc w:val="both"/>
              <w:rPr>
                <w:rFonts w:ascii="arial" w:hAnsi="arial"/>
                <w:sz w:val="18"/>
              </w:rPr>
            </w:pPr>
            <w:r>
              <w:rPr>
                <w:rFonts w:ascii="arial" w:hAnsi="arial"/>
                <w:sz w:val="18"/>
              </w:rPr>
              <w:t xml:space="preserve">Because of continued security-related concerns, we may from time-to-time provide certain NEOs with personal security. </w:t>
            </w:r>
          </w:p>
        </w:tc>
      </w:tr>
    </w:tbl>
    <w:p>
      <w:pPr>
        <w:pStyle w:val="TextBody"/>
        <w:bidi w:val="0"/>
        <w:spacing w:before="240" w:after="0"/>
        <w:jc w:val="left"/>
        <w:rPr>
          <w:rFonts w:ascii="ARIAL" w:hAnsi="ARIAL"/>
          <w:b/>
          <w:sz w:val="20"/>
        </w:rPr>
      </w:pPr>
      <w:r>
        <w:rPr>
          <w:rFonts w:ascii="ARIAL" w:hAnsi="ARIAL"/>
          <w:b/>
          <w:sz w:val="20"/>
        </w:rPr>
        <w:t xml:space="preserve">401(k) Restoration Plan </w:t>
      </w:r>
    </w:p>
    <w:p>
      <w:pPr>
        <w:pStyle w:val="TextBody"/>
        <w:bidi w:val="0"/>
        <w:spacing w:before="120" w:after="0"/>
        <w:jc w:val="both"/>
        <w:rPr>
          <w:rFonts w:ascii="arial" w:hAnsi="arial"/>
          <w:sz w:val="18"/>
        </w:rPr>
      </w:pPr>
      <w:r>
        <w:rPr>
          <w:rFonts w:ascii="arial" w:hAnsi="arial"/>
          <w:sz w:val="18"/>
        </w:rPr>
        <w:t xml:space="preserve">The 401(k) Restoration Plan (the “Restoration Plan”) permits employees (including NEOs) who earn compensation in excess of the limits imposed by Section 401(a)(17) of the Internal Revenue Code of 1986, as amended (the “Code”) to (i) defer a portion of base salary and bonus compensation, (ii) be (for employees other than the NEOs with a Retirement Benefit Agreement) credited with a Company matching contribution in respect of deferrals under the Restoration Plan, and (iii) be credited with Company non-elective contributions (to the extent made by Viatris), in each case, to the extent that participants otherwise would be able to defer or be credited with such amounts, as applicable, under Viatris’ 401(k) plan if not for the limits on contributions and deferrals imposed by the Code. Company matching contributions immediately vest and Company non-elective contributions are subject to an initial three-year vesting period. Upon a change in control (as defined in the Restoration Plan), a participant will become 100% vested in any unvested portion of his or her non-elective contributions. Distributions of such participant’s vested account balance will be made in a lump sum within 60 days following a participant’s separation from service (or such later date as may be required by Section 409A of the Code). </w:t>
      </w:r>
    </w:p>
    <w:p>
      <w:pPr>
        <w:pStyle w:val="TextBody"/>
        <w:bidi w:val="0"/>
        <w:spacing w:before="240" w:after="0"/>
        <w:jc w:val="left"/>
        <w:rPr>
          <w:rFonts w:ascii="ARIAL" w:hAnsi="ARIAL"/>
          <w:b/>
          <w:sz w:val="20"/>
        </w:rPr>
      </w:pPr>
      <w:r>
        <w:rPr>
          <w:rFonts w:ascii="ARIAL" w:hAnsi="ARIAL"/>
          <w:b/>
          <w:sz w:val="20"/>
        </w:rPr>
        <w:t xml:space="preserve">2023 Share Ownership Requirements </w:t>
      </w:r>
    </w:p>
    <w:p>
      <w:pPr>
        <w:pStyle w:val="TextBody"/>
        <w:bidi w:val="0"/>
        <w:spacing w:before="120" w:after="0"/>
        <w:jc w:val="both"/>
        <w:rPr>
          <w:rFonts w:ascii="arial" w:hAnsi="arial"/>
          <w:sz w:val="18"/>
        </w:rPr>
      </w:pPr>
      <w:r>
        <w:rPr>
          <w:rFonts w:ascii="arial" w:hAnsi="arial"/>
          <w:sz w:val="18"/>
        </w:rPr>
        <w:t xml:space="preserve">Viatris maintains robust share ownership requirements for our NEOs. The requirement is expressed as a multiple of base salary and shown in the table below. </w:t>
      </w:r>
    </w:p>
    <w:p>
      <w:pPr>
        <w:pStyle w:val="TextBody"/>
        <w:bidi w:val="0"/>
        <w:spacing w:before="0" w:after="0"/>
        <w:jc w:val="left"/>
        <w:rPr/>
      </w:pPr>
      <w:r>
        <w:rPr/>
        <w:t> </w:t>
      </w:r>
    </w:p>
    <w:tbl>
      <w:tblPr>
        <w:tblW w:w="3370" w:type="dxa"/>
        <w:jc w:val="left"/>
        <w:tblInd w:w="0" w:type="dxa"/>
        <w:tblLayout w:type="fixed"/>
        <w:tblCellMar>
          <w:top w:w="0" w:type="dxa"/>
          <w:left w:w="0" w:type="dxa"/>
          <w:bottom w:w="0" w:type="dxa"/>
          <w:right w:w="0" w:type="dxa"/>
        </w:tblCellMar>
      </w:tblPr>
      <w:tblGrid>
        <w:gridCol w:w="1880"/>
        <w:gridCol w:w="120"/>
        <w:gridCol w:w="1370"/>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8" w:space="0" w:color="732282"/>
            </w:tcBorders>
            <w:tcMar>
              <w:bottom w:w="28" w:type="dxa"/>
            </w:tcMar>
            <w:vAlign w:val="center"/>
          </w:tcPr>
          <w:p>
            <w:pPr>
              <w:pStyle w:val="TableContents"/>
              <w:bidi w:val="0"/>
              <w:spacing w:before="0" w:after="0"/>
              <w:jc w:val="left"/>
              <w:rPr>
                <w:rFonts w:ascii="ARIAL" w:hAnsi="ARIAL"/>
                <w:b/>
                <w:color w:val="732282"/>
                <w:sz w:val="18"/>
              </w:rPr>
            </w:pPr>
            <w:r>
              <w:rPr>
                <w:rFonts w:ascii="ARIAL" w:hAnsi="ARIAL"/>
                <w:b/>
                <w:color w:val="732282"/>
                <w:sz w:val="18"/>
              </w:rPr>
              <w:t>Position</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370" w:type="dxa"/>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Ownership</w:t>
              <w:br/>
              <w:t>Requirement</w:t>
            </w:r>
          </w:p>
        </w:tc>
      </w:tr>
      <w:tr>
        <w:trPr/>
        <w:tc>
          <w:tcPr>
            <w:tcW w:w="1880" w:type="dxa"/>
            <w:tcBorders/>
            <w:shd w:fill="E5E5E5" w:val="clear"/>
            <w:vAlign w:val="center"/>
          </w:tcPr>
          <w:p>
            <w:pPr>
              <w:pStyle w:val="TableContents"/>
              <w:bidi w:val="0"/>
              <w:spacing w:before="0" w:after="283"/>
              <w:jc w:val="left"/>
              <w:rPr>
                <w:sz w:val="4"/>
                <w:szCs w:val="4"/>
              </w:rPr>
            </w:pPr>
            <w:r>
              <w:rPr>
                <w:sz w:val="4"/>
                <w:szCs w:val="4"/>
              </w:rPr>
            </w:r>
          </w:p>
        </w:tc>
        <w:tc>
          <w:tcPr>
            <w:tcW w:w="1490" w:type="dxa"/>
            <w:gridSpan w:val="2"/>
            <w:tcBorders/>
            <w:shd w:fill="E5E5E5" w:val="clear"/>
            <w:vAlign w:val="center"/>
          </w:tcPr>
          <w:p>
            <w:pPr>
              <w:pStyle w:val="TableContents"/>
              <w:bidi w:val="0"/>
              <w:spacing w:before="0" w:after="283"/>
              <w:jc w:val="left"/>
              <w:rPr>
                <w:sz w:val="4"/>
                <w:szCs w:val="4"/>
              </w:rPr>
            </w:pPr>
            <w:r>
              <w:rPr>
                <w:sz w:val="4"/>
                <w:szCs w:val="4"/>
              </w:rPr>
            </w:r>
          </w:p>
        </w:tc>
      </w:tr>
      <w:tr>
        <w:trPr/>
        <w:tc>
          <w:tcPr>
            <w:tcW w:w="1880" w:type="dxa"/>
            <w:tcBorders/>
            <w:shd w:fill="E5E5E5" w:val="clear"/>
            <w:vAlign w:val="center"/>
          </w:tcPr>
          <w:p>
            <w:pPr>
              <w:pStyle w:val="TableContents"/>
              <w:bidi w:val="0"/>
              <w:spacing w:before="0" w:after="0"/>
              <w:jc w:val="left"/>
              <w:rPr>
                <w:rFonts w:ascii="ARIAL" w:hAnsi="ARIAL"/>
                <w:sz w:val="18"/>
              </w:rPr>
            </w:pPr>
            <w:r>
              <w:rPr>
                <w:rFonts w:ascii="ARIAL" w:hAnsi="ARIAL"/>
                <w:sz w:val="18"/>
              </w:rPr>
              <w:t>Executive Chairman</w:t>
            </w:r>
          </w:p>
        </w:tc>
        <w:tc>
          <w:tcPr>
            <w:tcW w:w="120" w:type="dxa"/>
            <w:tcBorders/>
            <w:shd w:fill="E5E5E5" w:val="clear"/>
            <w:vAlign w:val="center"/>
          </w:tcPr>
          <w:p>
            <w:pPr>
              <w:pStyle w:val="TableContents"/>
              <w:bidi w:val="0"/>
              <w:spacing w:before="0" w:after="283"/>
              <w:jc w:val="left"/>
              <w:rPr/>
            </w:pPr>
            <w:r>
              <w:rPr/>
              <w:t>  </w:t>
            </w:r>
          </w:p>
        </w:tc>
        <w:tc>
          <w:tcPr>
            <w:tcW w:w="1370" w:type="dxa"/>
            <w:tcBorders/>
            <w:shd w:fill="E5E5E5" w:val="clear"/>
            <w:vAlign w:val="center"/>
          </w:tcPr>
          <w:p>
            <w:pPr>
              <w:pStyle w:val="TableContents"/>
              <w:bidi w:val="0"/>
              <w:spacing w:before="0" w:after="283"/>
              <w:jc w:val="center"/>
              <w:rPr/>
            </w:pPr>
            <w:r>
              <w:rPr/>
              <w:t>6x</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0"/>
              <w:jc w:val="left"/>
              <w:rPr>
                <w:rFonts w:ascii="ARIAL" w:hAnsi="ARIAL"/>
                <w:sz w:val="18"/>
              </w:rPr>
            </w:pPr>
            <w:r>
              <w:rPr>
                <w:rFonts w:ascii="ARIAL" w:hAnsi="ARIAL"/>
                <w:sz w:val="18"/>
              </w:rPr>
              <w:t>Chief Executive Officer</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pPr>
            <w:r>
              <w:rPr/>
              <w:t>6x</w:t>
            </w:r>
          </w:p>
        </w:tc>
      </w:tr>
      <w:tr>
        <w:trPr/>
        <w:tc>
          <w:tcPr>
            <w:tcW w:w="1880" w:type="dxa"/>
            <w:tcBorders/>
            <w:shd w:fill="E5E5E5" w:val="clear"/>
            <w:vAlign w:val="center"/>
          </w:tcPr>
          <w:p>
            <w:pPr>
              <w:pStyle w:val="TableContents"/>
              <w:bidi w:val="0"/>
              <w:spacing w:before="0" w:after="283"/>
              <w:jc w:val="left"/>
              <w:rPr>
                <w:sz w:val="4"/>
                <w:szCs w:val="4"/>
              </w:rPr>
            </w:pPr>
            <w:r>
              <w:rPr>
                <w:sz w:val="4"/>
                <w:szCs w:val="4"/>
              </w:rPr>
            </w:r>
          </w:p>
        </w:tc>
        <w:tc>
          <w:tcPr>
            <w:tcW w:w="1490" w:type="dxa"/>
            <w:gridSpan w:val="2"/>
            <w:tcBorders/>
            <w:shd w:fill="E5E5E5" w:val="clear"/>
            <w:vAlign w:val="center"/>
          </w:tcPr>
          <w:p>
            <w:pPr>
              <w:pStyle w:val="TableContents"/>
              <w:bidi w:val="0"/>
              <w:spacing w:before="0" w:after="283"/>
              <w:jc w:val="left"/>
              <w:rPr>
                <w:sz w:val="4"/>
                <w:szCs w:val="4"/>
              </w:rPr>
            </w:pPr>
            <w:r>
              <w:rPr>
                <w:sz w:val="4"/>
                <w:szCs w:val="4"/>
              </w:rPr>
            </w:r>
          </w:p>
        </w:tc>
      </w:tr>
      <w:tr>
        <w:trPr/>
        <w:tc>
          <w:tcPr>
            <w:tcW w:w="1880" w:type="dxa"/>
            <w:tcBorders/>
            <w:shd w:fill="E5E5E5" w:val="clear"/>
            <w:vAlign w:val="center"/>
          </w:tcPr>
          <w:p>
            <w:pPr>
              <w:pStyle w:val="TableContents"/>
              <w:bidi w:val="0"/>
              <w:spacing w:before="0" w:after="0"/>
              <w:jc w:val="left"/>
              <w:rPr>
                <w:rFonts w:ascii="ARIAL" w:hAnsi="ARIAL"/>
                <w:sz w:val="18"/>
              </w:rPr>
            </w:pPr>
            <w:r>
              <w:rPr>
                <w:rFonts w:ascii="ARIAL" w:hAnsi="ARIAL"/>
                <w:sz w:val="18"/>
              </w:rPr>
              <w:t>President</w:t>
            </w:r>
          </w:p>
        </w:tc>
        <w:tc>
          <w:tcPr>
            <w:tcW w:w="120" w:type="dxa"/>
            <w:tcBorders/>
            <w:shd w:fill="E5E5E5" w:val="clear"/>
            <w:vAlign w:val="center"/>
          </w:tcPr>
          <w:p>
            <w:pPr>
              <w:pStyle w:val="TableContents"/>
              <w:bidi w:val="0"/>
              <w:spacing w:before="0" w:after="283"/>
              <w:jc w:val="left"/>
              <w:rPr/>
            </w:pPr>
            <w:r>
              <w:rPr/>
              <w:t>  </w:t>
            </w:r>
          </w:p>
        </w:tc>
        <w:tc>
          <w:tcPr>
            <w:tcW w:w="1370" w:type="dxa"/>
            <w:tcBorders/>
            <w:shd w:fill="E5E5E5" w:val="clear"/>
            <w:vAlign w:val="center"/>
          </w:tcPr>
          <w:p>
            <w:pPr>
              <w:pStyle w:val="TableContents"/>
              <w:bidi w:val="0"/>
              <w:spacing w:before="0" w:after="283"/>
              <w:jc w:val="center"/>
              <w:rPr/>
            </w:pPr>
            <w:r>
              <w:rPr/>
              <w:t>4x</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8" w:space="0" w:color="732282"/>
            </w:tcBorders>
            <w:tcMar>
              <w:bottom w:w="80" w:type="dxa"/>
            </w:tcMar>
            <w:vAlign w:val="center"/>
          </w:tcPr>
          <w:p>
            <w:pPr>
              <w:pStyle w:val="TableContents"/>
              <w:bidi w:val="0"/>
              <w:spacing w:before="0" w:after="0"/>
              <w:jc w:val="left"/>
              <w:rPr>
                <w:rFonts w:ascii="ARIAL" w:hAnsi="ARIAL"/>
                <w:sz w:val="18"/>
              </w:rPr>
            </w:pPr>
            <w:r>
              <w:rPr>
                <w:rFonts w:ascii="ARIAL" w:hAnsi="ARIAL"/>
                <w:sz w:val="18"/>
              </w:rPr>
              <w:t>Other NEOs</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370" w:type="dxa"/>
            <w:tcBorders>
              <w:bottom w:val="single" w:sz="8" w:space="0" w:color="732282"/>
            </w:tcBorders>
            <w:tcMar>
              <w:bottom w:w="80" w:type="dxa"/>
            </w:tcMar>
            <w:vAlign w:val="center"/>
          </w:tcPr>
          <w:p>
            <w:pPr>
              <w:pStyle w:val="TableContents"/>
              <w:bidi w:val="0"/>
              <w:spacing w:before="0" w:after="283"/>
              <w:jc w:val="center"/>
              <w:rPr/>
            </w:pPr>
            <w:r>
              <w:rPr/>
              <w:t>3x</w:t>
            </w:r>
          </w:p>
        </w:tc>
      </w:tr>
    </w:tbl>
    <w:p>
      <w:pPr>
        <w:pStyle w:val="TextBody"/>
        <w:bidi w:val="0"/>
        <w:spacing w:before="240" w:after="0"/>
        <w:jc w:val="both"/>
        <w:rPr>
          <w:rFonts w:ascii="arial" w:hAnsi="arial"/>
          <w:sz w:val="18"/>
        </w:rPr>
      </w:pPr>
      <w:r>
        <w:rPr>
          <w:rFonts w:ascii="arial" w:hAnsi="arial"/>
          <w:sz w:val="18"/>
        </w:rPr>
        <w:t xml:space="preserve">In addition to the NEOs, the Viatris share ownership policy covers the most senior employees at Viatris to promote an ownership culture and further align the interests of those leaders with those of shareholders. Each covered employee has five years from the date they became subject to the policy to achieve the minimum ownership requirement. Common stock actually owned by the covered employee (including shares of common stock held by the covered employee in the Restoration Plan), as well as restricted shares and unvested RSUs and PRSUs (including corresponding dividend equivalent units (“DEUs”)) count toward compliance with these requirements. The Company believes that this approach is appropriate given the robust requirements set and the fact that the realized value of vested awards has been less than grant date values in the past. All NEOs meet these share ownership requirements or are expected to meet them by the applicable date. </w:t>
      </w:r>
    </w:p>
    <w:p>
      <w:pPr>
        <w:pStyle w:val="TextBody"/>
        <w:bidi w:val="0"/>
        <w:spacing w:before="240" w:after="0"/>
        <w:jc w:val="left"/>
        <w:rPr>
          <w:rFonts w:ascii="ARIAL" w:hAnsi="ARIAL"/>
          <w:b/>
          <w:sz w:val="20"/>
        </w:rPr>
      </w:pPr>
      <w:r>
        <w:rPr>
          <w:rFonts w:ascii="ARIAL" w:hAnsi="ARIAL"/>
          <w:b/>
          <w:sz w:val="20"/>
        </w:rPr>
        <w:t xml:space="preserve">Clawback Policy </w:t>
      </w:r>
    </w:p>
    <w:p>
      <w:pPr>
        <w:pStyle w:val="TextBody"/>
        <w:bidi w:val="0"/>
        <w:spacing w:before="120" w:after="0"/>
        <w:jc w:val="both"/>
        <w:rPr>
          <w:rFonts w:ascii="arial" w:hAnsi="arial"/>
          <w:sz w:val="18"/>
        </w:rPr>
      </w:pPr>
      <w:r>
        <w:rPr>
          <w:rFonts w:ascii="arial" w:hAnsi="arial"/>
          <w:sz w:val="18"/>
        </w:rPr>
        <w:t xml:space="preserve">The Board has approved a clawback policy relating to incentive compensation programs. The policy provides that Viatris may take action to recoup annual incentive compensation and equity-based incentive compensation gains resulting from specified misconduct.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39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sz w:val="18"/>
        </w:rPr>
        <w:t xml:space="preserve">The policy also provides that Viatris may take action to recoup some or all bonus and equity incentive compensation in the event of executive misconduct involving material violations of law or Viatris policy as well as failure to manage or monitor another individual who committed such misconduct, and that the Board or a designated Board committee will disclose the circumstances of any recoupment relating to such misconduct if required by law or regulation or if it determines that disclosure is in the best interests of Viatris and its shareholders. </w:t>
      </w:r>
    </w:p>
    <w:p>
      <w:pPr>
        <w:pStyle w:val="TextBody"/>
        <w:bidi w:val="0"/>
        <w:spacing w:before="240" w:after="0"/>
        <w:jc w:val="both"/>
        <w:rPr>
          <w:rFonts w:ascii="arial" w:hAnsi="arial"/>
          <w:sz w:val="18"/>
        </w:rPr>
      </w:pPr>
      <w:r>
        <w:rPr>
          <w:rFonts w:ascii="arial" w:hAnsi="arial"/>
          <w:sz w:val="18"/>
        </w:rPr>
        <w:t xml:space="preserve">In addition, Viatris has a number of other policies in effect that govern our executive team’s behavior and that set out clear ethical expectations. Those policies, including our Code of Business Conduct and Ethics, empower Viatris to take a full range of disciplinary responses for any violations, and the Board and the Compensation Committee are not otherwise constrained from seeking to clawback from or deny compensation to any member of the executive team in response to any breach of duties or ethics. The Board considers additional updates to the clawback policy from time to time. </w:t>
      </w:r>
    </w:p>
    <w:p>
      <w:pPr>
        <w:pStyle w:val="TextBody"/>
        <w:bidi w:val="0"/>
        <w:spacing w:before="240" w:after="0"/>
        <w:jc w:val="both"/>
        <w:rPr>
          <w:rFonts w:ascii="arial" w:hAnsi="arial"/>
          <w:sz w:val="18"/>
        </w:rPr>
      </w:pPr>
      <w:r>
        <w:rPr>
          <w:rFonts w:ascii="arial" w:hAnsi="arial"/>
          <w:sz w:val="18"/>
        </w:rPr>
        <w:t xml:space="preserve">In the fourth quarter of 2023, we also timely adopted a clawback policy as required by the final Dodd-Frank rules and exchange listing standards. Our policy requires recoupment of excess compensation paid to our executive officers if amounts are based on material noncompliance with any financial reporting requirement that causes an accounting restatement, without regard to any fault or misconduct. </w:t>
      </w:r>
    </w:p>
    <w:p>
      <w:pPr>
        <w:pStyle w:val="TextBody"/>
        <w:bidi w:val="0"/>
        <w:spacing w:before="240" w:after="0"/>
        <w:jc w:val="left"/>
        <w:rPr>
          <w:rFonts w:ascii="ARIAL" w:hAnsi="ARIAL"/>
          <w:b/>
          <w:sz w:val="20"/>
        </w:rPr>
      </w:pPr>
      <w:r>
        <w:rPr>
          <w:rFonts w:ascii="ARIAL" w:hAnsi="ARIAL"/>
          <w:b/>
          <w:sz w:val="20"/>
        </w:rPr>
        <w:t xml:space="preserve">Anti-Hedging and Anti-Pledging Policy </w:t>
      </w:r>
    </w:p>
    <w:p>
      <w:pPr>
        <w:pStyle w:val="TextBody"/>
        <w:bidi w:val="0"/>
        <w:spacing w:before="120" w:after="0"/>
        <w:jc w:val="both"/>
        <w:rPr>
          <w:rFonts w:ascii="arial" w:hAnsi="arial"/>
          <w:sz w:val="18"/>
        </w:rPr>
      </w:pPr>
      <w:r>
        <w:rPr>
          <w:rFonts w:ascii="arial" w:hAnsi="arial"/>
          <w:sz w:val="18"/>
        </w:rPr>
        <w:t xml:space="preserve">Viatris has a securities trading policy that prohibits Directors and “officers” (as defined in Rule 16a-1(f) of the Exchange Act) (“Section 16 Officers”) and their respective designees from trading in hedging instruments or otherwise engaging in any transaction that limits or eliminates, or is designed to limit or eliminate, economic risks associated with the ownership of our securities. Hedging instruments are defined as any prepaid variable forward contracts, equity swaps, collars, exchange funds, insurance contracts, short sales, options, puts, calls or other instruments that hedge or offset, or are designed to hedge or offset, movements in the market value of our securities. For purposes of this policy, our securities include shares and options to purchase shares, and any other type of securities that we may issue, including but not limited to, preferred shares, notes, debentures, and warrants issued by Viatris or any parent, subsidiary, or subsidiary of any parent of Viatris, as well as any derivative financial instruments pertaining to such securities, whether or not issued by the Company, such as options and forward contracts. </w:t>
      </w:r>
    </w:p>
    <w:p>
      <w:pPr>
        <w:pStyle w:val="TextBody"/>
        <w:bidi w:val="0"/>
        <w:spacing w:before="240" w:after="0"/>
        <w:jc w:val="both"/>
        <w:rPr>
          <w:rFonts w:ascii="arial" w:hAnsi="arial"/>
          <w:sz w:val="18"/>
        </w:rPr>
      </w:pPr>
      <w:r>
        <w:rPr>
          <w:rFonts w:ascii="arial" w:hAnsi="arial"/>
          <w:sz w:val="18"/>
        </w:rPr>
        <w:t xml:space="preserve">The policy also prohibits Directors and Section 16 Officers and their respective designees from entering into any transaction that involves the holding of our securities in a margin account (other than the “cashless exercise” of stock options) or the pledging of our securities as collateral for loans. The Compensation Committee may approve exceptions to the prohibition on the use of margin accounts or pledging or securities if, among other factors, the Director or Section 16 Officer demonstrates, in advance, that he or she has the continuing financial capacity to repay any underlying loan or potential margin call without resorting to our securities held in such margin account or our pledged securities and is not in possession of any material information about the Company that has not been made widely available to the investing public. </w:t>
      </w:r>
    </w:p>
    <w:p>
      <w:pPr>
        <w:pStyle w:val="TextBody"/>
        <w:bidi w:val="0"/>
        <w:spacing w:before="240" w:after="0"/>
        <w:jc w:val="left"/>
        <w:rPr>
          <w:rFonts w:ascii="ARIAL" w:hAnsi="ARIAL"/>
          <w:b/>
          <w:sz w:val="20"/>
        </w:rPr>
      </w:pPr>
      <w:r>
        <w:rPr>
          <w:rFonts w:ascii="ARIAL" w:hAnsi="ARIAL"/>
          <w:b/>
          <w:sz w:val="20"/>
        </w:rPr>
        <w:t xml:space="preserve">Consideration of Risk in Company Compensation Policies </w:t>
      </w:r>
    </w:p>
    <w:p>
      <w:pPr>
        <w:pStyle w:val="TextBody"/>
        <w:bidi w:val="0"/>
        <w:spacing w:before="120" w:after="0"/>
        <w:jc w:val="both"/>
        <w:rPr>
          <w:rFonts w:ascii="arial" w:hAnsi="arial"/>
          <w:sz w:val="18"/>
        </w:rPr>
      </w:pPr>
      <w:r>
        <w:rPr>
          <w:rFonts w:ascii="arial" w:hAnsi="arial"/>
          <w:sz w:val="18"/>
        </w:rPr>
        <w:t xml:space="preserve">The Compensation Committee has considered risk management in determining compensation policies and believes that our programs are designed appropriately to encourage outstanding, consistent, sustainable business performance over extended periods of time. Management and the Compensation Committee have considered and discussed the risks inherent in our business and the design of our compensation plans, policies and programs that are intended to drive the achievement of our long-term business objectives while avoiding excessive short-term risk-taking. In addition, we utilize a mix of objective performance measures, so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40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sz w:val="18"/>
        </w:rPr>
        <w:t xml:space="preserve">that undue emphasis is not placed on one particular measure, and we employ different types of compensation to provide value over the short-, medium- and long-term. These performance measures are reevaluated annually in light of the evolving risk environment facing our business. When making compensation decisions, we also consider qualitative factors to avoid the consequences that an overly formulaic approach may have on excessive risk-taking by management. At least annually, the Compensation Committee also receives and discusses a report from Meridian Compensation Partners, LLC (“Meridian”), its independent compensation consultant, on risk management in connection with the Company’s compensation program. </w:t>
      </w:r>
    </w:p>
    <w:p>
      <w:pPr>
        <w:pStyle w:val="TextBody"/>
        <w:bidi w:val="0"/>
        <w:spacing w:before="240" w:after="0"/>
        <w:jc w:val="both"/>
        <w:rPr>
          <w:rFonts w:ascii="arial" w:hAnsi="arial"/>
          <w:sz w:val="18"/>
        </w:rPr>
      </w:pPr>
      <w:r>
        <w:rPr>
          <w:rFonts w:ascii="arial" w:hAnsi="arial"/>
          <w:sz w:val="18"/>
        </w:rPr>
        <w:t xml:space="preserve">The Compensation Committee believes that our compensation policies and practices do not encourage excessive risk and are not reasonably likely to have a material adverse effect on the Company. </w:t>
      </w:r>
    </w:p>
    <w:p>
      <w:pPr>
        <w:pStyle w:val="TextBody"/>
        <w:bidi w:val="0"/>
        <w:spacing w:before="240" w:after="0"/>
        <w:jc w:val="left"/>
        <w:rPr>
          <w:rFonts w:ascii="ARIAL" w:hAnsi="ARIAL"/>
          <w:b/>
          <w:sz w:val="20"/>
        </w:rPr>
      </w:pPr>
      <w:r>
        <w:rPr>
          <w:rFonts w:ascii="ARIAL" w:hAnsi="ARIAL"/>
          <w:b/>
          <w:sz w:val="20"/>
        </w:rPr>
        <w:t xml:space="preserve">Role of the Compensation Committee </w:t>
      </w:r>
    </w:p>
    <w:p>
      <w:pPr>
        <w:pStyle w:val="TextBody"/>
        <w:bidi w:val="0"/>
        <w:spacing w:before="120" w:after="0"/>
        <w:jc w:val="both"/>
        <w:rPr>
          <w:rFonts w:ascii="arial" w:hAnsi="arial"/>
          <w:sz w:val="18"/>
        </w:rPr>
      </w:pPr>
      <w:r>
        <w:rPr>
          <w:rFonts w:ascii="arial" w:hAnsi="arial"/>
          <w:sz w:val="18"/>
        </w:rPr>
        <w:t xml:space="preserve">The Compensation Committee is comprised solely of independent Directors and oversees the design and implementation of our executive compensation programs. The Compensation Committee reviews and evaluates the performance of our NEOs and determines their compensation and objectives, or, in the case of our former Executive Chairman and our CEO, recommends compensation and objectives to the independent, non-executive members of the Board. The Compensation Committee monitors compensation trends and developments periodically and undertakes a comprehensive assessment of our compensation programs at least annually. In fulfilling these responsibilities, the Compensation Committee utilizes the support of independent compensation consulting firms, independent outside counsel, and an internal executive compensation team. </w:t>
      </w:r>
    </w:p>
    <w:p>
      <w:pPr>
        <w:pStyle w:val="TextBody"/>
        <w:bidi w:val="0"/>
        <w:spacing w:before="240" w:after="0"/>
        <w:jc w:val="both"/>
        <w:rPr>
          <w:rFonts w:ascii="arial" w:hAnsi="arial"/>
          <w:sz w:val="18"/>
        </w:rPr>
      </w:pPr>
      <w:r>
        <w:rPr>
          <w:rFonts w:ascii="arial" w:hAnsi="arial"/>
          <w:sz w:val="18"/>
        </w:rPr>
        <w:t xml:space="preserve">The Compensation Committee has retained Meridian to provide advice and information regarding the design and implementation of Viatris’ executive compensation programs. Meridian also provided information to the Compensation Committee regarding regulatory and other technical developments that may be relevant to our executive compensation programs. In addition, Meridian provided the Compensation Committee with competitive market information, analyses and trends on executive base salary, annual incentives, long-term incentives, benefits and perquisites. </w:t>
      </w:r>
    </w:p>
    <w:p>
      <w:pPr>
        <w:pStyle w:val="TextBody"/>
        <w:bidi w:val="0"/>
        <w:spacing w:before="240" w:after="0"/>
        <w:jc w:val="both"/>
        <w:rPr>
          <w:rFonts w:ascii="arial" w:hAnsi="arial"/>
          <w:sz w:val="18"/>
        </w:rPr>
      </w:pPr>
      <w:r>
        <w:rPr>
          <w:rFonts w:ascii="arial" w:hAnsi="arial"/>
          <w:sz w:val="18"/>
        </w:rPr>
        <w:t xml:space="preserve">The Compensation Committee also receives advice from outside counsel including, but not limited to, Cravath, Swaine &amp; Moore LLP. </w:t>
      </w:r>
    </w:p>
    <w:p>
      <w:pPr>
        <w:pStyle w:val="TextBody"/>
        <w:bidi w:val="0"/>
        <w:spacing w:before="240" w:after="0"/>
        <w:jc w:val="both"/>
        <w:rPr>
          <w:rFonts w:ascii="arial" w:hAnsi="arial"/>
          <w:sz w:val="18"/>
        </w:rPr>
      </w:pPr>
      <w:r>
        <w:rPr>
          <w:rFonts w:ascii="arial" w:hAnsi="arial"/>
          <w:sz w:val="18"/>
        </w:rPr>
        <w:t xml:space="preserve">The Compensation Committee performs an annual review of the independence of its outside advisors, consistent with NASDAQ requirements and the Compensation Committee charter. </w:t>
      </w:r>
    </w:p>
    <w:p>
      <w:pPr>
        <w:pStyle w:val="TextBody"/>
        <w:bidi w:val="0"/>
        <w:spacing w:before="240" w:after="0"/>
        <w:jc w:val="left"/>
        <w:rPr>
          <w:rFonts w:ascii="ARIAL" w:hAnsi="ARIAL"/>
          <w:b/>
          <w:sz w:val="20"/>
        </w:rPr>
      </w:pPr>
      <w:r>
        <w:rPr>
          <w:rFonts w:ascii="ARIAL" w:hAnsi="ARIAL"/>
          <w:b/>
          <w:sz w:val="20"/>
        </w:rPr>
        <w:t xml:space="preserve">Tax Deduction Cap on Executive Compensation </w:t>
      </w:r>
    </w:p>
    <w:p>
      <w:pPr>
        <w:pStyle w:val="TextBody"/>
        <w:bidi w:val="0"/>
        <w:spacing w:before="120" w:after="0"/>
        <w:jc w:val="both"/>
        <w:rPr>
          <w:rFonts w:ascii="arial" w:hAnsi="arial"/>
          <w:sz w:val="18"/>
        </w:rPr>
      </w:pPr>
      <w:r>
        <w:rPr>
          <w:rFonts w:ascii="arial" w:hAnsi="arial"/>
          <w:sz w:val="18"/>
        </w:rPr>
        <w:t xml:space="preserve">Section 162(m) of the Code restricts the deductibility for U.S. federal income tax purposes of the compensation paid to the CEO, CFO, each of the other NEOs who was an executive officer at the end of the applicable fiscal year, and certain other executives to the extent that such compensation for such executive exceeds $1 million. As a result, except to the extent provided in limited transition relief, compensation over $1 million paid to any NEO is no longer deductible under Section 162(m) of the Code. The Board and the Compensation Committee reserve the right to provide compensation to our executives that is not deductible, including, but not limited to, when necessary to comply with contractual commitments, or to maintain the flexibility needed to attract talent, promote retention, or recognize and reward desired performance.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41 </w:t>
      </w:r>
      <w:r>
        <w:br w:type="page"/>
      </w:r>
    </w:p>
    <w:p>
      <w:pPr>
        <w:pStyle w:val="HorizontalLine"/>
        <w:bidi w:val="0"/>
        <w:jc w:val="left"/>
        <w:rPr/>
      </w:pPr>
      <w:r>
        <w:rPr/>
      </w:r>
    </w:p>
    <w:p>
      <w:pPr>
        <w:pStyle w:val="TextBody"/>
        <w:bidi w:val="0"/>
        <w:spacing w:before="0" w:after="0"/>
        <w:jc w:val="left"/>
        <w:rPr>
          <w:rFonts w:ascii="ARIAL" w:hAnsi="ARIAL"/>
          <w:b/>
          <w:sz w:val="20"/>
        </w:rPr>
      </w:pPr>
      <w:r>
        <w:rPr>
          <w:rFonts w:ascii="ARIAL" w:hAnsi="ARIAL"/>
          <w:b/>
          <w:sz w:val="20"/>
        </w:rPr>
        <w:t xml:space="preserve">Compensation Committee Report </w:t>
      </w:r>
    </w:p>
    <w:p>
      <w:pPr>
        <w:pStyle w:val="TextBody"/>
        <w:bidi w:val="0"/>
        <w:spacing w:before="120" w:after="0"/>
        <w:jc w:val="both"/>
        <w:rPr>
          <w:rFonts w:ascii="arial" w:hAnsi="arial"/>
          <w:sz w:val="18"/>
        </w:rPr>
      </w:pPr>
      <w:r>
        <w:rPr>
          <w:rFonts w:ascii="arial" w:hAnsi="arial"/>
          <w:sz w:val="18"/>
        </w:rPr>
        <w:t xml:space="preserve">We have reviewed and discussed the CD&amp;A with management. Based on such review and discussions, we recommended to the Board that the CD&amp;A be included in this Amendment. </w:t>
      </w:r>
    </w:p>
    <w:p>
      <w:pPr>
        <w:pStyle w:val="TextBody"/>
        <w:bidi w:val="0"/>
        <w:spacing w:before="240" w:after="0"/>
        <w:jc w:val="left"/>
        <w:rPr>
          <w:rFonts w:ascii="ARIAL" w:hAnsi="ARIAL"/>
          <w:sz w:val="20"/>
        </w:rPr>
      </w:pPr>
      <w:r>
        <w:rPr>
          <w:rFonts w:ascii="ARIAL" w:hAnsi="ARIAL"/>
          <w:sz w:val="20"/>
        </w:rPr>
        <w:t xml:space="preserve">Respectfully submitted, </w:t>
      </w:r>
    </w:p>
    <w:p>
      <w:pPr>
        <w:pStyle w:val="TextBody"/>
        <w:bidi w:val="0"/>
        <w:spacing w:before="240" w:after="0"/>
        <w:jc w:val="left"/>
        <w:rPr>
          <w:rFonts w:ascii="ARIAL" w:hAnsi="ARIAL"/>
          <w:sz w:val="20"/>
        </w:rPr>
      </w:pPr>
      <w:r>
        <w:rPr>
          <w:rFonts w:ascii="ARIAL" w:hAnsi="ARIAL"/>
          <w:sz w:val="20"/>
        </w:rPr>
        <w:t xml:space="preserve">Harry Korman, Chair </w:t>
      </w:r>
    </w:p>
    <w:p>
      <w:pPr>
        <w:pStyle w:val="TextBody"/>
        <w:bidi w:val="0"/>
        <w:spacing w:before="0" w:after="0"/>
        <w:jc w:val="left"/>
        <w:rPr>
          <w:rFonts w:ascii="ARIAL" w:hAnsi="ARIAL"/>
          <w:sz w:val="20"/>
        </w:rPr>
      </w:pPr>
      <w:r>
        <w:rPr>
          <w:rFonts w:ascii="ARIAL" w:hAnsi="ARIAL"/>
          <w:sz w:val="20"/>
        </w:rPr>
        <w:t xml:space="preserve">JoEllen Lyons Dillon </w:t>
      </w:r>
    </w:p>
    <w:p>
      <w:pPr>
        <w:pStyle w:val="TextBody"/>
        <w:bidi w:val="0"/>
        <w:spacing w:before="0" w:after="0"/>
        <w:jc w:val="left"/>
        <w:rPr>
          <w:rFonts w:ascii="ARIAL" w:hAnsi="ARIAL"/>
          <w:sz w:val="20"/>
        </w:rPr>
      </w:pPr>
      <w:r>
        <w:rPr>
          <w:rFonts w:ascii="ARIAL" w:hAnsi="ARIAL"/>
          <w:sz w:val="20"/>
        </w:rPr>
        <w:t xml:space="preserve">James Kilts </w:t>
      </w:r>
    </w:p>
    <w:p>
      <w:pPr>
        <w:pStyle w:val="TextBody"/>
        <w:bidi w:val="0"/>
        <w:spacing w:before="240" w:after="0"/>
        <w:jc w:val="left"/>
        <w:rPr>
          <w:rFonts w:ascii="ARIAL" w:hAnsi="ARIAL"/>
          <w:b/>
          <w:sz w:val="20"/>
        </w:rPr>
      </w:pPr>
      <w:r>
        <w:rPr>
          <w:rFonts w:ascii="ARIAL" w:hAnsi="ARIAL"/>
          <w:b/>
          <w:sz w:val="20"/>
        </w:rPr>
        <w:t xml:space="preserve">Compensation Committee Interlocks and Insider Participation </w:t>
      </w:r>
    </w:p>
    <w:p>
      <w:pPr>
        <w:pStyle w:val="TextBody"/>
        <w:bidi w:val="0"/>
        <w:spacing w:before="120" w:after="0"/>
        <w:jc w:val="both"/>
        <w:rPr>
          <w:rFonts w:ascii="arial" w:hAnsi="arial"/>
          <w:sz w:val="18"/>
        </w:rPr>
      </w:pPr>
      <w:r>
        <w:rPr>
          <w:rFonts w:ascii="arial" w:hAnsi="arial"/>
          <w:sz w:val="18"/>
        </w:rPr>
        <w:t xml:space="preserve">None of the members of the Compensation Committee during 2023 was an officer or employee of Viatris, was formerly an officer of Viatris, or had any relationship requiring disclosure by Viatris under Item 404 of Regulation S-K. During 2023, no executive officer of Viatris served on the compensation committee or board of another entity, one of whose executive officers served on the Compensation Committee or the Board of Viatris.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42 </w:t>
      </w:r>
      <w:r>
        <w:br w:type="page"/>
      </w:r>
    </w:p>
    <w:p>
      <w:pPr>
        <w:pStyle w:val="HorizontalLine"/>
        <w:bidi w:val="0"/>
        <w:jc w:val="left"/>
        <w:rPr/>
      </w:pPr>
      <w:r>
        <w:rPr/>
      </w:r>
    </w:p>
    <w:p>
      <w:pPr>
        <w:pStyle w:val="TextBody"/>
        <w:bidi w:val="0"/>
        <w:spacing w:before="0" w:after="0"/>
        <w:jc w:val="left"/>
        <w:rPr>
          <w:rFonts w:ascii="arial" w:hAnsi="arial"/>
          <w:color w:val="666666"/>
          <w:sz w:val="28"/>
        </w:rPr>
      </w:pPr>
      <w:r>
        <w:rPr>
          <w:rFonts w:ascii="arial" w:hAnsi="arial"/>
          <w:color w:val="666666"/>
          <w:sz w:val="28"/>
        </w:rPr>
        <w:t xml:space="preserve">Executive Compensation Tables </w:t>
      </w:r>
    </w:p>
    <w:p>
      <w:pPr>
        <w:pStyle w:val="TextBody"/>
        <w:bidi w:val="0"/>
        <w:spacing w:before="240" w:after="0"/>
        <w:jc w:val="left"/>
        <w:rPr>
          <w:rFonts w:ascii="arial" w:hAnsi="arial"/>
          <w:b/>
          <w:color w:val="732282"/>
          <w:sz w:val="20"/>
        </w:rPr>
      </w:pPr>
      <w:r>
        <w:rPr>
          <w:rFonts w:ascii="arial" w:hAnsi="arial"/>
          <w:b/>
          <w:color w:val="732282"/>
          <w:sz w:val="20"/>
        </w:rPr>
        <w:t xml:space="preserve">2023 Summary Compensation Table </w:t>
      </w:r>
    </w:p>
    <w:p>
      <w:pPr>
        <w:pStyle w:val="TextBody"/>
        <w:bidi w:val="0"/>
        <w:spacing w:before="120" w:after="0"/>
        <w:jc w:val="both"/>
        <w:rPr>
          <w:rFonts w:ascii="arial" w:hAnsi="arial"/>
          <w:sz w:val="18"/>
        </w:rPr>
      </w:pPr>
      <w:r>
        <w:rPr>
          <w:rFonts w:ascii="arial" w:hAnsi="arial"/>
          <w:sz w:val="18"/>
        </w:rPr>
        <w:t xml:space="preserve">The following summary compensation table sets forth the cash and non-cash compensation paid or granted to or earned by the NEOs for 2023, 2022, and 2021. </w:t>
      </w:r>
    </w:p>
    <w:p>
      <w:pPr>
        <w:pStyle w:val="TextBody"/>
        <w:bidi w:val="0"/>
        <w:spacing w:before="0" w:after="0"/>
        <w:jc w:val="left"/>
        <w:rPr/>
      </w:pPr>
      <w:r>
        <w:rPr/>
        <w:t> </w:t>
      </w:r>
    </w:p>
    <w:tbl>
      <w:tblPr>
        <w:tblW w:w="13355" w:type="dxa"/>
        <w:jc w:val="left"/>
        <w:tblInd w:w="0" w:type="dxa"/>
        <w:tblLayout w:type="fixed"/>
        <w:tblCellMar>
          <w:top w:w="0" w:type="dxa"/>
          <w:left w:w="0" w:type="dxa"/>
          <w:bottom w:w="0" w:type="dxa"/>
          <w:right w:w="0" w:type="dxa"/>
        </w:tblCellMar>
      </w:tblPr>
      <w:tblGrid>
        <w:gridCol w:w="1835"/>
        <w:gridCol w:w="60"/>
        <w:gridCol w:w="64"/>
        <w:gridCol w:w="541"/>
        <w:gridCol w:w="60"/>
        <w:gridCol w:w="60"/>
        <w:gridCol w:w="60"/>
        <w:gridCol w:w="980"/>
        <w:gridCol w:w="60"/>
        <w:gridCol w:w="60"/>
        <w:gridCol w:w="60"/>
        <w:gridCol w:w="1100"/>
        <w:gridCol w:w="60"/>
        <w:gridCol w:w="60"/>
        <w:gridCol w:w="60"/>
        <w:gridCol w:w="1100"/>
        <w:gridCol w:w="60"/>
        <w:gridCol w:w="60"/>
        <w:gridCol w:w="155"/>
        <w:gridCol w:w="675"/>
        <w:gridCol w:w="60"/>
        <w:gridCol w:w="60"/>
        <w:gridCol w:w="85"/>
        <w:gridCol w:w="1405"/>
        <w:gridCol w:w="60"/>
        <w:gridCol w:w="60"/>
        <w:gridCol w:w="279"/>
        <w:gridCol w:w="1211"/>
        <w:gridCol w:w="60"/>
        <w:gridCol w:w="60"/>
        <w:gridCol w:w="77"/>
        <w:gridCol w:w="1413"/>
        <w:gridCol w:w="60"/>
        <w:gridCol w:w="60"/>
        <w:gridCol w:w="60"/>
        <w:gridCol w:w="1100"/>
        <w:gridCol w:w="7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shd w:fill="444444" w:val="clear"/>
            <w:vAlign w:val="center"/>
          </w:tcPr>
          <w:p>
            <w:pPr>
              <w:pStyle w:val="TableContents"/>
              <w:bidi w:val="0"/>
              <w:spacing w:before="0" w:after="283"/>
              <w:jc w:val="left"/>
              <w:rPr>
                <w:sz w:val="4"/>
                <w:szCs w:val="4"/>
              </w:rPr>
            </w:pPr>
            <w:r>
              <w:rPr>
                <w:sz w:val="4"/>
                <w:szCs w:val="4"/>
              </w:rPr>
            </w:r>
          </w:p>
        </w:tc>
        <w:tc>
          <w:tcPr>
            <w:tcW w:w="725" w:type="dxa"/>
            <w:gridSpan w:val="4"/>
            <w:tcBorders/>
            <w:shd w:fill="444444" w:val="clear"/>
            <w:vAlign w:val="center"/>
          </w:tcPr>
          <w:p>
            <w:pPr>
              <w:pStyle w:val="TableContents"/>
              <w:bidi w:val="0"/>
              <w:spacing w:before="0" w:after="283"/>
              <w:jc w:val="left"/>
              <w:rPr>
                <w:sz w:val="4"/>
                <w:szCs w:val="4"/>
              </w:rPr>
            </w:pPr>
            <w:r>
              <w:rPr>
                <w:sz w:val="4"/>
                <w:szCs w:val="4"/>
              </w:rPr>
            </w:r>
          </w:p>
        </w:tc>
        <w:tc>
          <w:tcPr>
            <w:tcW w:w="1160" w:type="dxa"/>
            <w:gridSpan w:val="4"/>
            <w:tcBorders/>
            <w:shd w:fill="444444" w:val="clear"/>
            <w:vAlign w:val="center"/>
          </w:tcPr>
          <w:p>
            <w:pPr>
              <w:pStyle w:val="TableContents"/>
              <w:bidi w:val="0"/>
              <w:spacing w:before="0" w:after="283"/>
              <w:jc w:val="left"/>
              <w:rPr>
                <w:sz w:val="4"/>
                <w:szCs w:val="4"/>
              </w:rPr>
            </w:pPr>
            <w:r>
              <w:rPr>
                <w:sz w:val="4"/>
                <w:szCs w:val="4"/>
              </w:rPr>
            </w:r>
          </w:p>
        </w:tc>
        <w:tc>
          <w:tcPr>
            <w:tcW w:w="1280" w:type="dxa"/>
            <w:gridSpan w:val="4"/>
            <w:tcBorders/>
            <w:shd w:fill="444444" w:val="clear"/>
            <w:vAlign w:val="center"/>
          </w:tcPr>
          <w:p>
            <w:pPr>
              <w:pStyle w:val="TableContents"/>
              <w:bidi w:val="0"/>
              <w:spacing w:before="0" w:after="283"/>
              <w:jc w:val="left"/>
              <w:rPr>
                <w:sz w:val="4"/>
                <w:szCs w:val="4"/>
              </w:rPr>
            </w:pPr>
            <w:r>
              <w:rPr>
                <w:sz w:val="4"/>
                <w:szCs w:val="4"/>
              </w:rPr>
            </w:r>
          </w:p>
        </w:tc>
        <w:tc>
          <w:tcPr>
            <w:tcW w:w="1280" w:type="dxa"/>
            <w:gridSpan w:val="4"/>
            <w:tcBorders/>
            <w:shd w:fill="444444" w:val="clear"/>
            <w:vAlign w:val="center"/>
          </w:tcPr>
          <w:p>
            <w:pPr>
              <w:pStyle w:val="TableContents"/>
              <w:bidi w:val="0"/>
              <w:spacing w:before="0" w:after="283"/>
              <w:jc w:val="left"/>
              <w:rPr>
                <w:sz w:val="4"/>
                <w:szCs w:val="4"/>
              </w:rPr>
            </w:pPr>
            <w:r>
              <w:rPr>
                <w:sz w:val="4"/>
                <w:szCs w:val="4"/>
              </w:rPr>
            </w:r>
          </w:p>
        </w:tc>
        <w:tc>
          <w:tcPr>
            <w:tcW w:w="950" w:type="dxa"/>
            <w:gridSpan w:val="4"/>
            <w:tcBorders/>
            <w:shd w:fill="444444" w:val="clear"/>
            <w:vAlign w:val="center"/>
          </w:tcPr>
          <w:p>
            <w:pPr>
              <w:pStyle w:val="TableContents"/>
              <w:bidi w:val="0"/>
              <w:spacing w:before="0" w:after="283"/>
              <w:jc w:val="left"/>
              <w:rPr>
                <w:sz w:val="4"/>
                <w:szCs w:val="4"/>
              </w:rPr>
            </w:pPr>
            <w:r>
              <w:rPr>
                <w:sz w:val="4"/>
                <w:szCs w:val="4"/>
              </w:rPr>
            </w:r>
          </w:p>
        </w:tc>
        <w:tc>
          <w:tcPr>
            <w:tcW w:w="1610" w:type="dxa"/>
            <w:gridSpan w:val="4"/>
            <w:tcBorders/>
            <w:shd w:fill="444444" w:val="clear"/>
            <w:vAlign w:val="center"/>
          </w:tcPr>
          <w:p>
            <w:pPr>
              <w:pStyle w:val="TableContents"/>
              <w:bidi w:val="0"/>
              <w:spacing w:before="0" w:after="283"/>
              <w:jc w:val="left"/>
              <w:rPr>
                <w:sz w:val="4"/>
                <w:szCs w:val="4"/>
              </w:rPr>
            </w:pPr>
            <w:r>
              <w:rPr>
                <w:sz w:val="4"/>
                <w:szCs w:val="4"/>
              </w:rPr>
            </w:r>
          </w:p>
        </w:tc>
        <w:tc>
          <w:tcPr>
            <w:tcW w:w="1610" w:type="dxa"/>
            <w:gridSpan w:val="4"/>
            <w:tcBorders/>
            <w:shd w:fill="444444" w:val="clear"/>
            <w:vAlign w:val="center"/>
          </w:tcPr>
          <w:p>
            <w:pPr>
              <w:pStyle w:val="TableContents"/>
              <w:bidi w:val="0"/>
              <w:spacing w:before="0" w:after="283"/>
              <w:jc w:val="left"/>
              <w:rPr>
                <w:sz w:val="4"/>
                <w:szCs w:val="4"/>
              </w:rPr>
            </w:pPr>
            <w:r>
              <w:rPr>
                <w:sz w:val="4"/>
                <w:szCs w:val="4"/>
              </w:rPr>
            </w:r>
          </w:p>
        </w:tc>
        <w:tc>
          <w:tcPr>
            <w:tcW w:w="1610" w:type="dxa"/>
            <w:gridSpan w:val="4"/>
            <w:tcBorders/>
            <w:shd w:fill="444444" w:val="clear"/>
            <w:vAlign w:val="center"/>
          </w:tcPr>
          <w:p>
            <w:pPr>
              <w:pStyle w:val="TableContents"/>
              <w:bidi w:val="0"/>
              <w:spacing w:before="0" w:after="283"/>
              <w:jc w:val="left"/>
              <w:rPr>
                <w:sz w:val="4"/>
                <w:szCs w:val="4"/>
              </w:rPr>
            </w:pPr>
            <w:r>
              <w:rPr>
                <w:sz w:val="4"/>
                <w:szCs w:val="4"/>
              </w:rPr>
            </w:r>
          </w:p>
        </w:tc>
        <w:tc>
          <w:tcPr>
            <w:tcW w:w="1295" w:type="dxa"/>
            <w:gridSpan w:val="4"/>
            <w:tcBorders/>
            <w:shd w:fill="444444" w:val="clear"/>
            <w:vAlign w:val="center"/>
          </w:tcPr>
          <w:p>
            <w:pPr>
              <w:pStyle w:val="TableContents"/>
              <w:bidi w:val="0"/>
              <w:spacing w:before="0" w:after="283"/>
              <w:jc w:val="left"/>
              <w:rPr>
                <w:sz w:val="4"/>
                <w:szCs w:val="4"/>
              </w:rPr>
            </w:pPr>
            <w:r>
              <w:rPr>
                <w:sz w:val="4"/>
                <w:szCs w:val="4"/>
              </w:rPr>
            </w:r>
          </w:p>
        </w:tc>
      </w:tr>
      <w:tr>
        <w:trPr/>
        <w:tc>
          <w:tcPr>
            <w:tcW w:w="1835" w:type="dxa"/>
            <w:tcBorders/>
            <w:shd w:fill="444444" w:val="clear"/>
            <w:vAlign w:val="center"/>
          </w:tcPr>
          <w:p>
            <w:pPr>
              <w:pStyle w:val="TableContents"/>
              <w:bidi w:val="0"/>
              <w:spacing w:before="0" w:after="283"/>
              <w:jc w:val="left"/>
              <w:rPr>
                <w:b/>
                <w:color w:val="FFFFFF"/>
              </w:rPr>
            </w:pPr>
            <w:r>
              <w:rPr>
                <w:b/>
                <w:color w:val="FFFFFF"/>
              </w:rPr>
              <w:t xml:space="preserve">Name and </w:t>
              <w:br/>
              <w:t>Principal Position</w:t>
            </w:r>
          </w:p>
        </w:tc>
        <w:tc>
          <w:tcPr>
            <w:tcW w:w="60" w:type="dxa"/>
            <w:tcBorders/>
            <w:shd w:fill="444444" w:val="clear"/>
            <w:vAlign w:val="center"/>
          </w:tcPr>
          <w:p>
            <w:pPr>
              <w:pStyle w:val="TableContents"/>
              <w:bidi w:val="0"/>
              <w:spacing w:before="0" w:after="283"/>
              <w:jc w:val="left"/>
              <w:rPr/>
            </w:pPr>
            <w:r>
              <w:rPr/>
              <w:t> </w:t>
            </w:r>
          </w:p>
        </w:tc>
        <w:tc>
          <w:tcPr>
            <w:tcW w:w="605" w:type="dxa"/>
            <w:gridSpan w:val="2"/>
            <w:tcBorders/>
            <w:shd w:fill="444444" w:val="clear"/>
            <w:vAlign w:val="center"/>
          </w:tcPr>
          <w:p>
            <w:pPr>
              <w:pStyle w:val="TableContents"/>
              <w:bidi w:val="0"/>
              <w:spacing w:before="0" w:after="283"/>
              <w:jc w:val="center"/>
              <w:rPr>
                <w:b/>
                <w:color w:val="FFFFFF"/>
              </w:rPr>
            </w:pPr>
            <w:r>
              <w:rPr>
                <w:b/>
                <w:color w:val="FFFFFF"/>
              </w:rPr>
              <w:t>Fiscal</w:t>
              <w:br/>
              <w:t>Year</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040" w:type="dxa"/>
            <w:gridSpan w:val="2"/>
            <w:tcBorders/>
            <w:shd w:fill="444444" w:val="clear"/>
            <w:vAlign w:val="center"/>
          </w:tcPr>
          <w:p>
            <w:pPr>
              <w:pStyle w:val="TableContents"/>
              <w:bidi w:val="0"/>
              <w:spacing w:before="0" w:after="283"/>
              <w:jc w:val="center"/>
              <w:rPr>
                <w:b/>
                <w:color w:val="FFFFFF"/>
              </w:rPr>
            </w:pPr>
            <w:r>
              <w:rPr>
                <w:b/>
                <w:color w:val="FFFFFF"/>
              </w:rPr>
              <w:t>Salary</w:t>
              <w:br/>
              <w:t>($)(1)</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160" w:type="dxa"/>
            <w:gridSpan w:val="2"/>
            <w:tcBorders/>
            <w:shd w:fill="444444" w:val="clear"/>
            <w:vAlign w:val="center"/>
          </w:tcPr>
          <w:p>
            <w:pPr>
              <w:pStyle w:val="TableContents"/>
              <w:bidi w:val="0"/>
              <w:spacing w:before="0" w:after="283"/>
              <w:jc w:val="center"/>
              <w:rPr>
                <w:b/>
                <w:color w:val="FFFFFF"/>
              </w:rPr>
            </w:pPr>
            <w:r>
              <w:rPr>
                <w:b/>
                <w:color w:val="FFFFFF"/>
              </w:rPr>
              <w:t>Bonus</w:t>
              <w:br/>
              <w:t>($)(2)</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160" w:type="dxa"/>
            <w:gridSpan w:val="2"/>
            <w:tcBorders/>
            <w:shd w:fill="444444" w:val="clear"/>
            <w:vAlign w:val="center"/>
          </w:tcPr>
          <w:p>
            <w:pPr>
              <w:pStyle w:val="TableContents"/>
              <w:bidi w:val="0"/>
              <w:spacing w:before="0" w:after="283"/>
              <w:jc w:val="center"/>
              <w:rPr>
                <w:b/>
                <w:color w:val="FFFFFF"/>
              </w:rPr>
            </w:pPr>
            <w:r>
              <w:rPr>
                <w:b/>
                <w:color w:val="FFFFFF"/>
              </w:rPr>
              <w:t>Stock</w:t>
              <w:br/>
              <w:t>Awards</w:t>
              <w:br/>
              <w:t>($)(3)</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830" w:type="dxa"/>
            <w:gridSpan w:val="2"/>
            <w:tcBorders/>
            <w:shd w:fill="444444" w:val="clear"/>
            <w:vAlign w:val="center"/>
          </w:tcPr>
          <w:p>
            <w:pPr>
              <w:pStyle w:val="TableContents"/>
              <w:bidi w:val="0"/>
              <w:spacing w:before="0" w:after="283"/>
              <w:jc w:val="center"/>
              <w:rPr>
                <w:b/>
                <w:color w:val="FFFFFF"/>
              </w:rPr>
            </w:pPr>
            <w:r>
              <w:rPr>
                <w:b/>
                <w:color w:val="FFFFFF"/>
              </w:rPr>
              <w:t>Option</w:t>
              <w:br/>
              <w:t>Awards</w:t>
              <w:br/>
              <w:t>($)</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490" w:type="dxa"/>
            <w:gridSpan w:val="2"/>
            <w:tcBorders/>
            <w:shd w:fill="444444" w:val="clear"/>
            <w:vAlign w:val="center"/>
          </w:tcPr>
          <w:p>
            <w:pPr>
              <w:pStyle w:val="TableContents"/>
              <w:bidi w:val="0"/>
              <w:spacing w:before="0" w:after="283"/>
              <w:jc w:val="center"/>
              <w:rPr>
                <w:b/>
                <w:color w:val="FFFFFF"/>
              </w:rPr>
            </w:pPr>
            <w:r>
              <w:rPr>
                <w:b/>
                <w:color w:val="FFFFFF"/>
              </w:rPr>
              <w:t>Non-Equity</w:t>
              <w:br/>
              <w:t>Incentive Plan</w:t>
              <w:br/>
              <w:t>Compensation</w:t>
              <w:br/>
              <w:t>($)(4)</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490" w:type="dxa"/>
            <w:gridSpan w:val="2"/>
            <w:tcBorders/>
            <w:shd w:fill="444444" w:val="clear"/>
            <w:vAlign w:val="center"/>
          </w:tcPr>
          <w:p>
            <w:pPr>
              <w:pStyle w:val="TableContents"/>
              <w:bidi w:val="0"/>
              <w:spacing w:before="0" w:after="283"/>
              <w:jc w:val="center"/>
              <w:rPr>
                <w:b/>
                <w:color w:val="FFFFFF"/>
              </w:rPr>
            </w:pPr>
            <w:r>
              <w:rPr>
                <w:b/>
                <w:color w:val="FFFFFF"/>
              </w:rPr>
              <w:t>Change in</w:t>
              <w:br/>
              <w:t>Pension Value</w:t>
              <w:br/>
              <w:t>and</w:t>
              <w:br/>
              <w:t>Non-qualified</w:t>
              <w:br/>
              <w:t>Deferred</w:t>
              <w:br/>
              <w:t>Compensation</w:t>
              <w:br/>
              <w:t>Earnings</w:t>
              <w:br/>
              <w:t>($)</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490" w:type="dxa"/>
            <w:gridSpan w:val="2"/>
            <w:tcBorders/>
            <w:shd w:fill="444444" w:val="clear"/>
            <w:vAlign w:val="center"/>
          </w:tcPr>
          <w:p>
            <w:pPr>
              <w:pStyle w:val="TableContents"/>
              <w:bidi w:val="0"/>
              <w:spacing w:before="0" w:after="283"/>
              <w:jc w:val="center"/>
              <w:rPr>
                <w:b/>
                <w:color w:val="FFFFFF"/>
              </w:rPr>
            </w:pPr>
            <w:r>
              <w:rPr>
                <w:b/>
                <w:color w:val="FFFFFF"/>
              </w:rPr>
              <w:t>All Other</w:t>
              <w:br/>
              <w:t>Compensation</w:t>
              <w:br/>
              <w:t>($)(5)</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160" w:type="dxa"/>
            <w:gridSpan w:val="2"/>
            <w:tcBorders/>
            <w:shd w:fill="444444" w:val="clear"/>
            <w:vAlign w:val="center"/>
          </w:tcPr>
          <w:p>
            <w:pPr>
              <w:pStyle w:val="TableContents"/>
              <w:bidi w:val="0"/>
              <w:spacing w:before="0" w:after="283"/>
              <w:jc w:val="center"/>
              <w:rPr>
                <w:b/>
                <w:color w:val="FFFFFF"/>
              </w:rPr>
            </w:pPr>
            <w:r>
              <w:rPr>
                <w:b/>
                <w:color w:val="FFFFFF"/>
              </w:rPr>
              <w:t>Total</w:t>
              <w:br/>
              <w:t>($)</w:t>
            </w:r>
          </w:p>
        </w:tc>
        <w:tc>
          <w:tcPr>
            <w:tcW w:w="75" w:type="dxa"/>
            <w:tcBorders/>
            <w:shd w:fill="444444" w:val="clear"/>
            <w:vAlign w:val="center"/>
          </w:tcPr>
          <w:p>
            <w:pPr>
              <w:pStyle w:val="TableContents"/>
              <w:bidi w:val="0"/>
              <w:spacing w:before="0" w:after="283"/>
              <w:jc w:val="left"/>
              <w:rPr/>
            </w:pPr>
            <w:r>
              <w:rPr/>
              <w:t> </w:t>
            </w:r>
          </w:p>
        </w:tc>
      </w:tr>
      <w:tr>
        <w:trPr/>
        <w:tc>
          <w:tcPr>
            <w:tcW w:w="1835" w:type="dxa"/>
            <w:vMerge w:val="restart"/>
            <w:tcBorders/>
            <w:shd w:fill="E5E5E5" w:val="clear"/>
            <w:vAlign w:val="center"/>
          </w:tcPr>
          <w:p>
            <w:pPr>
              <w:pStyle w:val="TableContents"/>
              <w:bidi w:val="0"/>
              <w:spacing w:before="0" w:after="0"/>
              <w:jc w:val="left"/>
              <w:rPr>
                <w:rFonts w:ascii="ARIAL" w:hAnsi="ARIAL"/>
                <w:b/>
                <w:sz w:val="15"/>
              </w:rPr>
            </w:pPr>
            <w:r>
              <w:rPr>
                <w:rFonts w:ascii="ARIAL" w:hAnsi="ARIAL"/>
                <w:b/>
                <w:sz w:val="15"/>
              </w:rPr>
              <w:t>Scott A. Smith</w:t>
            </w:r>
          </w:p>
          <w:p>
            <w:pPr>
              <w:pStyle w:val="TableContents"/>
              <w:bidi w:val="0"/>
              <w:spacing w:before="0" w:after="20"/>
              <w:jc w:val="left"/>
              <w:rPr>
                <w:rFonts w:ascii="ARIAL" w:hAnsi="ARIAL"/>
                <w:i/>
                <w:sz w:val="15"/>
              </w:rPr>
            </w:pPr>
            <w:r>
              <w:rPr>
                <w:rFonts w:ascii="ARIAL" w:hAnsi="ARIAL"/>
                <w:i/>
                <w:sz w:val="15"/>
              </w:rPr>
              <w:t>Chief Executive Officer</w:t>
            </w:r>
          </w:p>
        </w:tc>
        <w:tc>
          <w:tcPr>
            <w:tcW w:w="60" w:type="dxa"/>
            <w:tcBorders/>
            <w:shd w:fill="E5E5E5" w:val="cle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before="0" w:after="283"/>
              <w:jc w:val="left"/>
              <w:rPr/>
            </w:pPr>
            <w:r>
              <w:rPr/>
              <w:t> </w:t>
            </w:r>
          </w:p>
        </w:tc>
        <w:tc>
          <w:tcPr>
            <w:tcW w:w="541" w:type="dxa"/>
            <w:tcBorders/>
            <w:shd w:fill="E5E5E5" w:val="clear"/>
            <w:vAlign w:val="center"/>
          </w:tcPr>
          <w:p>
            <w:pPr>
              <w:pStyle w:val="TableContents"/>
              <w:bidi w:val="0"/>
              <w:spacing w:before="0" w:after="283"/>
              <w:jc w:val="right"/>
              <w:rPr/>
            </w:pPr>
            <w:r>
              <w:rPr/>
              <w:t>2023</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1,023,077</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11,200,008</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55" w:type="dxa"/>
            <w:tcBorders/>
            <w:shd w:fill="E5E5E5" w:val="clear"/>
            <w:vAlign w:val="center"/>
          </w:tcPr>
          <w:p>
            <w:pPr>
              <w:pStyle w:val="TableContents"/>
              <w:bidi w:val="0"/>
              <w:spacing w:before="0" w:after="283"/>
              <w:jc w:val="left"/>
              <w:rPr/>
            </w:pPr>
            <w:r>
              <w:rPr/>
              <w:t> </w:t>
            </w:r>
          </w:p>
        </w:tc>
        <w:tc>
          <w:tcPr>
            <w:tcW w:w="675"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5" w:type="dxa"/>
            <w:tcBorders/>
            <w:shd w:fill="E5E5E5" w:val="clear"/>
            <w:vAlign w:val="center"/>
          </w:tcPr>
          <w:p>
            <w:pPr>
              <w:pStyle w:val="TableContents"/>
              <w:bidi w:val="0"/>
              <w:spacing w:before="0" w:after="283"/>
              <w:jc w:val="left"/>
              <w:rPr/>
            </w:pPr>
            <w:r>
              <w:rPr/>
              <w:t> </w:t>
            </w:r>
          </w:p>
        </w:tc>
        <w:tc>
          <w:tcPr>
            <w:tcW w:w="1405" w:type="dxa"/>
            <w:tcBorders/>
            <w:shd w:fill="E5E5E5" w:val="clear"/>
            <w:vAlign w:val="center"/>
          </w:tcPr>
          <w:p>
            <w:pPr>
              <w:pStyle w:val="TableContents"/>
              <w:bidi w:val="0"/>
              <w:spacing w:before="0" w:after="283"/>
              <w:jc w:val="right"/>
              <w:rPr/>
            </w:pPr>
            <w:r>
              <w:rPr/>
              <w:t>2,884,494</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279" w:type="dxa"/>
            <w:tcBorders/>
            <w:shd w:fill="E5E5E5" w:val="clear"/>
            <w:vAlign w:val="center"/>
          </w:tcPr>
          <w:p>
            <w:pPr>
              <w:pStyle w:val="TableContents"/>
              <w:bidi w:val="0"/>
              <w:spacing w:before="0" w:after="283"/>
              <w:jc w:val="left"/>
              <w:rPr/>
            </w:pPr>
            <w:r>
              <w:rPr/>
              <w:t> </w:t>
            </w:r>
          </w:p>
        </w:tc>
        <w:tc>
          <w:tcPr>
            <w:tcW w:w="1211"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7" w:type="dxa"/>
            <w:tcBorders/>
            <w:shd w:fill="E5E5E5" w:val="clear"/>
            <w:vAlign w:val="center"/>
          </w:tcPr>
          <w:p>
            <w:pPr>
              <w:pStyle w:val="TableContents"/>
              <w:bidi w:val="0"/>
              <w:spacing w:before="0" w:after="283"/>
              <w:jc w:val="left"/>
              <w:rPr/>
            </w:pPr>
            <w:r>
              <w:rPr/>
              <w:t> </w:t>
            </w:r>
          </w:p>
        </w:tc>
        <w:tc>
          <w:tcPr>
            <w:tcW w:w="1413" w:type="dxa"/>
            <w:tcBorders/>
            <w:shd w:fill="E5E5E5" w:val="clear"/>
            <w:vAlign w:val="center"/>
          </w:tcPr>
          <w:p>
            <w:pPr>
              <w:pStyle w:val="TableContents"/>
              <w:bidi w:val="0"/>
              <w:spacing w:before="0" w:after="283"/>
              <w:jc w:val="right"/>
              <w:rPr/>
            </w:pPr>
            <w:r>
              <w:rPr/>
              <w:t>822,830</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15,930,409</w:t>
            </w:r>
          </w:p>
        </w:tc>
        <w:tc>
          <w:tcPr>
            <w:tcW w:w="75" w:type="dxa"/>
            <w:tcBorders/>
            <w:shd w:fill="E5E5E5" w:val="clear"/>
            <w:vAlign w:val="center"/>
          </w:tcPr>
          <w:p>
            <w:pPr>
              <w:pStyle w:val="TableContents"/>
              <w:bidi w:val="0"/>
              <w:spacing w:before="0" w:after="283"/>
              <w:jc w:val="left"/>
              <w:rPr/>
            </w:pPr>
            <w:r>
              <w:rPr/>
              <w:t> </w:t>
            </w:r>
          </w:p>
        </w:tc>
      </w:tr>
      <w:tr>
        <w:trPr/>
        <w:tc>
          <w:tcPr>
            <w:tcW w:w="1835" w:type="dxa"/>
            <w:vMerge w:val="continue"/>
            <w:tcBorders/>
            <w:shd w:fill="E5E5E5" w:val="clear"/>
            <w:vAlign w:val="center"/>
          </w:tcPr>
          <w:p>
            <w:pPr>
              <w:pStyle w:val="Normal"/>
              <w:bidi w:val="0"/>
              <w:jc w:val="left"/>
              <w:rPr/>
            </w:pPr>
            <w:r>
              <w:rPr/>
            </w:r>
          </w:p>
        </w:tc>
        <w:tc>
          <w:tcPr>
            <w:tcW w:w="60" w:type="dxa"/>
            <w:tcBorders/>
            <w:shd w:fill="E5E5E5" w:val="cle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before="0" w:after="283"/>
              <w:jc w:val="left"/>
              <w:rPr>
                <w:sz w:val="4"/>
                <w:szCs w:val="4"/>
              </w:rPr>
            </w:pPr>
            <w:r>
              <w:rPr>
                <w:sz w:val="4"/>
                <w:szCs w:val="4"/>
              </w:rPr>
            </w:r>
          </w:p>
        </w:tc>
        <w:tc>
          <w:tcPr>
            <w:tcW w:w="541"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98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110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110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55" w:type="dxa"/>
            <w:tcBorders/>
            <w:shd w:fill="E5E5E5" w:val="clear"/>
            <w:vAlign w:val="center"/>
          </w:tcPr>
          <w:p>
            <w:pPr>
              <w:pStyle w:val="TableContents"/>
              <w:bidi w:val="0"/>
              <w:spacing w:before="0" w:after="283"/>
              <w:jc w:val="left"/>
              <w:rPr>
                <w:sz w:val="4"/>
                <w:szCs w:val="4"/>
              </w:rPr>
            </w:pPr>
            <w:r>
              <w:rPr>
                <w:sz w:val="4"/>
                <w:szCs w:val="4"/>
              </w:rPr>
            </w:r>
          </w:p>
        </w:tc>
        <w:tc>
          <w:tcPr>
            <w:tcW w:w="67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85" w:type="dxa"/>
            <w:tcBorders/>
            <w:shd w:fill="E5E5E5" w:val="clear"/>
            <w:vAlign w:val="center"/>
          </w:tcPr>
          <w:p>
            <w:pPr>
              <w:pStyle w:val="TableContents"/>
              <w:bidi w:val="0"/>
              <w:spacing w:before="0" w:after="283"/>
              <w:jc w:val="left"/>
              <w:rPr>
                <w:sz w:val="4"/>
                <w:szCs w:val="4"/>
              </w:rPr>
            </w:pPr>
            <w:r>
              <w:rPr>
                <w:sz w:val="4"/>
                <w:szCs w:val="4"/>
              </w:rPr>
            </w:r>
          </w:p>
        </w:tc>
        <w:tc>
          <w:tcPr>
            <w:tcW w:w="140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279" w:type="dxa"/>
            <w:tcBorders/>
            <w:shd w:fill="E5E5E5" w:val="clear"/>
            <w:vAlign w:val="center"/>
          </w:tcPr>
          <w:p>
            <w:pPr>
              <w:pStyle w:val="TableContents"/>
              <w:bidi w:val="0"/>
              <w:spacing w:before="0" w:after="283"/>
              <w:jc w:val="left"/>
              <w:rPr>
                <w:sz w:val="4"/>
                <w:szCs w:val="4"/>
              </w:rPr>
            </w:pPr>
            <w:r>
              <w:rPr>
                <w:sz w:val="4"/>
                <w:szCs w:val="4"/>
              </w:rPr>
            </w:r>
          </w:p>
        </w:tc>
        <w:tc>
          <w:tcPr>
            <w:tcW w:w="1211"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77" w:type="dxa"/>
            <w:tcBorders/>
            <w:shd w:fill="E5E5E5" w:val="clear"/>
            <w:vAlign w:val="center"/>
          </w:tcPr>
          <w:p>
            <w:pPr>
              <w:pStyle w:val="TableContents"/>
              <w:bidi w:val="0"/>
              <w:spacing w:before="0" w:after="283"/>
              <w:jc w:val="left"/>
              <w:rPr>
                <w:sz w:val="4"/>
                <w:szCs w:val="4"/>
              </w:rPr>
            </w:pPr>
            <w:r>
              <w:rPr>
                <w:sz w:val="4"/>
                <w:szCs w:val="4"/>
              </w:rPr>
            </w:r>
          </w:p>
        </w:tc>
        <w:tc>
          <w:tcPr>
            <w:tcW w:w="141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1100" w:type="dxa"/>
            <w:tcBorders/>
            <w:shd w:fill="E5E5E5" w:val="clear"/>
            <w:vAlign w:val="center"/>
          </w:tcPr>
          <w:p>
            <w:pPr>
              <w:pStyle w:val="TableContents"/>
              <w:bidi w:val="0"/>
              <w:spacing w:before="0" w:after="283"/>
              <w:jc w:val="left"/>
              <w:rPr>
                <w:sz w:val="4"/>
                <w:szCs w:val="4"/>
              </w:rPr>
            </w:pPr>
            <w:r>
              <w:rPr>
                <w:sz w:val="4"/>
                <w:szCs w:val="4"/>
              </w:rPr>
            </w:r>
          </w:p>
        </w:tc>
        <w:tc>
          <w:tcPr>
            <w:tcW w:w="75" w:type="dxa"/>
            <w:tcBorders/>
            <w:shd w:fill="E5E5E5" w:val="clear"/>
            <w:vAlign w:val="center"/>
          </w:tcPr>
          <w:p>
            <w:pPr>
              <w:pStyle w:val="TableContents"/>
              <w:bidi w:val="0"/>
              <w:spacing w:before="0" w:after="283"/>
              <w:jc w:val="left"/>
              <w:rPr>
                <w:sz w:val="4"/>
                <w:szCs w:val="4"/>
              </w:rPr>
            </w:pPr>
            <w:r>
              <w:rPr>
                <w:sz w:val="4"/>
                <w:szCs w:val="4"/>
              </w:rPr>
            </w:r>
          </w:p>
        </w:tc>
      </w:tr>
      <w:tr>
        <w:trPr/>
        <w:tc>
          <w:tcPr>
            <w:tcW w:w="1835" w:type="dxa"/>
            <w:vMerge w:val="restart"/>
            <w:tcBorders/>
            <w:vAlign w:val="center"/>
          </w:tcPr>
          <w:p>
            <w:pPr>
              <w:pStyle w:val="TableContents"/>
              <w:bidi w:val="0"/>
              <w:spacing w:before="0" w:after="0"/>
              <w:jc w:val="left"/>
              <w:rPr>
                <w:rFonts w:ascii="ARIAL" w:hAnsi="ARIAL"/>
                <w:b/>
                <w:sz w:val="15"/>
              </w:rPr>
            </w:pPr>
            <w:r>
              <w:rPr>
                <w:rFonts w:ascii="ARIAL" w:hAnsi="ARIAL"/>
                <w:b/>
                <w:sz w:val="15"/>
              </w:rPr>
              <w:t>Sanjeev Narula</w:t>
            </w:r>
          </w:p>
          <w:p>
            <w:pPr>
              <w:pStyle w:val="TableContents"/>
              <w:bidi w:val="0"/>
              <w:spacing w:before="0" w:after="20"/>
              <w:jc w:val="left"/>
              <w:rPr>
                <w:rFonts w:ascii="ARIAL" w:hAnsi="ARIAL"/>
                <w:sz w:val="15"/>
              </w:rPr>
            </w:pPr>
            <w:r>
              <w:rPr>
                <w:rFonts w:ascii="ARIAL" w:hAnsi="ARIAL"/>
                <w:i/>
                <w:sz w:val="15"/>
              </w:rPr>
              <w:t>Chief Financial</w:t>
            </w:r>
            <w:r>
              <w:rPr>
                <w:rFonts w:ascii="ARIAL" w:hAnsi="ARIAL"/>
                <w:sz w:val="15"/>
              </w:rPr>
              <w:t> </w:t>
            </w:r>
            <w:r>
              <w:rPr>
                <w:rFonts w:ascii="ARIAL" w:hAnsi="ARIAL"/>
                <w:i/>
                <w:sz w:val="15"/>
              </w:rPr>
              <w:t>Officer</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923,558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3,700,013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1,686,368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470,303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6,780,242</w:t>
            </w:r>
          </w:p>
        </w:tc>
        <w:tc>
          <w:tcPr>
            <w:tcW w:w="75" w:type="dxa"/>
            <w:tcBorders/>
            <w:vAlign w:val="center"/>
          </w:tcPr>
          <w:p>
            <w:pPr>
              <w:pStyle w:val="TableContents"/>
              <w:bidi w:val="0"/>
              <w:spacing w:before="0" w:after="283"/>
              <w:jc w:val="left"/>
              <w:rPr/>
            </w:pPr>
            <w:r>
              <w:rPr/>
              <w:t> </w:t>
            </w:r>
          </w:p>
        </w:tc>
      </w:tr>
      <w:tr>
        <w:trPr/>
        <w:tc>
          <w:tcPr>
            <w:tcW w:w="18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840,385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3,400,006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1,586,355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281,660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6,108,406</w:t>
            </w:r>
          </w:p>
        </w:tc>
        <w:tc>
          <w:tcPr>
            <w:tcW w:w="75" w:type="dxa"/>
            <w:tcBorders/>
            <w:vAlign w:val="center"/>
          </w:tcPr>
          <w:p>
            <w:pPr>
              <w:pStyle w:val="TableContents"/>
              <w:bidi w:val="0"/>
              <w:spacing w:before="0" w:after="283"/>
              <w:jc w:val="left"/>
              <w:rPr/>
            </w:pPr>
            <w:r>
              <w:rPr/>
              <w:t> </w:t>
            </w:r>
          </w:p>
        </w:tc>
      </w:tr>
      <w:tr>
        <w:trPr/>
        <w:tc>
          <w:tcPr>
            <w:tcW w:w="18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2,800,011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1,524,560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526,114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5,650,685</w:t>
            </w:r>
          </w:p>
        </w:tc>
        <w:tc>
          <w:tcPr>
            <w:tcW w:w="75" w:type="dxa"/>
            <w:tcBorders/>
            <w:vAlign w:val="center"/>
          </w:tcPr>
          <w:p>
            <w:pPr>
              <w:pStyle w:val="TableContents"/>
              <w:bidi w:val="0"/>
              <w:spacing w:before="0" w:after="283"/>
              <w:jc w:val="left"/>
              <w:rPr/>
            </w:pPr>
            <w:r>
              <w:rPr/>
              <w:t> </w:t>
            </w:r>
          </w:p>
        </w:tc>
      </w:tr>
      <w:tr>
        <w:trPr/>
        <w:tc>
          <w:tcPr>
            <w:tcW w:w="1835" w:type="dxa"/>
            <w:vMerge w:val="restart"/>
            <w:tcBorders/>
            <w:shd w:fill="E5E5E5" w:val="clear"/>
            <w:vAlign w:val="center"/>
          </w:tcPr>
          <w:p>
            <w:pPr>
              <w:pStyle w:val="TableContents"/>
              <w:bidi w:val="0"/>
              <w:spacing w:before="0" w:after="0"/>
              <w:jc w:val="left"/>
              <w:rPr>
                <w:rFonts w:ascii="ARIAL" w:hAnsi="ARIAL"/>
                <w:b/>
                <w:sz w:val="15"/>
              </w:rPr>
            </w:pPr>
            <w:r>
              <w:rPr>
                <w:rFonts w:ascii="ARIAL" w:hAnsi="ARIAL"/>
                <w:b/>
                <w:sz w:val="15"/>
              </w:rPr>
              <w:t>Rajiv Malik</w:t>
            </w:r>
          </w:p>
          <w:p>
            <w:pPr>
              <w:pStyle w:val="TableContents"/>
              <w:bidi w:val="0"/>
              <w:spacing w:before="0" w:after="20"/>
              <w:jc w:val="left"/>
              <w:rPr>
                <w:rFonts w:ascii="ARIAL" w:hAnsi="ARIAL"/>
                <w:i/>
                <w:sz w:val="15"/>
              </w:rPr>
            </w:pPr>
            <w:r>
              <w:rPr>
                <w:rFonts w:ascii="ARIAL" w:hAnsi="ARIAL"/>
                <w:i/>
                <w:sz w:val="15"/>
              </w:rPr>
              <w:t>President</w:t>
            </w:r>
          </w:p>
        </w:tc>
        <w:tc>
          <w:tcPr>
            <w:tcW w:w="60" w:type="dxa"/>
            <w:tcBorders/>
            <w:shd w:fill="E5E5E5" w:val="cle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before="0" w:after="283"/>
              <w:jc w:val="left"/>
              <w:rPr/>
            </w:pPr>
            <w:r>
              <w:rPr/>
              <w:t> </w:t>
            </w:r>
          </w:p>
        </w:tc>
        <w:tc>
          <w:tcPr>
            <w:tcW w:w="541" w:type="dxa"/>
            <w:tcBorders/>
            <w:shd w:fill="E5E5E5" w:val="clear"/>
            <w:vAlign w:val="center"/>
          </w:tcPr>
          <w:p>
            <w:pPr>
              <w:pStyle w:val="TableContents"/>
              <w:bidi w:val="0"/>
              <w:spacing w:before="0" w:after="283"/>
              <w:jc w:val="right"/>
              <w:rPr/>
            </w:pPr>
            <w:r>
              <w:rPr/>
              <w:t>2023</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1,298,077</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7,800,015</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55" w:type="dxa"/>
            <w:tcBorders/>
            <w:shd w:fill="E5E5E5" w:val="clear"/>
            <w:vAlign w:val="center"/>
          </w:tcPr>
          <w:p>
            <w:pPr>
              <w:pStyle w:val="TableContents"/>
              <w:bidi w:val="0"/>
              <w:spacing w:before="0" w:after="283"/>
              <w:jc w:val="left"/>
              <w:rPr/>
            </w:pPr>
            <w:r>
              <w:rPr/>
              <w:t> </w:t>
            </w:r>
          </w:p>
        </w:tc>
        <w:tc>
          <w:tcPr>
            <w:tcW w:w="675"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5" w:type="dxa"/>
            <w:tcBorders/>
            <w:shd w:fill="E5E5E5" w:val="clear"/>
            <w:vAlign w:val="center"/>
          </w:tcPr>
          <w:p>
            <w:pPr>
              <w:pStyle w:val="TableContents"/>
              <w:bidi w:val="0"/>
              <w:spacing w:before="0" w:after="283"/>
              <w:jc w:val="left"/>
              <w:rPr/>
            </w:pPr>
            <w:r>
              <w:rPr/>
              <w:t> </w:t>
            </w:r>
          </w:p>
        </w:tc>
        <w:tc>
          <w:tcPr>
            <w:tcW w:w="1405" w:type="dxa"/>
            <w:tcBorders/>
            <w:shd w:fill="E5E5E5" w:val="clear"/>
            <w:vAlign w:val="center"/>
          </w:tcPr>
          <w:p>
            <w:pPr>
              <w:pStyle w:val="TableContents"/>
              <w:bidi w:val="0"/>
              <w:spacing w:before="0" w:after="283"/>
              <w:jc w:val="right"/>
              <w:rPr/>
            </w:pPr>
            <w:r>
              <w:rPr/>
              <w:t>2,962,538</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279" w:type="dxa"/>
            <w:tcBorders/>
            <w:shd w:fill="E5E5E5" w:val="clear"/>
            <w:vAlign w:val="center"/>
          </w:tcPr>
          <w:p>
            <w:pPr>
              <w:pStyle w:val="TableContents"/>
              <w:bidi w:val="0"/>
              <w:spacing w:before="0" w:after="283"/>
              <w:jc w:val="left"/>
              <w:rPr/>
            </w:pPr>
            <w:r>
              <w:rPr/>
              <w:t> </w:t>
            </w:r>
          </w:p>
        </w:tc>
        <w:tc>
          <w:tcPr>
            <w:tcW w:w="1211"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7" w:type="dxa"/>
            <w:tcBorders/>
            <w:shd w:fill="E5E5E5" w:val="clear"/>
            <w:vAlign w:val="center"/>
          </w:tcPr>
          <w:p>
            <w:pPr>
              <w:pStyle w:val="TableContents"/>
              <w:bidi w:val="0"/>
              <w:spacing w:before="0" w:after="283"/>
              <w:jc w:val="left"/>
              <w:rPr/>
            </w:pPr>
            <w:r>
              <w:rPr/>
              <w:t> </w:t>
            </w:r>
          </w:p>
        </w:tc>
        <w:tc>
          <w:tcPr>
            <w:tcW w:w="1413" w:type="dxa"/>
            <w:tcBorders/>
            <w:shd w:fill="E5E5E5" w:val="clear"/>
            <w:vAlign w:val="center"/>
          </w:tcPr>
          <w:p>
            <w:pPr>
              <w:pStyle w:val="TableContents"/>
              <w:bidi w:val="0"/>
              <w:spacing w:before="0" w:after="283"/>
              <w:jc w:val="right"/>
              <w:rPr/>
            </w:pPr>
            <w:r>
              <w:rPr/>
              <w:t>423,045</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12,483,675</w:t>
            </w:r>
          </w:p>
        </w:tc>
        <w:tc>
          <w:tcPr>
            <w:tcW w:w="75" w:type="dxa"/>
            <w:tcBorders/>
            <w:shd w:fill="E5E5E5" w:val="clear"/>
            <w:vAlign w:val="center"/>
          </w:tcPr>
          <w:p>
            <w:pPr>
              <w:pStyle w:val="TableContents"/>
              <w:bidi w:val="0"/>
              <w:spacing w:before="0" w:after="283"/>
              <w:jc w:val="left"/>
              <w:rPr/>
            </w:pPr>
            <w:r>
              <w:rPr/>
              <w:t> </w:t>
            </w:r>
          </w:p>
        </w:tc>
      </w:tr>
      <w:tr>
        <w:trPr/>
        <w:tc>
          <w:tcPr>
            <w:tcW w:w="1835" w:type="dxa"/>
            <w:vMerge w:val="continue"/>
            <w:tcBorders/>
            <w:shd w:fill="E5E5E5" w:val="clear"/>
            <w:vAlign w:val="center"/>
          </w:tcPr>
          <w:p>
            <w:pPr>
              <w:pStyle w:val="Normal"/>
              <w:bidi w:val="0"/>
              <w:jc w:val="left"/>
              <w:rPr/>
            </w:pPr>
            <w:r>
              <w:rPr/>
            </w:r>
          </w:p>
        </w:tc>
        <w:tc>
          <w:tcPr>
            <w:tcW w:w="60" w:type="dxa"/>
            <w:tcBorders/>
            <w:shd w:fill="E5E5E5" w:val="cle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before="0" w:after="283"/>
              <w:jc w:val="left"/>
              <w:rPr/>
            </w:pPr>
            <w:r>
              <w:rPr/>
              <w:t> </w:t>
            </w:r>
          </w:p>
        </w:tc>
        <w:tc>
          <w:tcPr>
            <w:tcW w:w="541" w:type="dxa"/>
            <w:tcBorders/>
            <w:shd w:fill="E5E5E5" w:val="clear"/>
            <w:vAlign w:val="center"/>
          </w:tcPr>
          <w:p>
            <w:pPr>
              <w:pStyle w:val="TableContents"/>
              <w:bidi w:val="0"/>
              <w:spacing w:before="0" w:after="283"/>
              <w:jc w:val="right"/>
              <w:rPr/>
            </w:pPr>
            <w:r>
              <w:rPr/>
              <w:t>2022</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1,200,000</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10,950,000</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7,200,007</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55" w:type="dxa"/>
            <w:tcBorders/>
            <w:shd w:fill="E5E5E5" w:val="clear"/>
            <w:vAlign w:val="center"/>
          </w:tcPr>
          <w:p>
            <w:pPr>
              <w:pStyle w:val="TableContents"/>
              <w:bidi w:val="0"/>
              <w:spacing w:before="0" w:after="283"/>
              <w:jc w:val="left"/>
              <w:rPr/>
            </w:pPr>
            <w:r>
              <w:rPr/>
              <w:t> </w:t>
            </w:r>
          </w:p>
        </w:tc>
        <w:tc>
          <w:tcPr>
            <w:tcW w:w="675"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5" w:type="dxa"/>
            <w:tcBorders/>
            <w:shd w:fill="E5E5E5" w:val="clear"/>
            <w:vAlign w:val="center"/>
          </w:tcPr>
          <w:p>
            <w:pPr>
              <w:pStyle w:val="TableContents"/>
              <w:bidi w:val="0"/>
              <w:spacing w:before="0" w:after="283"/>
              <w:jc w:val="left"/>
              <w:rPr/>
            </w:pPr>
            <w:r>
              <w:rPr/>
              <w:t> </w:t>
            </w:r>
          </w:p>
        </w:tc>
        <w:tc>
          <w:tcPr>
            <w:tcW w:w="1405" w:type="dxa"/>
            <w:tcBorders/>
            <w:shd w:fill="E5E5E5" w:val="clear"/>
            <w:vAlign w:val="center"/>
          </w:tcPr>
          <w:p>
            <w:pPr>
              <w:pStyle w:val="TableContents"/>
              <w:bidi w:val="0"/>
              <w:spacing w:before="0" w:after="283"/>
              <w:jc w:val="right"/>
              <w:rPr/>
            </w:pPr>
            <w:r>
              <w:rPr/>
              <w:t>2,799,450</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279" w:type="dxa"/>
            <w:tcBorders/>
            <w:shd w:fill="E5E5E5" w:val="clear"/>
            <w:vAlign w:val="center"/>
          </w:tcPr>
          <w:p>
            <w:pPr>
              <w:pStyle w:val="TableContents"/>
              <w:bidi w:val="0"/>
              <w:spacing w:before="0" w:after="283"/>
              <w:jc w:val="left"/>
              <w:rPr/>
            </w:pPr>
            <w:r>
              <w:rPr/>
              <w:t> </w:t>
            </w:r>
          </w:p>
        </w:tc>
        <w:tc>
          <w:tcPr>
            <w:tcW w:w="1211"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7" w:type="dxa"/>
            <w:tcBorders/>
            <w:shd w:fill="E5E5E5" w:val="clear"/>
            <w:vAlign w:val="center"/>
          </w:tcPr>
          <w:p>
            <w:pPr>
              <w:pStyle w:val="TableContents"/>
              <w:bidi w:val="0"/>
              <w:spacing w:before="0" w:after="283"/>
              <w:jc w:val="left"/>
              <w:rPr/>
            </w:pPr>
            <w:r>
              <w:rPr/>
              <w:t> </w:t>
            </w:r>
          </w:p>
        </w:tc>
        <w:tc>
          <w:tcPr>
            <w:tcW w:w="1413" w:type="dxa"/>
            <w:tcBorders/>
            <w:shd w:fill="E5E5E5" w:val="clear"/>
            <w:vAlign w:val="center"/>
          </w:tcPr>
          <w:p>
            <w:pPr>
              <w:pStyle w:val="TableContents"/>
              <w:bidi w:val="0"/>
              <w:spacing w:before="0" w:after="283"/>
              <w:jc w:val="right"/>
              <w:rPr/>
            </w:pPr>
            <w:r>
              <w:rPr/>
              <w:t>405,434</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22,554,891</w:t>
            </w:r>
          </w:p>
        </w:tc>
        <w:tc>
          <w:tcPr>
            <w:tcW w:w="75" w:type="dxa"/>
            <w:tcBorders/>
            <w:shd w:fill="E5E5E5" w:val="clear"/>
            <w:vAlign w:val="center"/>
          </w:tcPr>
          <w:p>
            <w:pPr>
              <w:pStyle w:val="TableContents"/>
              <w:bidi w:val="0"/>
              <w:spacing w:before="0" w:after="283"/>
              <w:jc w:val="left"/>
              <w:rPr/>
            </w:pPr>
            <w:r>
              <w:rPr/>
              <w:t> </w:t>
            </w:r>
          </w:p>
        </w:tc>
      </w:tr>
      <w:tr>
        <w:trPr/>
        <w:tc>
          <w:tcPr>
            <w:tcW w:w="1835" w:type="dxa"/>
            <w:vMerge w:val="continue"/>
            <w:tcBorders/>
            <w:shd w:fill="E5E5E5" w:val="clear"/>
            <w:vAlign w:val="center"/>
          </w:tcPr>
          <w:p>
            <w:pPr>
              <w:pStyle w:val="Normal"/>
              <w:bidi w:val="0"/>
              <w:jc w:val="left"/>
              <w:rPr/>
            </w:pPr>
            <w:r>
              <w:rPr/>
            </w:r>
          </w:p>
        </w:tc>
        <w:tc>
          <w:tcPr>
            <w:tcW w:w="60" w:type="dxa"/>
            <w:tcBorders/>
            <w:shd w:fill="E5E5E5" w:val="cle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before="0" w:after="283"/>
              <w:jc w:val="left"/>
              <w:rPr/>
            </w:pPr>
            <w:r>
              <w:rPr/>
              <w:t> </w:t>
            </w:r>
          </w:p>
        </w:tc>
        <w:tc>
          <w:tcPr>
            <w:tcW w:w="541" w:type="dxa"/>
            <w:tcBorders/>
            <w:shd w:fill="E5E5E5" w:val="clear"/>
            <w:vAlign w:val="center"/>
          </w:tcPr>
          <w:p>
            <w:pPr>
              <w:pStyle w:val="TableContents"/>
              <w:bidi w:val="0"/>
              <w:spacing w:before="0" w:after="283"/>
              <w:jc w:val="right"/>
              <w:rPr/>
            </w:pPr>
            <w:r>
              <w:rPr/>
              <w:t>2021</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1,200,000</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7,200,017</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55" w:type="dxa"/>
            <w:tcBorders/>
            <w:shd w:fill="E5E5E5" w:val="clear"/>
            <w:vAlign w:val="center"/>
          </w:tcPr>
          <w:p>
            <w:pPr>
              <w:pStyle w:val="TableContents"/>
              <w:bidi w:val="0"/>
              <w:spacing w:before="0" w:after="283"/>
              <w:jc w:val="left"/>
              <w:rPr/>
            </w:pPr>
            <w:r>
              <w:rPr/>
              <w:t> </w:t>
            </w:r>
          </w:p>
        </w:tc>
        <w:tc>
          <w:tcPr>
            <w:tcW w:w="675"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5" w:type="dxa"/>
            <w:tcBorders/>
            <w:shd w:fill="E5E5E5" w:val="clear"/>
            <w:vAlign w:val="center"/>
          </w:tcPr>
          <w:p>
            <w:pPr>
              <w:pStyle w:val="TableContents"/>
              <w:bidi w:val="0"/>
              <w:spacing w:before="0" w:after="283"/>
              <w:jc w:val="left"/>
              <w:rPr/>
            </w:pPr>
            <w:r>
              <w:rPr/>
              <w:t> </w:t>
            </w:r>
          </w:p>
        </w:tc>
        <w:tc>
          <w:tcPr>
            <w:tcW w:w="1405" w:type="dxa"/>
            <w:tcBorders/>
            <w:shd w:fill="E5E5E5" w:val="clear"/>
            <w:vAlign w:val="center"/>
          </w:tcPr>
          <w:p>
            <w:pPr>
              <w:pStyle w:val="TableContents"/>
              <w:bidi w:val="0"/>
              <w:spacing w:before="0" w:after="283"/>
              <w:jc w:val="right"/>
              <w:rPr/>
            </w:pPr>
            <w:r>
              <w:rPr/>
              <w:t>2,858,550</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279" w:type="dxa"/>
            <w:tcBorders/>
            <w:shd w:fill="E5E5E5" w:val="clear"/>
            <w:vAlign w:val="center"/>
          </w:tcPr>
          <w:p>
            <w:pPr>
              <w:pStyle w:val="TableContents"/>
              <w:bidi w:val="0"/>
              <w:spacing w:before="0" w:after="283"/>
              <w:jc w:val="left"/>
              <w:rPr/>
            </w:pPr>
            <w:r>
              <w:rPr/>
              <w:t> </w:t>
            </w:r>
          </w:p>
        </w:tc>
        <w:tc>
          <w:tcPr>
            <w:tcW w:w="1211"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7" w:type="dxa"/>
            <w:tcBorders/>
            <w:shd w:fill="E5E5E5" w:val="clear"/>
            <w:vAlign w:val="center"/>
          </w:tcPr>
          <w:p>
            <w:pPr>
              <w:pStyle w:val="TableContents"/>
              <w:bidi w:val="0"/>
              <w:spacing w:before="0" w:after="283"/>
              <w:jc w:val="left"/>
              <w:rPr/>
            </w:pPr>
            <w:r>
              <w:rPr/>
              <w:t> </w:t>
            </w:r>
          </w:p>
        </w:tc>
        <w:tc>
          <w:tcPr>
            <w:tcW w:w="1413" w:type="dxa"/>
            <w:tcBorders/>
            <w:shd w:fill="E5E5E5" w:val="clear"/>
            <w:vAlign w:val="center"/>
          </w:tcPr>
          <w:p>
            <w:pPr>
              <w:pStyle w:val="TableContents"/>
              <w:bidi w:val="0"/>
              <w:spacing w:before="0" w:after="283"/>
              <w:jc w:val="right"/>
              <w:rPr/>
            </w:pPr>
            <w:r>
              <w:rPr/>
              <w:t>363,683</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11,622,250</w:t>
            </w:r>
          </w:p>
        </w:tc>
        <w:tc>
          <w:tcPr>
            <w:tcW w:w="75" w:type="dxa"/>
            <w:tcBorders/>
            <w:shd w:fill="E5E5E5" w:val="clear"/>
            <w:vAlign w:val="center"/>
          </w:tcPr>
          <w:p>
            <w:pPr>
              <w:pStyle w:val="TableContents"/>
              <w:bidi w:val="0"/>
              <w:spacing w:before="0" w:after="283"/>
              <w:jc w:val="left"/>
              <w:rPr/>
            </w:pPr>
            <w:r>
              <w:rPr/>
              <w:t> </w:t>
            </w:r>
          </w:p>
        </w:tc>
      </w:tr>
      <w:tr>
        <w:trPr/>
        <w:tc>
          <w:tcPr>
            <w:tcW w:w="1835" w:type="dxa"/>
            <w:vMerge w:val="restart"/>
            <w:tcBorders/>
            <w:vAlign w:val="center"/>
          </w:tcPr>
          <w:p>
            <w:pPr>
              <w:pStyle w:val="TableContents"/>
              <w:bidi w:val="0"/>
              <w:spacing w:before="0" w:after="0"/>
              <w:jc w:val="left"/>
              <w:rPr>
                <w:rFonts w:ascii="ARIAL" w:hAnsi="ARIAL"/>
                <w:b/>
                <w:sz w:val="15"/>
              </w:rPr>
            </w:pPr>
            <w:r>
              <w:rPr>
                <w:rFonts w:ascii="ARIAL" w:hAnsi="ARIAL"/>
                <w:b/>
                <w:sz w:val="15"/>
              </w:rPr>
              <w:t>Anthony Mauro</w:t>
            </w:r>
          </w:p>
          <w:p>
            <w:pPr>
              <w:pStyle w:val="TableContents"/>
              <w:bidi w:val="0"/>
              <w:spacing w:before="0" w:after="0"/>
              <w:jc w:val="left"/>
              <w:rPr>
                <w:rFonts w:ascii="ARIAL" w:hAnsi="ARIAL"/>
                <w:i/>
                <w:sz w:val="15"/>
              </w:rPr>
            </w:pPr>
            <w:r>
              <w:rPr>
                <w:rFonts w:ascii="ARIAL" w:hAnsi="ARIAL"/>
                <w:i/>
                <w:sz w:val="15"/>
              </w:rPr>
              <w:t>President, Developed</w:t>
            </w:r>
          </w:p>
          <w:p>
            <w:pPr>
              <w:pStyle w:val="TableContents"/>
              <w:bidi w:val="0"/>
              <w:spacing w:before="0" w:after="20"/>
              <w:jc w:val="left"/>
              <w:rPr>
                <w:rFonts w:ascii="ARIAL" w:hAnsi="ARIAL"/>
                <w:i/>
                <w:sz w:val="15"/>
              </w:rPr>
            </w:pPr>
            <w:r>
              <w:rPr>
                <w:rFonts w:ascii="ARIAL" w:hAnsi="ARIAL"/>
                <w:i/>
                <w:sz w:val="15"/>
              </w:rPr>
              <w:t>Markets</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858,846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3,440,016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1,803,046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333,496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6,435,404</w:t>
            </w:r>
          </w:p>
        </w:tc>
        <w:tc>
          <w:tcPr>
            <w:tcW w:w="75" w:type="dxa"/>
            <w:tcBorders/>
            <w:vAlign w:val="center"/>
          </w:tcPr>
          <w:p>
            <w:pPr>
              <w:pStyle w:val="TableContents"/>
              <w:bidi w:val="0"/>
              <w:spacing w:before="0" w:after="283"/>
              <w:jc w:val="left"/>
              <w:rPr/>
            </w:pPr>
            <w:r>
              <w:rPr/>
              <w:t> </w:t>
            </w:r>
          </w:p>
        </w:tc>
      </w:tr>
      <w:tr>
        <w:trPr/>
        <w:tc>
          <w:tcPr>
            <w:tcW w:w="18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6,553,800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3,200,005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1,716,996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317,968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12,588,769</w:t>
            </w:r>
          </w:p>
        </w:tc>
        <w:tc>
          <w:tcPr>
            <w:tcW w:w="75" w:type="dxa"/>
            <w:tcBorders/>
            <w:vAlign w:val="center"/>
          </w:tcPr>
          <w:p>
            <w:pPr>
              <w:pStyle w:val="TableContents"/>
              <w:bidi w:val="0"/>
              <w:spacing w:before="0" w:after="283"/>
              <w:jc w:val="left"/>
              <w:rPr/>
            </w:pPr>
            <w:r>
              <w:rPr/>
              <w:t> </w:t>
            </w:r>
          </w:p>
        </w:tc>
      </w:tr>
      <w:tr>
        <w:trPr/>
        <w:tc>
          <w:tcPr>
            <w:tcW w:w="18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3,200,017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1,753,244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296,654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6,049,915</w:t>
            </w:r>
          </w:p>
        </w:tc>
        <w:tc>
          <w:tcPr>
            <w:tcW w:w="75" w:type="dxa"/>
            <w:tcBorders/>
            <w:vAlign w:val="center"/>
          </w:tcPr>
          <w:p>
            <w:pPr>
              <w:pStyle w:val="TableContents"/>
              <w:bidi w:val="0"/>
              <w:spacing w:before="0" w:after="283"/>
              <w:jc w:val="left"/>
              <w:rPr/>
            </w:pPr>
            <w:r>
              <w:rPr/>
              <w:t> </w:t>
            </w:r>
          </w:p>
        </w:tc>
      </w:tr>
      <w:tr>
        <w:trPr/>
        <w:tc>
          <w:tcPr>
            <w:tcW w:w="1835" w:type="dxa"/>
            <w:vMerge w:val="restart"/>
            <w:tcBorders/>
            <w:shd w:fill="E5E5E5" w:val="clear"/>
            <w:vAlign w:val="center"/>
          </w:tcPr>
          <w:p>
            <w:pPr>
              <w:pStyle w:val="TableContents"/>
              <w:bidi w:val="0"/>
              <w:spacing w:before="0" w:after="0"/>
              <w:jc w:val="left"/>
              <w:rPr>
                <w:rFonts w:ascii="ARIAL" w:hAnsi="ARIAL"/>
                <w:b/>
                <w:sz w:val="15"/>
              </w:rPr>
            </w:pPr>
            <w:r>
              <w:rPr>
                <w:rFonts w:ascii="ARIAL" w:hAnsi="ARIAL"/>
                <w:b/>
                <w:sz w:val="15"/>
              </w:rPr>
              <w:t>Brian Roman</w:t>
            </w:r>
          </w:p>
          <w:p>
            <w:pPr>
              <w:pStyle w:val="TableContents"/>
              <w:bidi w:val="0"/>
              <w:spacing w:before="0" w:after="20"/>
              <w:jc w:val="left"/>
              <w:rPr>
                <w:rFonts w:ascii="ARIAL" w:hAnsi="ARIAL"/>
                <w:i/>
                <w:sz w:val="15"/>
              </w:rPr>
            </w:pPr>
            <w:r>
              <w:rPr>
                <w:rFonts w:ascii="ARIAL" w:hAnsi="ARIAL"/>
                <w:i/>
                <w:sz w:val="15"/>
              </w:rPr>
              <w:t>Global General Counsel</w:t>
            </w:r>
          </w:p>
        </w:tc>
        <w:tc>
          <w:tcPr>
            <w:tcW w:w="60" w:type="dxa"/>
            <w:tcBorders/>
            <w:shd w:fill="E5E5E5" w:val="cle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before="0" w:after="283"/>
              <w:jc w:val="left"/>
              <w:rPr/>
            </w:pPr>
            <w:r>
              <w:rPr/>
              <w:t> </w:t>
            </w:r>
          </w:p>
        </w:tc>
        <w:tc>
          <w:tcPr>
            <w:tcW w:w="541" w:type="dxa"/>
            <w:tcBorders/>
            <w:shd w:fill="E5E5E5" w:val="clear"/>
            <w:vAlign w:val="center"/>
          </w:tcPr>
          <w:p>
            <w:pPr>
              <w:pStyle w:val="TableContents"/>
              <w:bidi w:val="0"/>
              <w:spacing w:before="0" w:after="283"/>
              <w:jc w:val="right"/>
              <w:rPr/>
            </w:pPr>
            <w:r>
              <w:rPr/>
              <w:t>2023</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790,385</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1,600,015</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55" w:type="dxa"/>
            <w:tcBorders/>
            <w:shd w:fill="E5E5E5" w:val="clear"/>
            <w:vAlign w:val="center"/>
          </w:tcPr>
          <w:p>
            <w:pPr>
              <w:pStyle w:val="TableContents"/>
              <w:bidi w:val="0"/>
              <w:spacing w:before="0" w:after="283"/>
              <w:jc w:val="left"/>
              <w:rPr/>
            </w:pPr>
            <w:r>
              <w:rPr/>
              <w:t> </w:t>
            </w:r>
          </w:p>
        </w:tc>
        <w:tc>
          <w:tcPr>
            <w:tcW w:w="675"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5" w:type="dxa"/>
            <w:tcBorders/>
            <w:shd w:fill="E5E5E5" w:val="clear"/>
            <w:vAlign w:val="center"/>
          </w:tcPr>
          <w:p>
            <w:pPr>
              <w:pStyle w:val="TableContents"/>
              <w:bidi w:val="0"/>
              <w:spacing w:before="0" w:after="283"/>
              <w:jc w:val="left"/>
              <w:rPr/>
            </w:pPr>
            <w:r>
              <w:rPr/>
              <w:t> </w:t>
            </w:r>
          </w:p>
        </w:tc>
        <w:tc>
          <w:tcPr>
            <w:tcW w:w="1405" w:type="dxa"/>
            <w:tcBorders/>
            <w:shd w:fill="E5E5E5" w:val="clear"/>
            <w:vAlign w:val="center"/>
          </w:tcPr>
          <w:p>
            <w:pPr>
              <w:pStyle w:val="TableContents"/>
              <w:bidi w:val="0"/>
              <w:spacing w:before="0" w:after="283"/>
              <w:jc w:val="right"/>
              <w:rPr/>
            </w:pPr>
            <w:r>
              <w:rPr/>
              <w:t>1,458,480</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279" w:type="dxa"/>
            <w:tcBorders/>
            <w:shd w:fill="E5E5E5" w:val="clear"/>
            <w:vAlign w:val="center"/>
          </w:tcPr>
          <w:p>
            <w:pPr>
              <w:pStyle w:val="TableContents"/>
              <w:bidi w:val="0"/>
              <w:spacing w:before="0" w:after="283"/>
              <w:jc w:val="left"/>
              <w:rPr/>
            </w:pPr>
            <w:r>
              <w:rPr/>
              <w:t> </w:t>
            </w:r>
          </w:p>
        </w:tc>
        <w:tc>
          <w:tcPr>
            <w:tcW w:w="1211"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7" w:type="dxa"/>
            <w:tcBorders/>
            <w:shd w:fill="E5E5E5" w:val="clear"/>
            <w:vAlign w:val="center"/>
          </w:tcPr>
          <w:p>
            <w:pPr>
              <w:pStyle w:val="TableContents"/>
              <w:bidi w:val="0"/>
              <w:spacing w:before="0" w:after="283"/>
              <w:jc w:val="left"/>
              <w:rPr/>
            </w:pPr>
            <w:r>
              <w:rPr/>
              <w:t> </w:t>
            </w:r>
          </w:p>
        </w:tc>
        <w:tc>
          <w:tcPr>
            <w:tcW w:w="1413" w:type="dxa"/>
            <w:tcBorders/>
            <w:shd w:fill="E5E5E5" w:val="clear"/>
            <w:vAlign w:val="center"/>
          </w:tcPr>
          <w:p>
            <w:pPr>
              <w:pStyle w:val="TableContents"/>
              <w:bidi w:val="0"/>
              <w:spacing w:before="0" w:after="283"/>
              <w:jc w:val="right"/>
              <w:rPr/>
            </w:pPr>
            <w:r>
              <w:rPr/>
              <w:t>263,253</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4,112,133</w:t>
            </w:r>
          </w:p>
        </w:tc>
        <w:tc>
          <w:tcPr>
            <w:tcW w:w="75" w:type="dxa"/>
            <w:tcBorders/>
            <w:shd w:fill="E5E5E5" w:val="clear"/>
            <w:vAlign w:val="center"/>
          </w:tcPr>
          <w:p>
            <w:pPr>
              <w:pStyle w:val="TableContents"/>
              <w:bidi w:val="0"/>
              <w:spacing w:before="0" w:after="283"/>
              <w:jc w:val="left"/>
              <w:rPr/>
            </w:pPr>
            <w:r>
              <w:rPr/>
              <w:t> </w:t>
            </w:r>
          </w:p>
        </w:tc>
      </w:tr>
      <w:tr>
        <w:trPr/>
        <w:tc>
          <w:tcPr>
            <w:tcW w:w="1835" w:type="dxa"/>
            <w:vMerge w:val="continue"/>
            <w:tcBorders/>
            <w:shd w:fill="E5E5E5" w:val="clear"/>
            <w:vAlign w:val="center"/>
          </w:tcPr>
          <w:p>
            <w:pPr>
              <w:pStyle w:val="Normal"/>
              <w:bidi w:val="0"/>
              <w:jc w:val="left"/>
              <w:rPr/>
            </w:pPr>
            <w:r>
              <w:rPr/>
            </w:r>
          </w:p>
        </w:tc>
        <w:tc>
          <w:tcPr>
            <w:tcW w:w="60" w:type="dxa"/>
            <w:tcBorders/>
            <w:shd w:fill="E5E5E5" w:val="cle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before="0" w:after="283"/>
              <w:jc w:val="left"/>
              <w:rPr>
                <w:sz w:val="4"/>
                <w:szCs w:val="4"/>
              </w:rPr>
            </w:pPr>
            <w:r>
              <w:rPr>
                <w:sz w:val="4"/>
                <w:szCs w:val="4"/>
              </w:rPr>
            </w:r>
          </w:p>
        </w:tc>
        <w:tc>
          <w:tcPr>
            <w:tcW w:w="541"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98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110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110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55" w:type="dxa"/>
            <w:tcBorders/>
            <w:shd w:fill="E5E5E5" w:val="clear"/>
            <w:vAlign w:val="center"/>
          </w:tcPr>
          <w:p>
            <w:pPr>
              <w:pStyle w:val="TableContents"/>
              <w:bidi w:val="0"/>
              <w:spacing w:before="0" w:after="283"/>
              <w:jc w:val="left"/>
              <w:rPr>
                <w:sz w:val="4"/>
                <w:szCs w:val="4"/>
              </w:rPr>
            </w:pPr>
            <w:r>
              <w:rPr>
                <w:sz w:val="4"/>
                <w:szCs w:val="4"/>
              </w:rPr>
            </w:r>
          </w:p>
        </w:tc>
        <w:tc>
          <w:tcPr>
            <w:tcW w:w="67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85" w:type="dxa"/>
            <w:tcBorders/>
            <w:shd w:fill="E5E5E5" w:val="clear"/>
            <w:vAlign w:val="center"/>
          </w:tcPr>
          <w:p>
            <w:pPr>
              <w:pStyle w:val="TableContents"/>
              <w:bidi w:val="0"/>
              <w:spacing w:before="0" w:after="283"/>
              <w:jc w:val="left"/>
              <w:rPr>
                <w:sz w:val="4"/>
                <w:szCs w:val="4"/>
              </w:rPr>
            </w:pPr>
            <w:r>
              <w:rPr>
                <w:sz w:val="4"/>
                <w:szCs w:val="4"/>
              </w:rPr>
            </w:r>
          </w:p>
        </w:tc>
        <w:tc>
          <w:tcPr>
            <w:tcW w:w="140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279" w:type="dxa"/>
            <w:tcBorders/>
            <w:shd w:fill="E5E5E5" w:val="clear"/>
            <w:vAlign w:val="center"/>
          </w:tcPr>
          <w:p>
            <w:pPr>
              <w:pStyle w:val="TableContents"/>
              <w:bidi w:val="0"/>
              <w:spacing w:before="0" w:after="283"/>
              <w:jc w:val="left"/>
              <w:rPr>
                <w:sz w:val="4"/>
                <w:szCs w:val="4"/>
              </w:rPr>
            </w:pPr>
            <w:r>
              <w:rPr>
                <w:sz w:val="4"/>
                <w:szCs w:val="4"/>
              </w:rPr>
            </w:r>
          </w:p>
        </w:tc>
        <w:tc>
          <w:tcPr>
            <w:tcW w:w="1211"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77" w:type="dxa"/>
            <w:tcBorders/>
            <w:shd w:fill="E5E5E5" w:val="clear"/>
            <w:vAlign w:val="center"/>
          </w:tcPr>
          <w:p>
            <w:pPr>
              <w:pStyle w:val="TableContents"/>
              <w:bidi w:val="0"/>
              <w:spacing w:before="0" w:after="283"/>
              <w:jc w:val="left"/>
              <w:rPr>
                <w:sz w:val="4"/>
                <w:szCs w:val="4"/>
              </w:rPr>
            </w:pPr>
            <w:r>
              <w:rPr>
                <w:sz w:val="4"/>
                <w:szCs w:val="4"/>
              </w:rPr>
            </w:r>
          </w:p>
        </w:tc>
        <w:tc>
          <w:tcPr>
            <w:tcW w:w="141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1100" w:type="dxa"/>
            <w:tcBorders/>
            <w:shd w:fill="E5E5E5" w:val="clear"/>
            <w:vAlign w:val="center"/>
          </w:tcPr>
          <w:p>
            <w:pPr>
              <w:pStyle w:val="TableContents"/>
              <w:bidi w:val="0"/>
              <w:spacing w:before="0" w:after="283"/>
              <w:jc w:val="left"/>
              <w:rPr>
                <w:sz w:val="4"/>
                <w:szCs w:val="4"/>
              </w:rPr>
            </w:pPr>
            <w:r>
              <w:rPr>
                <w:sz w:val="4"/>
                <w:szCs w:val="4"/>
              </w:rPr>
            </w:r>
          </w:p>
        </w:tc>
        <w:tc>
          <w:tcPr>
            <w:tcW w:w="75" w:type="dxa"/>
            <w:tcBorders/>
            <w:shd w:fill="E5E5E5" w:val="clear"/>
            <w:vAlign w:val="center"/>
          </w:tcPr>
          <w:p>
            <w:pPr>
              <w:pStyle w:val="TableContents"/>
              <w:bidi w:val="0"/>
              <w:spacing w:before="0" w:after="283"/>
              <w:jc w:val="left"/>
              <w:rPr>
                <w:sz w:val="4"/>
                <w:szCs w:val="4"/>
              </w:rPr>
            </w:pPr>
            <w:r>
              <w:rPr>
                <w:sz w:val="4"/>
                <w:szCs w:val="4"/>
              </w:rPr>
            </w:r>
          </w:p>
        </w:tc>
      </w:tr>
      <w:tr>
        <w:trPr/>
        <w:tc>
          <w:tcPr>
            <w:tcW w:w="1835" w:type="dxa"/>
            <w:vMerge w:val="restart"/>
            <w:tcBorders/>
            <w:vAlign w:val="center"/>
          </w:tcPr>
          <w:p>
            <w:pPr>
              <w:pStyle w:val="TableContents"/>
              <w:bidi w:val="0"/>
              <w:spacing w:before="0" w:after="0"/>
              <w:jc w:val="left"/>
              <w:rPr>
                <w:rFonts w:ascii="ARIAL" w:hAnsi="ARIAL"/>
                <w:b/>
                <w:sz w:val="15"/>
              </w:rPr>
            </w:pPr>
            <w:r>
              <w:rPr>
                <w:rFonts w:ascii="ARIAL" w:hAnsi="ARIAL"/>
                <w:b/>
                <w:sz w:val="15"/>
              </w:rPr>
              <w:t>Michael Goettler</w:t>
            </w:r>
          </w:p>
          <w:p>
            <w:pPr>
              <w:pStyle w:val="TableContents"/>
              <w:bidi w:val="0"/>
              <w:spacing w:before="0" w:after="0"/>
              <w:jc w:val="left"/>
              <w:rPr>
                <w:rFonts w:ascii="ARIAL" w:hAnsi="ARIAL"/>
                <w:i/>
                <w:sz w:val="15"/>
              </w:rPr>
            </w:pPr>
            <w:r>
              <w:rPr>
                <w:rFonts w:ascii="ARIAL" w:hAnsi="ARIAL"/>
                <w:i/>
                <w:sz w:val="15"/>
              </w:rPr>
              <w:t>Former Chief</w:t>
            </w:r>
          </w:p>
          <w:p>
            <w:pPr>
              <w:pStyle w:val="TableContents"/>
              <w:bidi w:val="0"/>
              <w:spacing w:before="0" w:after="20"/>
              <w:jc w:val="left"/>
              <w:rPr>
                <w:rFonts w:ascii="ARIAL" w:hAnsi="ARIAL"/>
                <w:i/>
                <w:sz w:val="15"/>
              </w:rPr>
            </w:pPr>
            <w:r>
              <w:rPr>
                <w:rFonts w:ascii="ARIAL" w:hAnsi="ARIAL"/>
                <w:i/>
                <w:sz w:val="15"/>
              </w:rPr>
              <w:t>Executive Officer</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886,326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8,607,384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9,843,710</w:t>
            </w:r>
          </w:p>
        </w:tc>
        <w:tc>
          <w:tcPr>
            <w:tcW w:w="75" w:type="dxa"/>
            <w:tcBorders/>
            <w:vAlign w:val="center"/>
          </w:tcPr>
          <w:p>
            <w:pPr>
              <w:pStyle w:val="TableContents"/>
              <w:bidi w:val="0"/>
              <w:spacing w:before="0" w:after="283"/>
              <w:jc w:val="left"/>
              <w:rPr/>
            </w:pPr>
            <w:r>
              <w:rPr/>
              <w:t> </w:t>
            </w:r>
          </w:p>
        </w:tc>
      </w:tr>
      <w:tr>
        <w:trPr/>
        <w:tc>
          <w:tcPr>
            <w:tcW w:w="18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9,100,001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3,639,285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731,984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14,771,270</w:t>
            </w:r>
          </w:p>
        </w:tc>
        <w:tc>
          <w:tcPr>
            <w:tcW w:w="75" w:type="dxa"/>
            <w:tcBorders/>
            <w:vAlign w:val="center"/>
          </w:tcPr>
          <w:p>
            <w:pPr>
              <w:pStyle w:val="TableContents"/>
              <w:bidi w:val="0"/>
              <w:spacing w:before="0" w:after="283"/>
              <w:jc w:val="left"/>
              <w:rPr/>
            </w:pPr>
            <w:r>
              <w:rPr/>
              <w:t> </w:t>
            </w:r>
          </w:p>
        </w:tc>
      </w:tr>
      <w:tr>
        <w:trPr/>
        <w:tc>
          <w:tcPr>
            <w:tcW w:w="18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9,100,015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3,716,115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663,440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14,779,570</w:t>
            </w:r>
          </w:p>
        </w:tc>
        <w:tc>
          <w:tcPr>
            <w:tcW w:w="75" w:type="dxa"/>
            <w:tcBorders/>
            <w:vAlign w:val="center"/>
          </w:tcPr>
          <w:p>
            <w:pPr>
              <w:pStyle w:val="TableContents"/>
              <w:bidi w:val="0"/>
              <w:spacing w:before="0" w:after="283"/>
              <w:jc w:val="left"/>
              <w:rPr/>
            </w:pPr>
            <w:r>
              <w:rPr/>
              <w:t> </w:t>
            </w:r>
          </w:p>
        </w:tc>
      </w:tr>
      <w:tr>
        <w:trPr/>
        <w:tc>
          <w:tcPr>
            <w:tcW w:w="1835" w:type="dxa"/>
            <w:vMerge w:val="restart"/>
            <w:tcBorders>
              <w:bottom w:val="single" w:sz="8" w:space="0" w:color="732282"/>
            </w:tcBorders>
            <w:shd w:fill="E5E5E5" w:val="clear"/>
            <w:tcMar>
              <w:bottom w:w="28" w:type="dxa"/>
            </w:tcMar>
            <w:vAlign w:val="center"/>
          </w:tcPr>
          <w:p>
            <w:pPr>
              <w:pStyle w:val="TableContents"/>
              <w:bidi w:val="0"/>
              <w:spacing w:before="0" w:after="0"/>
              <w:jc w:val="left"/>
              <w:rPr>
                <w:rFonts w:ascii="ARIAL" w:hAnsi="ARIAL"/>
                <w:b/>
                <w:sz w:val="15"/>
              </w:rPr>
            </w:pPr>
            <w:r>
              <w:rPr>
                <w:rFonts w:ascii="ARIAL" w:hAnsi="ARIAL"/>
                <w:b/>
                <w:sz w:val="15"/>
              </w:rPr>
              <w:t>Robert J. Coury</w:t>
            </w:r>
          </w:p>
          <w:p>
            <w:pPr>
              <w:pStyle w:val="TableContents"/>
              <w:bidi w:val="0"/>
              <w:spacing w:before="0" w:after="0"/>
              <w:jc w:val="left"/>
              <w:rPr>
                <w:rFonts w:ascii="ARIAL" w:hAnsi="ARIAL"/>
                <w:i/>
                <w:sz w:val="15"/>
              </w:rPr>
            </w:pPr>
            <w:r>
              <w:rPr>
                <w:rFonts w:ascii="ARIAL" w:hAnsi="ARIAL"/>
                <w:i/>
                <w:sz w:val="15"/>
              </w:rPr>
              <w:t>Former Executive</w:t>
            </w:r>
          </w:p>
          <w:p>
            <w:pPr>
              <w:pStyle w:val="TableContents"/>
              <w:bidi w:val="0"/>
              <w:spacing w:before="0" w:after="20"/>
              <w:jc w:val="left"/>
              <w:rPr>
                <w:rFonts w:ascii="ARIAL" w:hAnsi="ARIAL"/>
                <w:i/>
                <w:sz w:val="15"/>
              </w:rPr>
            </w:pPr>
            <w:r>
              <w:rPr>
                <w:rFonts w:ascii="ARIAL" w:hAnsi="ARIAL"/>
                <w:i/>
                <w:sz w:val="15"/>
              </w:rPr>
              <w:t>Chairman</w:t>
            </w:r>
          </w:p>
        </w:tc>
        <w:tc>
          <w:tcPr>
            <w:tcW w:w="60" w:type="dxa"/>
            <w:tcBorders/>
            <w:shd w:fill="E5E5E5" w:val="cle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before="0" w:after="283"/>
              <w:jc w:val="left"/>
              <w:rPr/>
            </w:pPr>
            <w:r>
              <w:rPr/>
              <w:t> </w:t>
            </w:r>
          </w:p>
        </w:tc>
        <w:tc>
          <w:tcPr>
            <w:tcW w:w="541" w:type="dxa"/>
            <w:tcBorders/>
            <w:shd w:fill="E5E5E5" w:val="clear"/>
            <w:vAlign w:val="center"/>
          </w:tcPr>
          <w:p>
            <w:pPr>
              <w:pStyle w:val="TableContents"/>
              <w:bidi w:val="0"/>
              <w:spacing w:before="0" w:after="283"/>
              <w:jc w:val="right"/>
              <w:rPr/>
            </w:pPr>
            <w:r>
              <w:rPr/>
              <w:t>2023</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1,909,615</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11,700,012</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55" w:type="dxa"/>
            <w:tcBorders/>
            <w:shd w:fill="E5E5E5" w:val="clear"/>
            <w:vAlign w:val="center"/>
          </w:tcPr>
          <w:p>
            <w:pPr>
              <w:pStyle w:val="TableContents"/>
              <w:bidi w:val="0"/>
              <w:spacing w:before="0" w:after="283"/>
              <w:jc w:val="left"/>
              <w:rPr/>
            </w:pPr>
            <w:r>
              <w:rPr/>
              <w:t> </w:t>
            </w:r>
          </w:p>
        </w:tc>
        <w:tc>
          <w:tcPr>
            <w:tcW w:w="675"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5" w:type="dxa"/>
            <w:tcBorders/>
            <w:shd w:fill="E5E5E5" w:val="clear"/>
            <w:vAlign w:val="center"/>
          </w:tcPr>
          <w:p>
            <w:pPr>
              <w:pStyle w:val="TableContents"/>
              <w:bidi w:val="0"/>
              <w:spacing w:before="0" w:after="283"/>
              <w:jc w:val="left"/>
              <w:rPr/>
            </w:pPr>
            <w:r>
              <w:rPr/>
              <w:t> </w:t>
            </w:r>
          </w:p>
        </w:tc>
        <w:tc>
          <w:tcPr>
            <w:tcW w:w="1405" w:type="dxa"/>
            <w:tcBorders/>
            <w:shd w:fill="E5E5E5" w:val="clear"/>
            <w:vAlign w:val="center"/>
          </w:tcPr>
          <w:p>
            <w:pPr>
              <w:pStyle w:val="TableContents"/>
              <w:bidi w:val="0"/>
              <w:spacing w:before="0" w:after="283"/>
              <w:jc w:val="right"/>
              <w:rPr/>
            </w:pPr>
            <w:r>
              <w:rPr/>
              <w:t>5,098,811</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279" w:type="dxa"/>
            <w:tcBorders/>
            <w:shd w:fill="E5E5E5" w:val="clear"/>
            <w:vAlign w:val="center"/>
          </w:tcPr>
          <w:p>
            <w:pPr>
              <w:pStyle w:val="TableContents"/>
              <w:bidi w:val="0"/>
              <w:spacing w:before="0" w:after="283"/>
              <w:jc w:val="left"/>
              <w:rPr/>
            </w:pPr>
            <w:r>
              <w:rPr/>
              <w:t> </w:t>
            </w:r>
          </w:p>
        </w:tc>
        <w:tc>
          <w:tcPr>
            <w:tcW w:w="1211"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7" w:type="dxa"/>
            <w:tcBorders/>
            <w:shd w:fill="E5E5E5" w:val="clear"/>
            <w:vAlign w:val="center"/>
          </w:tcPr>
          <w:p>
            <w:pPr>
              <w:pStyle w:val="TableContents"/>
              <w:bidi w:val="0"/>
              <w:spacing w:before="0" w:after="283"/>
              <w:jc w:val="left"/>
              <w:rPr/>
            </w:pPr>
            <w:r>
              <w:rPr/>
              <w:t> </w:t>
            </w:r>
          </w:p>
        </w:tc>
        <w:tc>
          <w:tcPr>
            <w:tcW w:w="1413" w:type="dxa"/>
            <w:tcBorders/>
            <w:shd w:fill="E5E5E5" w:val="clear"/>
            <w:vAlign w:val="center"/>
          </w:tcPr>
          <w:p>
            <w:pPr>
              <w:pStyle w:val="TableContents"/>
              <w:bidi w:val="0"/>
              <w:spacing w:before="0" w:after="283"/>
              <w:jc w:val="right"/>
              <w:rPr/>
            </w:pPr>
            <w:r>
              <w:rPr/>
              <w:t>22,793,308</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41,501,746</w:t>
            </w:r>
          </w:p>
        </w:tc>
        <w:tc>
          <w:tcPr>
            <w:tcW w:w="75" w:type="dxa"/>
            <w:tcBorders/>
            <w:shd w:fill="E5E5E5" w:val="clear"/>
            <w:vAlign w:val="center"/>
          </w:tcPr>
          <w:p>
            <w:pPr>
              <w:pStyle w:val="TableContents"/>
              <w:bidi w:val="0"/>
              <w:spacing w:before="0" w:after="283"/>
              <w:jc w:val="left"/>
              <w:rPr/>
            </w:pPr>
            <w:r>
              <w:rPr/>
              <w:t> </w:t>
            </w:r>
          </w:p>
        </w:tc>
      </w:tr>
      <w:tr>
        <w:trPr/>
        <w:tc>
          <w:tcPr>
            <w:tcW w:w="1835" w:type="dxa"/>
            <w:vMerge w:val="continue"/>
            <w:tcBorders>
              <w:bottom w:val="single" w:sz="8" w:space="0" w:color="732282"/>
            </w:tcBorders>
            <w:shd w:fill="E5E5E5" w:val="clear"/>
            <w:tcMar>
              <w:bottom w:w="28" w:type="dxa"/>
            </w:tcMar>
            <w:vAlign w:val="center"/>
          </w:tcPr>
          <w:p>
            <w:pPr>
              <w:pStyle w:val="Normal"/>
              <w:bidi w:val="0"/>
              <w:jc w:val="left"/>
              <w:rPr/>
            </w:pPr>
            <w:r>
              <w:rPr/>
            </w:r>
          </w:p>
        </w:tc>
        <w:tc>
          <w:tcPr>
            <w:tcW w:w="60" w:type="dxa"/>
            <w:tcBorders/>
            <w:shd w:fill="E5E5E5" w:val="cle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before="0" w:after="283"/>
              <w:jc w:val="left"/>
              <w:rPr/>
            </w:pPr>
            <w:r>
              <w:rPr/>
              <w:t> </w:t>
            </w:r>
          </w:p>
        </w:tc>
        <w:tc>
          <w:tcPr>
            <w:tcW w:w="541" w:type="dxa"/>
            <w:tcBorders/>
            <w:shd w:fill="E5E5E5" w:val="clear"/>
            <w:vAlign w:val="center"/>
          </w:tcPr>
          <w:p>
            <w:pPr>
              <w:pStyle w:val="TableContents"/>
              <w:bidi w:val="0"/>
              <w:spacing w:before="0" w:after="283"/>
              <w:jc w:val="right"/>
              <w:rPr/>
            </w:pPr>
            <w:r>
              <w:rPr/>
              <w:t>2022</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1,800,000</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10,800,015</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55" w:type="dxa"/>
            <w:tcBorders/>
            <w:shd w:fill="E5E5E5" w:val="clear"/>
            <w:vAlign w:val="center"/>
          </w:tcPr>
          <w:p>
            <w:pPr>
              <w:pStyle w:val="TableContents"/>
              <w:bidi w:val="0"/>
              <w:spacing w:before="0" w:after="283"/>
              <w:jc w:val="left"/>
              <w:rPr/>
            </w:pPr>
            <w:r>
              <w:rPr/>
              <w:t> </w:t>
            </w:r>
          </w:p>
        </w:tc>
        <w:tc>
          <w:tcPr>
            <w:tcW w:w="675"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5" w:type="dxa"/>
            <w:tcBorders/>
            <w:shd w:fill="E5E5E5" w:val="clear"/>
            <w:vAlign w:val="center"/>
          </w:tcPr>
          <w:p>
            <w:pPr>
              <w:pStyle w:val="TableContents"/>
              <w:bidi w:val="0"/>
              <w:spacing w:before="0" w:after="283"/>
              <w:jc w:val="left"/>
              <w:rPr/>
            </w:pPr>
            <w:r>
              <w:rPr/>
              <w:t> </w:t>
            </w:r>
          </w:p>
        </w:tc>
        <w:tc>
          <w:tcPr>
            <w:tcW w:w="1405" w:type="dxa"/>
            <w:tcBorders/>
            <w:shd w:fill="E5E5E5" w:val="clear"/>
            <w:vAlign w:val="center"/>
          </w:tcPr>
          <w:p>
            <w:pPr>
              <w:pStyle w:val="TableContents"/>
              <w:bidi w:val="0"/>
              <w:spacing w:before="0" w:after="283"/>
              <w:jc w:val="right"/>
              <w:rPr/>
            </w:pPr>
            <w:r>
              <w:rPr/>
              <w:t>5,039,010</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279" w:type="dxa"/>
            <w:tcBorders/>
            <w:shd w:fill="E5E5E5" w:val="clear"/>
            <w:vAlign w:val="center"/>
          </w:tcPr>
          <w:p>
            <w:pPr>
              <w:pStyle w:val="TableContents"/>
              <w:bidi w:val="0"/>
              <w:spacing w:before="0" w:after="283"/>
              <w:jc w:val="left"/>
              <w:rPr/>
            </w:pPr>
            <w:r>
              <w:rPr/>
              <w:t> </w:t>
            </w:r>
          </w:p>
        </w:tc>
        <w:tc>
          <w:tcPr>
            <w:tcW w:w="1211"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7" w:type="dxa"/>
            <w:tcBorders/>
            <w:shd w:fill="E5E5E5" w:val="clear"/>
            <w:vAlign w:val="center"/>
          </w:tcPr>
          <w:p>
            <w:pPr>
              <w:pStyle w:val="TableContents"/>
              <w:bidi w:val="0"/>
              <w:spacing w:before="0" w:after="283"/>
              <w:jc w:val="left"/>
              <w:rPr/>
            </w:pPr>
            <w:r>
              <w:rPr/>
              <w:t> </w:t>
            </w:r>
          </w:p>
        </w:tc>
        <w:tc>
          <w:tcPr>
            <w:tcW w:w="1413" w:type="dxa"/>
            <w:tcBorders/>
            <w:shd w:fill="E5E5E5" w:val="clear"/>
            <w:vAlign w:val="center"/>
          </w:tcPr>
          <w:p>
            <w:pPr>
              <w:pStyle w:val="TableContents"/>
              <w:bidi w:val="0"/>
              <w:spacing w:before="0" w:after="283"/>
              <w:jc w:val="right"/>
              <w:rPr/>
            </w:pPr>
            <w:r>
              <w:rPr/>
              <w:t>859,620</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18,498,645</w:t>
            </w:r>
          </w:p>
        </w:tc>
        <w:tc>
          <w:tcPr>
            <w:tcW w:w="75" w:type="dxa"/>
            <w:tcBorders/>
            <w:shd w:fill="E5E5E5" w:val="clear"/>
            <w:vAlign w:val="center"/>
          </w:tcPr>
          <w:p>
            <w:pPr>
              <w:pStyle w:val="TableContents"/>
              <w:bidi w:val="0"/>
              <w:spacing w:before="0" w:after="283"/>
              <w:jc w:val="left"/>
              <w:rPr/>
            </w:pPr>
            <w:r>
              <w:rPr/>
              <w:t> </w:t>
            </w:r>
          </w:p>
        </w:tc>
      </w:tr>
      <w:tr>
        <w:trPr/>
        <w:tc>
          <w:tcPr>
            <w:tcW w:w="1835" w:type="dxa"/>
            <w:vMerge w:val="continue"/>
            <w:tcBorders>
              <w:bottom w:val="single" w:sz="8" w:space="0" w:color="732282"/>
            </w:tcBorders>
            <w:shd w:fill="E5E5E5" w:val="clear"/>
            <w:tcMar>
              <w:bottom w:w="28" w:type="dxa"/>
            </w:tcMar>
            <w:vAlign w:val="center"/>
          </w:tcPr>
          <w:p>
            <w:pPr>
              <w:pStyle w:val="Normal"/>
              <w:bidi w:val="0"/>
              <w:jc w:val="left"/>
              <w:rPr/>
            </w:pPr>
            <w:r>
              <w:rPr/>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4"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541" w:type="dxa"/>
            <w:tcBorders>
              <w:bottom w:val="single" w:sz="8" w:space="0" w:color="732282"/>
            </w:tcBorders>
            <w:shd w:fill="E5E5E5" w:val="clear"/>
            <w:tcMar>
              <w:bottom w:w="28" w:type="dxa"/>
            </w:tcMar>
            <w:vAlign w:val="center"/>
          </w:tcPr>
          <w:p>
            <w:pPr>
              <w:pStyle w:val="TableContents"/>
              <w:bidi w:val="0"/>
              <w:spacing w:before="0" w:after="283"/>
              <w:jc w:val="right"/>
              <w:rPr/>
            </w:pPr>
            <w:r>
              <w:rPr/>
              <w:t>2021</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8" w:space="0" w:color="732282"/>
            </w:tcBorders>
            <w:shd w:fill="E5E5E5" w:val="clear"/>
            <w:tcMar>
              <w:bottom w:w="28" w:type="dxa"/>
            </w:tcMar>
            <w:vAlign w:val="center"/>
          </w:tcPr>
          <w:p>
            <w:pPr>
              <w:pStyle w:val="TableContents"/>
              <w:bidi w:val="0"/>
              <w:spacing w:before="0" w:after="283"/>
              <w:jc w:val="right"/>
              <w:rPr/>
            </w:pPr>
            <w:r>
              <w:rPr/>
              <w:t>1,800,000</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8" w:space="0" w:color="732282"/>
            </w:tcBorders>
            <w:shd w:fill="E5E5E5" w:val="clear"/>
            <w:tcMar>
              <w:bottom w:w="28" w:type="dxa"/>
            </w:tcMar>
            <w:vAlign w:val="center"/>
          </w:tcPr>
          <w:p>
            <w:pPr>
              <w:pStyle w:val="TableContents"/>
              <w:bidi w:val="0"/>
              <w:spacing w:before="0" w:after="283"/>
              <w:jc w:val="right"/>
              <w:rPr/>
            </w:pPr>
            <w:r>
              <w:rPr/>
              <w:t>—</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8" w:space="0" w:color="732282"/>
            </w:tcBorders>
            <w:shd w:fill="E5E5E5" w:val="clear"/>
            <w:tcMar>
              <w:bottom w:w="28" w:type="dxa"/>
            </w:tcMar>
            <w:vAlign w:val="center"/>
          </w:tcPr>
          <w:p>
            <w:pPr>
              <w:pStyle w:val="TableContents"/>
              <w:bidi w:val="0"/>
              <w:spacing w:before="0" w:after="283"/>
              <w:jc w:val="right"/>
              <w:rPr/>
            </w:pPr>
            <w:r>
              <w:rPr/>
              <w:t>10,800,010</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55"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75" w:type="dxa"/>
            <w:tcBorders>
              <w:bottom w:val="single" w:sz="8" w:space="0" w:color="732282"/>
            </w:tcBorders>
            <w:shd w:fill="E5E5E5" w:val="clear"/>
            <w:tcMar>
              <w:bottom w:w="28" w:type="dxa"/>
            </w:tcMar>
            <w:vAlign w:val="center"/>
          </w:tcPr>
          <w:p>
            <w:pPr>
              <w:pStyle w:val="TableContents"/>
              <w:bidi w:val="0"/>
              <w:spacing w:before="0" w:after="283"/>
              <w:jc w:val="right"/>
              <w:rPr/>
            </w:pPr>
            <w:r>
              <w:rPr/>
              <w:t>—</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85"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405" w:type="dxa"/>
            <w:tcBorders>
              <w:bottom w:val="single" w:sz="8" w:space="0" w:color="732282"/>
            </w:tcBorders>
            <w:shd w:fill="E5E5E5" w:val="clear"/>
            <w:tcMar>
              <w:bottom w:w="28" w:type="dxa"/>
            </w:tcMar>
            <w:vAlign w:val="center"/>
          </w:tcPr>
          <w:p>
            <w:pPr>
              <w:pStyle w:val="TableContents"/>
              <w:bidi w:val="0"/>
              <w:spacing w:before="0" w:after="283"/>
              <w:jc w:val="right"/>
              <w:rPr/>
            </w:pPr>
            <w:r>
              <w:rPr/>
              <w:t>5,145,390</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279"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211" w:type="dxa"/>
            <w:tcBorders>
              <w:bottom w:val="single" w:sz="8" w:space="0" w:color="732282"/>
            </w:tcBorders>
            <w:shd w:fill="E5E5E5" w:val="clear"/>
            <w:tcMar>
              <w:bottom w:w="28" w:type="dxa"/>
            </w:tcMar>
            <w:vAlign w:val="center"/>
          </w:tcPr>
          <w:p>
            <w:pPr>
              <w:pStyle w:val="TableContents"/>
              <w:bidi w:val="0"/>
              <w:spacing w:before="0" w:after="283"/>
              <w:jc w:val="right"/>
              <w:rPr/>
            </w:pPr>
            <w:r>
              <w:rPr/>
              <w:t>—</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77"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413" w:type="dxa"/>
            <w:tcBorders>
              <w:bottom w:val="single" w:sz="8" w:space="0" w:color="732282"/>
            </w:tcBorders>
            <w:shd w:fill="E5E5E5" w:val="clear"/>
            <w:tcMar>
              <w:bottom w:w="28" w:type="dxa"/>
            </w:tcMar>
            <w:vAlign w:val="center"/>
          </w:tcPr>
          <w:p>
            <w:pPr>
              <w:pStyle w:val="TableContents"/>
              <w:bidi w:val="0"/>
              <w:spacing w:before="0" w:after="283"/>
              <w:jc w:val="right"/>
              <w:rPr/>
            </w:pPr>
            <w:r>
              <w:rPr/>
              <w:t>806,678</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8" w:space="0" w:color="732282"/>
            </w:tcBorders>
            <w:shd w:fill="E5E5E5" w:val="clear"/>
            <w:tcMar>
              <w:bottom w:w="28" w:type="dxa"/>
            </w:tcMar>
            <w:vAlign w:val="center"/>
          </w:tcPr>
          <w:p>
            <w:pPr>
              <w:pStyle w:val="TableContents"/>
              <w:bidi w:val="0"/>
              <w:spacing w:before="0" w:after="283"/>
              <w:jc w:val="right"/>
              <w:rPr/>
            </w:pPr>
            <w:r>
              <w:rPr/>
              <w:t>18,552,078</w:t>
            </w:r>
          </w:p>
        </w:tc>
        <w:tc>
          <w:tcPr>
            <w:tcW w:w="75"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i/>
              </w:rPr>
            </w:pPr>
            <w:r>
              <w:rPr>
                <w:i/>
              </w:rPr>
              <w:t>(1)</w:t>
            </w:r>
          </w:p>
        </w:tc>
        <w:tc>
          <w:tcPr>
            <w:tcW w:w="9951" w:type="dxa"/>
            <w:tcBorders/>
            <w:vAlign w:val="center"/>
          </w:tcPr>
          <w:p>
            <w:pPr>
              <w:pStyle w:val="TableContents"/>
              <w:bidi w:val="0"/>
              <w:spacing w:before="0" w:after="0"/>
              <w:jc w:val="both"/>
              <w:rPr>
                <w:rFonts w:ascii="arial" w:hAnsi="arial"/>
                <w:i/>
                <w:sz w:val="18"/>
              </w:rPr>
            </w:pPr>
            <w:r>
              <w:rPr>
                <w:rFonts w:ascii="arial" w:hAnsi="arial"/>
                <w:i/>
                <w:sz w:val="18"/>
              </w:rPr>
              <w:t xml:space="preserve">Represents the base salary actually paid to the NEO in 2023, 2022, and 2021. For Mr. Smith, the amount reflects salary received commencing with his April 1, 2023 hire date. For Messrs. Goettler and Coury, the amount reflects salary received up until their last day of employment, which was April 1, 2023 and December 15, 2023, respectively.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i/>
              </w:rPr>
            </w:pPr>
            <w:r>
              <w:rPr>
                <w:i/>
              </w:rPr>
              <w:t>(2)</w:t>
            </w:r>
          </w:p>
        </w:tc>
        <w:tc>
          <w:tcPr>
            <w:tcW w:w="9961" w:type="dxa"/>
            <w:tcBorders/>
            <w:vAlign w:val="center"/>
          </w:tcPr>
          <w:p>
            <w:pPr>
              <w:pStyle w:val="TableContents"/>
              <w:bidi w:val="0"/>
              <w:spacing w:before="0" w:after="0"/>
              <w:jc w:val="both"/>
              <w:rPr>
                <w:rFonts w:ascii="arial" w:hAnsi="arial"/>
                <w:i/>
                <w:sz w:val="18"/>
              </w:rPr>
            </w:pPr>
            <w:r>
              <w:rPr>
                <w:rFonts w:ascii="arial" w:hAnsi="arial"/>
                <w:i/>
                <w:sz w:val="18"/>
              </w:rPr>
              <w:t xml:space="preserve">In connection with the Combination in 2020, Messrs. Malik and Mauro were each granted a retention bonus (equal to $10,950,000 and $6,553,800, respectively), which became payable in 2022 upon the two-year anniversary of the Combination, subject to Messrs. Malik’s and Mauro’s continued employment through such date. Consistent with our engagement with shareholders, the Compensation Committee has determined that it does not intend to issue new cash-based retention awards for NEOs except in extraordinary situations or in connection with new hires.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i/>
              </w:rPr>
            </w:pPr>
            <w:r>
              <w:rPr>
                <w:i/>
              </w:rPr>
              <w:t>(3)</w:t>
            </w:r>
          </w:p>
        </w:tc>
        <w:tc>
          <w:tcPr>
            <w:tcW w:w="9966" w:type="dxa"/>
            <w:tcBorders/>
            <w:vAlign w:val="center"/>
          </w:tcPr>
          <w:p>
            <w:pPr>
              <w:pStyle w:val="TableContents"/>
              <w:bidi w:val="0"/>
              <w:spacing w:before="0" w:after="0"/>
              <w:jc w:val="both"/>
              <w:rPr>
                <w:rFonts w:ascii="arial" w:hAnsi="arial"/>
                <w:i/>
                <w:sz w:val="18"/>
              </w:rPr>
            </w:pPr>
            <w:r>
              <w:rPr>
                <w:rFonts w:ascii="arial" w:hAnsi="arial"/>
                <w:i/>
                <w:sz w:val="18"/>
              </w:rPr>
              <w:t xml:space="preserve">Represents the grant date fair value of the long-term incentive awards granted to the NEO in 2023, 2022 and 2021, as applicable. The grant date fair value of PRSUs for 2023 is based on the target value and is as follows: Messrs. Smith ($7,280,002), Narula ($2,405,004), Malik ($5,070,004), Mauro ($2,236,006), Roman ($1,040,009), and Coury ($7,605,007). If the maximum achievement of performance goals had been assumed, the grant date fair value of the PRSUs for 2023 would have been as follows: Messrs. Smith ($14,196,013), Narula ($4,689,759), Malik ($9,886,512), Mauro ($4,360,222), Roman ($2,028,020), and Coury ($14,829,768). For information regarding assumptions used in determining the expense of such awards, please refer to Note 14 to the Company’s Consolidated Financial Statements contained in the Original Filing.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43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i/>
              </w:rPr>
            </w:pPr>
            <w:r>
              <w:rPr>
                <w:i/>
              </w:rPr>
              <w:t>(4)</w:t>
            </w:r>
          </w:p>
        </w:tc>
        <w:tc>
          <w:tcPr>
            <w:tcW w:w="9926" w:type="dxa"/>
            <w:tcBorders/>
            <w:vAlign w:val="center"/>
          </w:tcPr>
          <w:p>
            <w:pPr>
              <w:pStyle w:val="TableContents"/>
              <w:bidi w:val="0"/>
              <w:spacing w:before="0" w:after="0"/>
              <w:jc w:val="both"/>
              <w:rPr>
                <w:rFonts w:ascii="arial" w:hAnsi="arial"/>
                <w:i/>
                <w:sz w:val="18"/>
              </w:rPr>
            </w:pPr>
            <w:r>
              <w:rPr>
                <w:rFonts w:ascii="arial" w:hAnsi="arial"/>
                <w:i/>
                <w:sz w:val="18"/>
              </w:rPr>
              <w:t xml:space="preserve">Represents amounts paid under the Company’s annual short-term incentive plan. For a discussion of this plan, see “2023 Annual Incentive Compensation Program” on page 33.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i/>
              </w:rPr>
            </w:pPr>
            <w:r>
              <w:rPr>
                <w:i/>
              </w:rPr>
              <w:t>(5)</w:t>
            </w:r>
          </w:p>
        </w:tc>
        <w:tc>
          <w:tcPr>
            <w:tcW w:w="9945" w:type="dxa"/>
            <w:tcBorders/>
            <w:vAlign w:val="center"/>
          </w:tcPr>
          <w:p>
            <w:pPr>
              <w:pStyle w:val="TableContents"/>
              <w:bidi w:val="0"/>
              <w:spacing w:before="0" w:after="0"/>
              <w:jc w:val="both"/>
              <w:rPr>
                <w:rFonts w:ascii="arial" w:hAnsi="arial"/>
                <w:i/>
                <w:sz w:val="18"/>
              </w:rPr>
            </w:pPr>
            <w:r>
              <w:rPr>
                <w:rFonts w:ascii="arial" w:hAnsi="arial"/>
                <w:i/>
                <w:sz w:val="18"/>
              </w:rPr>
              <w:t xml:space="preserve">Amounts shown in this column are detailed in the following chart. All separation benefits paid to Messrs. Goettler and Coury were required pursuant to the existing terms of their contractual agreements, which were previously disclosed and subject to prior Say-on-Pay resolutions. </w:t>
            </w:r>
          </w:p>
        </w:tc>
      </w:tr>
    </w:tbl>
    <w:p>
      <w:pPr>
        <w:pStyle w:val="TextBody"/>
        <w:bidi w:val="0"/>
        <w:spacing w:before="0" w:after="0"/>
        <w:jc w:val="left"/>
        <w:rPr/>
      </w:pPr>
      <w:r>
        <w:rPr/>
        <w:t> </w:t>
      </w:r>
    </w:p>
    <w:tbl>
      <w:tblPr>
        <w:tblW w:w="11555" w:type="dxa"/>
        <w:jc w:val="left"/>
        <w:tblInd w:w="0" w:type="dxa"/>
        <w:tblLayout w:type="fixed"/>
        <w:tblCellMar>
          <w:top w:w="0" w:type="dxa"/>
          <w:left w:w="0" w:type="dxa"/>
          <w:bottom w:w="0" w:type="dxa"/>
          <w:right w:w="0" w:type="dxa"/>
        </w:tblCellMar>
      </w:tblPr>
      <w:tblGrid>
        <w:gridCol w:w="635"/>
        <w:gridCol w:w="60"/>
        <w:gridCol w:w="64"/>
        <w:gridCol w:w="541"/>
        <w:gridCol w:w="60"/>
        <w:gridCol w:w="60"/>
        <w:gridCol w:w="97"/>
        <w:gridCol w:w="1108"/>
        <w:gridCol w:w="60"/>
        <w:gridCol w:w="60"/>
        <w:gridCol w:w="71"/>
        <w:gridCol w:w="954"/>
        <w:gridCol w:w="60"/>
        <w:gridCol w:w="60"/>
        <w:gridCol w:w="76"/>
        <w:gridCol w:w="1024"/>
        <w:gridCol w:w="60"/>
        <w:gridCol w:w="60"/>
        <w:gridCol w:w="109"/>
        <w:gridCol w:w="1246"/>
        <w:gridCol w:w="60"/>
        <w:gridCol w:w="60"/>
        <w:gridCol w:w="94"/>
        <w:gridCol w:w="1261"/>
        <w:gridCol w:w="60"/>
        <w:gridCol w:w="60"/>
        <w:gridCol w:w="60"/>
        <w:gridCol w:w="1100"/>
        <w:gridCol w:w="60"/>
        <w:gridCol w:w="60"/>
        <w:gridCol w:w="60"/>
        <w:gridCol w:w="800"/>
        <w:gridCol w:w="60"/>
        <w:gridCol w:w="60"/>
        <w:gridCol w:w="60"/>
        <w:gridCol w:w="1100"/>
        <w:gridCol w:w="75"/>
      </w:tblGrid>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5" w:type="dxa"/>
            <w:tcBorders/>
            <w:shd w:fill="444444" w:val="clear"/>
            <w:vAlign w:val="center"/>
          </w:tcPr>
          <w:p>
            <w:pPr>
              <w:pStyle w:val="TableContents"/>
              <w:bidi w:val="0"/>
              <w:spacing w:before="0" w:after="283"/>
              <w:jc w:val="left"/>
              <w:rPr>
                <w:sz w:val="4"/>
                <w:szCs w:val="4"/>
              </w:rPr>
            </w:pPr>
            <w:r>
              <w:rPr>
                <w:sz w:val="4"/>
                <w:szCs w:val="4"/>
              </w:rPr>
            </w:r>
          </w:p>
        </w:tc>
        <w:tc>
          <w:tcPr>
            <w:tcW w:w="725" w:type="dxa"/>
            <w:gridSpan w:val="4"/>
            <w:tcBorders/>
            <w:shd w:fill="444444" w:val="clear"/>
            <w:vAlign w:val="center"/>
          </w:tcPr>
          <w:p>
            <w:pPr>
              <w:pStyle w:val="TableContents"/>
              <w:bidi w:val="0"/>
              <w:spacing w:before="0" w:after="283"/>
              <w:jc w:val="left"/>
              <w:rPr>
                <w:sz w:val="4"/>
                <w:szCs w:val="4"/>
              </w:rPr>
            </w:pPr>
            <w:r>
              <w:rPr>
                <w:sz w:val="4"/>
                <w:szCs w:val="4"/>
              </w:rPr>
            </w:r>
          </w:p>
        </w:tc>
        <w:tc>
          <w:tcPr>
            <w:tcW w:w="1325" w:type="dxa"/>
            <w:gridSpan w:val="4"/>
            <w:tcBorders/>
            <w:shd w:fill="444444" w:val="clear"/>
            <w:vAlign w:val="center"/>
          </w:tcPr>
          <w:p>
            <w:pPr>
              <w:pStyle w:val="TableContents"/>
              <w:bidi w:val="0"/>
              <w:spacing w:before="0" w:after="283"/>
              <w:jc w:val="left"/>
              <w:rPr>
                <w:sz w:val="4"/>
                <w:szCs w:val="4"/>
              </w:rPr>
            </w:pPr>
            <w:r>
              <w:rPr>
                <w:sz w:val="4"/>
                <w:szCs w:val="4"/>
              </w:rPr>
            </w:r>
          </w:p>
        </w:tc>
        <w:tc>
          <w:tcPr>
            <w:tcW w:w="1145" w:type="dxa"/>
            <w:gridSpan w:val="4"/>
            <w:tcBorders/>
            <w:shd w:fill="444444" w:val="clear"/>
            <w:vAlign w:val="center"/>
          </w:tcPr>
          <w:p>
            <w:pPr>
              <w:pStyle w:val="TableContents"/>
              <w:bidi w:val="0"/>
              <w:spacing w:before="0" w:after="283"/>
              <w:jc w:val="left"/>
              <w:rPr>
                <w:sz w:val="4"/>
                <w:szCs w:val="4"/>
              </w:rPr>
            </w:pPr>
            <w:r>
              <w:rPr>
                <w:sz w:val="4"/>
                <w:szCs w:val="4"/>
              </w:rPr>
            </w:r>
          </w:p>
        </w:tc>
        <w:tc>
          <w:tcPr>
            <w:tcW w:w="1220" w:type="dxa"/>
            <w:gridSpan w:val="4"/>
            <w:tcBorders/>
            <w:shd w:fill="444444" w:val="clear"/>
            <w:vAlign w:val="center"/>
          </w:tcPr>
          <w:p>
            <w:pPr>
              <w:pStyle w:val="TableContents"/>
              <w:bidi w:val="0"/>
              <w:spacing w:before="0" w:after="283"/>
              <w:jc w:val="left"/>
              <w:rPr>
                <w:sz w:val="4"/>
                <w:szCs w:val="4"/>
              </w:rPr>
            </w:pPr>
            <w:r>
              <w:rPr>
                <w:sz w:val="4"/>
                <w:szCs w:val="4"/>
              </w:rPr>
            </w:r>
          </w:p>
        </w:tc>
        <w:tc>
          <w:tcPr>
            <w:tcW w:w="1475" w:type="dxa"/>
            <w:gridSpan w:val="4"/>
            <w:tcBorders/>
            <w:shd w:fill="444444" w:val="clear"/>
            <w:vAlign w:val="center"/>
          </w:tcPr>
          <w:p>
            <w:pPr>
              <w:pStyle w:val="TableContents"/>
              <w:bidi w:val="0"/>
              <w:spacing w:before="0" w:after="283"/>
              <w:jc w:val="left"/>
              <w:rPr>
                <w:sz w:val="4"/>
                <w:szCs w:val="4"/>
              </w:rPr>
            </w:pPr>
            <w:r>
              <w:rPr>
                <w:sz w:val="4"/>
                <w:szCs w:val="4"/>
              </w:rPr>
            </w:r>
          </w:p>
        </w:tc>
        <w:tc>
          <w:tcPr>
            <w:tcW w:w="1475" w:type="dxa"/>
            <w:gridSpan w:val="4"/>
            <w:tcBorders/>
            <w:shd w:fill="444444" w:val="clear"/>
            <w:vAlign w:val="center"/>
          </w:tcPr>
          <w:p>
            <w:pPr>
              <w:pStyle w:val="TableContents"/>
              <w:bidi w:val="0"/>
              <w:spacing w:before="0" w:after="283"/>
              <w:jc w:val="left"/>
              <w:rPr>
                <w:sz w:val="4"/>
                <w:szCs w:val="4"/>
              </w:rPr>
            </w:pPr>
            <w:r>
              <w:rPr>
                <w:sz w:val="4"/>
                <w:szCs w:val="4"/>
              </w:rPr>
            </w:r>
          </w:p>
        </w:tc>
        <w:tc>
          <w:tcPr>
            <w:tcW w:w="1280" w:type="dxa"/>
            <w:gridSpan w:val="4"/>
            <w:tcBorders/>
            <w:shd w:fill="444444" w:val="clear"/>
            <w:vAlign w:val="center"/>
          </w:tcPr>
          <w:p>
            <w:pPr>
              <w:pStyle w:val="TableContents"/>
              <w:bidi w:val="0"/>
              <w:spacing w:before="0" w:after="283"/>
              <w:jc w:val="left"/>
              <w:rPr>
                <w:sz w:val="4"/>
                <w:szCs w:val="4"/>
              </w:rPr>
            </w:pPr>
            <w:r>
              <w:rPr>
                <w:sz w:val="4"/>
                <w:szCs w:val="4"/>
              </w:rPr>
            </w:r>
          </w:p>
        </w:tc>
        <w:tc>
          <w:tcPr>
            <w:tcW w:w="980" w:type="dxa"/>
            <w:gridSpan w:val="4"/>
            <w:tcBorders/>
            <w:shd w:fill="444444" w:val="clear"/>
            <w:vAlign w:val="center"/>
          </w:tcPr>
          <w:p>
            <w:pPr>
              <w:pStyle w:val="TableContents"/>
              <w:bidi w:val="0"/>
              <w:spacing w:before="0" w:after="283"/>
              <w:jc w:val="left"/>
              <w:rPr>
                <w:sz w:val="4"/>
                <w:szCs w:val="4"/>
              </w:rPr>
            </w:pPr>
            <w:r>
              <w:rPr>
                <w:sz w:val="4"/>
                <w:szCs w:val="4"/>
              </w:rPr>
            </w:r>
          </w:p>
        </w:tc>
        <w:tc>
          <w:tcPr>
            <w:tcW w:w="1295" w:type="dxa"/>
            <w:gridSpan w:val="4"/>
            <w:tcBorders/>
            <w:shd w:fill="444444" w:val="clear"/>
            <w:vAlign w:val="center"/>
          </w:tcPr>
          <w:p>
            <w:pPr>
              <w:pStyle w:val="TableContents"/>
              <w:bidi w:val="0"/>
              <w:spacing w:before="0" w:after="283"/>
              <w:jc w:val="left"/>
              <w:rPr>
                <w:sz w:val="4"/>
                <w:szCs w:val="4"/>
              </w:rPr>
            </w:pPr>
            <w:r>
              <w:rPr>
                <w:sz w:val="4"/>
                <w:szCs w:val="4"/>
              </w:rPr>
            </w:r>
          </w:p>
        </w:tc>
      </w:tr>
      <w:tr>
        <w:trPr/>
        <w:tc>
          <w:tcPr>
            <w:tcW w:w="635" w:type="dxa"/>
            <w:tcBorders/>
            <w:shd w:fill="444444" w:val="clear"/>
            <w:vAlign w:val="center"/>
          </w:tcPr>
          <w:p>
            <w:pPr>
              <w:pStyle w:val="TableContents"/>
              <w:bidi w:val="0"/>
              <w:spacing w:before="0" w:after="283"/>
              <w:jc w:val="left"/>
              <w:rPr>
                <w:b/>
                <w:color w:val="FFFFFF"/>
              </w:rPr>
            </w:pPr>
            <w:r>
              <w:rPr>
                <w:b/>
                <w:color w:val="FFFFFF"/>
              </w:rPr>
              <w:t>Name</w:t>
            </w:r>
          </w:p>
        </w:tc>
        <w:tc>
          <w:tcPr>
            <w:tcW w:w="60" w:type="dxa"/>
            <w:tcBorders/>
            <w:shd w:fill="444444" w:val="clear"/>
            <w:vAlign w:val="center"/>
          </w:tcPr>
          <w:p>
            <w:pPr>
              <w:pStyle w:val="TableContents"/>
              <w:bidi w:val="0"/>
              <w:spacing w:before="0" w:after="283"/>
              <w:jc w:val="left"/>
              <w:rPr/>
            </w:pPr>
            <w:r>
              <w:rPr/>
              <w:t> </w:t>
            </w:r>
          </w:p>
        </w:tc>
        <w:tc>
          <w:tcPr>
            <w:tcW w:w="605" w:type="dxa"/>
            <w:gridSpan w:val="2"/>
            <w:tcBorders/>
            <w:shd w:fill="444444" w:val="clear"/>
            <w:vAlign w:val="center"/>
          </w:tcPr>
          <w:p>
            <w:pPr>
              <w:pStyle w:val="TableContents"/>
              <w:bidi w:val="0"/>
              <w:spacing w:before="0" w:after="283"/>
              <w:jc w:val="center"/>
              <w:rPr>
                <w:b/>
                <w:color w:val="FFFFFF"/>
              </w:rPr>
            </w:pPr>
            <w:r>
              <w:rPr>
                <w:b/>
                <w:color w:val="FFFFFF"/>
              </w:rPr>
              <w:t>Fiscal</w:t>
              <w:br/>
              <w:t>Year</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205" w:type="dxa"/>
            <w:gridSpan w:val="2"/>
            <w:tcBorders/>
            <w:shd w:fill="444444" w:val="clear"/>
            <w:vAlign w:val="center"/>
          </w:tcPr>
          <w:p>
            <w:pPr>
              <w:pStyle w:val="TableContents"/>
              <w:bidi w:val="0"/>
              <w:spacing w:before="0" w:after="283"/>
              <w:jc w:val="center"/>
              <w:rPr>
                <w:b/>
                <w:color w:val="FFFFFF"/>
              </w:rPr>
            </w:pPr>
            <w:r>
              <w:rPr>
                <w:b/>
                <w:color w:val="FFFFFF"/>
              </w:rPr>
              <w:t>Use of</w:t>
              <w:br/>
              <w:t>Company</w:t>
              <w:br/>
              <w:t>Provided</w:t>
              <w:br/>
              <w:t>Automobile</w:t>
              <w:br/>
              <w:t>($)(a)</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025" w:type="dxa"/>
            <w:gridSpan w:val="2"/>
            <w:tcBorders/>
            <w:shd w:fill="444444" w:val="clear"/>
            <w:vAlign w:val="center"/>
          </w:tcPr>
          <w:p>
            <w:pPr>
              <w:pStyle w:val="TableContents"/>
              <w:bidi w:val="0"/>
              <w:spacing w:before="0" w:after="283"/>
              <w:jc w:val="center"/>
              <w:rPr>
                <w:b/>
                <w:color w:val="FFFFFF"/>
              </w:rPr>
            </w:pPr>
            <w:r>
              <w:rPr>
                <w:b/>
                <w:color w:val="FFFFFF"/>
              </w:rPr>
              <w:t>Personal</w:t>
              <w:br/>
              <w:t>Use of</w:t>
              <w:br/>
              <w:t>Company</w:t>
              <w:br/>
              <w:t>Aircraft</w:t>
              <w:br/>
              <w:t>($)(b)</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100" w:type="dxa"/>
            <w:gridSpan w:val="2"/>
            <w:tcBorders/>
            <w:shd w:fill="444444" w:val="clear"/>
            <w:vAlign w:val="center"/>
          </w:tcPr>
          <w:p>
            <w:pPr>
              <w:pStyle w:val="TableContents"/>
              <w:bidi w:val="0"/>
              <w:spacing w:before="0" w:after="283"/>
              <w:jc w:val="center"/>
              <w:rPr>
                <w:b/>
                <w:color w:val="FFFFFF"/>
              </w:rPr>
            </w:pPr>
            <w:r>
              <w:rPr>
                <w:b/>
                <w:color w:val="FFFFFF"/>
              </w:rPr>
              <w:t>Expatriate</w:t>
              <w:br/>
              <w:t>Benefits</w:t>
              <w:br/>
              <w:t>($)(c)</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355" w:type="dxa"/>
            <w:gridSpan w:val="2"/>
            <w:tcBorders/>
            <w:shd w:fill="444444" w:val="clear"/>
            <w:vAlign w:val="center"/>
          </w:tcPr>
          <w:p>
            <w:pPr>
              <w:pStyle w:val="TableContents"/>
              <w:bidi w:val="0"/>
              <w:spacing w:before="0" w:after="283"/>
              <w:jc w:val="center"/>
              <w:rPr>
                <w:b/>
                <w:color w:val="FFFFFF"/>
              </w:rPr>
            </w:pPr>
            <w:r>
              <w:rPr>
                <w:b/>
                <w:color w:val="FFFFFF"/>
              </w:rPr>
              <w:t>401(k) and</w:t>
              <w:br/>
              <w:t>Profit</w:t>
              <w:br/>
              <w:t>Sharing</w:t>
              <w:br/>
              <w:t>Plan</w:t>
              <w:br/>
              <w:t>Matching</w:t>
              <w:br/>
              <w:t>and Profit</w:t>
              <w:br/>
              <w:t>Sharing</w:t>
              <w:br/>
              <w:t>Contribution</w:t>
              <w:br/>
              <w:t>($)(d)</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355" w:type="dxa"/>
            <w:gridSpan w:val="2"/>
            <w:tcBorders/>
            <w:shd w:fill="444444" w:val="clear"/>
            <w:vAlign w:val="center"/>
          </w:tcPr>
          <w:p>
            <w:pPr>
              <w:pStyle w:val="TableContents"/>
              <w:bidi w:val="0"/>
              <w:spacing w:before="0" w:after="283"/>
              <w:jc w:val="center"/>
              <w:rPr>
                <w:b/>
                <w:color w:val="FFFFFF"/>
              </w:rPr>
            </w:pPr>
            <w:r>
              <w:rPr>
                <w:b/>
                <w:color w:val="FFFFFF"/>
              </w:rPr>
              <w:t>Restoration</w:t>
              <w:br/>
              <w:t>Plan</w:t>
              <w:br/>
              <w:t>Contribution</w:t>
              <w:br/>
              <w:t>($)(e)</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160" w:type="dxa"/>
            <w:gridSpan w:val="2"/>
            <w:tcBorders/>
            <w:shd w:fill="444444" w:val="clear"/>
            <w:vAlign w:val="center"/>
          </w:tcPr>
          <w:p>
            <w:pPr>
              <w:pStyle w:val="TableContents"/>
              <w:bidi w:val="0"/>
              <w:spacing w:before="0" w:after="283"/>
              <w:jc w:val="center"/>
              <w:rPr>
                <w:b/>
                <w:color w:val="FFFFFF"/>
              </w:rPr>
            </w:pPr>
            <w:r>
              <w:rPr>
                <w:b/>
                <w:color w:val="FFFFFF"/>
              </w:rPr>
              <w:t>Transition</w:t>
              <w:br/>
              <w:t>Related</w:t>
              <w:br/>
              <w:t>Benefits</w:t>
              <w:br/>
              <w:t>($)(f)</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860" w:type="dxa"/>
            <w:gridSpan w:val="2"/>
            <w:tcBorders/>
            <w:shd w:fill="444444" w:val="clear"/>
            <w:vAlign w:val="center"/>
          </w:tcPr>
          <w:p>
            <w:pPr>
              <w:pStyle w:val="TableContents"/>
              <w:bidi w:val="0"/>
              <w:spacing w:before="0" w:after="283"/>
              <w:jc w:val="center"/>
              <w:rPr>
                <w:b/>
                <w:color w:val="FFFFFF"/>
              </w:rPr>
            </w:pPr>
            <w:r>
              <w:rPr>
                <w:b/>
                <w:color w:val="FFFFFF"/>
              </w:rPr>
              <w:t>Other</w:t>
              <w:br/>
              <w:t>($)(g)</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160" w:type="dxa"/>
            <w:gridSpan w:val="2"/>
            <w:tcBorders/>
            <w:shd w:fill="444444" w:val="clear"/>
            <w:vAlign w:val="center"/>
          </w:tcPr>
          <w:p>
            <w:pPr>
              <w:pStyle w:val="TableContents"/>
              <w:bidi w:val="0"/>
              <w:spacing w:before="0" w:after="283"/>
              <w:jc w:val="center"/>
              <w:rPr>
                <w:b/>
                <w:color w:val="FFFFFF"/>
              </w:rPr>
            </w:pPr>
            <w:r>
              <w:rPr>
                <w:b/>
                <w:color w:val="FFFFFF"/>
              </w:rPr>
              <w:t>Total</w:t>
              <w:br/>
              <w:t>($)</w:t>
            </w:r>
          </w:p>
        </w:tc>
        <w:tc>
          <w:tcPr>
            <w:tcW w:w="75" w:type="dxa"/>
            <w:tcBorders/>
            <w:shd w:fill="444444" w:val="clear"/>
            <w:vAlign w:val="center"/>
          </w:tcPr>
          <w:p>
            <w:pPr>
              <w:pStyle w:val="TableContents"/>
              <w:bidi w:val="0"/>
              <w:spacing w:before="0" w:after="283"/>
              <w:jc w:val="left"/>
              <w:rPr/>
            </w:pPr>
            <w:r>
              <w:rPr/>
              <w:t> </w:t>
            </w:r>
          </w:p>
        </w:tc>
      </w:tr>
      <w:tr>
        <w:trPr/>
        <w:tc>
          <w:tcPr>
            <w:tcW w:w="635" w:type="dxa"/>
            <w:tcBorders/>
            <w:shd w:fill="E5E5E5" w:val="clear"/>
            <w:vAlign w:val="center"/>
          </w:tcPr>
          <w:p>
            <w:pPr>
              <w:pStyle w:val="TableContents"/>
              <w:bidi w:val="0"/>
              <w:spacing w:before="0" w:after="0"/>
              <w:jc w:val="left"/>
              <w:rPr>
                <w:rFonts w:ascii="ARIAL" w:hAnsi="ARIAL"/>
                <w:sz w:val="15"/>
              </w:rPr>
            </w:pPr>
            <w:r>
              <w:rPr>
                <w:rFonts w:ascii="ARIAL" w:hAnsi="ARIAL"/>
                <w:sz w:val="15"/>
              </w:rPr>
              <w:t>Scott A. Smith</w:t>
            </w:r>
          </w:p>
        </w:tc>
        <w:tc>
          <w:tcPr>
            <w:tcW w:w="60" w:type="dxa"/>
            <w:tcBorders/>
            <w:shd w:fill="E5E5E5" w:val="cle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before="0" w:after="283"/>
              <w:jc w:val="left"/>
              <w:rPr/>
            </w:pPr>
            <w:r>
              <w:rPr/>
              <w:t> </w:t>
            </w:r>
          </w:p>
        </w:tc>
        <w:tc>
          <w:tcPr>
            <w:tcW w:w="541" w:type="dxa"/>
            <w:tcBorders/>
            <w:shd w:fill="E5E5E5" w:val="clear"/>
            <w:vAlign w:val="center"/>
          </w:tcPr>
          <w:p>
            <w:pPr>
              <w:pStyle w:val="TableContents"/>
              <w:bidi w:val="0"/>
              <w:spacing w:before="0" w:after="283"/>
              <w:jc w:val="right"/>
              <w:rPr/>
            </w:pPr>
            <w:r>
              <w:rPr/>
              <w:t>2023</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7" w:type="dxa"/>
            <w:tcBorders/>
            <w:shd w:fill="E5E5E5" w:val="clear"/>
            <w:vAlign w:val="center"/>
          </w:tcPr>
          <w:p>
            <w:pPr>
              <w:pStyle w:val="TableContents"/>
              <w:bidi w:val="0"/>
              <w:spacing w:before="0" w:after="283"/>
              <w:jc w:val="left"/>
              <w:rPr/>
            </w:pPr>
            <w:r>
              <w:rPr/>
              <w:t> </w:t>
            </w:r>
          </w:p>
        </w:tc>
        <w:tc>
          <w:tcPr>
            <w:tcW w:w="1108" w:type="dxa"/>
            <w:tcBorders/>
            <w:shd w:fill="E5E5E5" w:val="clear"/>
            <w:vAlign w:val="center"/>
          </w:tcPr>
          <w:p>
            <w:pPr>
              <w:pStyle w:val="TableContents"/>
              <w:bidi w:val="0"/>
              <w:spacing w:before="0" w:after="283"/>
              <w:jc w:val="right"/>
              <w:rPr/>
            </w:pPr>
            <w:r>
              <w:rPr/>
              <w:t>14,458</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4" w:type="dxa"/>
            <w:tcBorders/>
            <w:shd w:fill="E5E5E5" w:val="clear"/>
            <w:vAlign w:val="center"/>
          </w:tcPr>
          <w:p>
            <w:pPr>
              <w:pStyle w:val="TableContents"/>
              <w:bidi w:val="0"/>
              <w:spacing w:before="0" w:after="283"/>
              <w:jc w:val="right"/>
              <w:rPr/>
            </w:pPr>
            <w:r>
              <w:rPr/>
              <w:t>163,853</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6" w:type="dxa"/>
            <w:tcBorders/>
            <w:shd w:fill="E5E5E5" w:val="clear"/>
            <w:vAlign w:val="center"/>
          </w:tcPr>
          <w:p>
            <w:pPr>
              <w:pStyle w:val="TableContents"/>
              <w:bidi w:val="0"/>
              <w:spacing w:before="0" w:after="283"/>
              <w:jc w:val="left"/>
              <w:rPr/>
            </w:pPr>
            <w:r>
              <w:rPr/>
              <w:t> </w:t>
            </w:r>
          </w:p>
        </w:tc>
        <w:tc>
          <w:tcPr>
            <w:tcW w:w="1024"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9" w:type="dxa"/>
            <w:tcBorders/>
            <w:shd w:fill="E5E5E5" w:val="clear"/>
            <w:vAlign w:val="center"/>
          </w:tcPr>
          <w:p>
            <w:pPr>
              <w:pStyle w:val="TableContents"/>
              <w:bidi w:val="0"/>
              <w:spacing w:before="0" w:after="283"/>
              <w:jc w:val="left"/>
              <w:rPr/>
            </w:pPr>
            <w:r>
              <w:rPr/>
              <w:t> </w:t>
            </w:r>
          </w:p>
        </w:tc>
        <w:tc>
          <w:tcPr>
            <w:tcW w:w="1246" w:type="dxa"/>
            <w:tcBorders/>
            <w:shd w:fill="E5E5E5" w:val="clear"/>
            <w:vAlign w:val="center"/>
          </w:tcPr>
          <w:p>
            <w:pPr>
              <w:pStyle w:val="TableContents"/>
              <w:bidi w:val="0"/>
              <w:spacing w:before="0" w:after="283"/>
              <w:jc w:val="right"/>
              <w:rPr/>
            </w:pPr>
            <w:r>
              <w:rPr/>
              <w:t>37,177</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261" w:type="dxa"/>
            <w:tcBorders/>
            <w:shd w:fill="E5E5E5" w:val="clear"/>
            <w:vAlign w:val="center"/>
          </w:tcPr>
          <w:p>
            <w:pPr>
              <w:pStyle w:val="TableContents"/>
              <w:bidi w:val="0"/>
              <w:spacing w:before="0" w:after="283"/>
              <w:jc w:val="right"/>
              <w:rPr/>
            </w:pPr>
            <w:r>
              <w:rPr/>
              <w:t>188,587</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418,755</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822,830</w:t>
            </w:r>
          </w:p>
        </w:tc>
        <w:tc>
          <w:tcPr>
            <w:tcW w:w="75" w:type="dxa"/>
            <w:tcBorders/>
            <w:shd w:fill="E5E5E5" w:val="clear"/>
            <w:vAlign w:val="center"/>
          </w:tcPr>
          <w:p>
            <w:pPr>
              <w:pStyle w:val="TableContents"/>
              <w:bidi w:val="0"/>
              <w:spacing w:before="0" w:after="283"/>
              <w:jc w:val="left"/>
              <w:rPr/>
            </w:pPr>
            <w:r>
              <w:rPr/>
              <w:t> </w:t>
            </w:r>
          </w:p>
        </w:tc>
      </w:tr>
      <w:tr>
        <w:trPr/>
        <w:tc>
          <w:tcPr>
            <w:tcW w:w="635" w:type="dxa"/>
            <w:vMerge w:val="restart"/>
            <w:tcBorders/>
            <w:vAlign w:val="center"/>
          </w:tcPr>
          <w:p>
            <w:pPr>
              <w:pStyle w:val="TableContents"/>
              <w:bidi w:val="0"/>
              <w:spacing w:before="0" w:after="0"/>
              <w:jc w:val="left"/>
              <w:rPr>
                <w:rFonts w:ascii="ARIAL" w:hAnsi="ARIAL"/>
                <w:sz w:val="15"/>
              </w:rPr>
            </w:pPr>
            <w:r>
              <w:rPr>
                <w:rFonts w:ascii="ARIAL" w:hAnsi="ARIAL"/>
                <w:sz w:val="15"/>
              </w:rPr>
              <w:t>Sanjeev Narula</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19,200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175,942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29,638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243,768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470,303</w:t>
            </w:r>
          </w:p>
        </w:tc>
        <w:tc>
          <w:tcPr>
            <w:tcW w:w="75" w:type="dxa"/>
            <w:tcBorders/>
            <w:vAlign w:val="center"/>
          </w:tcPr>
          <w:p>
            <w:pPr>
              <w:pStyle w:val="TableContents"/>
              <w:bidi w:val="0"/>
              <w:spacing w:before="0" w:after="283"/>
              <w:jc w:val="left"/>
              <w:rPr/>
            </w:pPr>
            <w:r>
              <w:rPr/>
              <w:t> </w:t>
            </w:r>
          </w:p>
        </w:tc>
      </w:tr>
      <w:tr>
        <w:trPr/>
        <w:tc>
          <w:tcPr>
            <w:tcW w:w="6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19,262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4,756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27,504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228,450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281,660</w:t>
            </w:r>
          </w:p>
        </w:tc>
        <w:tc>
          <w:tcPr>
            <w:tcW w:w="75" w:type="dxa"/>
            <w:tcBorders/>
            <w:vAlign w:val="center"/>
          </w:tcPr>
          <w:p>
            <w:pPr>
              <w:pStyle w:val="TableContents"/>
              <w:bidi w:val="0"/>
              <w:spacing w:before="0" w:after="283"/>
              <w:jc w:val="left"/>
              <w:rPr/>
            </w:pPr>
            <w:r>
              <w:rPr/>
              <w:t> </w:t>
            </w:r>
          </w:p>
        </w:tc>
      </w:tr>
      <w:tr>
        <w:trPr/>
        <w:tc>
          <w:tcPr>
            <w:tcW w:w="6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19,200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336,440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26,454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139,419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4,601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526,114</w:t>
            </w:r>
          </w:p>
        </w:tc>
        <w:tc>
          <w:tcPr>
            <w:tcW w:w="75" w:type="dxa"/>
            <w:tcBorders/>
            <w:vAlign w:val="center"/>
          </w:tcPr>
          <w:p>
            <w:pPr>
              <w:pStyle w:val="TableContents"/>
              <w:bidi w:val="0"/>
              <w:spacing w:before="0" w:after="283"/>
              <w:jc w:val="left"/>
              <w:rPr/>
            </w:pPr>
            <w:r>
              <w:rPr/>
              <w:t> </w:t>
            </w:r>
          </w:p>
        </w:tc>
      </w:tr>
      <w:tr>
        <w:trPr/>
        <w:tc>
          <w:tcPr>
            <w:tcW w:w="635" w:type="dxa"/>
            <w:vMerge w:val="restart"/>
            <w:tcBorders/>
            <w:shd w:fill="E5E5E5" w:val="clear"/>
            <w:vAlign w:val="center"/>
          </w:tcPr>
          <w:p>
            <w:pPr>
              <w:pStyle w:val="TableContents"/>
              <w:bidi w:val="0"/>
              <w:spacing w:before="0" w:after="0"/>
              <w:jc w:val="left"/>
              <w:rPr>
                <w:rFonts w:ascii="ARIAL" w:hAnsi="ARIAL"/>
                <w:sz w:val="15"/>
              </w:rPr>
            </w:pPr>
            <w:r>
              <w:rPr>
                <w:rFonts w:ascii="ARIAL" w:hAnsi="ARIAL"/>
                <w:sz w:val="15"/>
              </w:rPr>
              <w:t>Rajiv Malik</w:t>
            </w:r>
          </w:p>
        </w:tc>
        <w:tc>
          <w:tcPr>
            <w:tcW w:w="60" w:type="dxa"/>
            <w:tcBorders/>
            <w:shd w:fill="E5E5E5" w:val="cle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before="0" w:after="283"/>
              <w:jc w:val="left"/>
              <w:rPr/>
            </w:pPr>
            <w:r>
              <w:rPr/>
              <w:t> </w:t>
            </w:r>
          </w:p>
        </w:tc>
        <w:tc>
          <w:tcPr>
            <w:tcW w:w="541" w:type="dxa"/>
            <w:tcBorders/>
            <w:shd w:fill="E5E5E5" w:val="clear"/>
            <w:vAlign w:val="center"/>
          </w:tcPr>
          <w:p>
            <w:pPr>
              <w:pStyle w:val="TableContents"/>
              <w:bidi w:val="0"/>
              <w:spacing w:before="0" w:after="283"/>
              <w:jc w:val="right"/>
              <w:rPr/>
            </w:pPr>
            <w:r>
              <w:rPr/>
              <w:t>2023</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7" w:type="dxa"/>
            <w:tcBorders/>
            <w:shd w:fill="E5E5E5" w:val="clear"/>
            <w:vAlign w:val="center"/>
          </w:tcPr>
          <w:p>
            <w:pPr>
              <w:pStyle w:val="TableContents"/>
              <w:bidi w:val="0"/>
              <w:spacing w:before="0" w:after="283"/>
              <w:jc w:val="left"/>
              <w:rPr/>
            </w:pPr>
            <w:r>
              <w:rPr/>
              <w:t> </w:t>
            </w:r>
          </w:p>
        </w:tc>
        <w:tc>
          <w:tcPr>
            <w:tcW w:w="1108" w:type="dxa"/>
            <w:tcBorders/>
            <w:shd w:fill="E5E5E5" w:val="clear"/>
            <w:vAlign w:val="center"/>
          </w:tcPr>
          <w:p>
            <w:pPr>
              <w:pStyle w:val="TableContents"/>
              <w:bidi w:val="0"/>
              <w:spacing w:before="0" w:after="283"/>
              <w:jc w:val="right"/>
              <w:rPr/>
            </w:pPr>
            <w:r>
              <w:rPr/>
              <w:t>32,894</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4" w:type="dxa"/>
            <w:tcBorders/>
            <w:shd w:fill="E5E5E5" w:val="clear"/>
            <w:vAlign w:val="center"/>
          </w:tcPr>
          <w:p>
            <w:pPr>
              <w:pStyle w:val="TableContents"/>
              <w:bidi w:val="0"/>
              <w:spacing w:before="0" w:after="283"/>
              <w:jc w:val="right"/>
              <w:rPr/>
            </w:pPr>
            <w:r>
              <w:rPr/>
              <w:t>47,551</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6" w:type="dxa"/>
            <w:tcBorders/>
            <w:shd w:fill="E5E5E5" w:val="clear"/>
            <w:vAlign w:val="center"/>
          </w:tcPr>
          <w:p>
            <w:pPr>
              <w:pStyle w:val="TableContents"/>
              <w:bidi w:val="0"/>
              <w:spacing w:before="0" w:after="283"/>
              <w:jc w:val="left"/>
              <w:rPr/>
            </w:pPr>
            <w:r>
              <w:rPr/>
              <w:t> </w:t>
            </w:r>
          </w:p>
        </w:tc>
        <w:tc>
          <w:tcPr>
            <w:tcW w:w="1024"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9" w:type="dxa"/>
            <w:tcBorders/>
            <w:shd w:fill="E5E5E5" w:val="clear"/>
            <w:vAlign w:val="center"/>
          </w:tcPr>
          <w:p>
            <w:pPr>
              <w:pStyle w:val="TableContents"/>
              <w:bidi w:val="0"/>
              <w:spacing w:before="0" w:after="283"/>
              <w:jc w:val="left"/>
              <w:rPr/>
            </w:pPr>
            <w:r>
              <w:rPr/>
              <w:t> </w:t>
            </w:r>
          </w:p>
        </w:tc>
        <w:tc>
          <w:tcPr>
            <w:tcW w:w="1246" w:type="dxa"/>
            <w:tcBorders/>
            <w:shd w:fill="E5E5E5" w:val="clear"/>
            <w:vAlign w:val="center"/>
          </w:tcPr>
          <w:p>
            <w:pPr>
              <w:pStyle w:val="TableContents"/>
              <w:bidi w:val="0"/>
              <w:spacing w:before="0" w:after="283"/>
              <w:jc w:val="right"/>
              <w:rPr/>
            </w:pPr>
            <w:r>
              <w:rPr/>
              <w:t>36,131</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261" w:type="dxa"/>
            <w:tcBorders/>
            <w:shd w:fill="E5E5E5" w:val="clear"/>
            <w:vAlign w:val="center"/>
          </w:tcPr>
          <w:p>
            <w:pPr>
              <w:pStyle w:val="TableContents"/>
              <w:bidi w:val="0"/>
              <w:spacing w:before="0" w:after="283"/>
              <w:jc w:val="right"/>
              <w:rPr/>
            </w:pPr>
            <w:r>
              <w:rPr/>
              <w:t>263,727</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42,742</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423,045</w:t>
            </w:r>
          </w:p>
        </w:tc>
        <w:tc>
          <w:tcPr>
            <w:tcW w:w="75" w:type="dxa"/>
            <w:tcBorders/>
            <w:shd w:fill="E5E5E5" w:val="clear"/>
            <w:vAlign w:val="center"/>
          </w:tcPr>
          <w:p>
            <w:pPr>
              <w:pStyle w:val="TableContents"/>
              <w:bidi w:val="0"/>
              <w:spacing w:before="0" w:after="283"/>
              <w:jc w:val="left"/>
              <w:rPr/>
            </w:pPr>
            <w:r>
              <w:rPr/>
              <w:t> </w:t>
            </w:r>
          </w:p>
        </w:tc>
      </w:tr>
      <w:tr>
        <w:trPr/>
        <w:tc>
          <w:tcPr>
            <w:tcW w:w="635" w:type="dxa"/>
            <w:vMerge w:val="continue"/>
            <w:tcBorders/>
            <w:shd w:fill="E5E5E5" w:val="clear"/>
            <w:vAlign w:val="center"/>
          </w:tcPr>
          <w:p>
            <w:pPr>
              <w:pStyle w:val="Normal"/>
              <w:bidi w:val="0"/>
              <w:jc w:val="left"/>
              <w:rPr/>
            </w:pPr>
            <w:r>
              <w:rPr/>
            </w:r>
          </w:p>
        </w:tc>
        <w:tc>
          <w:tcPr>
            <w:tcW w:w="60" w:type="dxa"/>
            <w:tcBorders/>
            <w:shd w:fill="E5E5E5" w:val="cle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before="0" w:after="283"/>
              <w:jc w:val="left"/>
              <w:rPr/>
            </w:pPr>
            <w:r>
              <w:rPr/>
              <w:t> </w:t>
            </w:r>
          </w:p>
        </w:tc>
        <w:tc>
          <w:tcPr>
            <w:tcW w:w="541" w:type="dxa"/>
            <w:tcBorders/>
            <w:shd w:fill="E5E5E5" w:val="clear"/>
            <w:vAlign w:val="center"/>
          </w:tcPr>
          <w:p>
            <w:pPr>
              <w:pStyle w:val="TableContents"/>
              <w:bidi w:val="0"/>
              <w:spacing w:before="0" w:after="283"/>
              <w:jc w:val="right"/>
              <w:rPr/>
            </w:pPr>
            <w:r>
              <w:rPr/>
              <w:t>2022</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7" w:type="dxa"/>
            <w:tcBorders/>
            <w:shd w:fill="E5E5E5" w:val="clear"/>
            <w:vAlign w:val="center"/>
          </w:tcPr>
          <w:p>
            <w:pPr>
              <w:pStyle w:val="TableContents"/>
              <w:bidi w:val="0"/>
              <w:spacing w:before="0" w:after="283"/>
              <w:jc w:val="left"/>
              <w:rPr/>
            </w:pPr>
            <w:r>
              <w:rPr/>
              <w:t> </w:t>
            </w:r>
          </w:p>
        </w:tc>
        <w:tc>
          <w:tcPr>
            <w:tcW w:w="1108" w:type="dxa"/>
            <w:tcBorders/>
            <w:shd w:fill="E5E5E5" w:val="clear"/>
            <w:vAlign w:val="center"/>
          </w:tcPr>
          <w:p>
            <w:pPr>
              <w:pStyle w:val="TableContents"/>
              <w:bidi w:val="0"/>
              <w:spacing w:before="0" w:after="283"/>
              <w:jc w:val="right"/>
              <w:rPr/>
            </w:pPr>
            <w:r>
              <w:rPr/>
              <w:t>30,998</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4" w:type="dxa"/>
            <w:tcBorders/>
            <w:shd w:fill="E5E5E5" w:val="clear"/>
            <w:vAlign w:val="center"/>
          </w:tcPr>
          <w:p>
            <w:pPr>
              <w:pStyle w:val="TableContents"/>
              <w:bidi w:val="0"/>
              <w:spacing w:before="0" w:after="283"/>
              <w:jc w:val="right"/>
              <w:rPr/>
            </w:pPr>
            <w:r>
              <w:rPr/>
              <w:t>71,273</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6" w:type="dxa"/>
            <w:tcBorders/>
            <w:shd w:fill="E5E5E5" w:val="clear"/>
            <w:vAlign w:val="center"/>
          </w:tcPr>
          <w:p>
            <w:pPr>
              <w:pStyle w:val="TableContents"/>
              <w:bidi w:val="0"/>
              <w:spacing w:before="0" w:after="283"/>
              <w:jc w:val="left"/>
              <w:rPr/>
            </w:pPr>
            <w:r>
              <w:rPr/>
              <w:t> </w:t>
            </w:r>
          </w:p>
        </w:tc>
        <w:tc>
          <w:tcPr>
            <w:tcW w:w="1024"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9" w:type="dxa"/>
            <w:tcBorders/>
            <w:shd w:fill="E5E5E5" w:val="clear"/>
            <w:vAlign w:val="center"/>
          </w:tcPr>
          <w:p>
            <w:pPr>
              <w:pStyle w:val="TableContents"/>
              <w:bidi w:val="0"/>
              <w:spacing w:before="0" w:after="283"/>
              <w:jc w:val="left"/>
              <w:rPr/>
            </w:pPr>
            <w:r>
              <w:rPr/>
              <w:t> </w:t>
            </w:r>
          </w:p>
        </w:tc>
        <w:tc>
          <w:tcPr>
            <w:tcW w:w="1246" w:type="dxa"/>
            <w:tcBorders/>
            <w:shd w:fill="E5E5E5" w:val="clear"/>
            <w:vAlign w:val="center"/>
          </w:tcPr>
          <w:p>
            <w:pPr>
              <w:pStyle w:val="TableContents"/>
              <w:bidi w:val="0"/>
              <w:spacing w:before="0" w:after="283"/>
              <w:jc w:val="right"/>
              <w:rPr/>
            </w:pPr>
            <w:r>
              <w:rPr/>
              <w:t>37,519</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261" w:type="dxa"/>
            <w:tcBorders/>
            <w:shd w:fill="E5E5E5" w:val="clear"/>
            <w:vAlign w:val="center"/>
          </w:tcPr>
          <w:p>
            <w:pPr>
              <w:pStyle w:val="TableContents"/>
              <w:bidi w:val="0"/>
              <w:spacing w:before="0" w:after="283"/>
              <w:jc w:val="right"/>
              <w:rPr/>
            </w:pPr>
            <w:r>
              <w:rPr/>
              <w:t>262,749</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2,895</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405,434</w:t>
            </w:r>
          </w:p>
        </w:tc>
        <w:tc>
          <w:tcPr>
            <w:tcW w:w="75" w:type="dxa"/>
            <w:tcBorders/>
            <w:shd w:fill="E5E5E5" w:val="clear"/>
            <w:vAlign w:val="center"/>
          </w:tcPr>
          <w:p>
            <w:pPr>
              <w:pStyle w:val="TableContents"/>
              <w:bidi w:val="0"/>
              <w:spacing w:before="0" w:after="283"/>
              <w:jc w:val="left"/>
              <w:rPr/>
            </w:pPr>
            <w:r>
              <w:rPr/>
              <w:t> </w:t>
            </w:r>
          </w:p>
        </w:tc>
      </w:tr>
      <w:tr>
        <w:trPr/>
        <w:tc>
          <w:tcPr>
            <w:tcW w:w="635" w:type="dxa"/>
            <w:vMerge w:val="continue"/>
            <w:tcBorders/>
            <w:shd w:fill="E5E5E5" w:val="clear"/>
            <w:vAlign w:val="center"/>
          </w:tcPr>
          <w:p>
            <w:pPr>
              <w:pStyle w:val="Normal"/>
              <w:bidi w:val="0"/>
              <w:jc w:val="left"/>
              <w:rPr/>
            </w:pPr>
            <w:r>
              <w:rPr/>
            </w:r>
          </w:p>
        </w:tc>
        <w:tc>
          <w:tcPr>
            <w:tcW w:w="60" w:type="dxa"/>
            <w:tcBorders/>
            <w:shd w:fill="E5E5E5" w:val="cle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before="0" w:after="283"/>
              <w:jc w:val="left"/>
              <w:rPr/>
            </w:pPr>
            <w:r>
              <w:rPr/>
              <w:t> </w:t>
            </w:r>
          </w:p>
        </w:tc>
        <w:tc>
          <w:tcPr>
            <w:tcW w:w="541" w:type="dxa"/>
            <w:tcBorders/>
            <w:shd w:fill="E5E5E5" w:val="clear"/>
            <w:vAlign w:val="center"/>
          </w:tcPr>
          <w:p>
            <w:pPr>
              <w:pStyle w:val="TableContents"/>
              <w:bidi w:val="0"/>
              <w:spacing w:before="0" w:after="283"/>
              <w:jc w:val="right"/>
              <w:rPr/>
            </w:pPr>
            <w:r>
              <w:rPr/>
              <w:t>2021</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7" w:type="dxa"/>
            <w:tcBorders/>
            <w:shd w:fill="E5E5E5" w:val="clear"/>
            <w:vAlign w:val="center"/>
          </w:tcPr>
          <w:p>
            <w:pPr>
              <w:pStyle w:val="TableContents"/>
              <w:bidi w:val="0"/>
              <w:spacing w:before="0" w:after="283"/>
              <w:jc w:val="left"/>
              <w:rPr/>
            </w:pPr>
            <w:r>
              <w:rPr/>
              <w:t> </w:t>
            </w:r>
          </w:p>
        </w:tc>
        <w:tc>
          <w:tcPr>
            <w:tcW w:w="1108" w:type="dxa"/>
            <w:tcBorders/>
            <w:shd w:fill="E5E5E5" w:val="clear"/>
            <w:vAlign w:val="center"/>
          </w:tcPr>
          <w:p>
            <w:pPr>
              <w:pStyle w:val="TableContents"/>
              <w:bidi w:val="0"/>
              <w:spacing w:before="0" w:after="283"/>
              <w:jc w:val="right"/>
              <w:rPr/>
            </w:pPr>
            <w:r>
              <w:rPr/>
              <w:t>6,847</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4" w:type="dxa"/>
            <w:tcBorders/>
            <w:shd w:fill="E5E5E5" w:val="clear"/>
            <w:vAlign w:val="center"/>
          </w:tcPr>
          <w:p>
            <w:pPr>
              <w:pStyle w:val="TableContents"/>
              <w:bidi w:val="0"/>
              <w:spacing w:before="0" w:after="283"/>
              <w:jc w:val="right"/>
              <w:rPr/>
            </w:pPr>
            <w:r>
              <w:rPr/>
              <w:t>62,141</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6" w:type="dxa"/>
            <w:tcBorders/>
            <w:shd w:fill="E5E5E5" w:val="clear"/>
            <w:vAlign w:val="center"/>
          </w:tcPr>
          <w:p>
            <w:pPr>
              <w:pStyle w:val="TableContents"/>
              <w:bidi w:val="0"/>
              <w:spacing w:before="0" w:after="283"/>
              <w:jc w:val="left"/>
              <w:rPr/>
            </w:pPr>
            <w:r>
              <w:rPr/>
              <w:t> </w:t>
            </w:r>
          </w:p>
        </w:tc>
        <w:tc>
          <w:tcPr>
            <w:tcW w:w="1024" w:type="dxa"/>
            <w:tcBorders/>
            <w:shd w:fill="E5E5E5" w:val="clear"/>
            <w:vAlign w:val="center"/>
          </w:tcPr>
          <w:p>
            <w:pPr>
              <w:pStyle w:val="TableContents"/>
              <w:bidi w:val="0"/>
              <w:spacing w:before="0" w:after="283"/>
              <w:jc w:val="right"/>
              <w:rPr/>
            </w:pPr>
            <w:r>
              <w:rPr/>
              <w:t>26,036</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9" w:type="dxa"/>
            <w:tcBorders/>
            <w:shd w:fill="E5E5E5" w:val="clear"/>
            <w:vAlign w:val="center"/>
          </w:tcPr>
          <w:p>
            <w:pPr>
              <w:pStyle w:val="TableContents"/>
              <w:bidi w:val="0"/>
              <w:spacing w:before="0" w:after="283"/>
              <w:jc w:val="left"/>
              <w:rPr/>
            </w:pPr>
            <w:r>
              <w:rPr/>
              <w:t> </w:t>
            </w:r>
          </w:p>
        </w:tc>
        <w:tc>
          <w:tcPr>
            <w:tcW w:w="1246" w:type="dxa"/>
            <w:tcBorders/>
            <w:shd w:fill="E5E5E5" w:val="clear"/>
            <w:vAlign w:val="center"/>
          </w:tcPr>
          <w:p>
            <w:pPr>
              <w:pStyle w:val="TableContents"/>
              <w:bidi w:val="0"/>
              <w:spacing w:before="0" w:after="283"/>
              <w:jc w:val="right"/>
              <w:rPr/>
            </w:pPr>
            <w:r>
              <w:rPr/>
              <w:t>32,700</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261" w:type="dxa"/>
            <w:tcBorders/>
            <w:shd w:fill="E5E5E5" w:val="clear"/>
            <w:vAlign w:val="center"/>
          </w:tcPr>
          <w:p>
            <w:pPr>
              <w:pStyle w:val="TableContents"/>
              <w:bidi w:val="0"/>
              <w:spacing w:before="0" w:after="283"/>
              <w:jc w:val="right"/>
              <w:rPr/>
            </w:pPr>
            <w:r>
              <w:rPr/>
              <w:t>228,787</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7,172</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363,683</w:t>
            </w:r>
          </w:p>
        </w:tc>
        <w:tc>
          <w:tcPr>
            <w:tcW w:w="75" w:type="dxa"/>
            <w:tcBorders/>
            <w:shd w:fill="E5E5E5" w:val="clear"/>
            <w:vAlign w:val="center"/>
          </w:tcPr>
          <w:p>
            <w:pPr>
              <w:pStyle w:val="TableContents"/>
              <w:bidi w:val="0"/>
              <w:spacing w:before="0" w:after="283"/>
              <w:jc w:val="left"/>
              <w:rPr/>
            </w:pPr>
            <w:r>
              <w:rPr/>
              <w:t> </w:t>
            </w:r>
          </w:p>
        </w:tc>
      </w:tr>
      <w:tr>
        <w:trPr/>
        <w:tc>
          <w:tcPr>
            <w:tcW w:w="635" w:type="dxa"/>
            <w:vMerge w:val="restart"/>
            <w:tcBorders/>
            <w:vAlign w:val="center"/>
          </w:tcPr>
          <w:p>
            <w:pPr>
              <w:pStyle w:val="TableContents"/>
              <w:bidi w:val="0"/>
              <w:spacing w:before="0" w:after="0"/>
              <w:jc w:val="left"/>
              <w:rPr>
                <w:rFonts w:ascii="ARIAL" w:hAnsi="ARIAL"/>
                <w:sz w:val="15"/>
              </w:rPr>
            </w:pPr>
            <w:r>
              <w:rPr>
                <w:rFonts w:ascii="ARIAL" w:hAnsi="ARIAL"/>
                <w:sz w:val="15"/>
              </w:rPr>
              <w:t>Anthony Mauro</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19,200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37,369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250,346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26,581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333,496</w:t>
            </w:r>
          </w:p>
        </w:tc>
        <w:tc>
          <w:tcPr>
            <w:tcW w:w="75" w:type="dxa"/>
            <w:tcBorders/>
            <w:vAlign w:val="center"/>
          </w:tcPr>
          <w:p>
            <w:pPr>
              <w:pStyle w:val="TableContents"/>
              <w:bidi w:val="0"/>
              <w:spacing w:before="0" w:after="283"/>
              <w:jc w:val="left"/>
              <w:rPr/>
            </w:pPr>
            <w:r>
              <w:rPr/>
              <w:t> </w:t>
            </w:r>
          </w:p>
        </w:tc>
      </w:tr>
      <w:tr>
        <w:trPr/>
        <w:tc>
          <w:tcPr>
            <w:tcW w:w="6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19,200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39,666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244,857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14,245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317,968</w:t>
            </w:r>
          </w:p>
        </w:tc>
        <w:tc>
          <w:tcPr>
            <w:tcW w:w="75" w:type="dxa"/>
            <w:tcBorders/>
            <w:vAlign w:val="center"/>
          </w:tcPr>
          <w:p>
            <w:pPr>
              <w:pStyle w:val="TableContents"/>
              <w:bidi w:val="0"/>
              <w:spacing w:before="0" w:after="283"/>
              <w:jc w:val="left"/>
              <w:rPr/>
            </w:pPr>
            <w:r>
              <w:rPr/>
              <w:t> </w:t>
            </w:r>
          </w:p>
        </w:tc>
      </w:tr>
      <w:tr>
        <w:trPr/>
        <w:tc>
          <w:tcPr>
            <w:tcW w:w="6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19,200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9,150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31,570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230,711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296,654</w:t>
            </w:r>
          </w:p>
        </w:tc>
        <w:tc>
          <w:tcPr>
            <w:tcW w:w="75" w:type="dxa"/>
            <w:tcBorders/>
            <w:vAlign w:val="center"/>
          </w:tcPr>
          <w:p>
            <w:pPr>
              <w:pStyle w:val="TableContents"/>
              <w:bidi w:val="0"/>
              <w:spacing w:before="0" w:after="283"/>
              <w:jc w:val="left"/>
              <w:rPr/>
            </w:pPr>
            <w:r>
              <w:rPr/>
              <w:t> </w:t>
            </w:r>
          </w:p>
        </w:tc>
      </w:tr>
      <w:tr>
        <w:trPr/>
        <w:tc>
          <w:tcPr>
            <w:tcW w:w="635" w:type="dxa"/>
            <w:tcBorders/>
            <w:shd w:fill="E5E5E5" w:val="clear"/>
            <w:vAlign w:val="center"/>
          </w:tcPr>
          <w:p>
            <w:pPr>
              <w:pStyle w:val="TableContents"/>
              <w:bidi w:val="0"/>
              <w:spacing w:before="0" w:after="0"/>
              <w:jc w:val="left"/>
              <w:rPr>
                <w:rFonts w:ascii="ARIAL" w:hAnsi="ARIAL"/>
                <w:sz w:val="15"/>
              </w:rPr>
            </w:pPr>
            <w:r>
              <w:rPr>
                <w:rFonts w:ascii="ARIAL" w:hAnsi="ARIAL"/>
                <w:sz w:val="15"/>
              </w:rPr>
              <w:t>Brian Roman</w:t>
            </w:r>
          </w:p>
        </w:tc>
        <w:tc>
          <w:tcPr>
            <w:tcW w:w="60" w:type="dxa"/>
            <w:tcBorders/>
            <w:shd w:fill="E5E5E5" w:val="cle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before="0" w:after="283"/>
              <w:jc w:val="left"/>
              <w:rPr/>
            </w:pPr>
            <w:r>
              <w:rPr/>
              <w:t> </w:t>
            </w:r>
          </w:p>
        </w:tc>
        <w:tc>
          <w:tcPr>
            <w:tcW w:w="541" w:type="dxa"/>
            <w:tcBorders/>
            <w:shd w:fill="E5E5E5" w:val="clear"/>
            <w:vAlign w:val="center"/>
          </w:tcPr>
          <w:p>
            <w:pPr>
              <w:pStyle w:val="TableContents"/>
              <w:bidi w:val="0"/>
              <w:spacing w:before="0" w:after="283"/>
              <w:jc w:val="right"/>
              <w:rPr/>
            </w:pPr>
            <w:r>
              <w:rPr/>
              <w:t>2023</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7" w:type="dxa"/>
            <w:tcBorders/>
            <w:shd w:fill="E5E5E5" w:val="clear"/>
            <w:vAlign w:val="center"/>
          </w:tcPr>
          <w:p>
            <w:pPr>
              <w:pStyle w:val="TableContents"/>
              <w:bidi w:val="0"/>
              <w:spacing w:before="0" w:after="283"/>
              <w:jc w:val="left"/>
              <w:rPr/>
            </w:pPr>
            <w:r>
              <w:rPr/>
              <w:t> </w:t>
            </w:r>
          </w:p>
        </w:tc>
        <w:tc>
          <w:tcPr>
            <w:tcW w:w="1108" w:type="dxa"/>
            <w:tcBorders/>
            <w:shd w:fill="E5E5E5" w:val="clear"/>
            <w:vAlign w:val="center"/>
          </w:tcPr>
          <w:p>
            <w:pPr>
              <w:pStyle w:val="TableContents"/>
              <w:bidi w:val="0"/>
              <w:spacing w:before="0" w:after="283"/>
              <w:jc w:val="right"/>
              <w:rPr/>
            </w:pPr>
            <w:r>
              <w:rPr/>
              <w:t>16,800</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4"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6" w:type="dxa"/>
            <w:tcBorders/>
            <w:shd w:fill="E5E5E5" w:val="clear"/>
            <w:vAlign w:val="center"/>
          </w:tcPr>
          <w:p>
            <w:pPr>
              <w:pStyle w:val="TableContents"/>
              <w:bidi w:val="0"/>
              <w:spacing w:before="0" w:after="283"/>
              <w:jc w:val="left"/>
              <w:rPr/>
            </w:pPr>
            <w:r>
              <w:rPr/>
              <w:t> </w:t>
            </w:r>
          </w:p>
        </w:tc>
        <w:tc>
          <w:tcPr>
            <w:tcW w:w="1024"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9" w:type="dxa"/>
            <w:tcBorders/>
            <w:shd w:fill="E5E5E5" w:val="clear"/>
            <w:vAlign w:val="center"/>
          </w:tcPr>
          <w:p>
            <w:pPr>
              <w:pStyle w:val="TableContents"/>
              <w:bidi w:val="0"/>
              <w:spacing w:before="0" w:after="283"/>
              <w:jc w:val="left"/>
              <w:rPr/>
            </w:pPr>
            <w:r>
              <w:rPr/>
              <w:t> </w:t>
            </w:r>
          </w:p>
        </w:tc>
        <w:tc>
          <w:tcPr>
            <w:tcW w:w="1246" w:type="dxa"/>
            <w:tcBorders/>
            <w:shd w:fill="E5E5E5" w:val="clear"/>
            <w:vAlign w:val="center"/>
          </w:tcPr>
          <w:p>
            <w:pPr>
              <w:pStyle w:val="TableContents"/>
              <w:bidi w:val="0"/>
              <w:spacing w:before="0" w:after="283"/>
              <w:jc w:val="right"/>
              <w:rPr/>
            </w:pPr>
            <w:r>
              <w:rPr/>
              <w:t>36,515</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261" w:type="dxa"/>
            <w:tcBorders/>
            <w:shd w:fill="E5E5E5" w:val="clear"/>
            <w:vAlign w:val="center"/>
          </w:tcPr>
          <w:p>
            <w:pPr>
              <w:pStyle w:val="TableContents"/>
              <w:bidi w:val="0"/>
              <w:spacing w:before="0" w:after="283"/>
              <w:jc w:val="right"/>
              <w:rPr/>
            </w:pPr>
            <w:r>
              <w:rPr/>
              <w:t>206,747</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3,191</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263,253</w:t>
            </w:r>
          </w:p>
        </w:tc>
        <w:tc>
          <w:tcPr>
            <w:tcW w:w="75" w:type="dxa"/>
            <w:tcBorders/>
            <w:shd w:fill="E5E5E5" w:val="clear"/>
            <w:vAlign w:val="center"/>
          </w:tcPr>
          <w:p>
            <w:pPr>
              <w:pStyle w:val="TableContents"/>
              <w:bidi w:val="0"/>
              <w:spacing w:before="0" w:after="283"/>
              <w:jc w:val="left"/>
              <w:rPr/>
            </w:pPr>
            <w:r>
              <w:rPr/>
              <w:t> </w:t>
            </w:r>
          </w:p>
        </w:tc>
      </w:tr>
      <w:tr>
        <w:trPr/>
        <w:tc>
          <w:tcPr>
            <w:tcW w:w="635" w:type="dxa"/>
            <w:vMerge w:val="restart"/>
            <w:tcBorders/>
            <w:vAlign w:val="center"/>
          </w:tcPr>
          <w:p>
            <w:pPr>
              <w:pStyle w:val="TableContents"/>
              <w:bidi w:val="0"/>
              <w:spacing w:before="0" w:after="0"/>
              <w:jc w:val="left"/>
              <w:rPr>
                <w:rFonts w:ascii="ARIAL" w:hAnsi="ARIAL"/>
                <w:sz w:val="15"/>
              </w:rPr>
            </w:pPr>
            <w:r>
              <w:rPr>
                <w:rFonts w:ascii="ARIAL" w:hAnsi="ARIAL"/>
                <w:sz w:val="15"/>
              </w:rPr>
              <w:t>Michael Goettler</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4,894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41,648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3,389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33,100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273,900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8,250,000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8,607,384</w:t>
            </w:r>
          </w:p>
        </w:tc>
        <w:tc>
          <w:tcPr>
            <w:tcW w:w="75" w:type="dxa"/>
            <w:tcBorders/>
            <w:vAlign w:val="center"/>
          </w:tcPr>
          <w:p>
            <w:pPr>
              <w:pStyle w:val="TableContents"/>
              <w:bidi w:val="0"/>
              <w:spacing w:before="0" w:after="283"/>
              <w:jc w:val="left"/>
              <w:rPr/>
            </w:pPr>
            <w:r>
              <w:rPr/>
              <w:t> </w:t>
            </w:r>
          </w:p>
        </w:tc>
      </w:tr>
      <w:tr>
        <w:trPr/>
        <w:tc>
          <w:tcPr>
            <w:tcW w:w="6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21,162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68,081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95,554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31,350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514,149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731,984</w:t>
            </w:r>
          </w:p>
        </w:tc>
        <w:tc>
          <w:tcPr>
            <w:tcW w:w="75" w:type="dxa"/>
            <w:tcBorders/>
            <w:vAlign w:val="center"/>
          </w:tcPr>
          <w:p>
            <w:pPr>
              <w:pStyle w:val="TableContents"/>
              <w:bidi w:val="0"/>
              <w:spacing w:before="0" w:after="283"/>
              <w:jc w:val="left"/>
              <w:rPr/>
            </w:pPr>
            <w:r>
              <w:rPr/>
              <w:t> </w:t>
            </w:r>
          </w:p>
        </w:tc>
      </w:tr>
      <w:tr>
        <w:trPr/>
        <w:tc>
          <w:tcPr>
            <w:tcW w:w="6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19,451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58,797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227,481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30,300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325,762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663,440</w:t>
            </w:r>
          </w:p>
        </w:tc>
        <w:tc>
          <w:tcPr>
            <w:tcW w:w="75" w:type="dxa"/>
            <w:tcBorders/>
            <w:vAlign w:val="center"/>
          </w:tcPr>
          <w:p>
            <w:pPr>
              <w:pStyle w:val="TableContents"/>
              <w:bidi w:val="0"/>
              <w:spacing w:before="0" w:after="283"/>
              <w:jc w:val="left"/>
              <w:rPr/>
            </w:pPr>
            <w:r>
              <w:rPr/>
              <w:t> </w:t>
            </w:r>
          </w:p>
        </w:tc>
      </w:tr>
      <w:tr>
        <w:trPr/>
        <w:tc>
          <w:tcPr>
            <w:tcW w:w="635" w:type="dxa"/>
            <w:vMerge w:val="restart"/>
            <w:tcBorders>
              <w:bottom w:val="single" w:sz="8" w:space="0" w:color="732282"/>
            </w:tcBorders>
            <w:shd w:fill="E5E5E5" w:val="clear"/>
            <w:tcMar>
              <w:bottom w:w="28" w:type="dxa"/>
            </w:tcMar>
            <w:vAlign w:val="center"/>
          </w:tcPr>
          <w:p>
            <w:pPr>
              <w:pStyle w:val="TableContents"/>
              <w:bidi w:val="0"/>
              <w:spacing w:before="0" w:after="0"/>
              <w:jc w:val="left"/>
              <w:rPr>
                <w:rFonts w:ascii="ARIAL" w:hAnsi="ARIAL"/>
                <w:sz w:val="15"/>
              </w:rPr>
            </w:pPr>
            <w:r>
              <w:rPr>
                <w:rFonts w:ascii="ARIAL" w:hAnsi="ARIAL"/>
                <w:sz w:val="15"/>
              </w:rPr>
              <w:t>Robert J. Coury</w:t>
            </w:r>
          </w:p>
        </w:tc>
        <w:tc>
          <w:tcPr>
            <w:tcW w:w="60" w:type="dxa"/>
            <w:tcBorders/>
            <w:shd w:fill="E5E5E5" w:val="cle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before="0" w:after="283"/>
              <w:jc w:val="left"/>
              <w:rPr/>
            </w:pPr>
            <w:r>
              <w:rPr/>
              <w:t> </w:t>
            </w:r>
          </w:p>
        </w:tc>
        <w:tc>
          <w:tcPr>
            <w:tcW w:w="541" w:type="dxa"/>
            <w:tcBorders/>
            <w:shd w:fill="E5E5E5" w:val="clear"/>
            <w:vAlign w:val="center"/>
          </w:tcPr>
          <w:p>
            <w:pPr>
              <w:pStyle w:val="TableContents"/>
              <w:bidi w:val="0"/>
              <w:spacing w:before="0" w:after="283"/>
              <w:jc w:val="right"/>
              <w:rPr/>
            </w:pPr>
            <w:r>
              <w:rPr/>
              <w:t>2023</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7" w:type="dxa"/>
            <w:tcBorders/>
            <w:shd w:fill="E5E5E5" w:val="clear"/>
            <w:vAlign w:val="center"/>
          </w:tcPr>
          <w:p>
            <w:pPr>
              <w:pStyle w:val="TableContents"/>
              <w:bidi w:val="0"/>
              <w:spacing w:before="0" w:after="283"/>
              <w:jc w:val="left"/>
              <w:rPr/>
            </w:pPr>
            <w:r>
              <w:rPr/>
              <w:t> </w:t>
            </w:r>
          </w:p>
        </w:tc>
        <w:tc>
          <w:tcPr>
            <w:tcW w:w="1108" w:type="dxa"/>
            <w:tcBorders/>
            <w:shd w:fill="E5E5E5" w:val="clear"/>
            <w:vAlign w:val="center"/>
          </w:tcPr>
          <w:p>
            <w:pPr>
              <w:pStyle w:val="TableContents"/>
              <w:bidi w:val="0"/>
              <w:spacing w:before="0" w:after="283"/>
              <w:jc w:val="right"/>
              <w:rPr/>
            </w:pPr>
            <w:r>
              <w:rPr/>
              <w:t>21,367</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4" w:type="dxa"/>
            <w:tcBorders/>
            <w:shd w:fill="E5E5E5" w:val="clear"/>
            <w:vAlign w:val="center"/>
          </w:tcPr>
          <w:p>
            <w:pPr>
              <w:pStyle w:val="TableContents"/>
              <w:bidi w:val="0"/>
              <w:spacing w:before="0" w:after="283"/>
              <w:jc w:val="right"/>
              <w:rPr/>
            </w:pPr>
            <w:r>
              <w:rPr/>
              <w:t>5,621</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6" w:type="dxa"/>
            <w:tcBorders/>
            <w:shd w:fill="E5E5E5" w:val="clear"/>
            <w:vAlign w:val="center"/>
          </w:tcPr>
          <w:p>
            <w:pPr>
              <w:pStyle w:val="TableContents"/>
              <w:bidi w:val="0"/>
              <w:spacing w:before="0" w:after="283"/>
              <w:jc w:val="left"/>
              <w:rPr/>
            </w:pPr>
            <w:r>
              <w:rPr/>
              <w:t> </w:t>
            </w:r>
          </w:p>
        </w:tc>
        <w:tc>
          <w:tcPr>
            <w:tcW w:w="1024"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9" w:type="dxa"/>
            <w:tcBorders/>
            <w:shd w:fill="E5E5E5" w:val="clear"/>
            <w:vAlign w:val="center"/>
          </w:tcPr>
          <w:p>
            <w:pPr>
              <w:pStyle w:val="TableContents"/>
              <w:bidi w:val="0"/>
              <w:spacing w:before="0" w:after="283"/>
              <w:jc w:val="left"/>
              <w:rPr/>
            </w:pPr>
            <w:r>
              <w:rPr/>
              <w:t> </w:t>
            </w:r>
          </w:p>
        </w:tc>
        <w:tc>
          <w:tcPr>
            <w:tcW w:w="1246" w:type="dxa"/>
            <w:tcBorders/>
            <w:shd w:fill="E5E5E5" w:val="clear"/>
            <w:vAlign w:val="center"/>
          </w:tcPr>
          <w:p>
            <w:pPr>
              <w:pStyle w:val="TableContents"/>
              <w:bidi w:val="0"/>
              <w:spacing w:before="0" w:after="283"/>
              <w:jc w:val="right"/>
              <w:rPr/>
            </w:pPr>
            <w:r>
              <w:rPr/>
              <w:t>36,623</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261" w:type="dxa"/>
            <w:tcBorders/>
            <w:shd w:fill="E5E5E5" w:val="clear"/>
            <w:vAlign w:val="center"/>
          </w:tcPr>
          <w:p>
            <w:pPr>
              <w:pStyle w:val="TableContents"/>
              <w:bidi w:val="0"/>
              <w:spacing w:before="0" w:after="283"/>
              <w:jc w:val="right"/>
              <w:rPr/>
            </w:pPr>
            <w:r>
              <w:rPr/>
              <w:t>550,310</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22,147,894</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31,493</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22,793,308</w:t>
            </w:r>
          </w:p>
        </w:tc>
        <w:tc>
          <w:tcPr>
            <w:tcW w:w="75" w:type="dxa"/>
            <w:tcBorders/>
            <w:shd w:fill="E5E5E5" w:val="clear"/>
            <w:vAlign w:val="center"/>
          </w:tcPr>
          <w:p>
            <w:pPr>
              <w:pStyle w:val="TableContents"/>
              <w:bidi w:val="0"/>
              <w:spacing w:before="0" w:after="283"/>
              <w:jc w:val="left"/>
              <w:rPr/>
            </w:pPr>
            <w:r>
              <w:rPr/>
              <w:t> </w:t>
            </w:r>
          </w:p>
        </w:tc>
      </w:tr>
      <w:tr>
        <w:trPr/>
        <w:tc>
          <w:tcPr>
            <w:tcW w:w="635" w:type="dxa"/>
            <w:vMerge w:val="continue"/>
            <w:tcBorders>
              <w:bottom w:val="single" w:sz="8" w:space="0" w:color="732282"/>
            </w:tcBorders>
            <w:shd w:fill="E5E5E5" w:val="clear"/>
            <w:tcMar>
              <w:bottom w:w="28" w:type="dxa"/>
            </w:tcMar>
            <w:vAlign w:val="center"/>
          </w:tcPr>
          <w:p>
            <w:pPr>
              <w:pStyle w:val="Normal"/>
              <w:bidi w:val="0"/>
              <w:jc w:val="left"/>
              <w:rPr/>
            </w:pPr>
            <w:r>
              <w:rPr/>
            </w:r>
          </w:p>
        </w:tc>
        <w:tc>
          <w:tcPr>
            <w:tcW w:w="60" w:type="dxa"/>
            <w:tcBorders/>
            <w:shd w:fill="E5E5E5" w:val="cle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before="0" w:after="283"/>
              <w:jc w:val="left"/>
              <w:rPr/>
            </w:pPr>
            <w:r>
              <w:rPr/>
              <w:t> </w:t>
            </w:r>
          </w:p>
        </w:tc>
        <w:tc>
          <w:tcPr>
            <w:tcW w:w="541" w:type="dxa"/>
            <w:tcBorders/>
            <w:shd w:fill="E5E5E5" w:val="clear"/>
            <w:vAlign w:val="center"/>
          </w:tcPr>
          <w:p>
            <w:pPr>
              <w:pStyle w:val="TableContents"/>
              <w:bidi w:val="0"/>
              <w:spacing w:before="0" w:after="283"/>
              <w:jc w:val="right"/>
              <w:rPr/>
            </w:pPr>
            <w:r>
              <w:rPr/>
              <w:t>2022</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7" w:type="dxa"/>
            <w:tcBorders/>
            <w:shd w:fill="E5E5E5" w:val="clear"/>
            <w:vAlign w:val="center"/>
          </w:tcPr>
          <w:p>
            <w:pPr>
              <w:pStyle w:val="TableContents"/>
              <w:bidi w:val="0"/>
              <w:spacing w:before="0" w:after="283"/>
              <w:jc w:val="left"/>
              <w:rPr/>
            </w:pPr>
            <w:r>
              <w:rPr/>
              <w:t> </w:t>
            </w:r>
          </w:p>
        </w:tc>
        <w:tc>
          <w:tcPr>
            <w:tcW w:w="1108" w:type="dxa"/>
            <w:tcBorders/>
            <w:shd w:fill="E5E5E5" w:val="clear"/>
            <w:vAlign w:val="center"/>
          </w:tcPr>
          <w:p>
            <w:pPr>
              <w:pStyle w:val="TableContents"/>
              <w:bidi w:val="0"/>
              <w:spacing w:before="0" w:after="283"/>
              <w:jc w:val="right"/>
              <w:rPr/>
            </w:pPr>
            <w:r>
              <w:rPr/>
              <w:t>22,680</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4" w:type="dxa"/>
            <w:tcBorders/>
            <w:shd w:fill="E5E5E5" w:val="clear"/>
            <w:vAlign w:val="center"/>
          </w:tcPr>
          <w:p>
            <w:pPr>
              <w:pStyle w:val="TableContents"/>
              <w:bidi w:val="0"/>
              <w:spacing w:before="0" w:after="283"/>
              <w:jc w:val="right"/>
              <w:rPr/>
            </w:pPr>
            <w:r>
              <w:rPr/>
              <w:t>5,926</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6" w:type="dxa"/>
            <w:tcBorders/>
            <w:shd w:fill="E5E5E5" w:val="clear"/>
            <w:vAlign w:val="center"/>
          </w:tcPr>
          <w:p>
            <w:pPr>
              <w:pStyle w:val="TableContents"/>
              <w:bidi w:val="0"/>
              <w:spacing w:before="0" w:after="283"/>
              <w:jc w:val="left"/>
              <w:rPr/>
            </w:pPr>
            <w:r>
              <w:rPr/>
              <w:t> </w:t>
            </w:r>
          </w:p>
        </w:tc>
        <w:tc>
          <w:tcPr>
            <w:tcW w:w="1024"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9" w:type="dxa"/>
            <w:tcBorders/>
            <w:shd w:fill="E5E5E5" w:val="clear"/>
            <w:vAlign w:val="center"/>
          </w:tcPr>
          <w:p>
            <w:pPr>
              <w:pStyle w:val="TableContents"/>
              <w:bidi w:val="0"/>
              <w:spacing w:before="0" w:after="283"/>
              <w:jc w:val="left"/>
              <w:rPr/>
            </w:pPr>
            <w:r>
              <w:rPr/>
              <w:t> </w:t>
            </w:r>
          </w:p>
        </w:tc>
        <w:tc>
          <w:tcPr>
            <w:tcW w:w="1246" w:type="dxa"/>
            <w:tcBorders/>
            <w:shd w:fill="E5E5E5" w:val="clear"/>
            <w:vAlign w:val="center"/>
          </w:tcPr>
          <w:p>
            <w:pPr>
              <w:pStyle w:val="TableContents"/>
              <w:bidi w:val="0"/>
              <w:spacing w:before="0" w:after="283"/>
              <w:jc w:val="right"/>
              <w:rPr/>
            </w:pPr>
            <w:r>
              <w:rPr/>
              <w:t>32,427</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261" w:type="dxa"/>
            <w:tcBorders/>
            <w:shd w:fill="E5E5E5" w:val="clear"/>
            <w:vAlign w:val="center"/>
          </w:tcPr>
          <w:p>
            <w:pPr>
              <w:pStyle w:val="TableContents"/>
              <w:bidi w:val="0"/>
              <w:spacing w:before="0" w:after="283"/>
              <w:jc w:val="right"/>
              <w:rPr/>
            </w:pPr>
            <w:r>
              <w:rPr/>
              <w:t>726,188</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72,399</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859,620</w:t>
            </w:r>
          </w:p>
        </w:tc>
        <w:tc>
          <w:tcPr>
            <w:tcW w:w="75" w:type="dxa"/>
            <w:tcBorders/>
            <w:shd w:fill="E5E5E5" w:val="clear"/>
            <w:vAlign w:val="center"/>
          </w:tcPr>
          <w:p>
            <w:pPr>
              <w:pStyle w:val="TableContents"/>
              <w:bidi w:val="0"/>
              <w:spacing w:before="0" w:after="283"/>
              <w:jc w:val="left"/>
              <w:rPr/>
            </w:pPr>
            <w:r>
              <w:rPr/>
              <w:t> </w:t>
            </w:r>
          </w:p>
        </w:tc>
      </w:tr>
      <w:tr>
        <w:trPr/>
        <w:tc>
          <w:tcPr>
            <w:tcW w:w="635" w:type="dxa"/>
            <w:vMerge w:val="continue"/>
            <w:tcBorders>
              <w:bottom w:val="single" w:sz="8" w:space="0" w:color="732282"/>
            </w:tcBorders>
            <w:shd w:fill="E5E5E5" w:val="clear"/>
            <w:tcMar>
              <w:bottom w:w="28" w:type="dxa"/>
            </w:tcMar>
            <w:vAlign w:val="center"/>
          </w:tcPr>
          <w:p>
            <w:pPr>
              <w:pStyle w:val="Normal"/>
              <w:bidi w:val="0"/>
              <w:jc w:val="left"/>
              <w:rPr/>
            </w:pPr>
            <w:r>
              <w:rPr/>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4"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541" w:type="dxa"/>
            <w:tcBorders>
              <w:bottom w:val="single" w:sz="8" w:space="0" w:color="732282"/>
            </w:tcBorders>
            <w:shd w:fill="E5E5E5" w:val="clear"/>
            <w:tcMar>
              <w:bottom w:w="28" w:type="dxa"/>
            </w:tcMar>
            <w:vAlign w:val="center"/>
          </w:tcPr>
          <w:p>
            <w:pPr>
              <w:pStyle w:val="TableContents"/>
              <w:bidi w:val="0"/>
              <w:spacing w:before="0" w:after="283"/>
              <w:jc w:val="right"/>
              <w:rPr/>
            </w:pPr>
            <w:r>
              <w:rPr/>
              <w:t>2021</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97"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108" w:type="dxa"/>
            <w:tcBorders>
              <w:bottom w:val="single" w:sz="8" w:space="0" w:color="732282"/>
            </w:tcBorders>
            <w:shd w:fill="E5E5E5" w:val="clear"/>
            <w:tcMar>
              <w:bottom w:w="28" w:type="dxa"/>
            </w:tcMar>
            <w:vAlign w:val="center"/>
          </w:tcPr>
          <w:p>
            <w:pPr>
              <w:pStyle w:val="TableContents"/>
              <w:bidi w:val="0"/>
              <w:spacing w:before="0" w:after="283"/>
              <w:jc w:val="right"/>
              <w:rPr/>
            </w:pPr>
            <w:r>
              <w:rPr/>
              <w:t>24,563</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71"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954" w:type="dxa"/>
            <w:tcBorders>
              <w:bottom w:val="single" w:sz="8" w:space="0" w:color="732282"/>
            </w:tcBorders>
            <w:shd w:fill="E5E5E5" w:val="clear"/>
            <w:tcMar>
              <w:bottom w:w="28" w:type="dxa"/>
            </w:tcMar>
            <w:vAlign w:val="center"/>
          </w:tcPr>
          <w:p>
            <w:pPr>
              <w:pStyle w:val="TableContents"/>
              <w:bidi w:val="0"/>
              <w:spacing w:before="0" w:after="283"/>
              <w:jc w:val="right"/>
              <w:rPr/>
            </w:pPr>
            <w:r>
              <w:rPr/>
              <w:t>29,184</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76"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024" w:type="dxa"/>
            <w:tcBorders>
              <w:bottom w:val="single" w:sz="8" w:space="0" w:color="732282"/>
            </w:tcBorders>
            <w:shd w:fill="E5E5E5" w:val="clear"/>
            <w:tcMar>
              <w:bottom w:w="28" w:type="dxa"/>
            </w:tcMar>
            <w:vAlign w:val="center"/>
          </w:tcPr>
          <w:p>
            <w:pPr>
              <w:pStyle w:val="TableContents"/>
              <w:bidi w:val="0"/>
              <w:spacing w:before="0" w:after="283"/>
              <w:jc w:val="right"/>
              <w:rPr/>
            </w:pPr>
            <w:r>
              <w:rPr/>
              <w:t>—</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09"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246" w:type="dxa"/>
            <w:tcBorders>
              <w:bottom w:val="single" w:sz="8" w:space="0" w:color="732282"/>
            </w:tcBorders>
            <w:shd w:fill="E5E5E5" w:val="clear"/>
            <w:tcMar>
              <w:bottom w:w="28" w:type="dxa"/>
            </w:tcMar>
            <w:vAlign w:val="center"/>
          </w:tcPr>
          <w:p>
            <w:pPr>
              <w:pStyle w:val="TableContents"/>
              <w:bidi w:val="0"/>
              <w:spacing w:before="0" w:after="283"/>
              <w:jc w:val="right"/>
              <w:rPr/>
            </w:pPr>
            <w:r>
              <w:rPr/>
              <w:t>31,377</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94"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261" w:type="dxa"/>
            <w:tcBorders>
              <w:bottom w:val="single" w:sz="8" w:space="0" w:color="732282"/>
            </w:tcBorders>
            <w:shd w:fill="E5E5E5" w:val="clear"/>
            <w:tcMar>
              <w:bottom w:w="28" w:type="dxa"/>
            </w:tcMar>
            <w:vAlign w:val="center"/>
          </w:tcPr>
          <w:p>
            <w:pPr>
              <w:pStyle w:val="TableContents"/>
              <w:bidi w:val="0"/>
              <w:spacing w:before="0" w:after="283"/>
              <w:jc w:val="right"/>
              <w:rPr/>
            </w:pPr>
            <w:r>
              <w:rPr/>
              <w:t>680,312</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8" w:space="0" w:color="732282"/>
            </w:tcBorders>
            <w:shd w:fill="E5E5E5" w:val="clear"/>
            <w:tcMar>
              <w:bottom w:w="28" w:type="dxa"/>
            </w:tcMar>
            <w:vAlign w:val="center"/>
          </w:tcPr>
          <w:p>
            <w:pPr>
              <w:pStyle w:val="TableContents"/>
              <w:bidi w:val="0"/>
              <w:spacing w:before="0" w:after="283"/>
              <w:jc w:val="right"/>
              <w:rPr/>
            </w:pPr>
            <w:r>
              <w:rPr/>
              <w:t>—</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8" w:space="0" w:color="732282"/>
            </w:tcBorders>
            <w:shd w:fill="E5E5E5" w:val="clear"/>
            <w:tcMar>
              <w:bottom w:w="28" w:type="dxa"/>
            </w:tcMar>
            <w:vAlign w:val="center"/>
          </w:tcPr>
          <w:p>
            <w:pPr>
              <w:pStyle w:val="TableContents"/>
              <w:bidi w:val="0"/>
              <w:spacing w:before="0" w:after="283"/>
              <w:jc w:val="right"/>
              <w:rPr/>
            </w:pPr>
            <w:r>
              <w:rPr/>
              <w:t>41,242</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8" w:space="0" w:color="732282"/>
            </w:tcBorders>
            <w:shd w:fill="E5E5E5" w:val="clear"/>
            <w:tcMar>
              <w:bottom w:w="28" w:type="dxa"/>
            </w:tcMar>
            <w:vAlign w:val="center"/>
          </w:tcPr>
          <w:p>
            <w:pPr>
              <w:pStyle w:val="TableContents"/>
              <w:bidi w:val="0"/>
              <w:spacing w:before="0" w:after="283"/>
              <w:jc w:val="right"/>
              <w:rPr/>
            </w:pPr>
            <w:r>
              <w:rPr/>
              <w:t>806,678</w:t>
            </w:r>
          </w:p>
        </w:tc>
        <w:tc>
          <w:tcPr>
            <w:tcW w:w="75"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i/>
              </w:rPr>
            </w:pPr>
            <w:r>
              <w:rPr>
                <w:i/>
              </w:rPr>
              <w:t>(a)</w:t>
            </w:r>
          </w:p>
        </w:tc>
        <w:tc>
          <w:tcPr>
            <w:tcW w:w="9949" w:type="dxa"/>
            <w:tcBorders/>
            <w:vAlign w:val="center"/>
          </w:tcPr>
          <w:p>
            <w:pPr>
              <w:pStyle w:val="TableContents"/>
              <w:bidi w:val="0"/>
              <w:spacing w:before="0" w:after="0"/>
              <w:jc w:val="both"/>
              <w:rPr>
                <w:rFonts w:ascii="arial" w:hAnsi="arial"/>
                <w:i/>
                <w:sz w:val="18"/>
              </w:rPr>
            </w:pPr>
            <w:r>
              <w:rPr>
                <w:rFonts w:ascii="arial" w:hAnsi="arial"/>
                <w:i/>
                <w:sz w:val="18"/>
              </w:rPr>
              <w:t xml:space="preserve">In the case of Messrs. Smith, Narula, Mauro, Roman, Goettler, and Coury, these costs represent a vehicle allowance and ancillary expenses associated with such vehicle. In the case of Mr. Malik, this number represents the cost of a vehicle (based on lease value), insurance and ancillary expenses associated with such vehicle.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i/>
              </w:rPr>
            </w:pPr>
            <w:r>
              <w:rPr>
                <w:i/>
              </w:rPr>
              <w:t>(b)</w:t>
            </w:r>
          </w:p>
        </w:tc>
        <w:tc>
          <w:tcPr>
            <w:tcW w:w="9966" w:type="dxa"/>
            <w:tcBorders/>
            <w:vAlign w:val="center"/>
          </w:tcPr>
          <w:p>
            <w:pPr>
              <w:pStyle w:val="TableContents"/>
              <w:bidi w:val="0"/>
              <w:spacing w:before="0" w:after="0"/>
              <w:jc w:val="both"/>
              <w:rPr>
                <w:rFonts w:ascii="arial" w:hAnsi="arial"/>
                <w:i/>
                <w:sz w:val="18"/>
              </w:rPr>
            </w:pPr>
            <w:r>
              <w:rPr>
                <w:rFonts w:ascii="arial" w:hAnsi="arial"/>
                <w:i/>
                <w:sz w:val="18"/>
              </w:rPr>
              <w:t xml:space="preserve">Amounts disclosed represent the actual aggregate incremental costs associated with the personal use of corporate aircraft. Incremental costs include annual average hourly fuel and maintenance costs, landing and parking fees, customs and handling charges, passenger catering and ground transportation, crew travel expenses, away from home hanger fees, and other trip-related variable costs. Because the aircrafts are used primarily for business travel, incremental costs exclude fixed costs that do not change based on usage, such as pilots’ salaries, aircraft purchase or lease costs, home-base hangar costs, and certain maintenance fees. Aggregate incremental cost as so determined with respect to personal deadhead flights is allocable to the NEO. In certain instances where there are both business and personal passengers, the incremental costs per hour are pro-rated.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i/>
              </w:rPr>
            </w:pPr>
            <w:r>
              <w:rPr>
                <w:i/>
              </w:rPr>
              <w:t>(c)</w:t>
            </w:r>
          </w:p>
        </w:tc>
        <w:tc>
          <w:tcPr>
            <w:tcW w:w="9979" w:type="dxa"/>
            <w:tcBorders/>
            <w:vAlign w:val="center"/>
          </w:tcPr>
          <w:p>
            <w:pPr>
              <w:pStyle w:val="TableContents"/>
              <w:bidi w:val="0"/>
              <w:spacing w:before="0" w:after="0"/>
              <w:jc w:val="both"/>
              <w:rPr>
                <w:rFonts w:ascii="arial" w:hAnsi="arial"/>
                <w:i/>
                <w:sz w:val="18"/>
              </w:rPr>
            </w:pPr>
            <w:r>
              <w:rPr>
                <w:rFonts w:ascii="arial" w:hAnsi="arial"/>
                <w:i/>
                <w:sz w:val="18"/>
              </w:rPr>
              <w:t xml:space="preserve">For 2023, amount disclosed for Mr. Narula represents the tax equalization, gross up and tax preparation of $175,942 and for Mr. Goettler represents tax preparation and gross up of $3,389. For 2022, amounts disclosed for Messrs. Narula and Goettler include the value of certain one-time, non-recurring expatriate, repatriation and relocation benefits of $4,756 and $95,554, respectively. For 2021, amounts disclosed include for Messrs. Narula and Goettler the value of certain one-time, non-recurring expatriate, repatriation and relocation benefits of $336,440 and $227,481, respectively. For 2021, the amount disclosed for Mr. Malik represents one-time, non-recurring immigration expenses of $26,036.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i/>
              </w:rPr>
            </w:pPr>
            <w:r>
              <w:rPr>
                <w:i/>
              </w:rPr>
              <w:t>(d)</w:t>
            </w:r>
          </w:p>
        </w:tc>
        <w:tc>
          <w:tcPr>
            <w:tcW w:w="9967" w:type="dxa"/>
            <w:tcBorders/>
            <w:vAlign w:val="center"/>
          </w:tcPr>
          <w:p>
            <w:pPr>
              <w:pStyle w:val="TableContents"/>
              <w:bidi w:val="0"/>
              <w:spacing w:before="0" w:after="0"/>
              <w:jc w:val="both"/>
              <w:rPr>
                <w:rFonts w:ascii="arial" w:hAnsi="arial"/>
                <w:i/>
                <w:sz w:val="18"/>
              </w:rPr>
            </w:pPr>
            <w:r>
              <w:rPr>
                <w:rFonts w:ascii="arial" w:hAnsi="arial"/>
                <w:i/>
                <w:sz w:val="18"/>
              </w:rPr>
              <w:t xml:space="preserve">For 2023, amounts for each NEO include a matching contribution for Messrs. Smith ($14,077), Narula ($6,538), Malik ($13,031), Mauro ($14,269), Roman ($13,415), Goettler ($10,000), and Coury ($13,523) and a profit sharing contribution received in March 2024 in respect of fiscal year 2023 to each of Messrs. Smith, Narula, Malik, Mauro, Roman, Goettler and Coury ($23,100). For 2022, amounts for each NEO include a matching contribution for Messrs. Narula ($6,154), Malik ($16,169), Mauro ($18,316), Goettler ($10,000), and Coury ($11,077) and a profit sharing contribution received in March 2023 in respect of fiscal year 2022 to each of Messrs. Narula, Malik, Mauro, Goettler, and Coury ($21,350). For 2021, amounts for each NEO include a matching contribution for Messrs. Narula ($6,154), Malik ($12,400), Mauro ($11,270), Goettler ($10,000), and Coury ($11,077) and a profit sharing contribution received in March 2022 in respect of fiscal year 2021 to each of Messrs. Narula, Malik, Mauro, Goettler, and Coury ($20,300).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i/>
              </w:rPr>
            </w:pPr>
            <w:r>
              <w:rPr>
                <w:i/>
              </w:rPr>
              <w:t>(e)</w:t>
            </w:r>
          </w:p>
        </w:tc>
        <w:tc>
          <w:tcPr>
            <w:tcW w:w="9984" w:type="dxa"/>
            <w:tcBorders/>
            <w:vAlign w:val="center"/>
          </w:tcPr>
          <w:p>
            <w:pPr>
              <w:pStyle w:val="TableContents"/>
              <w:bidi w:val="0"/>
              <w:spacing w:before="0" w:after="0"/>
              <w:jc w:val="both"/>
              <w:rPr>
                <w:rFonts w:ascii="arial" w:hAnsi="arial"/>
                <w:i/>
                <w:sz w:val="18"/>
              </w:rPr>
            </w:pPr>
            <w:r>
              <w:rPr>
                <w:rFonts w:ascii="arial" w:hAnsi="arial"/>
                <w:i/>
                <w:sz w:val="18"/>
              </w:rPr>
              <w:t xml:space="preserve">For 2023, amounts disclosed include a matching contribution under the Restoration Plan for Messrs. Smith ($140,072), Narula ($91,174), Mauro ($93,137), Roman ($76,539), Goettler ($9,000), and Coury ($71,874), and a profit sharing contribution under the Restoration Plan received in March 2024 in respect of fiscal year 2023 for Messrs. Smith ($48,515), Narula ($152,594), Malik ($263,727), Mauro ($157,209), Roman ($130,208), Goettler ($264,900), and Coury ($478,463). For 2022, amounts disclosed include a matching contribution under the Restoration Plan for Messrs. Narula ($82,254), Mauro ($87,480), Goettler ($184,371), and Coury ($261,360), and a profit sharing contribution under the Restoration Plan received in March 2023 in respect of fiscal year 2022 for Messrs. Narula ($144,196), Malik ($262,749), Mauro ($157,377), Goettler ($329,778), and Coury ($464,827). For 2021, amounts disclosed include a matching contribution under the Restoration Plan for Messrs. Narula ($80,782), Mauro ($89,930), Goettler ($188,445), and Coury ($266,221), and a profit sharing contribution under the Restoration Plan received in March 2022 in respect of fiscal year 2021 for Messrs. Narula ($58,637), Malik ($228,787), Mauro ($140,781), Goettler ($137,315), and Coury ($414,091).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i/>
              </w:rPr>
            </w:pPr>
            <w:r>
              <w:rPr>
                <w:i/>
              </w:rPr>
              <w:t>(f)</w:t>
            </w:r>
          </w:p>
        </w:tc>
        <w:tc>
          <w:tcPr>
            <w:tcW w:w="10023" w:type="dxa"/>
            <w:tcBorders/>
            <w:vAlign w:val="center"/>
          </w:tcPr>
          <w:p>
            <w:pPr>
              <w:pStyle w:val="TableContents"/>
              <w:bidi w:val="0"/>
              <w:spacing w:before="0" w:after="0"/>
              <w:jc w:val="both"/>
              <w:rPr>
                <w:rFonts w:ascii="arial" w:hAnsi="arial"/>
                <w:i/>
                <w:sz w:val="18"/>
              </w:rPr>
            </w:pPr>
            <w:r>
              <w:rPr>
                <w:rFonts w:ascii="arial" w:hAnsi="arial"/>
                <w:i/>
                <w:sz w:val="18"/>
              </w:rPr>
              <w:t xml:space="preserve">For Mr. Goettler, the amount reflects a severance amount of $8,125,000 and payment in lieu of accrued vacation ($125,000) in connection with his separation as an executive of the Company. For Mr. Coury, the amount reflects a severance amount of $21,286,170 and payment in lieu of accrued vacation ($216,563) in connection with his separation from employment. For Mr. Coury, also reflects a pro rata number of days from December 15, 2023 for the advisory fee. All separation benefits paid to Messrs. Goettler and Coury were required pursuant to the existing terms of their contractual agreements, which were previously disclosed and subject to prior Say-on-Pay resolutions.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i/>
              </w:rPr>
            </w:pPr>
            <w:r>
              <w:rPr>
                <w:i/>
              </w:rPr>
              <w:t>(g)</w:t>
            </w:r>
          </w:p>
        </w:tc>
        <w:tc>
          <w:tcPr>
            <w:tcW w:w="9970" w:type="dxa"/>
            <w:tcBorders/>
            <w:vAlign w:val="center"/>
          </w:tcPr>
          <w:p>
            <w:pPr>
              <w:pStyle w:val="TableContents"/>
              <w:bidi w:val="0"/>
              <w:spacing w:before="0" w:after="0"/>
              <w:jc w:val="both"/>
              <w:rPr>
                <w:rFonts w:ascii="arial" w:hAnsi="arial"/>
                <w:i/>
                <w:sz w:val="18"/>
              </w:rPr>
            </w:pPr>
            <w:r>
              <w:rPr>
                <w:rFonts w:ascii="arial" w:hAnsi="arial"/>
                <w:i/>
                <w:sz w:val="18"/>
              </w:rPr>
              <w:t xml:space="preserve">For 2023, amounts disclosed represent non-employee board compensation fees for Mr. Smith in 2023 earned prior to becoming CEO on April 1, 2023 ($37,500); non-recurring relocation allowances for Mr. Smith ($379,952); legal fee reimbursement for Messrs. Malik ($35,392) and Mauro ($17,696); events for Messrs. Malik ($4,335), Mauro ($7,130), and Roman ($1,435); health insurance for Messrs. Malik ($1,260) and Coury ($22,134); certain personal security services for Mr. Coury ($7,651); and premiums for international travel assistance and long-term disability for each of the NEOs. For 2022, amounts disclosed represent health insurance for Messrs. Malik ($1,207) and Coury ($30,699); certain personal security services for Mr. Coury ($38,447); international travel assistance premiums for each of the NEOs; events for Mr. Mauro; tax preparation services related to U.K. tax returns for Messrs. Mauro and Coury; and long-term disability premiums for Messrs. Narula, Malik, Mauro, Goettler, and Coury. For 2021, amounts disclosed represent health insurance for Messrs. Malik and Coury ($11,601); certain personal security services for Mr. Coury ($29,233); international travel assistance premiums for each of the NEOs; events for Messrs. Narula, Malik, and Mauro; tax preparation services related to U.K. tax returns for Messrs. Malik and Mauro; and long-term disability premiums for Messrs. Narula, Malik, Mauro, and Goettler.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45 </w:t>
      </w:r>
      <w:r>
        <w:br w:type="page"/>
      </w:r>
    </w:p>
    <w:p>
      <w:pPr>
        <w:pStyle w:val="HorizontalLine"/>
        <w:bidi w:val="0"/>
        <w:jc w:val="left"/>
        <w:rPr/>
      </w:pPr>
      <w:r>
        <w:rPr/>
      </w:r>
    </w:p>
    <w:p>
      <w:pPr>
        <w:pStyle w:val="TextBody"/>
        <w:bidi w:val="0"/>
        <w:spacing w:before="0" w:after="0"/>
        <w:jc w:val="left"/>
        <w:rPr>
          <w:rFonts w:ascii="ARIAL" w:hAnsi="ARIAL"/>
          <w:b/>
          <w:color w:val="732282"/>
          <w:sz w:val="20"/>
        </w:rPr>
      </w:pPr>
      <w:r>
        <w:rPr>
          <w:rFonts w:ascii="ARIAL" w:hAnsi="ARIAL"/>
          <w:b/>
          <w:color w:val="732282"/>
          <w:sz w:val="20"/>
        </w:rPr>
        <w:t xml:space="preserve">Grants of Plan-Based Awards for 2023 </w:t>
      </w:r>
    </w:p>
    <w:p>
      <w:pPr>
        <w:pStyle w:val="TextBody"/>
        <w:bidi w:val="0"/>
        <w:spacing w:before="120" w:after="0"/>
        <w:jc w:val="both"/>
        <w:rPr>
          <w:rFonts w:ascii="arial" w:hAnsi="arial"/>
          <w:sz w:val="18"/>
        </w:rPr>
      </w:pPr>
      <w:r>
        <w:rPr>
          <w:rFonts w:ascii="arial" w:hAnsi="arial"/>
          <w:sz w:val="18"/>
        </w:rPr>
        <w:t xml:space="preserve">The following table summarizes grants of plan-based awards made to each NEO during 2023. </w:t>
      </w:r>
    </w:p>
    <w:p>
      <w:pPr>
        <w:pStyle w:val="TextBody"/>
        <w:bidi w:val="0"/>
        <w:spacing w:before="0" w:after="0"/>
        <w:jc w:val="left"/>
        <w:rPr/>
      </w:pPr>
      <w:r>
        <w:rPr/>
        <w:t> </w:t>
      </w:r>
    </w:p>
    <w:tbl>
      <w:tblPr>
        <w:tblW w:w="14900" w:type="dxa"/>
        <w:jc w:val="left"/>
        <w:tblInd w:w="0" w:type="dxa"/>
        <w:tblLayout w:type="fixed"/>
        <w:tblCellMar>
          <w:top w:w="0" w:type="dxa"/>
          <w:left w:w="0" w:type="dxa"/>
          <w:bottom w:w="0" w:type="dxa"/>
          <w:right w:w="0" w:type="dxa"/>
        </w:tblCellMar>
      </w:tblPr>
      <w:tblGrid>
        <w:gridCol w:w="1160"/>
        <w:gridCol w:w="60"/>
        <w:gridCol w:w="60"/>
        <w:gridCol w:w="575"/>
        <w:gridCol w:w="60"/>
        <w:gridCol w:w="60"/>
        <w:gridCol w:w="60"/>
        <w:gridCol w:w="935"/>
        <w:gridCol w:w="60"/>
        <w:gridCol w:w="60"/>
        <w:gridCol w:w="61"/>
        <w:gridCol w:w="1009"/>
        <w:gridCol w:w="60"/>
        <w:gridCol w:w="60"/>
        <w:gridCol w:w="60"/>
        <w:gridCol w:w="980"/>
        <w:gridCol w:w="60"/>
        <w:gridCol w:w="60"/>
        <w:gridCol w:w="61"/>
        <w:gridCol w:w="1009"/>
        <w:gridCol w:w="60"/>
        <w:gridCol w:w="60"/>
        <w:gridCol w:w="60"/>
        <w:gridCol w:w="60"/>
        <w:gridCol w:w="60"/>
        <w:gridCol w:w="60"/>
        <w:gridCol w:w="60"/>
        <w:gridCol w:w="60"/>
        <w:gridCol w:w="60"/>
        <w:gridCol w:w="60"/>
        <w:gridCol w:w="74"/>
        <w:gridCol w:w="996"/>
        <w:gridCol w:w="60"/>
        <w:gridCol w:w="60"/>
        <w:gridCol w:w="60"/>
        <w:gridCol w:w="800"/>
        <w:gridCol w:w="60"/>
        <w:gridCol w:w="60"/>
        <w:gridCol w:w="61"/>
        <w:gridCol w:w="1009"/>
        <w:gridCol w:w="60"/>
        <w:gridCol w:w="60"/>
        <w:gridCol w:w="63"/>
        <w:gridCol w:w="842"/>
        <w:gridCol w:w="60"/>
        <w:gridCol w:w="60"/>
        <w:gridCol w:w="220"/>
        <w:gridCol w:w="955"/>
        <w:gridCol w:w="60"/>
        <w:gridCol w:w="60"/>
        <w:gridCol w:w="164"/>
        <w:gridCol w:w="711"/>
        <w:gridCol w:w="60"/>
        <w:gridCol w:w="60"/>
        <w:gridCol w:w="60"/>
        <w:gridCol w:w="980"/>
        <w:gridCol w:w="7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231161" w:val="clear"/>
            <w:vAlign w:val="center"/>
          </w:tcPr>
          <w:p>
            <w:pPr>
              <w:pStyle w:val="TableContents"/>
              <w:bidi w:val="0"/>
              <w:spacing w:before="0" w:after="283"/>
              <w:jc w:val="left"/>
              <w:rPr/>
            </w:pPr>
            <w:r>
              <w:rPr/>
              <w:t> </w:t>
            </w:r>
          </w:p>
        </w:tc>
        <w:tc>
          <w:tcPr>
            <w:tcW w:w="3420" w:type="dxa"/>
            <w:gridSpan w:val="10"/>
            <w:tcBorders/>
            <w:shd w:fill="231161" w:val="clear"/>
            <w:vAlign w:val="center"/>
          </w:tcPr>
          <w:p>
            <w:pPr>
              <w:pStyle w:val="TableContents"/>
              <w:bidi w:val="0"/>
              <w:spacing w:before="0" w:after="0"/>
              <w:jc w:val="center"/>
              <w:rPr>
                <w:rFonts w:ascii="ARIAL" w:hAnsi="ARIAL"/>
                <w:b/>
                <w:color w:val="FFFFFF"/>
                <w:sz w:val="12"/>
              </w:rPr>
            </w:pPr>
            <w:r>
              <w:rPr>
                <w:rFonts w:ascii="ARIAL" w:hAnsi="ARIAL"/>
                <w:b/>
                <w:color w:val="FFFFFF"/>
                <w:sz w:val="12"/>
              </w:rPr>
              <w:t>Estimated Future Payments</w:t>
              <w:br/>
              <w:t>Under</w:t>
            </w:r>
          </w:p>
          <w:p>
            <w:pPr>
              <w:pStyle w:val="TableContents"/>
              <w:bidi w:val="0"/>
              <w:spacing w:before="0" w:after="20"/>
              <w:jc w:val="center"/>
              <w:rPr>
                <w:rFonts w:ascii="ARIAL" w:hAnsi="ARIAL"/>
                <w:b/>
                <w:color w:val="FFFFFF"/>
                <w:sz w:val="12"/>
              </w:rPr>
            </w:pPr>
            <w:r>
              <w:rPr>
                <w:rFonts w:ascii="ARIAL" w:hAnsi="ARIAL"/>
                <w:b/>
                <w:color w:val="FFFFFF"/>
                <w:sz w:val="12"/>
              </w:rPr>
              <w:t>Non-Equity Incentive Plan Awards(1)</w:t>
            </w:r>
          </w:p>
        </w:tc>
        <w:tc>
          <w:tcPr>
            <w:tcW w:w="60" w:type="dxa"/>
            <w:tcBorders/>
            <w:shd w:fill="231161"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231161" w:val="clear"/>
            <w:vAlign w:val="center"/>
          </w:tcPr>
          <w:p>
            <w:pPr>
              <w:pStyle w:val="TableContents"/>
              <w:bidi w:val="0"/>
              <w:spacing w:before="0" w:after="283"/>
              <w:jc w:val="left"/>
              <w:rPr/>
            </w:pPr>
            <w:r>
              <w:rPr/>
              <w:t> </w:t>
            </w:r>
          </w:p>
        </w:tc>
        <w:tc>
          <w:tcPr>
            <w:tcW w:w="3240" w:type="dxa"/>
            <w:gridSpan w:val="10"/>
            <w:tcBorders/>
            <w:shd w:fill="231161" w:val="clear"/>
            <w:vAlign w:val="center"/>
          </w:tcPr>
          <w:p>
            <w:pPr>
              <w:pStyle w:val="TableContents"/>
              <w:bidi w:val="0"/>
              <w:spacing w:before="0" w:after="0"/>
              <w:jc w:val="center"/>
              <w:rPr>
                <w:rFonts w:ascii="ARIAL" w:hAnsi="ARIAL"/>
                <w:b/>
                <w:color w:val="FFFFFF"/>
                <w:sz w:val="12"/>
              </w:rPr>
            </w:pPr>
            <w:r>
              <w:rPr>
                <w:rFonts w:ascii="ARIAL" w:hAnsi="ARIAL"/>
                <w:b/>
                <w:color w:val="FFFFFF"/>
                <w:sz w:val="12"/>
              </w:rPr>
              <w:t>Estimated Future Payments</w:t>
              <w:br/>
              <w:t>Under</w:t>
            </w:r>
          </w:p>
          <w:p>
            <w:pPr>
              <w:pStyle w:val="TableContents"/>
              <w:bidi w:val="0"/>
              <w:spacing w:before="0" w:after="20"/>
              <w:jc w:val="center"/>
              <w:rPr>
                <w:rFonts w:ascii="ARIAL" w:hAnsi="ARIAL"/>
                <w:b/>
                <w:color w:val="FFFFFF"/>
                <w:sz w:val="12"/>
              </w:rPr>
            </w:pPr>
            <w:r>
              <w:rPr>
                <w:rFonts w:ascii="ARIAL" w:hAnsi="ARIAL"/>
                <w:b/>
                <w:color w:val="FFFFFF"/>
                <w:sz w:val="12"/>
              </w:rPr>
              <w:t>Equity Incentive Plan Awards(2)</w:t>
            </w:r>
          </w:p>
        </w:tc>
        <w:tc>
          <w:tcPr>
            <w:tcW w:w="60" w:type="dxa"/>
            <w:tcBorders/>
            <w:shd w:fill="231161"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60" w:type="dxa"/>
            <w:tcBorders/>
            <w:shd w:fill="444444" w:val="clear"/>
            <w:vAlign w:val="center"/>
          </w:tcPr>
          <w:p>
            <w:pPr>
              <w:pStyle w:val="TableContents"/>
              <w:bidi w:val="0"/>
              <w:spacing w:before="0" w:after="283"/>
              <w:jc w:val="left"/>
              <w:rPr>
                <w:b/>
                <w:color w:val="FFFFFF"/>
              </w:rPr>
            </w:pPr>
            <w:r>
              <w:rPr>
                <w:b/>
                <w:color w:val="FFFFFF"/>
              </w:rPr>
              <w:t>Name</w:t>
            </w:r>
          </w:p>
        </w:tc>
        <w:tc>
          <w:tcPr>
            <w:tcW w:w="60" w:type="dxa"/>
            <w:tcBorders/>
            <w:shd w:fill="444444" w:val="clear"/>
            <w:vAlign w:val="center"/>
          </w:tcPr>
          <w:p>
            <w:pPr>
              <w:pStyle w:val="TableContents"/>
              <w:bidi w:val="0"/>
              <w:spacing w:before="0" w:after="283"/>
              <w:jc w:val="left"/>
              <w:rPr/>
            </w:pPr>
            <w:r>
              <w:rPr/>
              <w:t> </w:t>
            </w:r>
          </w:p>
        </w:tc>
        <w:tc>
          <w:tcPr>
            <w:tcW w:w="635" w:type="dxa"/>
            <w:gridSpan w:val="2"/>
            <w:tcBorders/>
            <w:shd w:fill="444444" w:val="clear"/>
            <w:vAlign w:val="center"/>
          </w:tcPr>
          <w:p>
            <w:pPr>
              <w:pStyle w:val="TableContents"/>
              <w:bidi w:val="0"/>
              <w:spacing w:before="0" w:after="283"/>
              <w:jc w:val="center"/>
              <w:rPr>
                <w:b/>
                <w:color w:val="FFFFFF"/>
              </w:rPr>
            </w:pPr>
            <w:r>
              <w:rPr>
                <w:b/>
                <w:color w:val="FFFFFF"/>
              </w:rPr>
              <w:t>Grant</w:t>
              <w:br/>
              <w:t>Date</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995" w:type="dxa"/>
            <w:gridSpan w:val="2"/>
            <w:tcBorders/>
            <w:shd w:fill="444444" w:val="clear"/>
            <w:vAlign w:val="center"/>
          </w:tcPr>
          <w:p>
            <w:pPr>
              <w:pStyle w:val="TableContents"/>
              <w:bidi w:val="0"/>
              <w:spacing w:before="0" w:after="283"/>
              <w:jc w:val="center"/>
              <w:rPr>
                <w:b/>
                <w:color w:val="FFFFFF"/>
              </w:rPr>
            </w:pPr>
            <w:r>
              <w:rPr>
                <w:b/>
                <w:color w:val="FFFFFF"/>
              </w:rPr>
              <w:t>Approval</w:t>
              <w:br/>
              <w:t>Date</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070" w:type="dxa"/>
            <w:gridSpan w:val="2"/>
            <w:tcBorders/>
            <w:shd w:fill="444444" w:val="clear"/>
            <w:vAlign w:val="center"/>
          </w:tcPr>
          <w:p>
            <w:pPr>
              <w:pStyle w:val="TableContents"/>
              <w:bidi w:val="0"/>
              <w:spacing w:before="0" w:after="283"/>
              <w:jc w:val="center"/>
              <w:rPr>
                <w:b/>
                <w:color w:val="FFFFFF"/>
              </w:rPr>
            </w:pPr>
            <w:r>
              <w:rPr>
                <w:b/>
                <w:color w:val="FFFFFF"/>
              </w:rPr>
              <w:t>Threshold</w:t>
              <w:br/>
              <w:t>($)</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040" w:type="dxa"/>
            <w:gridSpan w:val="2"/>
            <w:tcBorders/>
            <w:shd w:fill="444444" w:val="clear"/>
            <w:vAlign w:val="center"/>
          </w:tcPr>
          <w:p>
            <w:pPr>
              <w:pStyle w:val="TableContents"/>
              <w:bidi w:val="0"/>
              <w:spacing w:before="0" w:after="283"/>
              <w:jc w:val="center"/>
              <w:rPr>
                <w:b/>
                <w:color w:val="FFFFFF"/>
              </w:rPr>
            </w:pPr>
            <w:r>
              <w:rPr>
                <w:b/>
                <w:color w:val="FFFFFF"/>
              </w:rPr>
              <w:t>Target</w:t>
              <w:br/>
              <w:t>($)</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070" w:type="dxa"/>
            <w:gridSpan w:val="2"/>
            <w:tcBorders/>
            <w:shd w:fill="444444" w:val="clear"/>
            <w:vAlign w:val="center"/>
          </w:tcPr>
          <w:p>
            <w:pPr>
              <w:pStyle w:val="TableContents"/>
              <w:bidi w:val="0"/>
              <w:spacing w:before="0" w:after="283"/>
              <w:jc w:val="center"/>
              <w:rPr>
                <w:b/>
                <w:color w:val="FFFFFF"/>
              </w:rPr>
            </w:pPr>
            <w:r>
              <w:rPr>
                <w:b/>
                <w:color w:val="FFFFFF"/>
              </w:rPr>
              <w:t>Maximum</w:t>
              <w:br/>
              <w:t>($)</w:t>
            </w:r>
          </w:p>
        </w:tc>
        <w:tc>
          <w:tcPr>
            <w:tcW w:w="60" w:type="dxa"/>
            <w:tcBorders/>
            <w:shd w:fill="444444"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070" w:type="dxa"/>
            <w:gridSpan w:val="2"/>
            <w:tcBorders/>
            <w:shd w:fill="444444" w:val="clear"/>
            <w:vAlign w:val="center"/>
          </w:tcPr>
          <w:p>
            <w:pPr>
              <w:pStyle w:val="TableContents"/>
              <w:bidi w:val="0"/>
              <w:spacing w:before="0" w:after="283"/>
              <w:jc w:val="center"/>
              <w:rPr>
                <w:b/>
                <w:color w:val="FFFFFF"/>
              </w:rPr>
            </w:pPr>
            <w:r>
              <w:rPr>
                <w:b/>
                <w:color w:val="FFFFFF"/>
              </w:rPr>
              <w:t>Threshold</w:t>
              <w:br/>
              <w:t>(#)</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860" w:type="dxa"/>
            <w:gridSpan w:val="2"/>
            <w:tcBorders/>
            <w:shd w:fill="444444" w:val="clear"/>
            <w:vAlign w:val="center"/>
          </w:tcPr>
          <w:p>
            <w:pPr>
              <w:pStyle w:val="TableContents"/>
              <w:bidi w:val="0"/>
              <w:spacing w:before="0" w:after="283"/>
              <w:jc w:val="center"/>
              <w:rPr>
                <w:b/>
                <w:color w:val="FFFFFF"/>
              </w:rPr>
            </w:pPr>
            <w:r>
              <w:rPr>
                <w:b/>
                <w:color w:val="FFFFFF"/>
              </w:rPr>
              <w:t>Target</w:t>
              <w:br/>
              <w:t>(#)</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070" w:type="dxa"/>
            <w:gridSpan w:val="2"/>
            <w:tcBorders/>
            <w:shd w:fill="444444" w:val="clear"/>
            <w:vAlign w:val="center"/>
          </w:tcPr>
          <w:p>
            <w:pPr>
              <w:pStyle w:val="TableContents"/>
              <w:bidi w:val="0"/>
              <w:spacing w:before="0" w:after="283"/>
              <w:jc w:val="center"/>
              <w:rPr>
                <w:b/>
                <w:color w:val="FFFFFF"/>
              </w:rPr>
            </w:pPr>
            <w:r>
              <w:rPr>
                <w:b/>
                <w:color w:val="FFFFFF"/>
              </w:rPr>
              <w:t>Maximum</w:t>
              <w:br/>
              <w:t>(#)</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905" w:type="dxa"/>
            <w:gridSpan w:val="2"/>
            <w:tcBorders/>
            <w:shd w:fill="444444" w:val="clear"/>
            <w:vAlign w:val="center"/>
          </w:tcPr>
          <w:p>
            <w:pPr>
              <w:pStyle w:val="TableContents"/>
              <w:bidi w:val="0"/>
              <w:spacing w:before="0" w:after="283"/>
              <w:jc w:val="center"/>
              <w:rPr>
                <w:b/>
                <w:color w:val="FFFFFF"/>
              </w:rPr>
            </w:pPr>
            <w:r>
              <w:rPr>
                <w:b/>
                <w:color w:val="FFFFFF"/>
              </w:rPr>
              <w:t>All</w:t>
              <w:br/>
              <w:t>Other</w:t>
              <w:br/>
              <w:t>Stock</w:t>
              <w:br/>
              <w:t>Awards:</w:t>
              <w:br/>
              <w:t>Number</w:t>
              <w:br/>
              <w:t>of</w:t>
              <w:br/>
              <w:t>Shares</w:t>
              <w:br/>
              <w:t>of Stock</w:t>
              <w:br/>
              <w:t>or Units</w:t>
              <w:br/>
              <w:t>(#)(3)</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175" w:type="dxa"/>
            <w:gridSpan w:val="2"/>
            <w:tcBorders/>
            <w:shd w:fill="444444" w:val="clear"/>
            <w:vAlign w:val="center"/>
          </w:tcPr>
          <w:p>
            <w:pPr>
              <w:pStyle w:val="TableContents"/>
              <w:bidi w:val="0"/>
              <w:spacing w:before="0" w:after="283"/>
              <w:jc w:val="center"/>
              <w:rPr>
                <w:b/>
                <w:color w:val="FFFFFF"/>
              </w:rPr>
            </w:pPr>
            <w:r>
              <w:rPr>
                <w:b/>
                <w:color w:val="FFFFFF"/>
              </w:rPr>
              <w:t>All Other</w:t>
              <w:br/>
              <w:t>Option</w:t>
              <w:br/>
              <w:t>Awards:</w:t>
              <w:br/>
              <w:t>Number of</w:t>
              <w:br/>
              <w:t>Securities</w:t>
              <w:br/>
              <w:t>Underlying</w:t>
              <w:br/>
              <w:t>Options</w:t>
              <w:br/>
              <w:t>(#)</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875" w:type="dxa"/>
            <w:gridSpan w:val="2"/>
            <w:tcBorders/>
            <w:shd w:fill="444444" w:val="clear"/>
            <w:vAlign w:val="center"/>
          </w:tcPr>
          <w:p>
            <w:pPr>
              <w:pStyle w:val="TableContents"/>
              <w:bidi w:val="0"/>
              <w:spacing w:before="0" w:after="283"/>
              <w:jc w:val="center"/>
              <w:rPr>
                <w:b/>
                <w:color w:val="FFFFFF"/>
              </w:rPr>
            </w:pPr>
            <w:r>
              <w:rPr>
                <w:b/>
                <w:color w:val="FFFFFF"/>
              </w:rPr>
              <w:t>Exercise</w:t>
              <w:br/>
              <w:t>or Base</w:t>
              <w:br/>
              <w:t>Price of</w:t>
              <w:br/>
              <w:t>Option</w:t>
              <w:br/>
              <w:t>Awards</w:t>
              <w:br/>
              <w:t>($/Sh)</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040" w:type="dxa"/>
            <w:gridSpan w:val="2"/>
            <w:tcBorders/>
            <w:shd w:fill="444444" w:val="clear"/>
            <w:vAlign w:val="center"/>
          </w:tcPr>
          <w:p>
            <w:pPr>
              <w:pStyle w:val="TableContents"/>
              <w:bidi w:val="0"/>
              <w:spacing w:before="0" w:after="283"/>
              <w:jc w:val="center"/>
              <w:rPr>
                <w:b/>
                <w:color w:val="FFFFFF"/>
              </w:rPr>
            </w:pPr>
            <w:r>
              <w:rPr>
                <w:b/>
                <w:color w:val="FFFFFF"/>
              </w:rPr>
              <w:t>Grant</w:t>
              <w:br/>
              <w:t>Date Fair</w:t>
              <w:br/>
              <w:t>Value</w:t>
              <w:br/>
              <w:t>of</w:t>
              <w:br/>
              <w:t>Stock and</w:t>
              <w:br/>
              <w:t>Option</w:t>
              <w:br/>
              <w:t>Awards</w:t>
              <w:br/>
              <w:t>($)(4)</w:t>
            </w:r>
          </w:p>
        </w:tc>
        <w:tc>
          <w:tcPr>
            <w:tcW w:w="75" w:type="dxa"/>
            <w:tcBorders/>
            <w:shd w:fill="444444" w:val="cle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jc w:val="left"/>
              <w:rPr>
                <w:rFonts w:ascii="ARIAL" w:hAnsi="ARIAL"/>
                <w:b/>
                <w:sz w:val="15"/>
              </w:rPr>
            </w:pPr>
            <w:r>
              <w:rPr>
                <w:rFonts w:ascii="ARIAL" w:hAnsi="ARIAL"/>
                <w:b/>
                <w:sz w:val="15"/>
              </w:rPr>
              <w:t>Scott A. Smith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791,096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1,582,192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3,164,384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4/1/2023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2/24/2023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264,865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756,757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1,475,677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7,280,002</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4/1/2023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2/24/2023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407,485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3,920,006</w:t>
            </w:r>
          </w:p>
        </w:tc>
        <w:tc>
          <w:tcPr>
            <w:tcW w:w="75" w:type="dxa"/>
            <w:tcBorders/>
            <w:vAlign w:val="center"/>
          </w:tcPr>
          <w:p>
            <w:pPr>
              <w:pStyle w:val="TableContents"/>
              <w:bidi w:val="0"/>
              <w:spacing w:before="0" w:after="283"/>
              <w:jc w:val="left"/>
              <w:rPr/>
            </w:pPr>
            <w:r>
              <w:rPr/>
              <w:t> </w:t>
            </w:r>
          </w:p>
        </w:tc>
      </w:tr>
      <w:tr>
        <w:trPr/>
        <w:tc>
          <w:tcPr>
            <w:tcW w:w="1160" w:type="dxa"/>
            <w:vMerge w:val="restart"/>
            <w:tcBorders/>
            <w:shd w:fill="EAEAEA" w:val="clear"/>
            <w:vAlign w:val="center"/>
          </w:tcPr>
          <w:p>
            <w:pPr>
              <w:pStyle w:val="TableContents"/>
              <w:bidi w:val="0"/>
              <w:spacing w:before="0" w:after="20"/>
              <w:jc w:val="left"/>
              <w:rPr>
                <w:rFonts w:ascii="ARIAL" w:hAnsi="ARIAL"/>
                <w:b/>
                <w:sz w:val="15"/>
              </w:rPr>
            </w:pPr>
            <w:r>
              <w:rPr>
                <w:rFonts w:ascii="ARIAL" w:hAnsi="ARIAL"/>
                <w:b/>
                <w:sz w:val="15"/>
              </w:rPr>
              <w:t>Sanjeev Narula</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sz w:val="4"/>
                <w:szCs w:val="4"/>
              </w:rPr>
            </w:pPr>
            <w:r>
              <w:rPr>
                <w:sz w:val="4"/>
                <w:szCs w:val="4"/>
              </w:rPr>
            </w:r>
          </w:p>
        </w:tc>
        <w:tc>
          <w:tcPr>
            <w:tcW w:w="575" w:type="dxa"/>
            <w:tcBorders/>
            <w:shd w:fill="EAEAEA" w:val="clear"/>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sz w:val="4"/>
                <w:szCs w:val="4"/>
              </w:rPr>
            </w:pPr>
            <w:r>
              <w:rPr>
                <w:sz w:val="4"/>
                <w:szCs w:val="4"/>
              </w:rPr>
            </w:r>
          </w:p>
        </w:tc>
        <w:tc>
          <w:tcPr>
            <w:tcW w:w="935" w:type="dxa"/>
            <w:tcBorders/>
            <w:shd w:fill="EAEAEA" w:val="clear"/>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462,500</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925,000</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1,850,000</w:t>
            </w:r>
          </w:p>
        </w:tc>
        <w:tc>
          <w:tcPr>
            <w:tcW w:w="60" w:type="dxa"/>
            <w:tcBorders/>
            <w:shd w:fill="EAEAEA"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74" w:type="dxa"/>
            <w:tcBorders/>
            <w:shd w:fill="EAEAEA" w:val="clear"/>
            <w:vAlign w:val="center"/>
          </w:tcPr>
          <w:p>
            <w:pPr>
              <w:pStyle w:val="TableContents"/>
              <w:bidi w:val="0"/>
              <w:spacing w:before="0" w:after="283"/>
              <w:jc w:val="left"/>
              <w:rPr/>
            </w:pPr>
            <w:r>
              <w:rPr/>
              <w:t> </w:t>
            </w:r>
          </w:p>
        </w:tc>
        <w:tc>
          <w:tcPr>
            <w:tcW w:w="996"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800"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3" w:type="dxa"/>
            <w:tcBorders/>
            <w:shd w:fill="EAEAEA" w:val="clear"/>
            <w:vAlign w:val="center"/>
          </w:tcPr>
          <w:p>
            <w:pPr>
              <w:pStyle w:val="TableContents"/>
              <w:bidi w:val="0"/>
              <w:spacing w:before="0" w:after="283"/>
              <w:jc w:val="left"/>
              <w:rPr/>
            </w:pPr>
            <w:r>
              <w:rPr/>
              <w:t> </w:t>
            </w:r>
          </w:p>
        </w:tc>
        <w:tc>
          <w:tcPr>
            <w:tcW w:w="842"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220" w:type="dxa"/>
            <w:tcBorders/>
            <w:shd w:fill="EAEAEA" w:val="clear"/>
            <w:vAlign w:val="center"/>
          </w:tcPr>
          <w:p>
            <w:pPr>
              <w:pStyle w:val="TableContents"/>
              <w:bidi w:val="0"/>
              <w:spacing w:before="0" w:after="283"/>
              <w:jc w:val="left"/>
              <w:rPr/>
            </w:pPr>
            <w:r>
              <w:rPr/>
              <w:t> </w:t>
            </w:r>
          </w:p>
        </w:tc>
        <w:tc>
          <w:tcPr>
            <w:tcW w:w="95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64" w:type="dxa"/>
            <w:tcBorders/>
            <w:shd w:fill="EAEAEA" w:val="clear"/>
            <w:vAlign w:val="center"/>
          </w:tcPr>
          <w:p>
            <w:pPr>
              <w:pStyle w:val="TableContents"/>
              <w:bidi w:val="0"/>
              <w:spacing w:before="0" w:after="283"/>
              <w:jc w:val="left"/>
              <w:rPr/>
            </w:pPr>
            <w:r>
              <w:rPr/>
              <w:t> </w:t>
            </w:r>
          </w:p>
        </w:tc>
        <w:tc>
          <w:tcPr>
            <w:tcW w:w="711"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w:t>
            </w:r>
          </w:p>
        </w:tc>
        <w:tc>
          <w:tcPr>
            <w:tcW w:w="75" w:type="dxa"/>
            <w:tcBorders/>
            <w:shd w:fill="EAEAEA" w:val="clear"/>
            <w:vAlign w:val="center"/>
          </w:tcPr>
          <w:p>
            <w:pPr>
              <w:pStyle w:val="TableContents"/>
              <w:bidi w:val="0"/>
              <w:spacing w:before="0" w:after="283"/>
              <w:jc w:val="left"/>
              <w:rPr/>
            </w:pPr>
            <w:r>
              <w:rPr/>
              <w:t> </w:t>
            </w:r>
          </w:p>
        </w:tc>
      </w:tr>
      <w:tr>
        <w:trPr/>
        <w:tc>
          <w:tcPr>
            <w:tcW w:w="1160" w:type="dxa"/>
            <w:vMerge w:val="continue"/>
            <w:tcBorders/>
            <w:shd w:fill="EAEAEA" w:val="clear"/>
            <w:vAlign w:val="center"/>
          </w:tcPr>
          <w:p>
            <w:pPr>
              <w:pStyle w:val="Normal"/>
              <w:bidi w:val="0"/>
              <w:jc w:val="left"/>
              <w:rPr/>
            </w:pPr>
            <w:r>
              <w:rPr/>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575" w:type="dxa"/>
            <w:tcBorders/>
            <w:shd w:fill="EAEAEA" w:val="clear"/>
            <w:vAlign w:val="center"/>
          </w:tcPr>
          <w:p>
            <w:pPr>
              <w:pStyle w:val="TableContents"/>
              <w:bidi w:val="0"/>
              <w:spacing w:before="0" w:after="283"/>
              <w:jc w:val="right"/>
              <w:rPr/>
            </w:pPr>
            <w:r>
              <w:rPr/>
              <w:t>3/3/2023</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35" w:type="dxa"/>
            <w:tcBorders/>
            <w:shd w:fill="EAEAEA" w:val="clear"/>
            <w:vAlign w:val="center"/>
          </w:tcPr>
          <w:p>
            <w:pPr>
              <w:pStyle w:val="TableContents"/>
              <w:bidi w:val="0"/>
              <w:spacing w:before="0" w:after="283"/>
              <w:jc w:val="right"/>
              <w:rPr/>
            </w:pPr>
            <w:r>
              <w:rPr/>
              <w:t>3/3/2023</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74" w:type="dxa"/>
            <w:tcBorders/>
            <w:shd w:fill="EAEAEA" w:val="clear"/>
            <w:vAlign w:val="center"/>
          </w:tcPr>
          <w:p>
            <w:pPr>
              <w:pStyle w:val="TableContents"/>
              <w:bidi w:val="0"/>
              <w:spacing w:before="0" w:after="283"/>
              <w:jc w:val="left"/>
              <w:rPr/>
            </w:pPr>
            <w:r>
              <w:rPr/>
              <w:t> </w:t>
            </w:r>
          </w:p>
        </w:tc>
        <w:tc>
          <w:tcPr>
            <w:tcW w:w="996" w:type="dxa"/>
            <w:tcBorders/>
            <w:shd w:fill="EAEAEA" w:val="clear"/>
            <w:vAlign w:val="center"/>
          </w:tcPr>
          <w:p>
            <w:pPr>
              <w:pStyle w:val="TableContents"/>
              <w:bidi w:val="0"/>
              <w:spacing w:before="0" w:after="283"/>
              <w:jc w:val="right"/>
              <w:rPr/>
            </w:pPr>
            <w:r>
              <w:rPr/>
              <w:t>75,630</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800" w:type="dxa"/>
            <w:tcBorders/>
            <w:shd w:fill="EAEAEA" w:val="clear"/>
            <w:vAlign w:val="center"/>
          </w:tcPr>
          <w:p>
            <w:pPr>
              <w:pStyle w:val="TableContents"/>
              <w:bidi w:val="0"/>
              <w:spacing w:before="0" w:after="283"/>
              <w:jc w:val="right"/>
              <w:rPr/>
            </w:pPr>
            <w:r>
              <w:rPr/>
              <w:t>216,083</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421,362</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3" w:type="dxa"/>
            <w:tcBorders/>
            <w:shd w:fill="EAEAEA" w:val="clear"/>
            <w:vAlign w:val="center"/>
          </w:tcPr>
          <w:p>
            <w:pPr>
              <w:pStyle w:val="TableContents"/>
              <w:bidi w:val="0"/>
              <w:spacing w:before="0" w:after="283"/>
              <w:jc w:val="left"/>
              <w:rPr/>
            </w:pPr>
            <w:r>
              <w:rPr/>
              <w:t> </w:t>
            </w:r>
          </w:p>
        </w:tc>
        <w:tc>
          <w:tcPr>
            <w:tcW w:w="842"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220" w:type="dxa"/>
            <w:tcBorders/>
            <w:shd w:fill="EAEAEA" w:val="clear"/>
            <w:vAlign w:val="center"/>
          </w:tcPr>
          <w:p>
            <w:pPr>
              <w:pStyle w:val="TableContents"/>
              <w:bidi w:val="0"/>
              <w:spacing w:before="0" w:after="283"/>
              <w:jc w:val="left"/>
              <w:rPr/>
            </w:pPr>
            <w:r>
              <w:rPr/>
              <w:t> </w:t>
            </w:r>
          </w:p>
        </w:tc>
        <w:tc>
          <w:tcPr>
            <w:tcW w:w="95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64" w:type="dxa"/>
            <w:tcBorders/>
            <w:shd w:fill="EAEAEA" w:val="clear"/>
            <w:vAlign w:val="center"/>
          </w:tcPr>
          <w:p>
            <w:pPr>
              <w:pStyle w:val="TableContents"/>
              <w:bidi w:val="0"/>
              <w:spacing w:before="0" w:after="283"/>
              <w:jc w:val="left"/>
              <w:rPr/>
            </w:pPr>
            <w:r>
              <w:rPr/>
              <w:t> </w:t>
            </w:r>
          </w:p>
        </w:tc>
        <w:tc>
          <w:tcPr>
            <w:tcW w:w="711"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2,405,004</w:t>
            </w:r>
          </w:p>
        </w:tc>
        <w:tc>
          <w:tcPr>
            <w:tcW w:w="75" w:type="dxa"/>
            <w:tcBorders/>
            <w:shd w:fill="EAEAEA" w:val="clear"/>
            <w:vAlign w:val="center"/>
          </w:tcPr>
          <w:p>
            <w:pPr>
              <w:pStyle w:val="TableContents"/>
              <w:bidi w:val="0"/>
              <w:spacing w:before="0" w:after="283"/>
              <w:jc w:val="left"/>
              <w:rPr/>
            </w:pPr>
            <w:r>
              <w:rPr/>
              <w:t> </w:t>
            </w:r>
          </w:p>
        </w:tc>
      </w:tr>
      <w:tr>
        <w:trPr/>
        <w:tc>
          <w:tcPr>
            <w:tcW w:w="1160" w:type="dxa"/>
            <w:tcBorders/>
            <w:shd w:fill="EAEAEA" w:val="clear"/>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575" w:type="dxa"/>
            <w:tcBorders/>
            <w:shd w:fill="EAEAEA" w:val="clear"/>
            <w:vAlign w:val="center"/>
          </w:tcPr>
          <w:p>
            <w:pPr>
              <w:pStyle w:val="TableContents"/>
              <w:bidi w:val="0"/>
              <w:spacing w:before="0" w:after="283"/>
              <w:jc w:val="right"/>
              <w:rPr/>
            </w:pPr>
            <w:r>
              <w:rPr/>
              <w:t>3/3/2023</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35" w:type="dxa"/>
            <w:tcBorders/>
            <w:shd w:fill="EAEAEA" w:val="clear"/>
            <w:vAlign w:val="center"/>
          </w:tcPr>
          <w:p>
            <w:pPr>
              <w:pStyle w:val="TableContents"/>
              <w:bidi w:val="0"/>
              <w:spacing w:before="0" w:after="283"/>
              <w:jc w:val="right"/>
              <w:rPr/>
            </w:pPr>
            <w:r>
              <w:rPr/>
              <w:t>3/3/2023</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74" w:type="dxa"/>
            <w:tcBorders/>
            <w:shd w:fill="EAEAEA" w:val="clear"/>
            <w:vAlign w:val="center"/>
          </w:tcPr>
          <w:p>
            <w:pPr>
              <w:pStyle w:val="TableContents"/>
              <w:bidi w:val="0"/>
              <w:spacing w:before="0" w:after="283"/>
              <w:jc w:val="left"/>
              <w:rPr/>
            </w:pPr>
            <w:r>
              <w:rPr/>
              <w:t> </w:t>
            </w:r>
          </w:p>
        </w:tc>
        <w:tc>
          <w:tcPr>
            <w:tcW w:w="996"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800"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3" w:type="dxa"/>
            <w:tcBorders/>
            <w:shd w:fill="EAEAEA" w:val="clear"/>
            <w:vAlign w:val="center"/>
          </w:tcPr>
          <w:p>
            <w:pPr>
              <w:pStyle w:val="TableContents"/>
              <w:bidi w:val="0"/>
              <w:spacing w:before="0" w:after="283"/>
              <w:jc w:val="left"/>
              <w:rPr/>
            </w:pPr>
            <w:r>
              <w:rPr/>
              <w:t> </w:t>
            </w:r>
          </w:p>
        </w:tc>
        <w:tc>
          <w:tcPr>
            <w:tcW w:w="842" w:type="dxa"/>
            <w:tcBorders/>
            <w:shd w:fill="EAEAEA" w:val="clear"/>
            <w:vAlign w:val="center"/>
          </w:tcPr>
          <w:p>
            <w:pPr>
              <w:pStyle w:val="TableContents"/>
              <w:bidi w:val="0"/>
              <w:spacing w:before="0" w:after="283"/>
              <w:jc w:val="right"/>
              <w:rPr/>
            </w:pPr>
            <w:r>
              <w:rPr/>
              <w:t>116,353</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220" w:type="dxa"/>
            <w:tcBorders/>
            <w:shd w:fill="EAEAEA" w:val="clear"/>
            <w:vAlign w:val="center"/>
          </w:tcPr>
          <w:p>
            <w:pPr>
              <w:pStyle w:val="TableContents"/>
              <w:bidi w:val="0"/>
              <w:spacing w:before="0" w:after="283"/>
              <w:jc w:val="left"/>
              <w:rPr/>
            </w:pPr>
            <w:r>
              <w:rPr/>
              <w:t> </w:t>
            </w:r>
          </w:p>
        </w:tc>
        <w:tc>
          <w:tcPr>
            <w:tcW w:w="95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64" w:type="dxa"/>
            <w:tcBorders/>
            <w:shd w:fill="EAEAEA" w:val="clear"/>
            <w:vAlign w:val="center"/>
          </w:tcPr>
          <w:p>
            <w:pPr>
              <w:pStyle w:val="TableContents"/>
              <w:bidi w:val="0"/>
              <w:spacing w:before="0" w:after="283"/>
              <w:jc w:val="left"/>
              <w:rPr/>
            </w:pPr>
            <w:r>
              <w:rPr/>
              <w:t> </w:t>
            </w:r>
          </w:p>
        </w:tc>
        <w:tc>
          <w:tcPr>
            <w:tcW w:w="711"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1,295,009</w:t>
            </w:r>
          </w:p>
        </w:tc>
        <w:tc>
          <w:tcPr>
            <w:tcW w:w="75" w:type="dxa"/>
            <w:tcBorders/>
            <w:shd w:fill="EAEAEA" w:val="cle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jc w:val="left"/>
              <w:rPr>
                <w:rFonts w:ascii="ARIAL" w:hAnsi="ARIAL"/>
                <w:b/>
                <w:sz w:val="15"/>
              </w:rPr>
            </w:pPr>
            <w:r>
              <w:rPr>
                <w:rFonts w:ascii="ARIAL" w:hAnsi="ARIAL"/>
                <w:b/>
                <w:sz w:val="15"/>
              </w:rPr>
              <w:t>Rajiv Malik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812,500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3,250,000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3/3/2023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3/3/2023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159,435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455,526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888,276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5,070,004</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3/3/2023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3/3/2023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245,284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2,730,011</w:t>
            </w:r>
          </w:p>
        </w:tc>
        <w:tc>
          <w:tcPr>
            <w:tcW w:w="75" w:type="dxa"/>
            <w:tcBorders/>
            <w:vAlign w:val="center"/>
          </w:tcPr>
          <w:p>
            <w:pPr>
              <w:pStyle w:val="TableContents"/>
              <w:bidi w:val="0"/>
              <w:spacing w:before="0" w:after="283"/>
              <w:jc w:val="left"/>
              <w:rPr/>
            </w:pPr>
            <w:r>
              <w:rPr/>
              <w:t> </w:t>
            </w:r>
          </w:p>
        </w:tc>
      </w:tr>
      <w:tr>
        <w:trPr/>
        <w:tc>
          <w:tcPr>
            <w:tcW w:w="1160" w:type="dxa"/>
            <w:vMerge w:val="restart"/>
            <w:tcBorders/>
            <w:shd w:fill="EAEAEA" w:val="clear"/>
            <w:vAlign w:val="center"/>
          </w:tcPr>
          <w:p>
            <w:pPr>
              <w:pStyle w:val="TableContents"/>
              <w:bidi w:val="0"/>
              <w:spacing w:before="0" w:after="20"/>
              <w:jc w:val="left"/>
              <w:rPr>
                <w:rFonts w:ascii="ARIAL" w:hAnsi="ARIAL"/>
                <w:b/>
                <w:sz w:val="15"/>
              </w:rPr>
            </w:pPr>
            <w:r>
              <w:rPr>
                <w:rFonts w:ascii="ARIAL" w:hAnsi="ARIAL"/>
                <w:b/>
                <w:sz w:val="15"/>
              </w:rPr>
              <w:t>Anthony Mauro</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sz w:val="4"/>
                <w:szCs w:val="4"/>
              </w:rPr>
            </w:pPr>
            <w:r>
              <w:rPr>
                <w:sz w:val="4"/>
                <w:szCs w:val="4"/>
              </w:rPr>
            </w:r>
          </w:p>
        </w:tc>
        <w:tc>
          <w:tcPr>
            <w:tcW w:w="575" w:type="dxa"/>
            <w:tcBorders/>
            <w:shd w:fill="EAEAEA" w:val="clear"/>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sz w:val="4"/>
                <w:szCs w:val="4"/>
              </w:rPr>
            </w:pPr>
            <w:r>
              <w:rPr>
                <w:sz w:val="4"/>
                <w:szCs w:val="4"/>
              </w:rPr>
            </w:r>
          </w:p>
        </w:tc>
        <w:tc>
          <w:tcPr>
            <w:tcW w:w="935" w:type="dxa"/>
            <w:tcBorders/>
            <w:shd w:fill="EAEAEA" w:val="clear"/>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494,500</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989,000</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1,978,000</w:t>
            </w:r>
          </w:p>
        </w:tc>
        <w:tc>
          <w:tcPr>
            <w:tcW w:w="60" w:type="dxa"/>
            <w:tcBorders/>
            <w:shd w:fill="EAEAEA"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74" w:type="dxa"/>
            <w:tcBorders/>
            <w:shd w:fill="EAEAEA" w:val="clear"/>
            <w:vAlign w:val="center"/>
          </w:tcPr>
          <w:p>
            <w:pPr>
              <w:pStyle w:val="TableContents"/>
              <w:bidi w:val="0"/>
              <w:spacing w:before="0" w:after="283"/>
              <w:jc w:val="left"/>
              <w:rPr/>
            </w:pPr>
            <w:r>
              <w:rPr/>
              <w:t> </w:t>
            </w:r>
          </w:p>
        </w:tc>
        <w:tc>
          <w:tcPr>
            <w:tcW w:w="996"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800"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3" w:type="dxa"/>
            <w:tcBorders/>
            <w:shd w:fill="EAEAEA" w:val="clear"/>
            <w:vAlign w:val="center"/>
          </w:tcPr>
          <w:p>
            <w:pPr>
              <w:pStyle w:val="TableContents"/>
              <w:bidi w:val="0"/>
              <w:spacing w:before="0" w:after="283"/>
              <w:jc w:val="left"/>
              <w:rPr/>
            </w:pPr>
            <w:r>
              <w:rPr/>
              <w:t> </w:t>
            </w:r>
          </w:p>
        </w:tc>
        <w:tc>
          <w:tcPr>
            <w:tcW w:w="842"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220" w:type="dxa"/>
            <w:tcBorders/>
            <w:shd w:fill="EAEAEA" w:val="clear"/>
            <w:vAlign w:val="center"/>
          </w:tcPr>
          <w:p>
            <w:pPr>
              <w:pStyle w:val="TableContents"/>
              <w:bidi w:val="0"/>
              <w:spacing w:before="0" w:after="283"/>
              <w:jc w:val="left"/>
              <w:rPr/>
            </w:pPr>
            <w:r>
              <w:rPr/>
              <w:t> </w:t>
            </w:r>
          </w:p>
        </w:tc>
        <w:tc>
          <w:tcPr>
            <w:tcW w:w="95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64" w:type="dxa"/>
            <w:tcBorders/>
            <w:shd w:fill="EAEAEA" w:val="clear"/>
            <w:vAlign w:val="center"/>
          </w:tcPr>
          <w:p>
            <w:pPr>
              <w:pStyle w:val="TableContents"/>
              <w:bidi w:val="0"/>
              <w:spacing w:before="0" w:after="283"/>
              <w:jc w:val="left"/>
              <w:rPr/>
            </w:pPr>
            <w:r>
              <w:rPr/>
              <w:t> </w:t>
            </w:r>
          </w:p>
        </w:tc>
        <w:tc>
          <w:tcPr>
            <w:tcW w:w="711"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w:t>
            </w:r>
          </w:p>
        </w:tc>
        <w:tc>
          <w:tcPr>
            <w:tcW w:w="75" w:type="dxa"/>
            <w:tcBorders/>
            <w:shd w:fill="EAEAEA" w:val="clear"/>
            <w:vAlign w:val="center"/>
          </w:tcPr>
          <w:p>
            <w:pPr>
              <w:pStyle w:val="TableContents"/>
              <w:bidi w:val="0"/>
              <w:spacing w:before="0" w:after="283"/>
              <w:jc w:val="left"/>
              <w:rPr/>
            </w:pPr>
            <w:r>
              <w:rPr/>
              <w:t> </w:t>
            </w:r>
          </w:p>
        </w:tc>
      </w:tr>
      <w:tr>
        <w:trPr/>
        <w:tc>
          <w:tcPr>
            <w:tcW w:w="1160" w:type="dxa"/>
            <w:vMerge w:val="continue"/>
            <w:tcBorders/>
            <w:shd w:fill="EAEAEA" w:val="clear"/>
            <w:vAlign w:val="center"/>
          </w:tcPr>
          <w:p>
            <w:pPr>
              <w:pStyle w:val="Normal"/>
              <w:bidi w:val="0"/>
              <w:jc w:val="left"/>
              <w:rPr/>
            </w:pPr>
            <w:r>
              <w:rPr/>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575" w:type="dxa"/>
            <w:tcBorders/>
            <w:shd w:fill="EAEAEA" w:val="clear"/>
            <w:vAlign w:val="center"/>
          </w:tcPr>
          <w:p>
            <w:pPr>
              <w:pStyle w:val="TableContents"/>
              <w:bidi w:val="0"/>
              <w:spacing w:before="0" w:after="283"/>
              <w:jc w:val="right"/>
              <w:rPr/>
            </w:pPr>
            <w:r>
              <w:rPr/>
              <w:t>3/3/2023</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35" w:type="dxa"/>
            <w:tcBorders/>
            <w:shd w:fill="EAEAEA" w:val="clear"/>
            <w:vAlign w:val="center"/>
          </w:tcPr>
          <w:p>
            <w:pPr>
              <w:pStyle w:val="TableContents"/>
              <w:bidi w:val="0"/>
              <w:spacing w:before="0" w:after="283"/>
              <w:jc w:val="right"/>
              <w:rPr/>
            </w:pPr>
            <w:r>
              <w:rPr/>
              <w:t>3/3/2023</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74" w:type="dxa"/>
            <w:tcBorders/>
            <w:shd w:fill="EAEAEA" w:val="clear"/>
            <w:vAlign w:val="center"/>
          </w:tcPr>
          <w:p>
            <w:pPr>
              <w:pStyle w:val="TableContents"/>
              <w:bidi w:val="0"/>
              <w:spacing w:before="0" w:after="283"/>
              <w:jc w:val="left"/>
              <w:rPr/>
            </w:pPr>
            <w:r>
              <w:rPr/>
              <w:t> </w:t>
            </w:r>
          </w:p>
        </w:tc>
        <w:tc>
          <w:tcPr>
            <w:tcW w:w="996" w:type="dxa"/>
            <w:tcBorders/>
            <w:shd w:fill="EAEAEA" w:val="clear"/>
            <w:vAlign w:val="center"/>
          </w:tcPr>
          <w:p>
            <w:pPr>
              <w:pStyle w:val="TableContents"/>
              <w:bidi w:val="0"/>
              <w:spacing w:before="0" w:after="283"/>
              <w:jc w:val="right"/>
              <w:rPr/>
            </w:pPr>
            <w:r>
              <w:rPr/>
              <w:t>70,315</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800" w:type="dxa"/>
            <w:tcBorders/>
            <w:shd w:fill="EAEAEA" w:val="clear"/>
            <w:vAlign w:val="center"/>
          </w:tcPr>
          <w:p>
            <w:pPr>
              <w:pStyle w:val="TableContents"/>
              <w:bidi w:val="0"/>
              <w:spacing w:before="0" w:after="283"/>
              <w:jc w:val="right"/>
              <w:rPr/>
            </w:pPr>
            <w:r>
              <w:rPr/>
              <w:t>200,899</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391,754</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3" w:type="dxa"/>
            <w:tcBorders/>
            <w:shd w:fill="EAEAEA" w:val="clear"/>
            <w:vAlign w:val="center"/>
          </w:tcPr>
          <w:p>
            <w:pPr>
              <w:pStyle w:val="TableContents"/>
              <w:bidi w:val="0"/>
              <w:spacing w:before="0" w:after="283"/>
              <w:jc w:val="left"/>
              <w:rPr/>
            </w:pPr>
            <w:r>
              <w:rPr/>
              <w:t> </w:t>
            </w:r>
          </w:p>
        </w:tc>
        <w:tc>
          <w:tcPr>
            <w:tcW w:w="842"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220" w:type="dxa"/>
            <w:tcBorders/>
            <w:shd w:fill="EAEAEA" w:val="clear"/>
            <w:vAlign w:val="center"/>
          </w:tcPr>
          <w:p>
            <w:pPr>
              <w:pStyle w:val="TableContents"/>
              <w:bidi w:val="0"/>
              <w:spacing w:before="0" w:after="283"/>
              <w:jc w:val="left"/>
              <w:rPr/>
            </w:pPr>
            <w:r>
              <w:rPr/>
              <w:t> </w:t>
            </w:r>
          </w:p>
        </w:tc>
        <w:tc>
          <w:tcPr>
            <w:tcW w:w="95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64" w:type="dxa"/>
            <w:tcBorders/>
            <w:shd w:fill="EAEAEA" w:val="clear"/>
            <w:vAlign w:val="center"/>
          </w:tcPr>
          <w:p>
            <w:pPr>
              <w:pStyle w:val="TableContents"/>
              <w:bidi w:val="0"/>
              <w:spacing w:before="0" w:after="283"/>
              <w:jc w:val="left"/>
              <w:rPr/>
            </w:pPr>
            <w:r>
              <w:rPr/>
              <w:t> </w:t>
            </w:r>
          </w:p>
        </w:tc>
        <w:tc>
          <w:tcPr>
            <w:tcW w:w="711"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2,236,006</w:t>
            </w:r>
          </w:p>
        </w:tc>
        <w:tc>
          <w:tcPr>
            <w:tcW w:w="75" w:type="dxa"/>
            <w:tcBorders/>
            <w:shd w:fill="EAEAEA" w:val="clear"/>
            <w:vAlign w:val="center"/>
          </w:tcPr>
          <w:p>
            <w:pPr>
              <w:pStyle w:val="TableContents"/>
              <w:bidi w:val="0"/>
              <w:spacing w:before="0" w:after="283"/>
              <w:jc w:val="left"/>
              <w:rPr/>
            </w:pPr>
            <w:r>
              <w:rPr/>
              <w:t> </w:t>
            </w:r>
          </w:p>
        </w:tc>
      </w:tr>
      <w:tr>
        <w:trPr/>
        <w:tc>
          <w:tcPr>
            <w:tcW w:w="1160" w:type="dxa"/>
            <w:tcBorders/>
            <w:shd w:fill="EAEAEA" w:val="clear"/>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575" w:type="dxa"/>
            <w:tcBorders/>
            <w:shd w:fill="EAEAEA" w:val="clear"/>
            <w:vAlign w:val="center"/>
          </w:tcPr>
          <w:p>
            <w:pPr>
              <w:pStyle w:val="TableContents"/>
              <w:bidi w:val="0"/>
              <w:spacing w:before="0" w:after="283"/>
              <w:jc w:val="right"/>
              <w:rPr/>
            </w:pPr>
            <w:r>
              <w:rPr/>
              <w:t>3/3/2023</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35" w:type="dxa"/>
            <w:tcBorders/>
            <w:shd w:fill="EAEAEA" w:val="clear"/>
            <w:vAlign w:val="center"/>
          </w:tcPr>
          <w:p>
            <w:pPr>
              <w:pStyle w:val="TableContents"/>
              <w:bidi w:val="0"/>
              <w:spacing w:before="0" w:after="283"/>
              <w:jc w:val="right"/>
              <w:rPr/>
            </w:pPr>
            <w:r>
              <w:rPr/>
              <w:t>3/3/2023</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74" w:type="dxa"/>
            <w:tcBorders/>
            <w:shd w:fill="EAEAEA" w:val="clear"/>
            <w:vAlign w:val="center"/>
          </w:tcPr>
          <w:p>
            <w:pPr>
              <w:pStyle w:val="TableContents"/>
              <w:bidi w:val="0"/>
              <w:spacing w:before="0" w:after="283"/>
              <w:jc w:val="left"/>
              <w:rPr/>
            </w:pPr>
            <w:r>
              <w:rPr/>
              <w:t> </w:t>
            </w:r>
          </w:p>
        </w:tc>
        <w:tc>
          <w:tcPr>
            <w:tcW w:w="996"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800"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3" w:type="dxa"/>
            <w:tcBorders/>
            <w:shd w:fill="EAEAEA" w:val="clear"/>
            <w:vAlign w:val="center"/>
          </w:tcPr>
          <w:p>
            <w:pPr>
              <w:pStyle w:val="TableContents"/>
              <w:bidi w:val="0"/>
              <w:spacing w:before="0" w:after="283"/>
              <w:jc w:val="left"/>
              <w:rPr/>
            </w:pPr>
            <w:r>
              <w:rPr/>
              <w:t> </w:t>
            </w:r>
          </w:p>
        </w:tc>
        <w:tc>
          <w:tcPr>
            <w:tcW w:w="842" w:type="dxa"/>
            <w:tcBorders/>
            <w:shd w:fill="EAEAEA" w:val="clear"/>
            <w:vAlign w:val="center"/>
          </w:tcPr>
          <w:p>
            <w:pPr>
              <w:pStyle w:val="TableContents"/>
              <w:bidi w:val="0"/>
              <w:spacing w:before="0" w:after="283"/>
              <w:jc w:val="right"/>
              <w:rPr/>
            </w:pPr>
            <w:r>
              <w:rPr/>
              <w:t>108,177</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220" w:type="dxa"/>
            <w:tcBorders/>
            <w:shd w:fill="EAEAEA" w:val="clear"/>
            <w:vAlign w:val="center"/>
          </w:tcPr>
          <w:p>
            <w:pPr>
              <w:pStyle w:val="TableContents"/>
              <w:bidi w:val="0"/>
              <w:spacing w:before="0" w:after="283"/>
              <w:jc w:val="left"/>
              <w:rPr/>
            </w:pPr>
            <w:r>
              <w:rPr/>
              <w:t> </w:t>
            </w:r>
          </w:p>
        </w:tc>
        <w:tc>
          <w:tcPr>
            <w:tcW w:w="95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64" w:type="dxa"/>
            <w:tcBorders/>
            <w:shd w:fill="EAEAEA" w:val="clear"/>
            <w:vAlign w:val="center"/>
          </w:tcPr>
          <w:p>
            <w:pPr>
              <w:pStyle w:val="TableContents"/>
              <w:bidi w:val="0"/>
              <w:spacing w:before="0" w:after="283"/>
              <w:jc w:val="left"/>
              <w:rPr/>
            </w:pPr>
            <w:r>
              <w:rPr/>
              <w:t> </w:t>
            </w:r>
          </w:p>
        </w:tc>
        <w:tc>
          <w:tcPr>
            <w:tcW w:w="711"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1,204,010</w:t>
            </w:r>
          </w:p>
        </w:tc>
        <w:tc>
          <w:tcPr>
            <w:tcW w:w="75" w:type="dxa"/>
            <w:tcBorders/>
            <w:shd w:fill="EAEAEA" w:val="cle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jc w:val="left"/>
              <w:rPr>
                <w:rFonts w:ascii="ARIAL" w:hAnsi="ARIAL"/>
                <w:b/>
                <w:sz w:val="15"/>
              </w:rPr>
            </w:pPr>
            <w:r>
              <w:rPr>
                <w:rFonts w:ascii="ARIAL" w:hAnsi="ARIAL"/>
                <w:b/>
                <w:sz w:val="15"/>
              </w:rPr>
              <w:t>Brian Roman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400,000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1,600,000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3/3/2023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3/3/2023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32,705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93,442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182,212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1,040,009</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3/3/2023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3/3/2023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50,315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560,006</w:t>
            </w:r>
          </w:p>
        </w:tc>
        <w:tc>
          <w:tcPr>
            <w:tcW w:w="75" w:type="dxa"/>
            <w:tcBorders/>
            <w:vAlign w:val="center"/>
          </w:tcPr>
          <w:p>
            <w:pPr>
              <w:pStyle w:val="TableContents"/>
              <w:bidi w:val="0"/>
              <w:spacing w:before="0" w:after="283"/>
              <w:jc w:val="left"/>
              <w:rPr/>
            </w:pPr>
            <w:r>
              <w:rPr/>
              <w:t> </w:t>
            </w:r>
          </w:p>
        </w:tc>
      </w:tr>
      <w:tr>
        <w:trPr/>
        <w:tc>
          <w:tcPr>
            <w:tcW w:w="1160" w:type="dxa"/>
            <w:vMerge w:val="restart"/>
            <w:tcBorders/>
            <w:shd w:fill="EAEAEA" w:val="clear"/>
            <w:vAlign w:val="center"/>
          </w:tcPr>
          <w:p>
            <w:pPr>
              <w:pStyle w:val="TableContents"/>
              <w:bidi w:val="0"/>
              <w:spacing w:before="0" w:after="0"/>
              <w:jc w:val="left"/>
              <w:rPr>
                <w:rFonts w:ascii="ARIAL" w:hAnsi="ARIAL"/>
                <w:b/>
                <w:sz w:val="15"/>
              </w:rPr>
            </w:pPr>
            <w:r>
              <w:rPr>
                <w:rFonts w:ascii="ARIAL" w:hAnsi="ARIAL"/>
                <w:b/>
                <w:sz w:val="15"/>
              </w:rPr>
              <w:t>Michael Goettler</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sz w:val="4"/>
                <w:szCs w:val="4"/>
              </w:rPr>
            </w:pPr>
            <w:r>
              <w:rPr>
                <w:sz w:val="4"/>
                <w:szCs w:val="4"/>
              </w:rPr>
            </w:r>
          </w:p>
        </w:tc>
        <w:tc>
          <w:tcPr>
            <w:tcW w:w="575" w:type="dxa"/>
            <w:tcBorders/>
            <w:shd w:fill="EAEAEA" w:val="clear"/>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sz w:val="4"/>
                <w:szCs w:val="4"/>
              </w:rPr>
            </w:pPr>
            <w:r>
              <w:rPr>
                <w:sz w:val="4"/>
                <w:szCs w:val="4"/>
              </w:rPr>
            </w:r>
          </w:p>
        </w:tc>
        <w:tc>
          <w:tcPr>
            <w:tcW w:w="935" w:type="dxa"/>
            <w:tcBorders/>
            <w:shd w:fill="EAEAEA" w:val="clear"/>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243,082</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486,164</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972,329</w:t>
            </w:r>
          </w:p>
        </w:tc>
        <w:tc>
          <w:tcPr>
            <w:tcW w:w="60" w:type="dxa"/>
            <w:tcBorders/>
            <w:shd w:fill="EAEAEA"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74" w:type="dxa"/>
            <w:tcBorders/>
            <w:shd w:fill="EAEAEA" w:val="clear"/>
            <w:vAlign w:val="center"/>
          </w:tcPr>
          <w:p>
            <w:pPr>
              <w:pStyle w:val="TableContents"/>
              <w:bidi w:val="0"/>
              <w:spacing w:before="0" w:after="283"/>
              <w:jc w:val="left"/>
              <w:rPr/>
            </w:pPr>
            <w:r>
              <w:rPr/>
              <w:t> </w:t>
            </w:r>
          </w:p>
        </w:tc>
        <w:tc>
          <w:tcPr>
            <w:tcW w:w="996"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800"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3" w:type="dxa"/>
            <w:tcBorders/>
            <w:shd w:fill="EAEAEA" w:val="clear"/>
            <w:vAlign w:val="center"/>
          </w:tcPr>
          <w:p>
            <w:pPr>
              <w:pStyle w:val="TableContents"/>
              <w:bidi w:val="0"/>
              <w:spacing w:before="0" w:after="283"/>
              <w:jc w:val="left"/>
              <w:rPr/>
            </w:pPr>
            <w:r>
              <w:rPr/>
              <w:t> </w:t>
            </w:r>
          </w:p>
        </w:tc>
        <w:tc>
          <w:tcPr>
            <w:tcW w:w="842"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220" w:type="dxa"/>
            <w:tcBorders/>
            <w:shd w:fill="EAEAEA" w:val="clear"/>
            <w:vAlign w:val="center"/>
          </w:tcPr>
          <w:p>
            <w:pPr>
              <w:pStyle w:val="TableContents"/>
              <w:bidi w:val="0"/>
              <w:spacing w:before="0" w:after="283"/>
              <w:jc w:val="left"/>
              <w:rPr/>
            </w:pPr>
            <w:r>
              <w:rPr/>
              <w:t> </w:t>
            </w:r>
          </w:p>
        </w:tc>
        <w:tc>
          <w:tcPr>
            <w:tcW w:w="95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64" w:type="dxa"/>
            <w:tcBorders/>
            <w:shd w:fill="EAEAEA" w:val="clear"/>
            <w:vAlign w:val="center"/>
          </w:tcPr>
          <w:p>
            <w:pPr>
              <w:pStyle w:val="TableContents"/>
              <w:bidi w:val="0"/>
              <w:spacing w:before="0" w:after="283"/>
              <w:jc w:val="left"/>
              <w:rPr/>
            </w:pPr>
            <w:r>
              <w:rPr/>
              <w:t> </w:t>
            </w:r>
          </w:p>
        </w:tc>
        <w:tc>
          <w:tcPr>
            <w:tcW w:w="711"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w:t>
            </w:r>
          </w:p>
        </w:tc>
        <w:tc>
          <w:tcPr>
            <w:tcW w:w="75" w:type="dxa"/>
            <w:tcBorders/>
            <w:shd w:fill="EAEAEA" w:val="clear"/>
            <w:vAlign w:val="center"/>
          </w:tcPr>
          <w:p>
            <w:pPr>
              <w:pStyle w:val="TableContents"/>
              <w:bidi w:val="0"/>
              <w:spacing w:before="0" w:after="283"/>
              <w:jc w:val="left"/>
              <w:rPr/>
            </w:pPr>
            <w:r>
              <w:rPr/>
              <w:t> </w:t>
            </w:r>
          </w:p>
        </w:tc>
      </w:tr>
      <w:tr>
        <w:trPr/>
        <w:tc>
          <w:tcPr>
            <w:tcW w:w="1160" w:type="dxa"/>
            <w:vMerge w:val="continue"/>
            <w:tcBorders/>
            <w:shd w:fill="EAEAEA" w:val="clear"/>
            <w:vAlign w:val="center"/>
          </w:tcPr>
          <w:p>
            <w:pPr>
              <w:pStyle w:val="Normal"/>
              <w:bidi w:val="0"/>
              <w:jc w:val="left"/>
              <w:rPr/>
            </w:pPr>
            <w:r>
              <w:rPr/>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575" w:type="dxa"/>
            <w:tcBorders/>
            <w:shd w:fill="EAEAEA" w:val="clear"/>
            <w:vAlign w:val="center"/>
          </w:tcPr>
          <w:p>
            <w:pPr>
              <w:pStyle w:val="TableContents"/>
              <w:bidi w:val="0"/>
              <w:spacing w:before="0" w:after="283"/>
              <w:jc w:val="right"/>
              <w:rPr/>
            </w:pPr>
            <w:r>
              <w:rPr/>
              <w:t>3/3/2023</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35" w:type="dxa"/>
            <w:tcBorders/>
            <w:shd w:fill="EAEAEA" w:val="clear"/>
            <w:vAlign w:val="center"/>
          </w:tcPr>
          <w:p>
            <w:pPr>
              <w:pStyle w:val="TableContents"/>
              <w:bidi w:val="0"/>
              <w:spacing w:before="0" w:after="283"/>
              <w:jc w:val="right"/>
              <w:rPr/>
            </w:pPr>
            <w:r>
              <w:rPr/>
              <w:t>3/3/2023</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74" w:type="dxa"/>
            <w:tcBorders/>
            <w:shd w:fill="EAEAEA" w:val="clear"/>
            <w:vAlign w:val="center"/>
          </w:tcPr>
          <w:p>
            <w:pPr>
              <w:pStyle w:val="TableContents"/>
              <w:bidi w:val="0"/>
              <w:spacing w:before="0" w:after="283"/>
              <w:jc w:val="left"/>
              <w:rPr/>
            </w:pPr>
            <w:r>
              <w:rPr/>
              <w:t> </w:t>
            </w:r>
          </w:p>
        </w:tc>
        <w:tc>
          <w:tcPr>
            <w:tcW w:w="996"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800"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3" w:type="dxa"/>
            <w:tcBorders/>
            <w:shd w:fill="EAEAEA" w:val="clear"/>
            <w:vAlign w:val="center"/>
          </w:tcPr>
          <w:p>
            <w:pPr>
              <w:pStyle w:val="TableContents"/>
              <w:bidi w:val="0"/>
              <w:spacing w:before="0" w:after="283"/>
              <w:jc w:val="left"/>
              <w:rPr/>
            </w:pPr>
            <w:r>
              <w:rPr/>
              <w:t> </w:t>
            </w:r>
          </w:p>
        </w:tc>
        <w:tc>
          <w:tcPr>
            <w:tcW w:w="842"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220" w:type="dxa"/>
            <w:tcBorders/>
            <w:shd w:fill="EAEAEA" w:val="clear"/>
            <w:vAlign w:val="center"/>
          </w:tcPr>
          <w:p>
            <w:pPr>
              <w:pStyle w:val="TableContents"/>
              <w:bidi w:val="0"/>
              <w:spacing w:before="0" w:after="283"/>
              <w:jc w:val="left"/>
              <w:rPr/>
            </w:pPr>
            <w:r>
              <w:rPr/>
              <w:t> </w:t>
            </w:r>
          </w:p>
        </w:tc>
        <w:tc>
          <w:tcPr>
            <w:tcW w:w="95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64" w:type="dxa"/>
            <w:tcBorders/>
            <w:shd w:fill="EAEAEA" w:val="clear"/>
            <w:vAlign w:val="center"/>
          </w:tcPr>
          <w:p>
            <w:pPr>
              <w:pStyle w:val="TableContents"/>
              <w:bidi w:val="0"/>
              <w:spacing w:before="0" w:after="283"/>
              <w:jc w:val="left"/>
              <w:rPr/>
            </w:pPr>
            <w:r>
              <w:rPr/>
              <w:t> </w:t>
            </w:r>
          </w:p>
        </w:tc>
        <w:tc>
          <w:tcPr>
            <w:tcW w:w="711"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w:t>
            </w:r>
          </w:p>
        </w:tc>
        <w:tc>
          <w:tcPr>
            <w:tcW w:w="75" w:type="dxa"/>
            <w:tcBorders/>
            <w:shd w:fill="EAEAEA" w:val="clear"/>
            <w:vAlign w:val="center"/>
          </w:tcPr>
          <w:p>
            <w:pPr>
              <w:pStyle w:val="TableContents"/>
              <w:bidi w:val="0"/>
              <w:spacing w:before="0" w:after="283"/>
              <w:jc w:val="left"/>
              <w:rPr/>
            </w:pPr>
            <w:r>
              <w:rPr/>
              <w:t> </w:t>
            </w:r>
          </w:p>
        </w:tc>
      </w:tr>
      <w:tr>
        <w:trPr/>
        <w:tc>
          <w:tcPr>
            <w:tcW w:w="1160" w:type="dxa"/>
            <w:tcBorders/>
            <w:shd w:fill="EAEAEA" w:val="clear"/>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575" w:type="dxa"/>
            <w:tcBorders/>
            <w:shd w:fill="EAEAEA" w:val="clear"/>
            <w:vAlign w:val="center"/>
          </w:tcPr>
          <w:p>
            <w:pPr>
              <w:pStyle w:val="TableContents"/>
              <w:bidi w:val="0"/>
              <w:spacing w:before="0" w:after="283"/>
              <w:jc w:val="right"/>
              <w:rPr/>
            </w:pPr>
            <w:r>
              <w:rPr/>
              <w:t>3/3/2023</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35" w:type="dxa"/>
            <w:tcBorders/>
            <w:shd w:fill="EAEAEA" w:val="clear"/>
            <w:vAlign w:val="center"/>
          </w:tcPr>
          <w:p>
            <w:pPr>
              <w:pStyle w:val="TableContents"/>
              <w:bidi w:val="0"/>
              <w:spacing w:before="0" w:after="283"/>
              <w:jc w:val="right"/>
              <w:rPr/>
            </w:pPr>
            <w:r>
              <w:rPr/>
              <w:t>3/3/2023</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74" w:type="dxa"/>
            <w:tcBorders/>
            <w:shd w:fill="EAEAEA" w:val="clear"/>
            <w:vAlign w:val="center"/>
          </w:tcPr>
          <w:p>
            <w:pPr>
              <w:pStyle w:val="TableContents"/>
              <w:bidi w:val="0"/>
              <w:spacing w:before="0" w:after="283"/>
              <w:jc w:val="left"/>
              <w:rPr/>
            </w:pPr>
            <w:r>
              <w:rPr/>
              <w:t> </w:t>
            </w:r>
          </w:p>
        </w:tc>
        <w:tc>
          <w:tcPr>
            <w:tcW w:w="996"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800"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1" w:type="dxa"/>
            <w:tcBorders/>
            <w:shd w:fill="EAEAEA" w:val="clear"/>
            <w:vAlign w:val="center"/>
          </w:tcPr>
          <w:p>
            <w:pPr>
              <w:pStyle w:val="TableContents"/>
              <w:bidi w:val="0"/>
              <w:spacing w:before="0" w:after="283"/>
              <w:jc w:val="left"/>
              <w:rPr/>
            </w:pPr>
            <w:r>
              <w:rPr/>
              <w:t> </w:t>
            </w:r>
          </w:p>
        </w:tc>
        <w:tc>
          <w:tcPr>
            <w:tcW w:w="1009"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3" w:type="dxa"/>
            <w:tcBorders/>
            <w:shd w:fill="EAEAEA" w:val="clear"/>
            <w:vAlign w:val="center"/>
          </w:tcPr>
          <w:p>
            <w:pPr>
              <w:pStyle w:val="TableContents"/>
              <w:bidi w:val="0"/>
              <w:spacing w:before="0" w:after="283"/>
              <w:jc w:val="left"/>
              <w:rPr/>
            </w:pPr>
            <w:r>
              <w:rPr/>
              <w:t> </w:t>
            </w:r>
          </w:p>
        </w:tc>
        <w:tc>
          <w:tcPr>
            <w:tcW w:w="842"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220" w:type="dxa"/>
            <w:tcBorders/>
            <w:shd w:fill="EAEAEA" w:val="clear"/>
            <w:vAlign w:val="center"/>
          </w:tcPr>
          <w:p>
            <w:pPr>
              <w:pStyle w:val="TableContents"/>
              <w:bidi w:val="0"/>
              <w:spacing w:before="0" w:after="283"/>
              <w:jc w:val="left"/>
              <w:rPr/>
            </w:pPr>
            <w:r>
              <w:rPr/>
              <w:t> </w:t>
            </w:r>
          </w:p>
        </w:tc>
        <w:tc>
          <w:tcPr>
            <w:tcW w:w="95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64" w:type="dxa"/>
            <w:tcBorders/>
            <w:shd w:fill="EAEAEA" w:val="clear"/>
            <w:vAlign w:val="center"/>
          </w:tcPr>
          <w:p>
            <w:pPr>
              <w:pStyle w:val="TableContents"/>
              <w:bidi w:val="0"/>
              <w:spacing w:before="0" w:after="283"/>
              <w:jc w:val="left"/>
              <w:rPr/>
            </w:pPr>
            <w:r>
              <w:rPr/>
              <w:t> </w:t>
            </w:r>
          </w:p>
        </w:tc>
        <w:tc>
          <w:tcPr>
            <w:tcW w:w="711"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w:t>
            </w:r>
          </w:p>
        </w:tc>
        <w:tc>
          <w:tcPr>
            <w:tcW w:w="75" w:type="dxa"/>
            <w:tcBorders/>
            <w:shd w:fill="EAEAEA" w:val="cle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jc w:val="left"/>
              <w:rPr>
                <w:rFonts w:ascii="ARIAL" w:hAnsi="ARIAL"/>
                <w:b/>
                <w:sz w:val="15"/>
              </w:rPr>
            </w:pPr>
            <w:r>
              <w:rPr>
                <w:rFonts w:ascii="ARIAL" w:hAnsi="ARIAL"/>
                <w:b/>
                <w:sz w:val="15"/>
              </w:rPr>
              <w:t>Robert J. Coury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1,398,390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2,796,781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5,593,562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3/3/2023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3/3/2023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239,152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683,289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1,332,414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7,605,007</w:t>
            </w:r>
          </w:p>
        </w:tc>
        <w:tc>
          <w:tcPr>
            <w:tcW w:w="75" w:type="dxa"/>
            <w:tcBorders/>
            <w:vAlign w:val="center"/>
          </w:tcPr>
          <w:p>
            <w:pPr>
              <w:pStyle w:val="TableContents"/>
              <w:bidi w:val="0"/>
              <w:spacing w:before="0" w:after="283"/>
              <w:jc w:val="left"/>
              <w:rPr/>
            </w:pPr>
            <w:r>
              <w:rPr/>
              <w:t> </w:t>
            </w:r>
          </w:p>
        </w:tc>
      </w:tr>
      <w:tr>
        <w:trPr/>
        <w:tc>
          <w:tcPr>
            <w:tcW w:w="11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575" w:type="dxa"/>
            <w:tcBorders>
              <w:bottom w:val="single" w:sz="8" w:space="0" w:color="732282"/>
            </w:tcBorders>
            <w:tcMar>
              <w:bottom w:w="28" w:type="dxa"/>
            </w:tcMar>
            <w:vAlign w:val="center"/>
          </w:tcPr>
          <w:p>
            <w:pPr>
              <w:pStyle w:val="TableContents"/>
              <w:bidi w:val="0"/>
              <w:spacing w:before="0" w:after="283"/>
              <w:jc w:val="right"/>
              <w:rPr/>
            </w:pPr>
            <w:r>
              <w:rPr/>
              <w:t>3/3/2023</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935" w:type="dxa"/>
            <w:tcBorders>
              <w:bottom w:val="single" w:sz="8" w:space="0" w:color="732282"/>
            </w:tcBorders>
            <w:tcMar>
              <w:bottom w:w="28" w:type="dxa"/>
            </w:tcMar>
            <w:vAlign w:val="center"/>
          </w:tcPr>
          <w:p>
            <w:pPr>
              <w:pStyle w:val="TableContents"/>
              <w:bidi w:val="0"/>
              <w:spacing w:before="0" w:after="283"/>
              <w:jc w:val="right"/>
              <w:rPr/>
            </w:pPr>
            <w:r>
              <w:rPr/>
              <w:t>3/3/2023</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1" w:type="dxa"/>
            <w:tcBorders>
              <w:bottom w:val="single" w:sz="8" w:space="0" w:color="732282"/>
            </w:tcBorders>
            <w:tcMar>
              <w:bottom w:w="28" w:type="dxa"/>
            </w:tcMar>
            <w:vAlign w:val="center"/>
          </w:tcPr>
          <w:p>
            <w:pPr>
              <w:pStyle w:val="TableContents"/>
              <w:bidi w:val="0"/>
              <w:spacing w:before="0" w:after="283"/>
              <w:jc w:val="left"/>
              <w:rPr/>
            </w:pPr>
            <w:r>
              <w:rPr/>
              <w:t> </w:t>
            </w:r>
          </w:p>
        </w:tc>
        <w:tc>
          <w:tcPr>
            <w:tcW w:w="1009" w:type="dxa"/>
            <w:tcBorders>
              <w:bottom w:val="single" w:sz="8" w:space="0" w:color="732282"/>
            </w:tcBorders>
            <w:tcMar>
              <w:bottom w:w="28" w:type="dxa"/>
            </w:tcMar>
            <w:vAlign w:val="center"/>
          </w:tcPr>
          <w:p>
            <w:pPr>
              <w:pStyle w:val="TableContents"/>
              <w:bidi w:val="0"/>
              <w:spacing w:before="0" w:after="283"/>
              <w:jc w:val="right"/>
              <w:rPr/>
            </w:pPr>
            <w:r>
              <w:rPr/>
              <w:t>—</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980" w:type="dxa"/>
            <w:tcBorders>
              <w:bottom w:val="single" w:sz="8" w:space="0" w:color="732282"/>
            </w:tcBorders>
            <w:tcMar>
              <w:bottom w:w="28" w:type="dxa"/>
            </w:tcMar>
            <w:vAlign w:val="center"/>
          </w:tcPr>
          <w:p>
            <w:pPr>
              <w:pStyle w:val="TableContents"/>
              <w:bidi w:val="0"/>
              <w:spacing w:before="0" w:after="283"/>
              <w:jc w:val="right"/>
              <w:rPr/>
            </w:pPr>
            <w:r>
              <w:rPr/>
              <w:t>—</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1" w:type="dxa"/>
            <w:tcBorders>
              <w:bottom w:val="single" w:sz="8" w:space="0" w:color="732282"/>
            </w:tcBorders>
            <w:tcMar>
              <w:bottom w:w="28" w:type="dxa"/>
            </w:tcMar>
            <w:vAlign w:val="center"/>
          </w:tcPr>
          <w:p>
            <w:pPr>
              <w:pStyle w:val="TableContents"/>
              <w:bidi w:val="0"/>
              <w:spacing w:before="0" w:after="283"/>
              <w:jc w:val="left"/>
              <w:rPr/>
            </w:pPr>
            <w:r>
              <w:rPr/>
              <w:t> </w:t>
            </w:r>
          </w:p>
        </w:tc>
        <w:tc>
          <w:tcPr>
            <w:tcW w:w="1009" w:type="dxa"/>
            <w:tcBorders>
              <w:bottom w:val="single" w:sz="8" w:space="0" w:color="732282"/>
            </w:tcBorders>
            <w:tcMar>
              <w:bottom w:w="28" w:type="dxa"/>
            </w:tcMar>
            <w:vAlign w:val="center"/>
          </w:tcPr>
          <w:p>
            <w:pPr>
              <w:pStyle w:val="TableContents"/>
              <w:bidi w:val="0"/>
              <w:spacing w:before="0" w:after="283"/>
              <w:jc w:val="right"/>
              <w:rPr/>
            </w:pPr>
            <w:r>
              <w:rPr/>
              <w:t>—</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74" w:type="dxa"/>
            <w:tcBorders>
              <w:bottom w:val="single" w:sz="8" w:space="0" w:color="732282"/>
            </w:tcBorders>
            <w:tcMar>
              <w:bottom w:w="28" w:type="dxa"/>
            </w:tcMar>
            <w:vAlign w:val="center"/>
          </w:tcPr>
          <w:p>
            <w:pPr>
              <w:pStyle w:val="TableContents"/>
              <w:bidi w:val="0"/>
              <w:spacing w:before="0" w:after="283"/>
              <w:jc w:val="left"/>
              <w:rPr/>
            </w:pPr>
            <w:r>
              <w:rPr/>
              <w:t> </w:t>
            </w:r>
          </w:p>
        </w:tc>
        <w:tc>
          <w:tcPr>
            <w:tcW w:w="996" w:type="dxa"/>
            <w:tcBorders>
              <w:bottom w:val="single" w:sz="8" w:space="0" w:color="732282"/>
            </w:tcBorders>
            <w:tcMar>
              <w:bottom w:w="28" w:type="dxa"/>
            </w:tcMar>
            <w:vAlign w:val="center"/>
          </w:tcPr>
          <w:p>
            <w:pPr>
              <w:pStyle w:val="TableContents"/>
              <w:bidi w:val="0"/>
              <w:spacing w:before="0" w:after="283"/>
              <w:jc w:val="right"/>
              <w:rPr/>
            </w:pPr>
            <w:r>
              <w:rPr/>
              <w:t>—</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800" w:type="dxa"/>
            <w:tcBorders>
              <w:bottom w:val="single" w:sz="8" w:space="0" w:color="732282"/>
            </w:tcBorders>
            <w:tcMar>
              <w:bottom w:w="28" w:type="dxa"/>
            </w:tcMar>
            <w:vAlign w:val="center"/>
          </w:tcPr>
          <w:p>
            <w:pPr>
              <w:pStyle w:val="TableContents"/>
              <w:bidi w:val="0"/>
              <w:spacing w:before="0" w:after="283"/>
              <w:jc w:val="right"/>
              <w:rPr/>
            </w:pPr>
            <w:r>
              <w:rPr/>
              <w:t>—</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1" w:type="dxa"/>
            <w:tcBorders>
              <w:bottom w:val="single" w:sz="8" w:space="0" w:color="732282"/>
            </w:tcBorders>
            <w:tcMar>
              <w:bottom w:w="28" w:type="dxa"/>
            </w:tcMar>
            <w:vAlign w:val="center"/>
          </w:tcPr>
          <w:p>
            <w:pPr>
              <w:pStyle w:val="TableContents"/>
              <w:bidi w:val="0"/>
              <w:spacing w:before="0" w:after="283"/>
              <w:jc w:val="left"/>
              <w:rPr/>
            </w:pPr>
            <w:r>
              <w:rPr/>
              <w:t> </w:t>
            </w:r>
          </w:p>
        </w:tc>
        <w:tc>
          <w:tcPr>
            <w:tcW w:w="1009" w:type="dxa"/>
            <w:tcBorders>
              <w:bottom w:val="single" w:sz="8" w:space="0" w:color="732282"/>
            </w:tcBorders>
            <w:tcMar>
              <w:bottom w:w="28" w:type="dxa"/>
            </w:tcMar>
            <w:vAlign w:val="center"/>
          </w:tcPr>
          <w:p>
            <w:pPr>
              <w:pStyle w:val="TableContents"/>
              <w:bidi w:val="0"/>
              <w:spacing w:before="0" w:after="283"/>
              <w:jc w:val="right"/>
              <w:rPr/>
            </w:pPr>
            <w:r>
              <w:rPr/>
              <w:t>—</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3" w:type="dxa"/>
            <w:tcBorders>
              <w:bottom w:val="single" w:sz="8" w:space="0" w:color="732282"/>
            </w:tcBorders>
            <w:tcMar>
              <w:bottom w:w="28" w:type="dxa"/>
            </w:tcMar>
            <w:vAlign w:val="center"/>
          </w:tcPr>
          <w:p>
            <w:pPr>
              <w:pStyle w:val="TableContents"/>
              <w:bidi w:val="0"/>
              <w:spacing w:before="0" w:after="283"/>
              <w:jc w:val="left"/>
              <w:rPr/>
            </w:pPr>
            <w:r>
              <w:rPr/>
              <w:t> </w:t>
            </w:r>
          </w:p>
        </w:tc>
        <w:tc>
          <w:tcPr>
            <w:tcW w:w="842" w:type="dxa"/>
            <w:tcBorders>
              <w:bottom w:val="single" w:sz="8" w:space="0" w:color="732282"/>
            </w:tcBorders>
            <w:tcMar>
              <w:bottom w:w="28" w:type="dxa"/>
            </w:tcMar>
            <w:vAlign w:val="center"/>
          </w:tcPr>
          <w:p>
            <w:pPr>
              <w:pStyle w:val="TableContents"/>
              <w:bidi w:val="0"/>
              <w:spacing w:before="0" w:after="283"/>
              <w:jc w:val="right"/>
              <w:rPr/>
            </w:pPr>
            <w:r>
              <w:rPr/>
              <w:t>367,925</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220" w:type="dxa"/>
            <w:tcBorders>
              <w:bottom w:val="single" w:sz="8" w:space="0" w:color="732282"/>
            </w:tcBorders>
            <w:tcMar>
              <w:bottom w:w="28" w:type="dxa"/>
            </w:tcMar>
            <w:vAlign w:val="center"/>
          </w:tcPr>
          <w:p>
            <w:pPr>
              <w:pStyle w:val="TableContents"/>
              <w:bidi w:val="0"/>
              <w:spacing w:before="0" w:after="283"/>
              <w:jc w:val="left"/>
              <w:rPr/>
            </w:pPr>
            <w:r>
              <w:rPr/>
              <w:t> </w:t>
            </w:r>
          </w:p>
        </w:tc>
        <w:tc>
          <w:tcPr>
            <w:tcW w:w="955" w:type="dxa"/>
            <w:tcBorders>
              <w:bottom w:val="single" w:sz="8" w:space="0" w:color="732282"/>
            </w:tcBorders>
            <w:tcMar>
              <w:bottom w:w="28" w:type="dxa"/>
            </w:tcMar>
            <w:vAlign w:val="center"/>
          </w:tcPr>
          <w:p>
            <w:pPr>
              <w:pStyle w:val="TableContents"/>
              <w:bidi w:val="0"/>
              <w:spacing w:before="0" w:after="283"/>
              <w:jc w:val="right"/>
              <w:rPr/>
            </w:pPr>
            <w:r>
              <w:rPr/>
              <w:t>—</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64" w:type="dxa"/>
            <w:tcBorders>
              <w:bottom w:val="single" w:sz="8" w:space="0" w:color="732282"/>
            </w:tcBorders>
            <w:tcMar>
              <w:bottom w:w="28" w:type="dxa"/>
            </w:tcMar>
            <w:vAlign w:val="center"/>
          </w:tcPr>
          <w:p>
            <w:pPr>
              <w:pStyle w:val="TableContents"/>
              <w:bidi w:val="0"/>
              <w:spacing w:before="0" w:after="283"/>
              <w:jc w:val="left"/>
              <w:rPr/>
            </w:pPr>
            <w:r>
              <w:rPr/>
              <w:t> </w:t>
            </w:r>
          </w:p>
        </w:tc>
        <w:tc>
          <w:tcPr>
            <w:tcW w:w="711" w:type="dxa"/>
            <w:tcBorders>
              <w:bottom w:val="single" w:sz="8" w:space="0" w:color="732282"/>
            </w:tcBorders>
            <w:tcMar>
              <w:bottom w:w="28" w:type="dxa"/>
            </w:tcMar>
            <w:vAlign w:val="center"/>
          </w:tcPr>
          <w:p>
            <w:pPr>
              <w:pStyle w:val="TableContents"/>
              <w:bidi w:val="0"/>
              <w:spacing w:before="0" w:after="283"/>
              <w:jc w:val="right"/>
              <w:rPr/>
            </w:pPr>
            <w:r>
              <w:rPr/>
              <w:t>—</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980" w:type="dxa"/>
            <w:tcBorders>
              <w:bottom w:val="single" w:sz="8" w:space="0" w:color="732282"/>
            </w:tcBorders>
            <w:tcMar>
              <w:bottom w:w="28" w:type="dxa"/>
            </w:tcMar>
            <w:vAlign w:val="center"/>
          </w:tcPr>
          <w:p>
            <w:pPr>
              <w:pStyle w:val="TableContents"/>
              <w:bidi w:val="0"/>
              <w:spacing w:before="0" w:after="283"/>
              <w:jc w:val="right"/>
              <w:rPr/>
            </w:pPr>
            <w:r>
              <w:rPr/>
              <w:t>4,095,005</w:t>
            </w:r>
          </w:p>
        </w:tc>
        <w:tc>
          <w:tcPr>
            <w:tcW w:w="75" w:type="dxa"/>
            <w:tcBorders>
              <w:bottom w:val="single" w:sz="8" w:space="0" w:color="732282"/>
            </w:tcBorders>
            <w:tcMar>
              <w:bottom w:w="28"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i/>
              </w:rPr>
            </w:pPr>
            <w:r>
              <w:rPr>
                <w:i/>
              </w:rPr>
              <w:t>(1)</w:t>
            </w:r>
          </w:p>
        </w:tc>
        <w:tc>
          <w:tcPr>
            <w:tcW w:w="9954" w:type="dxa"/>
            <w:tcBorders/>
            <w:vAlign w:val="center"/>
          </w:tcPr>
          <w:p>
            <w:pPr>
              <w:pStyle w:val="TableContents"/>
              <w:bidi w:val="0"/>
              <w:spacing w:before="0" w:after="0"/>
              <w:jc w:val="both"/>
              <w:rPr>
                <w:rFonts w:ascii="arial" w:hAnsi="arial"/>
                <w:i/>
                <w:sz w:val="18"/>
              </w:rPr>
            </w:pPr>
            <w:r>
              <w:rPr>
                <w:rFonts w:ascii="arial" w:hAnsi="arial"/>
                <w:i/>
                <w:sz w:val="18"/>
              </w:rPr>
              <w:t xml:space="preserve">The performance goals under the annual incentive compensation program applicable to the NEOs during 2023 are described above in the CD&amp;A. For a discussion of these awards, see “2023 Annual Incentive Compensation Program” on pages 33 to 34 of this Form 10-K/A. The amounts for Messrs. Smith, Goettler, and Coury have been adjusted to reflect their partial year of service during 2023.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i/>
              </w:rPr>
            </w:pPr>
            <w:r>
              <w:rPr>
                <w:i/>
              </w:rPr>
              <w:t>(2)</w:t>
            </w:r>
          </w:p>
        </w:tc>
        <w:tc>
          <w:tcPr>
            <w:tcW w:w="9936" w:type="dxa"/>
            <w:tcBorders/>
            <w:vAlign w:val="center"/>
          </w:tcPr>
          <w:p>
            <w:pPr>
              <w:pStyle w:val="TableContents"/>
              <w:bidi w:val="0"/>
              <w:spacing w:before="0" w:after="0"/>
              <w:jc w:val="both"/>
              <w:rPr>
                <w:rFonts w:ascii="arial" w:hAnsi="arial"/>
                <w:i/>
                <w:sz w:val="18"/>
              </w:rPr>
            </w:pPr>
            <w:r>
              <w:rPr>
                <w:rFonts w:ascii="arial" w:hAnsi="arial"/>
                <w:i/>
                <w:sz w:val="18"/>
              </w:rPr>
              <w:t xml:space="preserve">Consists of PRSUs awarded under the Viatris 2020 Stock Plan. The vesting terms applicable to these awards are described above in the CD&amp;A and below following the Outstanding Equity Awards at the End of 2023 table.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i/>
              </w:rPr>
            </w:pPr>
            <w:r>
              <w:rPr>
                <w:i/>
              </w:rPr>
              <w:t>(3)</w:t>
            </w:r>
          </w:p>
        </w:tc>
        <w:tc>
          <w:tcPr>
            <w:tcW w:w="9936" w:type="dxa"/>
            <w:tcBorders/>
            <w:vAlign w:val="center"/>
          </w:tcPr>
          <w:p>
            <w:pPr>
              <w:pStyle w:val="TableContents"/>
              <w:bidi w:val="0"/>
              <w:spacing w:before="0" w:after="0"/>
              <w:jc w:val="both"/>
              <w:rPr>
                <w:rFonts w:ascii="arial" w:hAnsi="arial"/>
                <w:i/>
                <w:sz w:val="18"/>
              </w:rPr>
            </w:pPr>
            <w:r>
              <w:rPr>
                <w:rFonts w:ascii="arial" w:hAnsi="arial"/>
                <w:i/>
                <w:sz w:val="18"/>
              </w:rPr>
              <w:t xml:space="preserve">Consists of RSUs awarded under the Viatris 2020 Stock Plan. The vesting terms applicable to these awards are described above in the CD&amp;A and below following the Outstanding Equity Awards at the End of 2023 table.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i/>
              </w:rPr>
            </w:pPr>
            <w:r>
              <w:rPr>
                <w:i/>
              </w:rPr>
              <w:t>(4)</w:t>
            </w:r>
          </w:p>
        </w:tc>
        <w:tc>
          <w:tcPr>
            <w:tcW w:w="9942" w:type="dxa"/>
            <w:tcBorders/>
            <w:vAlign w:val="center"/>
          </w:tcPr>
          <w:p>
            <w:pPr>
              <w:pStyle w:val="TableContents"/>
              <w:bidi w:val="0"/>
              <w:spacing w:before="0" w:after="0"/>
              <w:jc w:val="both"/>
              <w:rPr>
                <w:rFonts w:ascii="arial" w:hAnsi="arial"/>
                <w:i/>
                <w:sz w:val="18"/>
              </w:rPr>
            </w:pPr>
            <w:r>
              <w:rPr>
                <w:rFonts w:ascii="arial" w:hAnsi="arial"/>
                <w:i/>
                <w:sz w:val="18"/>
              </w:rPr>
              <w:t xml:space="preserve">Represents the grant date fair value of the specific award granted to the NEO. For information regarding assumptions used in determining such value, please refer to Note 14 to the Company’s Consolidated Financial Statements contained in the Original Filing.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46 </w:t>
      </w:r>
      <w:r>
        <w:br w:type="page"/>
      </w:r>
    </w:p>
    <w:p>
      <w:pPr>
        <w:pStyle w:val="HorizontalLine"/>
        <w:bidi w:val="0"/>
        <w:jc w:val="left"/>
        <w:rPr/>
      </w:pPr>
      <w:r>
        <w:rPr/>
      </w:r>
    </w:p>
    <w:p>
      <w:pPr>
        <w:pStyle w:val="TextBody"/>
        <w:bidi w:val="0"/>
        <w:spacing w:before="0" w:after="0"/>
        <w:jc w:val="left"/>
        <w:rPr>
          <w:rFonts w:ascii="arial" w:hAnsi="arial"/>
          <w:b/>
          <w:color w:val="732282"/>
          <w:sz w:val="20"/>
        </w:rPr>
      </w:pPr>
      <w:r>
        <w:rPr>
          <w:rFonts w:ascii="arial" w:hAnsi="arial"/>
          <w:b/>
          <w:color w:val="732282"/>
          <w:sz w:val="20"/>
        </w:rPr>
        <w:t xml:space="preserve">Outstanding Equity Awards at the End of 2023 </w:t>
      </w:r>
    </w:p>
    <w:p>
      <w:pPr>
        <w:pStyle w:val="TextBody"/>
        <w:bidi w:val="0"/>
        <w:spacing w:before="120" w:after="0"/>
        <w:jc w:val="both"/>
        <w:rPr>
          <w:rFonts w:ascii="arial" w:hAnsi="arial"/>
          <w:sz w:val="18"/>
        </w:rPr>
      </w:pPr>
      <w:r>
        <w:rPr>
          <w:rFonts w:ascii="arial" w:hAnsi="arial"/>
          <w:sz w:val="18"/>
        </w:rPr>
        <w:t xml:space="preserve">The following table sets forth information concerning all of the outstanding LTI awards held by each NEO as of December 31, 2023. </w:t>
      </w:r>
    </w:p>
    <w:p>
      <w:pPr>
        <w:pStyle w:val="TextBody"/>
        <w:bidi w:val="0"/>
        <w:spacing w:before="0" w:after="0"/>
        <w:jc w:val="left"/>
        <w:rPr/>
      </w:pPr>
      <w:r>
        <w:rPr/>
        <w:t> </w:t>
      </w:r>
    </w:p>
    <w:tbl>
      <w:tblPr>
        <w:tblW w:w="12985" w:type="dxa"/>
        <w:jc w:val="left"/>
        <w:tblInd w:w="0" w:type="dxa"/>
        <w:tblLayout w:type="fixed"/>
        <w:tblCellMar>
          <w:top w:w="0" w:type="dxa"/>
          <w:left w:w="0" w:type="dxa"/>
          <w:bottom w:w="0" w:type="dxa"/>
          <w:right w:w="0" w:type="dxa"/>
        </w:tblCellMar>
      </w:tblPr>
      <w:tblGrid>
        <w:gridCol w:w="635"/>
        <w:gridCol w:w="60"/>
        <w:gridCol w:w="102"/>
        <w:gridCol w:w="1163"/>
        <w:gridCol w:w="60"/>
        <w:gridCol w:w="60"/>
        <w:gridCol w:w="270"/>
        <w:gridCol w:w="1175"/>
        <w:gridCol w:w="60"/>
        <w:gridCol w:w="60"/>
        <w:gridCol w:w="84"/>
        <w:gridCol w:w="791"/>
        <w:gridCol w:w="60"/>
        <w:gridCol w:w="60"/>
        <w:gridCol w:w="60"/>
        <w:gridCol w:w="1055"/>
        <w:gridCol w:w="60"/>
        <w:gridCol w:w="60"/>
        <w:gridCol w:w="60"/>
        <w:gridCol w:w="60"/>
        <w:gridCol w:w="60"/>
        <w:gridCol w:w="60"/>
        <w:gridCol w:w="60"/>
        <w:gridCol w:w="60"/>
        <w:gridCol w:w="60"/>
        <w:gridCol w:w="60"/>
        <w:gridCol w:w="79"/>
        <w:gridCol w:w="1066"/>
        <w:gridCol w:w="215"/>
        <w:gridCol w:w="60"/>
        <w:gridCol w:w="60"/>
        <w:gridCol w:w="980"/>
        <w:gridCol w:w="60"/>
        <w:gridCol w:w="60"/>
        <w:gridCol w:w="113"/>
        <w:gridCol w:w="1512"/>
        <w:gridCol w:w="335"/>
        <w:gridCol w:w="60"/>
        <w:gridCol w:w="112"/>
        <w:gridCol w:w="1843"/>
        <w:gridCol w:w="75"/>
      </w:tblGrid>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pPr>
            <w:r>
              <w:rPr/>
              <w:t> </w:t>
            </w:r>
          </w:p>
        </w:tc>
        <w:tc>
          <w:tcPr>
            <w:tcW w:w="60" w:type="dxa"/>
            <w:tcBorders/>
            <w:shd w:fill="231161" w:val="clear"/>
            <w:vAlign w:val="center"/>
          </w:tcPr>
          <w:p>
            <w:pPr>
              <w:pStyle w:val="TableContents"/>
              <w:bidi w:val="0"/>
              <w:spacing w:before="0" w:after="283"/>
              <w:jc w:val="left"/>
              <w:rPr/>
            </w:pPr>
            <w:r>
              <w:rPr/>
              <w:t> </w:t>
            </w:r>
          </w:p>
        </w:tc>
        <w:tc>
          <w:tcPr>
            <w:tcW w:w="5060" w:type="dxa"/>
            <w:gridSpan w:val="14"/>
            <w:tcBorders/>
            <w:shd w:fill="231161" w:val="clear"/>
            <w:vAlign w:val="center"/>
          </w:tcPr>
          <w:p>
            <w:pPr>
              <w:pStyle w:val="TableContents"/>
              <w:bidi w:val="0"/>
              <w:spacing w:before="0" w:after="283"/>
              <w:jc w:val="center"/>
              <w:rPr>
                <w:b/>
                <w:color w:val="FFFFFF"/>
              </w:rPr>
            </w:pPr>
            <w:r>
              <w:rPr>
                <w:b/>
                <w:color w:val="FFFFFF"/>
              </w:rPr>
              <w:t>Option Awards</w:t>
            </w:r>
          </w:p>
        </w:tc>
        <w:tc>
          <w:tcPr>
            <w:tcW w:w="60" w:type="dxa"/>
            <w:tcBorders/>
            <w:shd w:fill="231161"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231161" w:val="clear"/>
            <w:vAlign w:val="center"/>
          </w:tcPr>
          <w:p>
            <w:pPr>
              <w:pStyle w:val="TableContents"/>
              <w:bidi w:val="0"/>
              <w:spacing w:before="0" w:after="283"/>
              <w:jc w:val="left"/>
              <w:rPr/>
            </w:pPr>
            <w:r>
              <w:rPr/>
              <w:t> </w:t>
            </w:r>
          </w:p>
        </w:tc>
        <w:tc>
          <w:tcPr>
            <w:tcW w:w="6555" w:type="dxa"/>
            <w:gridSpan w:val="14"/>
            <w:tcBorders/>
            <w:shd w:fill="231161" w:val="clear"/>
            <w:vAlign w:val="center"/>
          </w:tcPr>
          <w:p>
            <w:pPr>
              <w:pStyle w:val="TableContents"/>
              <w:bidi w:val="0"/>
              <w:spacing w:before="0" w:after="283"/>
              <w:jc w:val="center"/>
              <w:rPr>
                <w:b/>
                <w:color w:val="FFFFFF"/>
              </w:rPr>
            </w:pPr>
            <w:r>
              <w:rPr>
                <w:b/>
                <w:color w:val="FFFFFF"/>
              </w:rPr>
              <w:t>Stock Awards</w:t>
            </w:r>
          </w:p>
        </w:tc>
        <w:tc>
          <w:tcPr>
            <w:tcW w:w="75" w:type="dxa"/>
            <w:tcBorders/>
            <w:shd w:fill="231161" w:val="clear"/>
            <w:vAlign w:val="center"/>
          </w:tcPr>
          <w:p>
            <w:pPr>
              <w:pStyle w:val="TableContents"/>
              <w:bidi w:val="0"/>
              <w:spacing w:before="0" w:after="283"/>
              <w:jc w:val="left"/>
              <w:rPr/>
            </w:pPr>
            <w:r>
              <w:rPr/>
              <w:t> </w:t>
            </w:r>
          </w:p>
        </w:tc>
      </w:tr>
      <w:tr>
        <w:trPr/>
        <w:tc>
          <w:tcPr>
            <w:tcW w:w="635" w:type="dxa"/>
            <w:tcBorders>
              <w:bottom w:val="single" w:sz="8" w:space="0" w:color="732282"/>
            </w:tcBorders>
            <w:shd w:fill="444444" w:val="clear"/>
            <w:tcMar>
              <w:bottom w:w="28" w:type="dxa"/>
            </w:tcMar>
            <w:vAlign w:val="center"/>
          </w:tcPr>
          <w:p>
            <w:pPr>
              <w:pStyle w:val="TableContents"/>
              <w:bidi w:val="0"/>
              <w:spacing w:before="0" w:after="283"/>
              <w:jc w:val="left"/>
              <w:rPr>
                <w:b/>
                <w:color w:val="FFFFFF"/>
              </w:rPr>
            </w:pPr>
            <w:r>
              <w:rPr>
                <w:b/>
                <w:color w:val="FFFFFF"/>
              </w:rPr>
              <w:t>Name</w:t>
            </w:r>
          </w:p>
        </w:tc>
        <w:tc>
          <w:tcPr>
            <w:tcW w:w="60" w:type="dxa"/>
            <w:tcBorders>
              <w:bottom w:val="single" w:sz="8" w:space="0" w:color="732282"/>
            </w:tcBorders>
            <w:shd w:fill="444444" w:val="clear"/>
            <w:tcMar>
              <w:bottom w:w="28" w:type="dxa"/>
            </w:tcMar>
            <w:vAlign w:val="center"/>
          </w:tcPr>
          <w:p>
            <w:pPr>
              <w:pStyle w:val="TableContents"/>
              <w:bidi w:val="0"/>
              <w:spacing w:before="0" w:after="283"/>
              <w:jc w:val="left"/>
              <w:rPr/>
            </w:pPr>
            <w:r>
              <w:rPr/>
              <w:t> </w:t>
            </w:r>
          </w:p>
        </w:tc>
        <w:tc>
          <w:tcPr>
            <w:tcW w:w="1265" w:type="dxa"/>
            <w:gridSpan w:val="2"/>
            <w:tcBorders>
              <w:bottom w:val="single" w:sz="8" w:space="0" w:color="732282"/>
            </w:tcBorders>
            <w:shd w:fill="444444" w:val="clear"/>
            <w:tcMar>
              <w:bottom w:w="28" w:type="dxa"/>
            </w:tcMar>
            <w:vAlign w:val="center"/>
          </w:tcPr>
          <w:p>
            <w:pPr>
              <w:pStyle w:val="TableContents"/>
              <w:bidi w:val="0"/>
              <w:spacing w:before="0" w:after="283"/>
              <w:jc w:val="center"/>
              <w:rPr>
                <w:b/>
                <w:color w:val="FFFFFF"/>
              </w:rPr>
            </w:pPr>
            <w:r>
              <w:rPr>
                <w:b/>
                <w:color w:val="FFFFFF"/>
              </w:rPr>
              <w:t>Number of</w:t>
              <w:br/>
              <w:t>Securities</w:t>
              <w:br/>
              <w:t>Underlying</w:t>
              <w:br/>
              <w:t>Unexercised</w:t>
              <w:br/>
              <w:t>Options (#)</w:t>
              <w:br/>
              <w:t>Exercisable(1)</w:t>
            </w:r>
          </w:p>
        </w:tc>
        <w:tc>
          <w:tcPr>
            <w:tcW w:w="60" w:type="dxa"/>
            <w:tcBorders>
              <w:bottom w:val="single" w:sz="8" w:space="0" w:color="732282"/>
            </w:tcBorders>
            <w:shd w:fill="444444"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444444" w:val="clear"/>
            <w:tcMar>
              <w:bottom w:w="28" w:type="dxa"/>
            </w:tcMar>
            <w:vAlign w:val="center"/>
          </w:tcPr>
          <w:p>
            <w:pPr>
              <w:pStyle w:val="TableContents"/>
              <w:bidi w:val="0"/>
              <w:spacing w:before="0" w:after="283"/>
              <w:jc w:val="left"/>
              <w:rPr/>
            </w:pPr>
            <w:r>
              <w:rPr/>
              <w:t> </w:t>
            </w:r>
          </w:p>
        </w:tc>
        <w:tc>
          <w:tcPr>
            <w:tcW w:w="1445" w:type="dxa"/>
            <w:gridSpan w:val="2"/>
            <w:tcBorders>
              <w:bottom w:val="single" w:sz="8" w:space="0" w:color="732282"/>
            </w:tcBorders>
            <w:shd w:fill="444444" w:val="clear"/>
            <w:tcMar>
              <w:bottom w:w="28" w:type="dxa"/>
            </w:tcMar>
            <w:vAlign w:val="center"/>
          </w:tcPr>
          <w:p>
            <w:pPr>
              <w:pStyle w:val="TableContents"/>
              <w:bidi w:val="0"/>
              <w:spacing w:before="0" w:after="283"/>
              <w:jc w:val="center"/>
              <w:rPr>
                <w:b/>
                <w:color w:val="FFFFFF"/>
              </w:rPr>
            </w:pPr>
            <w:r>
              <w:rPr>
                <w:b/>
                <w:color w:val="FFFFFF"/>
              </w:rPr>
              <w:t>Number of</w:t>
              <w:br/>
              <w:t>Securities</w:t>
              <w:br/>
              <w:t>Underlying</w:t>
              <w:br/>
              <w:t>Unexercised</w:t>
              <w:br/>
              <w:t>Options (#)</w:t>
              <w:br/>
              <w:t>Unexercisable</w:t>
            </w:r>
          </w:p>
        </w:tc>
        <w:tc>
          <w:tcPr>
            <w:tcW w:w="60" w:type="dxa"/>
            <w:tcBorders>
              <w:bottom w:val="single" w:sz="8" w:space="0" w:color="732282"/>
            </w:tcBorders>
            <w:shd w:fill="444444"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444444" w:val="clear"/>
            <w:tcMar>
              <w:bottom w:w="28" w:type="dxa"/>
            </w:tcMar>
            <w:vAlign w:val="center"/>
          </w:tcPr>
          <w:p>
            <w:pPr>
              <w:pStyle w:val="TableContents"/>
              <w:bidi w:val="0"/>
              <w:spacing w:before="0" w:after="283"/>
              <w:jc w:val="left"/>
              <w:rPr/>
            </w:pPr>
            <w:r>
              <w:rPr/>
              <w:t> </w:t>
            </w:r>
          </w:p>
        </w:tc>
        <w:tc>
          <w:tcPr>
            <w:tcW w:w="875" w:type="dxa"/>
            <w:gridSpan w:val="2"/>
            <w:tcBorders>
              <w:bottom w:val="single" w:sz="8" w:space="0" w:color="732282"/>
            </w:tcBorders>
            <w:shd w:fill="444444" w:val="clear"/>
            <w:tcMar>
              <w:bottom w:w="28" w:type="dxa"/>
            </w:tcMar>
            <w:vAlign w:val="center"/>
          </w:tcPr>
          <w:p>
            <w:pPr>
              <w:pStyle w:val="TableContents"/>
              <w:bidi w:val="0"/>
              <w:spacing w:before="0" w:after="283"/>
              <w:jc w:val="center"/>
              <w:rPr>
                <w:b/>
                <w:color w:val="FFFFFF"/>
              </w:rPr>
            </w:pPr>
            <w:r>
              <w:rPr>
                <w:b/>
                <w:color w:val="FFFFFF"/>
              </w:rPr>
              <w:t>Option</w:t>
              <w:br/>
              <w:t>Exercise</w:t>
              <w:br/>
              <w:t>Price</w:t>
              <w:br/>
              <w:t>($)</w:t>
            </w:r>
          </w:p>
        </w:tc>
        <w:tc>
          <w:tcPr>
            <w:tcW w:w="60" w:type="dxa"/>
            <w:tcBorders>
              <w:bottom w:val="single" w:sz="8" w:space="0" w:color="732282"/>
            </w:tcBorders>
            <w:shd w:fill="444444"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444444" w:val="clear"/>
            <w:tcMar>
              <w:bottom w:w="28" w:type="dxa"/>
            </w:tcMar>
            <w:vAlign w:val="center"/>
          </w:tcPr>
          <w:p>
            <w:pPr>
              <w:pStyle w:val="TableContents"/>
              <w:bidi w:val="0"/>
              <w:spacing w:before="0" w:after="283"/>
              <w:jc w:val="left"/>
              <w:rPr/>
            </w:pPr>
            <w:r>
              <w:rPr/>
              <w:t> </w:t>
            </w:r>
          </w:p>
        </w:tc>
        <w:tc>
          <w:tcPr>
            <w:tcW w:w="1115" w:type="dxa"/>
            <w:gridSpan w:val="2"/>
            <w:tcBorders>
              <w:bottom w:val="single" w:sz="8" w:space="0" w:color="732282"/>
            </w:tcBorders>
            <w:shd w:fill="444444" w:val="clear"/>
            <w:tcMar>
              <w:bottom w:w="28" w:type="dxa"/>
            </w:tcMar>
            <w:vAlign w:val="center"/>
          </w:tcPr>
          <w:p>
            <w:pPr>
              <w:pStyle w:val="TableContents"/>
              <w:bidi w:val="0"/>
              <w:spacing w:before="0" w:after="283"/>
              <w:jc w:val="center"/>
              <w:rPr>
                <w:b/>
                <w:color w:val="FFFFFF"/>
              </w:rPr>
            </w:pPr>
            <w:r>
              <w:rPr>
                <w:b/>
                <w:color w:val="FFFFFF"/>
              </w:rPr>
              <w:t>Option</w:t>
              <w:br/>
              <w:t>Expiration</w:t>
              <w:br/>
              <w:t>Date</w:t>
            </w:r>
          </w:p>
        </w:tc>
        <w:tc>
          <w:tcPr>
            <w:tcW w:w="60" w:type="dxa"/>
            <w:tcBorders>
              <w:bottom w:val="single" w:sz="8" w:space="0" w:color="732282"/>
            </w:tcBorders>
            <w:shd w:fill="444444"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20" w:type="dxa"/>
            <w:gridSpan w:val="2"/>
            <w:tcBorders>
              <w:bottom w:val="single" w:sz="8" w:space="0" w:color="732282"/>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20" w:type="dxa"/>
            <w:gridSpan w:val="2"/>
            <w:tcBorders>
              <w:bottom w:val="single" w:sz="8" w:space="0" w:color="732282"/>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444444" w:val="clear"/>
            <w:tcMar>
              <w:bottom w:w="28" w:type="dxa"/>
            </w:tcMar>
            <w:vAlign w:val="center"/>
          </w:tcPr>
          <w:p>
            <w:pPr>
              <w:pStyle w:val="TableContents"/>
              <w:bidi w:val="0"/>
              <w:spacing w:before="0" w:after="283"/>
              <w:jc w:val="left"/>
              <w:rPr/>
            </w:pPr>
            <w:r>
              <w:rPr/>
              <w:t> </w:t>
            </w:r>
          </w:p>
        </w:tc>
        <w:tc>
          <w:tcPr>
            <w:tcW w:w="1145" w:type="dxa"/>
            <w:gridSpan w:val="2"/>
            <w:tcBorders>
              <w:bottom w:val="single" w:sz="8" w:space="0" w:color="732282"/>
            </w:tcBorders>
            <w:shd w:fill="444444" w:val="clear"/>
            <w:tcMar>
              <w:bottom w:w="28" w:type="dxa"/>
            </w:tcMar>
            <w:vAlign w:val="center"/>
          </w:tcPr>
          <w:p>
            <w:pPr>
              <w:pStyle w:val="TableContents"/>
              <w:bidi w:val="0"/>
              <w:spacing w:before="0" w:after="283"/>
              <w:jc w:val="center"/>
              <w:rPr>
                <w:b/>
                <w:color w:val="FFFFFF"/>
              </w:rPr>
            </w:pPr>
            <w:r>
              <w:rPr>
                <w:b/>
                <w:color w:val="FFFFFF"/>
              </w:rPr>
              <w:t>Number of</w:t>
              <w:br/>
              <w:t>Shares or</w:t>
              <w:br/>
              <w:t>Units of</w:t>
              <w:br/>
              <w:t>Stock That</w:t>
              <w:br/>
              <w:t>Have Not</w:t>
              <w:br/>
              <w:t>Vested</w:t>
              <w:br/>
              <w:t>(#)</w:t>
            </w:r>
          </w:p>
        </w:tc>
        <w:tc>
          <w:tcPr>
            <w:tcW w:w="215" w:type="dxa"/>
            <w:tcBorders>
              <w:bottom w:val="single" w:sz="8" w:space="0" w:color="732282"/>
            </w:tcBorders>
            <w:shd w:fill="444444"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444444" w:val="clear"/>
            <w:tcMar>
              <w:bottom w:w="28" w:type="dxa"/>
            </w:tcMar>
            <w:vAlign w:val="center"/>
          </w:tcPr>
          <w:p>
            <w:pPr>
              <w:pStyle w:val="TableContents"/>
              <w:bidi w:val="0"/>
              <w:spacing w:before="0" w:after="283"/>
              <w:jc w:val="left"/>
              <w:rPr/>
            </w:pPr>
            <w:r>
              <w:rPr/>
              <w:t> </w:t>
            </w:r>
          </w:p>
        </w:tc>
        <w:tc>
          <w:tcPr>
            <w:tcW w:w="1040" w:type="dxa"/>
            <w:gridSpan w:val="2"/>
            <w:tcBorders>
              <w:bottom w:val="single" w:sz="8" w:space="0" w:color="732282"/>
            </w:tcBorders>
            <w:shd w:fill="444444" w:val="clear"/>
            <w:tcMar>
              <w:bottom w:w="28" w:type="dxa"/>
            </w:tcMar>
            <w:vAlign w:val="center"/>
          </w:tcPr>
          <w:p>
            <w:pPr>
              <w:pStyle w:val="TableContents"/>
              <w:bidi w:val="0"/>
              <w:spacing w:before="0" w:after="283"/>
              <w:jc w:val="center"/>
              <w:rPr>
                <w:b/>
                <w:color w:val="FFFFFF"/>
              </w:rPr>
            </w:pPr>
            <w:r>
              <w:rPr>
                <w:b/>
                <w:color w:val="FFFFFF"/>
              </w:rPr>
              <w:t>Market</w:t>
              <w:br/>
              <w:t>Value of</w:t>
              <w:br/>
              <w:t>Shares</w:t>
              <w:br/>
              <w:t>or Units</w:t>
              <w:br/>
              <w:t>of Stock</w:t>
              <w:br/>
              <w:t>That</w:t>
              <w:br/>
              <w:t>Have</w:t>
              <w:br/>
              <w:t>Not</w:t>
              <w:br/>
              <w:t>Vested</w:t>
              <w:br/>
              <w:t>($)(2)</w:t>
            </w:r>
          </w:p>
        </w:tc>
        <w:tc>
          <w:tcPr>
            <w:tcW w:w="60" w:type="dxa"/>
            <w:tcBorders>
              <w:bottom w:val="single" w:sz="8" w:space="0" w:color="732282"/>
            </w:tcBorders>
            <w:shd w:fill="444444"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444444" w:val="clear"/>
            <w:tcMar>
              <w:bottom w:w="28" w:type="dxa"/>
            </w:tcMar>
            <w:vAlign w:val="center"/>
          </w:tcPr>
          <w:p>
            <w:pPr>
              <w:pStyle w:val="TableContents"/>
              <w:bidi w:val="0"/>
              <w:spacing w:before="0" w:after="283"/>
              <w:jc w:val="left"/>
              <w:rPr/>
            </w:pPr>
            <w:r>
              <w:rPr/>
              <w:t> </w:t>
            </w:r>
          </w:p>
        </w:tc>
        <w:tc>
          <w:tcPr>
            <w:tcW w:w="1625" w:type="dxa"/>
            <w:gridSpan w:val="2"/>
            <w:tcBorders>
              <w:bottom w:val="single" w:sz="8" w:space="0" w:color="732282"/>
            </w:tcBorders>
            <w:shd w:fill="444444" w:val="clear"/>
            <w:tcMar>
              <w:bottom w:w="28" w:type="dxa"/>
            </w:tcMar>
            <w:vAlign w:val="center"/>
          </w:tcPr>
          <w:p>
            <w:pPr>
              <w:pStyle w:val="TableContents"/>
              <w:bidi w:val="0"/>
              <w:spacing w:before="0" w:after="283"/>
              <w:jc w:val="center"/>
              <w:rPr>
                <w:b/>
                <w:color w:val="FFFFFF"/>
              </w:rPr>
            </w:pPr>
            <w:r>
              <w:rPr>
                <w:b/>
                <w:color w:val="FFFFFF"/>
              </w:rPr>
              <w:t>Equity</w:t>
              <w:br/>
              <w:t>Incentive Plan</w:t>
              <w:br/>
              <w:t>Awards:</w:t>
              <w:br/>
              <w:t>Number of</w:t>
              <w:br/>
              <w:t>Unearned</w:t>
              <w:br/>
              <w:t>Shares, Units</w:t>
              <w:br/>
              <w:t>or Other Rights</w:t>
              <w:br/>
              <w:t>That Have Not</w:t>
              <w:br/>
              <w:t>Vested (#)</w:t>
            </w:r>
          </w:p>
        </w:tc>
        <w:tc>
          <w:tcPr>
            <w:tcW w:w="335" w:type="dxa"/>
            <w:tcBorders>
              <w:bottom w:val="single" w:sz="8" w:space="0" w:color="732282"/>
            </w:tcBorders>
            <w:shd w:fill="444444"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444444" w:val="clear"/>
            <w:tcMar>
              <w:bottom w:w="28" w:type="dxa"/>
            </w:tcMar>
            <w:vAlign w:val="center"/>
          </w:tcPr>
          <w:p>
            <w:pPr>
              <w:pStyle w:val="TableContents"/>
              <w:bidi w:val="0"/>
              <w:spacing w:before="0" w:after="283"/>
              <w:jc w:val="left"/>
              <w:rPr/>
            </w:pPr>
            <w:r>
              <w:rPr/>
              <w:t> </w:t>
            </w:r>
          </w:p>
        </w:tc>
        <w:tc>
          <w:tcPr>
            <w:tcW w:w="1955" w:type="dxa"/>
            <w:gridSpan w:val="2"/>
            <w:tcBorders>
              <w:bottom w:val="single" w:sz="8" w:space="0" w:color="732282"/>
            </w:tcBorders>
            <w:shd w:fill="444444" w:val="clear"/>
            <w:tcMar>
              <w:bottom w:w="28" w:type="dxa"/>
            </w:tcMar>
            <w:vAlign w:val="center"/>
          </w:tcPr>
          <w:p>
            <w:pPr>
              <w:pStyle w:val="TableContents"/>
              <w:bidi w:val="0"/>
              <w:spacing w:before="0" w:after="283"/>
              <w:jc w:val="center"/>
              <w:rPr>
                <w:b/>
                <w:color w:val="FFFFFF"/>
              </w:rPr>
            </w:pPr>
            <w:r>
              <w:rPr>
                <w:b/>
                <w:color w:val="FFFFFF"/>
              </w:rPr>
              <w:t>Equity Incentive</w:t>
              <w:br/>
              <w:t>Plan Awards:</w:t>
              <w:br/>
              <w:t>Market or Payout</w:t>
              <w:br/>
              <w:t>Value of Unearned</w:t>
              <w:br/>
              <w:t>Shares, Units or</w:t>
              <w:br/>
              <w:t>Other Rights That</w:t>
              <w:br/>
              <w:t>Have Not Vested</w:t>
              <w:br/>
              <w:t>($)(2)</w:t>
            </w:r>
          </w:p>
        </w:tc>
        <w:tc>
          <w:tcPr>
            <w:tcW w:w="75" w:type="dxa"/>
            <w:tcBorders>
              <w:bottom w:val="single" w:sz="8" w:space="0" w:color="732282"/>
            </w:tcBorders>
            <w:shd w:fill="444444" w:val="clear"/>
            <w:tcMar>
              <w:bottom w:w="28" w:type="dxa"/>
            </w:tcMar>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0"/>
              <w:jc w:val="left"/>
              <w:rPr>
                <w:rFonts w:ascii="ARIAL" w:hAnsi="ARIAL"/>
                <w:b/>
                <w:sz w:val="15"/>
              </w:rPr>
            </w:pPr>
            <w:r>
              <w:rPr>
                <w:rFonts w:ascii="ARIAL" w:hAnsi="ARIAL"/>
                <w:b/>
                <w:sz w:val="15"/>
              </w:rPr>
              <w:t>Scott A. Smith</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422,177</w:t>
            </w:r>
          </w:p>
        </w:tc>
        <w:tc>
          <w:tcPr>
            <w:tcW w:w="215"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4,572,177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784,041</w:t>
            </w:r>
          </w:p>
        </w:tc>
        <w:tc>
          <w:tcPr>
            <w:tcW w:w="33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8,491,164</w:t>
            </w:r>
          </w:p>
        </w:tc>
        <w:tc>
          <w:tcPr>
            <w:tcW w:w="75" w:type="dxa"/>
            <w:tcBorders/>
            <w:vAlign w:val="center"/>
          </w:tcPr>
          <w:p>
            <w:pPr>
              <w:pStyle w:val="TableContents"/>
              <w:bidi w:val="0"/>
              <w:spacing w:before="0" w:after="283"/>
              <w:jc w:val="left"/>
              <w:rPr/>
            </w:pPr>
            <w:r>
              <w:rPr/>
              <w:t> </w:t>
            </w:r>
          </w:p>
        </w:tc>
      </w:tr>
      <w:tr>
        <w:trPr/>
        <w:tc>
          <w:tcPr>
            <w:tcW w:w="635" w:type="dxa"/>
            <w:vMerge w:val="restart"/>
            <w:tcBorders/>
            <w:shd w:fill="EAEAEA" w:val="clear"/>
            <w:vAlign w:val="center"/>
          </w:tcPr>
          <w:p>
            <w:pPr>
              <w:pStyle w:val="TableContents"/>
              <w:bidi w:val="0"/>
              <w:spacing w:before="0" w:after="0"/>
              <w:jc w:val="left"/>
              <w:rPr>
                <w:rFonts w:ascii="ARIAL" w:hAnsi="ARIAL"/>
                <w:b/>
                <w:sz w:val="15"/>
              </w:rPr>
            </w:pPr>
            <w:r>
              <w:rPr>
                <w:rFonts w:ascii="ARIAL" w:hAnsi="ARIAL"/>
                <w:b/>
                <w:sz w:val="15"/>
              </w:rPr>
              <w:t>Sanjeev Narula</w:t>
            </w:r>
          </w:p>
        </w:tc>
        <w:tc>
          <w:tcPr>
            <w:tcW w:w="60" w:type="dxa"/>
            <w:tcBorders/>
            <w:shd w:fill="EAEAEA" w:val="clear"/>
            <w:vAlign w:val="center"/>
          </w:tcPr>
          <w:p>
            <w:pPr>
              <w:pStyle w:val="TableContents"/>
              <w:bidi w:val="0"/>
              <w:spacing w:before="0" w:after="283"/>
              <w:jc w:val="left"/>
              <w:rPr/>
            </w:pPr>
            <w:r>
              <w:rPr/>
              <w:t> </w:t>
            </w:r>
          </w:p>
        </w:tc>
        <w:tc>
          <w:tcPr>
            <w:tcW w:w="102" w:type="dxa"/>
            <w:tcBorders/>
            <w:shd w:fill="EAEAEA" w:val="clear"/>
            <w:vAlign w:val="center"/>
          </w:tcPr>
          <w:p>
            <w:pPr>
              <w:pStyle w:val="TableContents"/>
              <w:bidi w:val="0"/>
              <w:spacing w:before="0" w:after="283"/>
              <w:jc w:val="left"/>
              <w:rPr/>
            </w:pPr>
            <w:r>
              <w:rPr/>
              <w:t> </w:t>
            </w:r>
          </w:p>
        </w:tc>
        <w:tc>
          <w:tcPr>
            <w:tcW w:w="1163"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270" w:type="dxa"/>
            <w:tcBorders/>
            <w:shd w:fill="EAEAEA" w:val="clear"/>
            <w:vAlign w:val="center"/>
          </w:tcPr>
          <w:p>
            <w:pPr>
              <w:pStyle w:val="TableContents"/>
              <w:bidi w:val="0"/>
              <w:spacing w:before="0" w:after="283"/>
              <w:jc w:val="left"/>
              <w:rPr/>
            </w:pPr>
            <w:r>
              <w:rPr/>
              <w:t> </w:t>
            </w:r>
          </w:p>
        </w:tc>
        <w:tc>
          <w:tcPr>
            <w:tcW w:w="117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84" w:type="dxa"/>
            <w:tcBorders/>
            <w:shd w:fill="EAEAEA" w:val="clear"/>
            <w:vAlign w:val="center"/>
          </w:tcPr>
          <w:p>
            <w:pPr>
              <w:pStyle w:val="TableContents"/>
              <w:bidi w:val="0"/>
              <w:spacing w:before="0" w:after="283"/>
              <w:jc w:val="left"/>
              <w:rPr/>
            </w:pPr>
            <w:r>
              <w:rPr/>
              <w:t> </w:t>
            </w:r>
          </w:p>
        </w:tc>
        <w:tc>
          <w:tcPr>
            <w:tcW w:w="791"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05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79" w:type="dxa"/>
            <w:tcBorders/>
            <w:shd w:fill="EAEAEA" w:val="clear"/>
            <w:vAlign w:val="center"/>
          </w:tcPr>
          <w:p>
            <w:pPr>
              <w:pStyle w:val="TableContents"/>
              <w:bidi w:val="0"/>
              <w:spacing w:before="0" w:after="283"/>
              <w:jc w:val="left"/>
              <w:rPr/>
            </w:pPr>
            <w:r>
              <w:rPr/>
              <w:t> </w:t>
            </w:r>
          </w:p>
        </w:tc>
        <w:tc>
          <w:tcPr>
            <w:tcW w:w="1066" w:type="dxa"/>
            <w:tcBorders/>
            <w:shd w:fill="EAEAEA" w:val="clear"/>
            <w:vAlign w:val="center"/>
          </w:tcPr>
          <w:p>
            <w:pPr>
              <w:pStyle w:val="TableContents"/>
              <w:bidi w:val="0"/>
              <w:spacing w:before="0" w:after="283"/>
              <w:jc w:val="right"/>
              <w:rPr/>
            </w:pPr>
            <w:r>
              <w:rPr/>
              <w:t>29,581</w:t>
            </w:r>
          </w:p>
        </w:tc>
        <w:tc>
          <w:tcPr>
            <w:tcW w:w="215" w:type="dxa"/>
            <w:tcBorders/>
            <w:shd w:fill="EAEAEA" w:val="clear"/>
            <w:vAlign w:val="center"/>
          </w:tcPr>
          <w:p>
            <w:pPr>
              <w:pStyle w:val="TableContents"/>
              <w:bidi w:val="0"/>
              <w:spacing w:before="0" w:after="283"/>
              <w:jc w:val="left"/>
              <w:rPr/>
            </w:pPr>
            <w:r>
              <w:rPr/>
              <w:t>(4)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320,362</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13" w:type="dxa"/>
            <w:tcBorders/>
            <w:shd w:fill="EAEAEA" w:val="clear"/>
            <w:vAlign w:val="center"/>
          </w:tcPr>
          <w:p>
            <w:pPr>
              <w:pStyle w:val="TableContents"/>
              <w:bidi w:val="0"/>
              <w:spacing w:before="0" w:after="283"/>
              <w:jc w:val="left"/>
              <w:rPr/>
            </w:pPr>
            <w:r>
              <w:rPr/>
              <w:t> </w:t>
            </w:r>
          </w:p>
        </w:tc>
        <w:tc>
          <w:tcPr>
            <w:tcW w:w="1512" w:type="dxa"/>
            <w:tcBorders/>
            <w:shd w:fill="EAEAEA" w:val="clear"/>
            <w:vAlign w:val="center"/>
          </w:tcPr>
          <w:p>
            <w:pPr>
              <w:pStyle w:val="TableContents"/>
              <w:bidi w:val="0"/>
              <w:spacing w:before="0" w:after="283"/>
              <w:jc w:val="right"/>
              <w:rPr/>
            </w:pPr>
            <w:r>
              <w:rPr/>
              <w:t>132,353</w:t>
            </w:r>
          </w:p>
        </w:tc>
        <w:tc>
          <w:tcPr>
            <w:tcW w:w="335" w:type="dxa"/>
            <w:tcBorders/>
            <w:shd w:fill="EAEAEA" w:val="clear"/>
            <w:vAlign w:val="center"/>
          </w:tcPr>
          <w:p>
            <w:pPr>
              <w:pStyle w:val="TableContents"/>
              <w:bidi w:val="0"/>
              <w:spacing w:before="0" w:after="283"/>
              <w:jc w:val="left"/>
              <w:rPr/>
            </w:pPr>
            <w:r>
              <w:rPr/>
              <w:t>(7) </w:t>
            </w:r>
          </w:p>
        </w:tc>
        <w:tc>
          <w:tcPr>
            <w:tcW w:w="60" w:type="dxa"/>
            <w:tcBorders/>
            <w:shd w:fill="EAEAEA" w:val="clear"/>
            <w:vAlign w:val="center"/>
          </w:tcPr>
          <w:p>
            <w:pPr>
              <w:pStyle w:val="TableContents"/>
              <w:bidi w:val="0"/>
              <w:spacing w:before="0" w:after="283"/>
              <w:jc w:val="left"/>
              <w:rPr/>
            </w:pPr>
            <w:r>
              <w:rPr/>
              <w:t> </w:t>
            </w:r>
          </w:p>
        </w:tc>
        <w:tc>
          <w:tcPr>
            <w:tcW w:w="112" w:type="dxa"/>
            <w:tcBorders/>
            <w:shd w:fill="EAEAEA" w:val="clear"/>
            <w:vAlign w:val="center"/>
          </w:tcPr>
          <w:p>
            <w:pPr>
              <w:pStyle w:val="TableContents"/>
              <w:bidi w:val="0"/>
              <w:spacing w:before="0" w:after="283"/>
              <w:jc w:val="left"/>
              <w:rPr/>
            </w:pPr>
            <w:r>
              <w:rPr/>
              <w:t> </w:t>
            </w:r>
          </w:p>
        </w:tc>
        <w:tc>
          <w:tcPr>
            <w:tcW w:w="1843" w:type="dxa"/>
            <w:tcBorders/>
            <w:shd w:fill="EAEAEA" w:val="clear"/>
            <w:vAlign w:val="center"/>
          </w:tcPr>
          <w:p>
            <w:pPr>
              <w:pStyle w:val="TableContents"/>
              <w:bidi w:val="0"/>
              <w:spacing w:before="0" w:after="283"/>
              <w:jc w:val="right"/>
              <w:rPr/>
            </w:pPr>
            <w:r>
              <w:rPr/>
              <w:t>1,433,383</w:t>
            </w:r>
          </w:p>
        </w:tc>
        <w:tc>
          <w:tcPr>
            <w:tcW w:w="75" w:type="dxa"/>
            <w:tcBorders/>
            <w:shd w:fill="EAEAEA" w:val="clear"/>
            <w:vAlign w:val="center"/>
          </w:tcPr>
          <w:p>
            <w:pPr>
              <w:pStyle w:val="TableContents"/>
              <w:bidi w:val="0"/>
              <w:spacing w:before="0" w:after="283"/>
              <w:jc w:val="left"/>
              <w:rPr/>
            </w:pPr>
            <w:r>
              <w:rPr/>
              <w:t> </w:t>
            </w:r>
          </w:p>
        </w:tc>
      </w:tr>
      <w:tr>
        <w:trPr/>
        <w:tc>
          <w:tcPr>
            <w:tcW w:w="635" w:type="dxa"/>
            <w:vMerge w:val="continue"/>
            <w:tcBorders/>
            <w:shd w:fill="EAEAEA" w:val="clear"/>
            <w:vAlign w:val="center"/>
          </w:tcPr>
          <w:p>
            <w:pPr>
              <w:pStyle w:val="Normal"/>
              <w:bidi w:val="0"/>
              <w:jc w:val="left"/>
              <w:rPr/>
            </w:pPr>
            <w:r>
              <w:rPr/>
            </w:r>
          </w:p>
        </w:tc>
        <w:tc>
          <w:tcPr>
            <w:tcW w:w="60" w:type="dxa"/>
            <w:tcBorders/>
            <w:shd w:fill="EAEAEA" w:val="clear"/>
            <w:vAlign w:val="center"/>
          </w:tcPr>
          <w:p>
            <w:pPr>
              <w:pStyle w:val="TableContents"/>
              <w:bidi w:val="0"/>
              <w:spacing w:before="0" w:after="283"/>
              <w:jc w:val="left"/>
              <w:rPr/>
            </w:pPr>
            <w:r>
              <w:rPr/>
              <w:t> </w:t>
            </w:r>
          </w:p>
        </w:tc>
        <w:tc>
          <w:tcPr>
            <w:tcW w:w="102" w:type="dxa"/>
            <w:tcBorders/>
            <w:shd w:fill="EAEAEA" w:val="clear"/>
            <w:vAlign w:val="center"/>
          </w:tcPr>
          <w:p>
            <w:pPr>
              <w:pStyle w:val="TableContents"/>
              <w:bidi w:val="0"/>
              <w:spacing w:before="0" w:after="283"/>
              <w:jc w:val="left"/>
              <w:rPr/>
            </w:pPr>
            <w:r>
              <w:rPr/>
              <w:t> </w:t>
            </w:r>
          </w:p>
        </w:tc>
        <w:tc>
          <w:tcPr>
            <w:tcW w:w="1163"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270" w:type="dxa"/>
            <w:tcBorders/>
            <w:shd w:fill="EAEAEA" w:val="clear"/>
            <w:vAlign w:val="center"/>
          </w:tcPr>
          <w:p>
            <w:pPr>
              <w:pStyle w:val="TableContents"/>
              <w:bidi w:val="0"/>
              <w:spacing w:before="0" w:after="283"/>
              <w:jc w:val="left"/>
              <w:rPr/>
            </w:pPr>
            <w:r>
              <w:rPr/>
              <w:t> </w:t>
            </w:r>
          </w:p>
        </w:tc>
        <w:tc>
          <w:tcPr>
            <w:tcW w:w="117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84" w:type="dxa"/>
            <w:tcBorders/>
            <w:shd w:fill="EAEAEA" w:val="clear"/>
            <w:vAlign w:val="center"/>
          </w:tcPr>
          <w:p>
            <w:pPr>
              <w:pStyle w:val="TableContents"/>
              <w:bidi w:val="0"/>
              <w:spacing w:before="0" w:after="283"/>
              <w:jc w:val="left"/>
              <w:rPr/>
            </w:pPr>
            <w:r>
              <w:rPr/>
              <w:t> </w:t>
            </w:r>
          </w:p>
        </w:tc>
        <w:tc>
          <w:tcPr>
            <w:tcW w:w="791"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05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79" w:type="dxa"/>
            <w:tcBorders/>
            <w:shd w:fill="EAEAEA" w:val="clear"/>
            <w:vAlign w:val="center"/>
          </w:tcPr>
          <w:p>
            <w:pPr>
              <w:pStyle w:val="TableContents"/>
              <w:bidi w:val="0"/>
              <w:spacing w:before="0" w:after="283"/>
              <w:jc w:val="left"/>
              <w:rPr/>
            </w:pPr>
            <w:r>
              <w:rPr/>
              <w:t> </w:t>
            </w:r>
          </w:p>
        </w:tc>
        <w:tc>
          <w:tcPr>
            <w:tcW w:w="1066" w:type="dxa"/>
            <w:tcBorders/>
            <w:shd w:fill="EAEAEA" w:val="clear"/>
            <w:vAlign w:val="center"/>
          </w:tcPr>
          <w:p>
            <w:pPr>
              <w:pStyle w:val="TableContents"/>
              <w:bidi w:val="0"/>
              <w:spacing w:before="0" w:after="283"/>
              <w:jc w:val="right"/>
              <w:rPr/>
            </w:pPr>
            <w:r>
              <w:rPr/>
              <w:t>84,542</w:t>
            </w:r>
          </w:p>
        </w:tc>
        <w:tc>
          <w:tcPr>
            <w:tcW w:w="215" w:type="dxa"/>
            <w:tcBorders/>
            <w:shd w:fill="EAEAEA" w:val="clear"/>
            <w:vAlign w:val="center"/>
          </w:tcPr>
          <w:p>
            <w:pPr>
              <w:pStyle w:val="TableContents"/>
              <w:bidi w:val="0"/>
              <w:spacing w:before="0" w:after="283"/>
              <w:jc w:val="left"/>
              <w:rPr/>
            </w:pPr>
            <w:r>
              <w:rPr/>
              <w:t>(5)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915,590</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13" w:type="dxa"/>
            <w:tcBorders/>
            <w:shd w:fill="EAEAEA" w:val="clear"/>
            <w:vAlign w:val="center"/>
          </w:tcPr>
          <w:p>
            <w:pPr>
              <w:pStyle w:val="TableContents"/>
              <w:bidi w:val="0"/>
              <w:spacing w:before="0" w:after="283"/>
              <w:jc w:val="left"/>
              <w:rPr/>
            </w:pPr>
            <w:r>
              <w:rPr/>
              <w:t> </w:t>
            </w:r>
          </w:p>
        </w:tc>
        <w:tc>
          <w:tcPr>
            <w:tcW w:w="1512" w:type="dxa"/>
            <w:tcBorders/>
            <w:shd w:fill="EAEAEA" w:val="clear"/>
            <w:vAlign w:val="center"/>
          </w:tcPr>
          <w:p>
            <w:pPr>
              <w:pStyle w:val="TableContents"/>
              <w:bidi w:val="0"/>
              <w:spacing w:before="0" w:after="283"/>
              <w:jc w:val="right"/>
              <w:rPr/>
            </w:pPr>
            <w:r>
              <w:rPr/>
              <w:t>235,508</w:t>
            </w:r>
          </w:p>
        </w:tc>
        <w:tc>
          <w:tcPr>
            <w:tcW w:w="335" w:type="dxa"/>
            <w:tcBorders/>
            <w:shd w:fill="EAEAEA" w:val="clear"/>
            <w:vAlign w:val="center"/>
          </w:tcPr>
          <w:p>
            <w:pPr>
              <w:pStyle w:val="TableContents"/>
              <w:bidi w:val="0"/>
              <w:spacing w:before="0" w:after="283"/>
              <w:jc w:val="left"/>
              <w:rPr/>
            </w:pPr>
            <w:r>
              <w:rPr/>
              <w:t>(9) </w:t>
            </w:r>
          </w:p>
        </w:tc>
        <w:tc>
          <w:tcPr>
            <w:tcW w:w="60" w:type="dxa"/>
            <w:tcBorders/>
            <w:shd w:fill="EAEAEA" w:val="clear"/>
            <w:vAlign w:val="center"/>
          </w:tcPr>
          <w:p>
            <w:pPr>
              <w:pStyle w:val="TableContents"/>
              <w:bidi w:val="0"/>
              <w:spacing w:before="0" w:after="283"/>
              <w:jc w:val="left"/>
              <w:rPr/>
            </w:pPr>
            <w:r>
              <w:rPr/>
              <w:t> </w:t>
            </w:r>
          </w:p>
        </w:tc>
        <w:tc>
          <w:tcPr>
            <w:tcW w:w="112" w:type="dxa"/>
            <w:tcBorders/>
            <w:shd w:fill="EAEAEA" w:val="clear"/>
            <w:vAlign w:val="center"/>
          </w:tcPr>
          <w:p>
            <w:pPr>
              <w:pStyle w:val="TableContents"/>
              <w:bidi w:val="0"/>
              <w:spacing w:before="0" w:after="283"/>
              <w:jc w:val="left"/>
              <w:rPr/>
            </w:pPr>
            <w:r>
              <w:rPr/>
              <w:t> </w:t>
            </w:r>
          </w:p>
        </w:tc>
        <w:tc>
          <w:tcPr>
            <w:tcW w:w="1843" w:type="dxa"/>
            <w:tcBorders/>
            <w:shd w:fill="EAEAEA" w:val="clear"/>
            <w:vAlign w:val="center"/>
          </w:tcPr>
          <w:p>
            <w:pPr>
              <w:pStyle w:val="TableContents"/>
              <w:bidi w:val="0"/>
              <w:spacing w:before="0" w:after="283"/>
              <w:jc w:val="right"/>
              <w:rPr/>
            </w:pPr>
            <w:r>
              <w:rPr/>
              <w:t>2,550,552</w:t>
            </w:r>
          </w:p>
        </w:tc>
        <w:tc>
          <w:tcPr>
            <w:tcW w:w="75" w:type="dxa"/>
            <w:tcBorders/>
            <w:shd w:fill="EAEAEA" w:val="clear"/>
            <w:vAlign w:val="center"/>
          </w:tcPr>
          <w:p>
            <w:pPr>
              <w:pStyle w:val="TableContents"/>
              <w:bidi w:val="0"/>
              <w:spacing w:before="0" w:after="283"/>
              <w:jc w:val="left"/>
              <w:rPr/>
            </w:pPr>
            <w:r>
              <w:rPr/>
              <w:t> </w:t>
            </w:r>
          </w:p>
        </w:tc>
      </w:tr>
      <w:tr>
        <w:trPr/>
        <w:tc>
          <w:tcPr>
            <w:tcW w:w="635" w:type="dxa"/>
            <w:vMerge w:val="continue"/>
            <w:tcBorders/>
            <w:shd w:fill="EAEAEA" w:val="clear"/>
            <w:vAlign w:val="center"/>
          </w:tcPr>
          <w:p>
            <w:pPr>
              <w:pStyle w:val="Normal"/>
              <w:bidi w:val="0"/>
              <w:jc w:val="left"/>
              <w:rPr/>
            </w:pPr>
            <w:r>
              <w:rPr/>
            </w:r>
          </w:p>
        </w:tc>
        <w:tc>
          <w:tcPr>
            <w:tcW w:w="60" w:type="dxa"/>
            <w:tcBorders/>
            <w:shd w:fill="EAEAEA" w:val="clear"/>
            <w:vAlign w:val="center"/>
          </w:tcPr>
          <w:p>
            <w:pPr>
              <w:pStyle w:val="TableContents"/>
              <w:bidi w:val="0"/>
              <w:spacing w:before="0" w:after="283"/>
              <w:jc w:val="left"/>
              <w:rPr/>
            </w:pPr>
            <w:r>
              <w:rPr/>
              <w:t> </w:t>
            </w:r>
          </w:p>
        </w:tc>
        <w:tc>
          <w:tcPr>
            <w:tcW w:w="102" w:type="dxa"/>
            <w:tcBorders/>
            <w:shd w:fill="EAEAEA" w:val="clear"/>
            <w:vAlign w:val="center"/>
          </w:tcPr>
          <w:p>
            <w:pPr>
              <w:pStyle w:val="TableContents"/>
              <w:bidi w:val="0"/>
              <w:spacing w:before="0" w:after="283"/>
              <w:jc w:val="left"/>
              <w:rPr/>
            </w:pPr>
            <w:r>
              <w:rPr/>
              <w:t> </w:t>
            </w:r>
          </w:p>
        </w:tc>
        <w:tc>
          <w:tcPr>
            <w:tcW w:w="1163"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270" w:type="dxa"/>
            <w:tcBorders/>
            <w:shd w:fill="EAEAEA" w:val="clear"/>
            <w:vAlign w:val="center"/>
          </w:tcPr>
          <w:p>
            <w:pPr>
              <w:pStyle w:val="TableContents"/>
              <w:bidi w:val="0"/>
              <w:spacing w:before="0" w:after="283"/>
              <w:jc w:val="left"/>
              <w:rPr/>
            </w:pPr>
            <w:r>
              <w:rPr/>
              <w:t> </w:t>
            </w:r>
          </w:p>
        </w:tc>
        <w:tc>
          <w:tcPr>
            <w:tcW w:w="117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84" w:type="dxa"/>
            <w:tcBorders/>
            <w:shd w:fill="EAEAEA" w:val="clear"/>
            <w:vAlign w:val="center"/>
          </w:tcPr>
          <w:p>
            <w:pPr>
              <w:pStyle w:val="TableContents"/>
              <w:bidi w:val="0"/>
              <w:spacing w:before="0" w:after="283"/>
              <w:jc w:val="left"/>
              <w:rPr/>
            </w:pPr>
            <w:r>
              <w:rPr/>
              <w:t> </w:t>
            </w:r>
          </w:p>
        </w:tc>
        <w:tc>
          <w:tcPr>
            <w:tcW w:w="791"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05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79" w:type="dxa"/>
            <w:tcBorders/>
            <w:shd w:fill="EAEAEA" w:val="clear"/>
            <w:vAlign w:val="center"/>
          </w:tcPr>
          <w:p>
            <w:pPr>
              <w:pStyle w:val="TableContents"/>
              <w:bidi w:val="0"/>
              <w:spacing w:before="0" w:after="283"/>
              <w:jc w:val="left"/>
              <w:rPr/>
            </w:pPr>
            <w:r>
              <w:rPr/>
              <w:t> </w:t>
            </w:r>
          </w:p>
        </w:tc>
        <w:tc>
          <w:tcPr>
            <w:tcW w:w="1066" w:type="dxa"/>
            <w:tcBorders/>
            <w:shd w:fill="EAEAEA" w:val="clear"/>
            <w:vAlign w:val="center"/>
          </w:tcPr>
          <w:p>
            <w:pPr>
              <w:pStyle w:val="TableContents"/>
              <w:bidi w:val="0"/>
              <w:spacing w:before="0" w:after="283"/>
              <w:jc w:val="right"/>
              <w:rPr/>
            </w:pPr>
            <w:r>
              <w:rPr/>
              <w:t>122,082</w:t>
            </w:r>
          </w:p>
        </w:tc>
        <w:tc>
          <w:tcPr>
            <w:tcW w:w="215" w:type="dxa"/>
            <w:tcBorders/>
            <w:shd w:fill="EAEAEA" w:val="clear"/>
            <w:vAlign w:val="center"/>
          </w:tcPr>
          <w:p>
            <w:pPr>
              <w:pStyle w:val="TableContents"/>
              <w:bidi w:val="0"/>
              <w:spacing w:before="0" w:after="283"/>
              <w:jc w:val="left"/>
              <w:rPr/>
            </w:pPr>
            <w:r>
              <w:rPr/>
              <w:t>(3)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1,322,148</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13" w:type="dxa"/>
            <w:tcBorders/>
            <w:shd w:fill="EAEAEA" w:val="clear"/>
            <w:vAlign w:val="center"/>
          </w:tcPr>
          <w:p>
            <w:pPr>
              <w:pStyle w:val="TableContents"/>
              <w:bidi w:val="0"/>
              <w:spacing w:before="0" w:after="283"/>
              <w:jc w:val="left"/>
              <w:rPr/>
            </w:pPr>
            <w:r>
              <w:rPr/>
              <w:t> </w:t>
            </w:r>
          </w:p>
        </w:tc>
        <w:tc>
          <w:tcPr>
            <w:tcW w:w="1512" w:type="dxa"/>
            <w:tcBorders/>
            <w:shd w:fill="EAEAEA" w:val="clear"/>
            <w:vAlign w:val="center"/>
          </w:tcPr>
          <w:p>
            <w:pPr>
              <w:pStyle w:val="TableContents"/>
              <w:bidi w:val="0"/>
              <w:spacing w:before="0" w:after="283"/>
              <w:jc w:val="right"/>
              <w:rPr/>
            </w:pPr>
            <w:r>
              <w:rPr/>
              <w:t>226,723</w:t>
            </w:r>
          </w:p>
        </w:tc>
        <w:tc>
          <w:tcPr>
            <w:tcW w:w="335" w:type="dxa"/>
            <w:tcBorders/>
            <w:shd w:fill="EAEAEA" w:val="clear"/>
            <w:vAlign w:val="center"/>
          </w:tcPr>
          <w:p>
            <w:pPr>
              <w:pStyle w:val="TableContents"/>
              <w:bidi w:val="0"/>
              <w:spacing w:before="0" w:after="283"/>
              <w:jc w:val="left"/>
              <w:rPr/>
            </w:pPr>
            <w:r>
              <w:rPr/>
              <w:t>(10) </w:t>
            </w:r>
          </w:p>
        </w:tc>
        <w:tc>
          <w:tcPr>
            <w:tcW w:w="60" w:type="dxa"/>
            <w:tcBorders/>
            <w:shd w:fill="EAEAEA" w:val="clear"/>
            <w:vAlign w:val="center"/>
          </w:tcPr>
          <w:p>
            <w:pPr>
              <w:pStyle w:val="TableContents"/>
              <w:bidi w:val="0"/>
              <w:spacing w:before="0" w:after="283"/>
              <w:jc w:val="left"/>
              <w:rPr/>
            </w:pPr>
            <w:r>
              <w:rPr/>
              <w:t> </w:t>
            </w:r>
          </w:p>
        </w:tc>
        <w:tc>
          <w:tcPr>
            <w:tcW w:w="112" w:type="dxa"/>
            <w:tcBorders/>
            <w:shd w:fill="EAEAEA" w:val="clear"/>
            <w:vAlign w:val="center"/>
          </w:tcPr>
          <w:p>
            <w:pPr>
              <w:pStyle w:val="TableContents"/>
              <w:bidi w:val="0"/>
              <w:spacing w:before="0" w:after="283"/>
              <w:jc w:val="left"/>
              <w:rPr/>
            </w:pPr>
            <w:r>
              <w:rPr/>
              <w:t> </w:t>
            </w:r>
          </w:p>
        </w:tc>
        <w:tc>
          <w:tcPr>
            <w:tcW w:w="1843" w:type="dxa"/>
            <w:tcBorders/>
            <w:shd w:fill="EAEAEA" w:val="clear"/>
            <w:vAlign w:val="center"/>
          </w:tcPr>
          <w:p>
            <w:pPr>
              <w:pStyle w:val="TableContents"/>
              <w:bidi w:val="0"/>
              <w:spacing w:before="0" w:after="283"/>
              <w:jc w:val="right"/>
              <w:rPr/>
            </w:pPr>
            <w:r>
              <w:rPr/>
              <w:t>2,455,410</w:t>
            </w:r>
          </w:p>
        </w:tc>
        <w:tc>
          <w:tcPr>
            <w:tcW w:w="75" w:type="dxa"/>
            <w:tcBorders/>
            <w:shd w:fill="EAEAEA" w:val="clear"/>
            <w:vAlign w:val="center"/>
          </w:tcPr>
          <w:p>
            <w:pPr>
              <w:pStyle w:val="TableContents"/>
              <w:bidi w:val="0"/>
              <w:spacing w:before="0" w:after="283"/>
              <w:jc w:val="left"/>
              <w:rPr/>
            </w:pPr>
            <w:r>
              <w:rPr/>
              <w:t> </w:t>
            </w:r>
          </w:p>
        </w:tc>
      </w:tr>
      <w:tr>
        <w:trPr/>
        <w:tc>
          <w:tcPr>
            <w:tcW w:w="635" w:type="dxa"/>
            <w:vMerge w:val="restart"/>
            <w:tcBorders/>
            <w:vAlign w:val="center"/>
          </w:tcPr>
          <w:p>
            <w:pPr>
              <w:pStyle w:val="TableContents"/>
              <w:bidi w:val="0"/>
              <w:spacing w:before="0" w:after="0"/>
              <w:jc w:val="left"/>
              <w:rPr>
                <w:rFonts w:ascii="ARIAL" w:hAnsi="ARIAL"/>
                <w:b/>
                <w:sz w:val="15"/>
              </w:rPr>
            </w:pPr>
            <w:r>
              <w:rPr>
                <w:rFonts w:ascii="ARIAL" w:hAnsi="ARIAL"/>
                <w:b/>
                <w:sz w:val="15"/>
              </w:rPr>
              <w:t>Rajiv</w:t>
            </w:r>
          </w:p>
          <w:p>
            <w:pPr>
              <w:pStyle w:val="TableContents"/>
              <w:bidi w:val="0"/>
              <w:spacing w:before="0" w:after="20"/>
              <w:jc w:val="left"/>
              <w:rPr>
                <w:rFonts w:ascii="ARIAL" w:hAnsi="ARIAL"/>
                <w:b/>
                <w:sz w:val="15"/>
              </w:rPr>
            </w:pPr>
            <w:r>
              <w:rPr>
                <w:rFonts w:ascii="ARIAL" w:hAnsi="ARIAL"/>
                <w:b/>
                <w:sz w:val="15"/>
              </w:rPr>
              <w:t>Malik</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34,389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55.84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3/5/2024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41,637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50.66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11/17/2025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50,168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46.27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2/17/2026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65,574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45.18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3/3/2027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71,600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40.97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3/2/2028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60,053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27.45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3/1/2029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84,871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17.48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3/2/2030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76,063</w:t>
            </w:r>
          </w:p>
        </w:tc>
        <w:tc>
          <w:tcPr>
            <w:tcW w:w="21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823,762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340,336</w:t>
            </w:r>
          </w:p>
        </w:tc>
        <w:tc>
          <w:tcPr>
            <w:tcW w:w="335"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3,685,839</w:t>
            </w:r>
          </w:p>
        </w:tc>
        <w:tc>
          <w:tcPr>
            <w:tcW w:w="75"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179,028</w:t>
            </w:r>
          </w:p>
        </w:tc>
        <w:tc>
          <w:tcPr>
            <w:tcW w:w="215"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1,938,873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498,721</w:t>
            </w:r>
          </w:p>
        </w:tc>
        <w:tc>
          <w:tcPr>
            <w:tcW w:w="335"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5,401,148</w:t>
            </w:r>
          </w:p>
        </w:tc>
        <w:tc>
          <w:tcPr>
            <w:tcW w:w="75"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257,362</w:t>
            </w:r>
          </w:p>
        </w:tc>
        <w:tc>
          <w:tcPr>
            <w:tcW w:w="215"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2,787,230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477,956</w:t>
            </w:r>
          </w:p>
        </w:tc>
        <w:tc>
          <w:tcPr>
            <w:tcW w:w="33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5,176,263</w:t>
            </w:r>
          </w:p>
        </w:tc>
        <w:tc>
          <w:tcPr>
            <w:tcW w:w="75" w:type="dxa"/>
            <w:tcBorders/>
            <w:vAlign w:val="center"/>
          </w:tcPr>
          <w:p>
            <w:pPr>
              <w:pStyle w:val="TableContents"/>
              <w:bidi w:val="0"/>
              <w:spacing w:before="0" w:after="283"/>
              <w:jc w:val="left"/>
              <w:rPr/>
            </w:pPr>
            <w:r>
              <w:rPr/>
              <w:t> </w:t>
            </w:r>
          </w:p>
        </w:tc>
      </w:tr>
      <w:tr>
        <w:trPr/>
        <w:tc>
          <w:tcPr>
            <w:tcW w:w="635" w:type="dxa"/>
            <w:vMerge w:val="restart"/>
            <w:tcBorders/>
            <w:shd w:fill="EAEAEA" w:val="clear"/>
            <w:vAlign w:val="center"/>
          </w:tcPr>
          <w:p>
            <w:pPr>
              <w:pStyle w:val="TableContents"/>
              <w:bidi w:val="0"/>
              <w:spacing w:before="0" w:after="0"/>
              <w:jc w:val="left"/>
              <w:rPr>
                <w:rFonts w:ascii="ARIAL" w:hAnsi="ARIAL"/>
                <w:b/>
                <w:sz w:val="15"/>
              </w:rPr>
            </w:pPr>
            <w:r>
              <w:rPr>
                <w:rFonts w:ascii="ARIAL" w:hAnsi="ARIAL"/>
                <w:b/>
                <w:sz w:val="15"/>
              </w:rPr>
              <w:t>Anthony Mauro</w:t>
            </w:r>
          </w:p>
        </w:tc>
        <w:tc>
          <w:tcPr>
            <w:tcW w:w="60" w:type="dxa"/>
            <w:tcBorders/>
            <w:shd w:fill="EAEAEA" w:val="clear"/>
            <w:vAlign w:val="center"/>
          </w:tcPr>
          <w:p>
            <w:pPr>
              <w:pStyle w:val="TableContents"/>
              <w:bidi w:val="0"/>
              <w:spacing w:before="0" w:after="283"/>
              <w:jc w:val="left"/>
              <w:rPr/>
            </w:pPr>
            <w:r>
              <w:rPr/>
              <w:t> </w:t>
            </w:r>
          </w:p>
        </w:tc>
        <w:tc>
          <w:tcPr>
            <w:tcW w:w="102" w:type="dxa"/>
            <w:tcBorders/>
            <w:shd w:fill="EAEAEA" w:val="clear"/>
            <w:vAlign w:val="center"/>
          </w:tcPr>
          <w:p>
            <w:pPr>
              <w:pStyle w:val="TableContents"/>
              <w:bidi w:val="0"/>
              <w:spacing w:before="0" w:after="283"/>
              <w:jc w:val="left"/>
              <w:rPr/>
            </w:pPr>
            <w:r>
              <w:rPr/>
              <w:t> </w:t>
            </w:r>
          </w:p>
        </w:tc>
        <w:tc>
          <w:tcPr>
            <w:tcW w:w="1163" w:type="dxa"/>
            <w:tcBorders/>
            <w:shd w:fill="EAEAEA" w:val="clear"/>
            <w:vAlign w:val="center"/>
          </w:tcPr>
          <w:p>
            <w:pPr>
              <w:pStyle w:val="TableContents"/>
              <w:bidi w:val="0"/>
              <w:spacing w:before="0" w:after="283"/>
              <w:jc w:val="right"/>
              <w:rPr/>
            </w:pPr>
            <w:r>
              <w:rPr/>
              <w:t>12,009</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270" w:type="dxa"/>
            <w:tcBorders/>
            <w:shd w:fill="EAEAEA" w:val="clear"/>
            <w:vAlign w:val="center"/>
          </w:tcPr>
          <w:p>
            <w:pPr>
              <w:pStyle w:val="TableContents"/>
              <w:bidi w:val="0"/>
              <w:spacing w:before="0" w:after="283"/>
              <w:jc w:val="left"/>
              <w:rPr/>
            </w:pPr>
            <w:r>
              <w:rPr/>
              <w:t> </w:t>
            </w:r>
          </w:p>
        </w:tc>
        <w:tc>
          <w:tcPr>
            <w:tcW w:w="117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84" w:type="dxa"/>
            <w:tcBorders/>
            <w:shd w:fill="EAEAEA" w:val="clear"/>
            <w:vAlign w:val="center"/>
          </w:tcPr>
          <w:p>
            <w:pPr>
              <w:pStyle w:val="TableContents"/>
              <w:bidi w:val="0"/>
              <w:spacing w:before="0" w:after="283"/>
              <w:jc w:val="left"/>
              <w:rPr/>
            </w:pPr>
            <w:r>
              <w:rPr/>
              <w:t> </w:t>
            </w:r>
          </w:p>
        </w:tc>
        <w:tc>
          <w:tcPr>
            <w:tcW w:w="791" w:type="dxa"/>
            <w:tcBorders/>
            <w:shd w:fill="EAEAEA" w:val="clear"/>
            <w:vAlign w:val="center"/>
          </w:tcPr>
          <w:p>
            <w:pPr>
              <w:pStyle w:val="TableContents"/>
              <w:bidi w:val="0"/>
              <w:spacing w:before="0" w:after="283"/>
              <w:jc w:val="right"/>
              <w:rPr/>
            </w:pPr>
            <w:r>
              <w:rPr/>
              <w:t>55.84</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055" w:type="dxa"/>
            <w:tcBorders/>
            <w:shd w:fill="EAEAEA" w:val="clear"/>
            <w:vAlign w:val="center"/>
          </w:tcPr>
          <w:p>
            <w:pPr>
              <w:pStyle w:val="TableContents"/>
              <w:bidi w:val="0"/>
              <w:spacing w:before="0" w:after="283"/>
              <w:jc w:val="right"/>
              <w:rPr/>
            </w:pPr>
            <w:r>
              <w:rPr/>
              <w:t>3/5/2024</w:t>
            </w:r>
          </w:p>
        </w:tc>
        <w:tc>
          <w:tcPr>
            <w:tcW w:w="60" w:type="dxa"/>
            <w:tcBorders/>
            <w:shd w:fill="EAEAEA"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79" w:type="dxa"/>
            <w:tcBorders/>
            <w:shd w:fill="EAEAEA" w:val="clear"/>
            <w:vAlign w:val="center"/>
          </w:tcPr>
          <w:p>
            <w:pPr>
              <w:pStyle w:val="TableContents"/>
              <w:bidi w:val="0"/>
              <w:spacing w:before="0" w:after="283"/>
              <w:jc w:val="left"/>
              <w:rPr/>
            </w:pPr>
            <w:r>
              <w:rPr/>
              <w:t> </w:t>
            </w:r>
          </w:p>
        </w:tc>
        <w:tc>
          <w:tcPr>
            <w:tcW w:w="1066" w:type="dxa"/>
            <w:tcBorders/>
            <w:shd w:fill="EAEAEA" w:val="clear"/>
            <w:vAlign w:val="center"/>
          </w:tcPr>
          <w:p>
            <w:pPr>
              <w:pStyle w:val="TableContents"/>
              <w:bidi w:val="0"/>
              <w:spacing w:before="0" w:after="283"/>
              <w:jc w:val="right"/>
              <w:rPr/>
            </w:pPr>
            <w:r>
              <w:rPr/>
              <w:t>—</w:t>
            </w:r>
          </w:p>
        </w:tc>
        <w:tc>
          <w:tcPr>
            <w:tcW w:w="215"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13" w:type="dxa"/>
            <w:tcBorders/>
            <w:shd w:fill="EAEAEA" w:val="clear"/>
            <w:vAlign w:val="center"/>
          </w:tcPr>
          <w:p>
            <w:pPr>
              <w:pStyle w:val="TableContents"/>
              <w:bidi w:val="0"/>
              <w:spacing w:before="0" w:after="283"/>
              <w:jc w:val="left"/>
              <w:rPr/>
            </w:pPr>
            <w:r>
              <w:rPr/>
              <w:t> </w:t>
            </w:r>
          </w:p>
        </w:tc>
        <w:tc>
          <w:tcPr>
            <w:tcW w:w="1512" w:type="dxa"/>
            <w:tcBorders/>
            <w:shd w:fill="EAEAEA" w:val="clear"/>
            <w:vAlign w:val="center"/>
          </w:tcPr>
          <w:p>
            <w:pPr>
              <w:pStyle w:val="TableContents"/>
              <w:bidi w:val="0"/>
              <w:spacing w:before="0" w:after="283"/>
              <w:jc w:val="right"/>
              <w:rPr/>
            </w:pPr>
            <w:r>
              <w:rPr/>
              <w:t>—</w:t>
            </w:r>
          </w:p>
        </w:tc>
        <w:tc>
          <w:tcPr>
            <w:tcW w:w="335"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12" w:type="dxa"/>
            <w:tcBorders/>
            <w:shd w:fill="EAEAEA" w:val="clear"/>
            <w:vAlign w:val="center"/>
          </w:tcPr>
          <w:p>
            <w:pPr>
              <w:pStyle w:val="TableContents"/>
              <w:bidi w:val="0"/>
              <w:spacing w:before="0" w:after="283"/>
              <w:jc w:val="left"/>
              <w:rPr/>
            </w:pPr>
            <w:r>
              <w:rPr/>
              <w:t> </w:t>
            </w:r>
          </w:p>
        </w:tc>
        <w:tc>
          <w:tcPr>
            <w:tcW w:w="1843" w:type="dxa"/>
            <w:tcBorders/>
            <w:shd w:fill="EAEAEA" w:val="clear"/>
            <w:vAlign w:val="center"/>
          </w:tcPr>
          <w:p>
            <w:pPr>
              <w:pStyle w:val="TableContents"/>
              <w:bidi w:val="0"/>
              <w:spacing w:before="0" w:after="283"/>
              <w:jc w:val="right"/>
              <w:rPr/>
            </w:pPr>
            <w:r>
              <w:rPr/>
              <w:t>—</w:t>
            </w:r>
          </w:p>
        </w:tc>
        <w:tc>
          <w:tcPr>
            <w:tcW w:w="75" w:type="dxa"/>
            <w:tcBorders/>
            <w:shd w:fill="EAEAEA" w:val="clear"/>
            <w:vAlign w:val="center"/>
          </w:tcPr>
          <w:p>
            <w:pPr>
              <w:pStyle w:val="TableContents"/>
              <w:bidi w:val="0"/>
              <w:spacing w:before="0" w:after="283"/>
              <w:jc w:val="left"/>
              <w:rPr/>
            </w:pPr>
            <w:r>
              <w:rPr/>
              <w:t> </w:t>
            </w:r>
          </w:p>
        </w:tc>
      </w:tr>
      <w:tr>
        <w:trPr/>
        <w:tc>
          <w:tcPr>
            <w:tcW w:w="635" w:type="dxa"/>
            <w:vMerge w:val="continue"/>
            <w:tcBorders/>
            <w:shd w:fill="EAEAEA" w:val="clear"/>
            <w:vAlign w:val="center"/>
          </w:tcPr>
          <w:p>
            <w:pPr>
              <w:pStyle w:val="Normal"/>
              <w:bidi w:val="0"/>
              <w:jc w:val="left"/>
              <w:rPr/>
            </w:pPr>
            <w:r>
              <w:rPr/>
            </w:r>
          </w:p>
        </w:tc>
        <w:tc>
          <w:tcPr>
            <w:tcW w:w="60" w:type="dxa"/>
            <w:tcBorders/>
            <w:shd w:fill="EAEAEA" w:val="clear"/>
            <w:vAlign w:val="center"/>
          </w:tcPr>
          <w:p>
            <w:pPr>
              <w:pStyle w:val="TableContents"/>
              <w:bidi w:val="0"/>
              <w:spacing w:before="0" w:after="283"/>
              <w:jc w:val="left"/>
              <w:rPr/>
            </w:pPr>
            <w:r>
              <w:rPr/>
              <w:t> </w:t>
            </w:r>
          </w:p>
        </w:tc>
        <w:tc>
          <w:tcPr>
            <w:tcW w:w="102" w:type="dxa"/>
            <w:tcBorders/>
            <w:shd w:fill="EAEAEA" w:val="clear"/>
            <w:vAlign w:val="center"/>
          </w:tcPr>
          <w:p>
            <w:pPr>
              <w:pStyle w:val="TableContents"/>
              <w:bidi w:val="0"/>
              <w:spacing w:before="0" w:after="283"/>
              <w:jc w:val="left"/>
              <w:rPr/>
            </w:pPr>
            <w:r>
              <w:rPr/>
              <w:t> </w:t>
            </w:r>
          </w:p>
        </w:tc>
        <w:tc>
          <w:tcPr>
            <w:tcW w:w="1163" w:type="dxa"/>
            <w:tcBorders/>
            <w:shd w:fill="EAEAEA" w:val="clear"/>
            <w:vAlign w:val="center"/>
          </w:tcPr>
          <w:p>
            <w:pPr>
              <w:pStyle w:val="TableContents"/>
              <w:bidi w:val="0"/>
              <w:spacing w:before="0" w:after="283"/>
              <w:jc w:val="right"/>
              <w:rPr/>
            </w:pPr>
            <w:r>
              <w:rPr/>
              <w:t>16,265</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270" w:type="dxa"/>
            <w:tcBorders/>
            <w:shd w:fill="EAEAEA" w:val="clear"/>
            <w:vAlign w:val="center"/>
          </w:tcPr>
          <w:p>
            <w:pPr>
              <w:pStyle w:val="TableContents"/>
              <w:bidi w:val="0"/>
              <w:spacing w:before="0" w:after="283"/>
              <w:jc w:val="left"/>
              <w:rPr/>
            </w:pPr>
            <w:r>
              <w:rPr/>
              <w:t> </w:t>
            </w:r>
          </w:p>
        </w:tc>
        <w:tc>
          <w:tcPr>
            <w:tcW w:w="117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84" w:type="dxa"/>
            <w:tcBorders/>
            <w:shd w:fill="EAEAEA" w:val="clear"/>
            <w:vAlign w:val="center"/>
          </w:tcPr>
          <w:p>
            <w:pPr>
              <w:pStyle w:val="TableContents"/>
              <w:bidi w:val="0"/>
              <w:spacing w:before="0" w:after="283"/>
              <w:jc w:val="left"/>
              <w:rPr/>
            </w:pPr>
            <w:r>
              <w:rPr/>
              <w:t> </w:t>
            </w:r>
          </w:p>
        </w:tc>
        <w:tc>
          <w:tcPr>
            <w:tcW w:w="791" w:type="dxa"/>
            <w:tcBorders/>
            <w:shd w:fill="EAEAEA" w:val="clear"/>
            <w:vAlign w:val="center"/>
          </w:tcPr>
          <w:p>
            <w:pPr>
              <w:pStyle w:val="TableContents"/>
              <w:bidi w:val="0"/>
              <w:spacing w:before="0" w:after="283"/>
              <w:jc w:val="right"/>
              <w:rPr/>
            </w:pPr>
            <w:r>
              <w:rPr/>
              <w:t>50.66</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055" w:type="dxa"/>
            <w:tcBorders/>
            <w:shd w:fill="EAEAEA" w:val="clear"/>
            <w:vAlign w:val="center"/>
          </w:tcPr>
          <w:p>
            <w:pPr>
              <w:pStyle w:val="TableContents"/>
              <w:bidi w:val="0"/>
              <w:spacing w:before="0" w:after="283"/>
              <w:jc w:val="right"/>
              <w:rPr/>
            </w:pPr>
            <w:r>
              <w:rPr/>
              <w:t>11/17/2025</w:t>
            </w:r>
          </w:p>
        </w:tc>
        <w:tc>
          <w:tcPr>
            <w:tcW w:w="60" w:type="dxa"/>
            <w:tcBorders/>
            <w:shd w:fill="EAEAEA"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79" w:type="dxa"/>
            <w:tcBorders/>
            <w:shd w:fill="EAEAEA" w:val="clear"/>
            <w:vAlign w:val="center"/>
          </w:tcPr>
          <w:p>
            <w:pPr>
              <w:pStyle w:val="TableContents"/>
              <w:bidi w:val="0"/>
              <w:spacing w:before="0" w:after="283"/>
              <w:jc w:val="left"/>
              <w:rPr/>
            </w:pPr>
            <w:r>
              <w:rPr/>
              <w:t> </w:t>
            </w:r>
          </w:p>
        </w:tc>
        <w:tc>
          <w:tcPr>
            <w:tcW w:w="1066" w:type="dxa"/>
            <w:tcBorders/>
            <w:shd w:fill="EAEAEA" w:val="clear"/>
            <w:vAlign w:val="center"/>
          </w:tcPr>
          <w:p>
            <w:pPr>
              <w:pStyle w:val="TableContents"/>
              <w:bidi w:val="0"/>
              <w:spacing w:before="0" w:after="283"/>
              <w:jc w:val="right"/>
              <w:rPr/>
            </w:pPr>
            <w:r>
              <w:rPr/>
              <w:t>—</w:t>
            </w:r>
          </w:p>
        </w:tc>
        <w:tc>
          <w:tcPr>
            <w:tcW w:w="215"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13" w:type="dxa"/>
            <w:tcBorders/>
            <w:shd w:fill="EAEAEA" w:val="clear"/>
            <w:vAlign w:val="center"/>
          </w:tcPr>
          <w:p>
            <w:pPr>
              <w:pStyle w:val="TableContents"/>
              <w:bidi w:val="0"/>
              <w:spacing w:before="0" w:after="283"/>
              <w:jc w:val="left"/>
              <w:rPr/>
            </w:pPr>
            <w:r>
              <w:rPr/>
              <w:t> </w:t>
            </w:r>
          </w:p>
        </w:tc>
        <w:tc>
          <w:tcPr>
            <w:tcW w:w="1512" w:type="dxa"/>
            <w:tcBorders/>
            <w:shd w:fill="EAEAEA" w:val="clear"/>
            <w:vAlign w:val="center"/>
          </w:tcPr>
          <w:p>
            <w:pPr>
              <w:pStyle w:val="TableContents"/>
              <w:bidi w:val="0"/>
              <w:spacing w:before="0" w:after="283"/>
              <w:jc w:val="right"/>
              <w:rPr/>
            </w:pPr>
            <w:r>
              <w:rPr/>
              <w:t>—</w:t>
            </w:r>
          </w:p>
        </w:tc>
        <w:tc>
          <w:tcPr>
            <w:tcW w:w="335"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12" w:type="dxa"/>
            <w:tcBorders/>
            <w:shd w:fill="EAEAEA" w:val="clear"/>
            <w:vAlign w:val="center"/>
          </w:tcPr>
          <w:p>
            <w:pPr>
              <w:pStyle w:val="TableContents"/>
              <w:bidi w:val="0"/>
              <w:spacing w:before="0" w:after="283"/>
              <w:jc w:val="left"/>
              <w:rPr/>
            </w:pPr>
            <w:r>
              <w:rPr/>
              <w:t> </w:t>
            </w:r>
          </w:p>
        </w:tc>
        <w:tc>
          <w:tcPr>
            <w:tcW w:w="1843" w:type="dxa"/>
            <w:tcBorders/>
            <w:shd w:fill="EAEAEA" w:val="clear"/>
            <w:vAlign w:val="center"/>
          </w:tcPr>
          <w:p>
            <w:pPr>
              <w:pStyle w:val="TableContents"/>
              <w:bidi w:val="0"/>
              <w:spacing w:before="0" w:after="283"/>
              <w:jc w:val="right"/>
              <w:rPr/>
            </w:pPr>
            <w:r>
              <w:rPr/>
              <w:t>—</w:t>
            </w:r>
          </w:p>
        </w:tc>
        <w:tc>
          <w:tcPr>
            <w:tcW w:w="75" w:type="dxa"/>
            <w:tcBorders/>
            <w:shd w:fill="EAEAEA" w:val="clear"/>
            <w:vAlign w:val="center"/>
          </w:tcPr>
          <w:p>
            <w:pPr>
              <w:pStyle w:val="TableContents"/>
              <w:bidi w:val="0"/>
              <w:spacing w:before="0" w:after="283"/>
              <w:jc w:val="left"/>
              <w:rPr/>
            </w:pPr>
            <w:r>
              <w:rPr/>
              <w:t> </w:t>
            </w:r>
          </w:p>
        </w:tc>
      </w:tr>
      <w:tr>
        <w:trPr/>
        <w:tc>
          <w:tcPr>
            <w:tcW w:w="635" w:type="dxa"/>
            <w:vMerge w:val="continue"/>
            <w:tcBorders/>
            <w:shd w:fill="EAEAEA" w:val="clear"/>
            <w:vAlign w:val="center"/>
          </w:tcPr>
          <w:p>
            <w:pPr>
              <w:pStyle w:val="Normal"/>
              <w:bidi w:val="0"/>
              <w:jc w:val="left"/>
              <w:rPr/>
            </w:pPr>
            <w:r>
              <w:rPr/>
            </w:r>
          </w:p>
        </w:tc>
        <w:tc>
          <w:tcPr>
            <w:tcW w:w="60" w:type="dxa"/>
            <w:tcBorders/>
            <w:shd w:fill="EAEAEA" w:val="clear"/>
            <w:vAlign w:val="center"/>
          </w:tcPr>
          <w:p>
            <w:pPr>
              <w:pStyle w:val="TableContents"/>
              <w:bidi w:val="0"/>
              <w:spacing w:before="0" w:after="283"/>
              <w:jc w:val="left"/>
              <w:rPr/>
            </w:pPr>
            <w:r>
              <w:rPr/>
              <w:t> </w:t>
            </w:r>
          </w:p>
        </w:tc>
        <w:tc>
          <w:tcPr>
            <w:tcW w:w="102" w:type="dxa"/>
            <w:tcBorders/>
            <w:shd w:fill="EAEAEA" w:val="clear"/>
            <w:vAlign w:val="center"/>
          </w:tcPr>
          <w:p>
            <w:pPr>
              <w:pStyle w:val="TableContents"/>
              <w:bidi w:val="0"/>
              <w:spacing w:before="0" w:after="283"/>
              <w:jc w:val="left"/>
              <w:rPr/>
            </w:pPr>
            <w:r>
              <w:rPr/>
              <w:t> </w:t>
            </w:r>
          </w:p>
        </w:tc>
        <w:tc>
          <w:tcPr>
            <w:tcW w:w="1163" w:type="dxa"/>
            <w:tcBorders/>
            <w:shd w:fill="EAEAEA" w:val="clear"/>
            <w:vAlign w:val="center"/>
          </w:tcPr>
          <w:p>
            <w:pPr>
              <w:pStyle w:val="TableContents"/>
              <w:bidi w:val="0"/>
              <w:spacing w:before="0" w:after="283"/>
              <w:jc w:val="right"/>
              <w:rPr/>
            </w:pPr>
            <w:r>
              <w:rPr/>
              <w:t>27,314</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270" w:type="dxa"/>
            <w:tcBorders/>
            <w:shd w:fill="EAEAEA" w:val="clear"/>
            <w:vAlign w:val="center"/>
          </w:tcPr>
          <w:p>
            <w:pPr>
              <w:pStyle w:val="TableContents"/>
              <w:bidi w:val="0"/>
              <w:spacing w:before="0" w:after="283"/>
              <w:jc w:val="left"/>
              <w:rPr/>
            </w:pPr>
            <w:r>
              <w:rPr/>
              <w:t> </w:t>
            </w:r>
          </w:p>
        </w:tc>
        <w:tc>
          <w:tcPr>
            <w:tcW w:w="117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84" w:type="dxa"/>
            <w:tcBorders/>
            <w:shd w:fill="EAEAEA" w:val="clear"/>
            <w:vAlign w:val="center"/>
          </w:tcPr>
          <w:p>
            <w:pPr>
              <w:pStyle w:val="TableContents"/>
              <w:bidi w:val="0"/>
              <w:spacing w:before="0" w:after="283"/>
              <w:jc w:val="left"/>
              <w:rPr/>
            </w:pPr>
            <w:r>
              <w:rPr/>
              <w:t> </w:t>
            </w:r>
          </w:p>
        </w:tc>
        <w:tc>
          <w:tcPr>
            <w:tcW w:w="791" w:type="dxa"/>
            <w:tcBorders/>
            <w:shd w:fill="EAEAEA" w:val="clear"/>
            <w:vAlign w:val="center"/>
          </w:tcPr>
          <w:p>
            <w:pPr>
              <w:pStyle w:val="TableContents"/>
              <w:bidi w:val="0"/>
              <w:spacing w:before="0" w:after="283"/>
              <w:jc w:val="right"/>
              <w:rPr/>
            </w:pPr>
            <w:r>
              <w:rPr/>
              <w:t>46.27</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055" w:type="dxa"/>
            <w:tcBorders/>
            <w:shd w:fill="EAEAEA" w:val="clear"/>
            <w:vAlign w:val="center"/>
          </w:tcPr>
          <w:p>
            <w:pPr>
              <w:pStyle w:val="TableContents"/>
              <w:bidi w:val="0"/>
              <w:spacing w:before="0" w:after="283"/>
              <w:jc w:val="right"/>
              <w:rPr/>
            </w:pPr>
            <w:r>
              <w:rPr/>
              <w:t>2/17/2026</w:t>
            </w:r>
          </w:p>
        </w:tc>
        <w:tc>
          <w:tcPr>
            <w:tcW w:w="60" w:type="dxa"/>
            <w:tcBorders/>
            <w:shd w:fill="EAEAEA"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79" w:type="dxa"/>
            <w:tcBorders/>
            <w:shd w:fill="EAEAEA" w:val="clear"/>
            <w:vAlign w:val="center"/>
          </w:tcPr>
          <w:p>
            <w:pPr>
              <w:pStyle w:val="TableContents"/>
              <w:bidi w:val="0"/>
              <w:spacing w:before="0" w:after="283"/>
              <w:jc w:val="left"/>
              <w:rPr/>
            </w:pPr>
            <w:r>
              <w:rPr/>
              <w:t> </w:t>
            </w:r>
          </w:p>
        </w:tc>
        <w:tc>
          <w:tcPr>
            <w:tcW w:w="1066" w:type="dxa"/>
            <w:tcBorders/>
            <w:shd w:fill="EAEAEA" w:val="clear"/>
            <w:vAlign w:val="center"/>
          </w:tcPr>
          <w:p>
            <w:pPr>
              <w:pStyle w:val="TableContents"/>
              <w:bidi w:val="0"/>
              <w:spacing w:before="0" w:after="283"/>
              <w:jc w:val="right"/>
              <w:rPr/>
            </w:pPr>
            <w:r>
              <w:rPr/>
              <w:t>—</w:t>
            </w:r>
          </w:p>
        </w:tc>
        <w:tc>
          <w:tcPr>
            <w:tcW w:w="215"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13" w:type="dxa"/>
            <w:tcBorders/>
            <w:shd w:fill="EAEAEA" w:val="clear"/>
            <w:vAlign w:val="center"/>
          </w:tcPr>
          <w:p>
            <w:pPr>
              <w:pStyle w:val="TableContents"/>
              <w:bidi w:val="0"/>
              <w:spacing w:before="0" w:after="283"/>
              <w:jc w:val="left"/>
              <w:rPr/>
            </w:pPr>
            <w:r>
              <w:rPr/>
              <w:t> </w:t>
            </w:r>
          </w:p>
        </w:tc>
        <w:tc>
          <w:tcPr>
            <w:tcW w:w="1512" w:type="dxa"/>
            <w:tcBorders/>
            <w:shd w:fill="EAEAEA" w:val="clear"/>
            <w:vAlign w:val="center"/>
          </w:tcPr>
          <w:p>
            <w:pPr>
              <w:pStyle w:val="TableContents"/>
              <w:bidi w:val="0"/>
              <w:spacing w:before="0" w:after="283"/>
              <w:jc w:val="right"/>
              <w:rPr/>
            </w:pPr>
            <w:r>
              <w:rPr/>
              <w:t>—</w:t>
            </w:r>
          </w:p>
        </w:tc>
        <w:tc>
          <w:tcPr>
            <w:tcW w:w="335"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12" w:type="dxa"/>
            <w:tcBorders/>
            <w:shd w:fill="EAEAEA" w:val="clear"/>
            <w:vAlign w:val="center"/>
          </w:tcPr>
          <w:p>
            <w:pPr>
              <w:pStyle w:val="TableContents"/>
              <w:bidi w:val="0"/>
              <w:spacing w:before="0" w:after="283"/>
              <w:jc w:val="left"/>
              <w:rPr/>
            </w:pPr>
            <w:r>
              <w:rPr/>
              <w:t> </w:t>
            </w:r>
          </w:p>
        </w:tc>
        <w:tc>
          <w:tcPr>
            <w:tcW w:w="1843" w:type="dxa"/>
            <w:tcBorders/>
            <w:shd w:fill="EAEAEA" w:val="clear"/>
            <w:vAlign w:val="center"/>
          </w:tcPr>
          <w:p>
            <w:pPr>
              <w:pStyle w:val="TableContents"/>
              <w:bidi w:val="0"/>
              <w:spacing w:before="0" w:after="283"/>
              <w:jc w:val="right"/>
              <w:rPr/>
            </w:pPr>
            <w:r>
              <w:rPr/>
              <w:t>—</w:t>
            </w:r>
          </w:p>
        </w:tc>
        <w:tc>
          <w:tcPr>
            <w:tcW w:w="75" w:type="dxa"/>
            <w:tcBorders/>
            <w:shd w:fill="EAEAEA" w:val="clear"/>
            <w:vAlign w:val="center"/>
          </w:tcPr>
          <w:p>
            <w:pPr>
              <w:pStyle w:val="TableContents"/>
              <w:bidi w:val="0"/>
              <w:spacing w:before="0" w:after="283"/>
              <w:jc w:val="left"/>
              <w:rPr/>
            </w:pPr>
            <w:r>
              <w:rPr/>
              <w:t> </w:t>
            </w:r>
          </w:p>
        </w:tc>
      </w:tr>
      <w:tr>
        <w:trPr/>
        <w:tc>
          <w:tcPr>
            <w:tcW w:w="635" w:type="dxa"/>
            <w:tcBorders/>
            <w:shd w:fill="EAEAEA" w:val="clear"/>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102" w:type="dxa"/>
            <w:tcBorders/>
            <w:shd w:fill="EAEAEA" w:val="clear"/>
            <w:vAlign w:val="center"/>
          </w:tcPr>
          <w:p>
            <w:pPr>
              <w:pStyle w:val="TableContents"/>
              <w:bidi w:val="0"/>
              <w:spacing w:before="0" w:after="283"/>
              <w:jc w:val="left"/>
              <w:rPr/>
            </w:pPr>
            <w:r>
              <w:rPr/>
              <w:t> </w:t>
            </w:r>
          </w:p>
        </w:tc>
        <w:tc>
          <w:tcPr>
            <w:tcW w:w="1163" w:type="dxa"/>
            <w:tcBorders/>
            <w:shd w:fill="EAEAEA" w:val="clear"/>
            <w:vAlign w:val="center"/>
          </w:tcPr>
          <w:p>
            <w:pPr>
              <w:pStyle w:val="TableContents"/>
              <w:bidi w:val="0"/>
              <w:spacing w:before="0" w:after="283"/>
              <w:jc w:val="right"/>
              <w:rPr/>
            </w:pPr>
            <w:r>
              <w:rPr/>
              <w:t>29,275</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270" w:type="dxa"/>
            <w:tcBorders/>
            <w:shd w:fill="EAEAEA" w:val="clear"/>
            <w:vAlign w:val="center"/>
          </w:tcPr>
          <w:p>
            <w:pPr>
              <w:pStyle w:val="TableContents"/>
              <w:bidi w:val="0"/>
              <w:spacing w:before="0" w:after="283"/>
              <w:jc w:val="left"/>
              <w:rPr/>
            </w:pPr>
            <w:r>
              <w:rPr/>
              <w:t> </w:t>
            </w:r>
          </w:p>
        </w:tc>
        <w:tc>
          <w:tcPr>
            <w:tcW w:w="117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84" w:type="dxa"/>
            <w:tcBorders/>
            <w:shd w:fill="EAEAEA" w:val="clear"/>
            <w:vAlign w:val="center"/>
          </w:tcPr>
          <w:p>
            <w:pPr>
              <w:pStyle w:val="TableContents"/>
              <w:bidi w:val="0"/>
              <w:spacing w:before="0" w:after="283"/>
              <w:jc w:val="left"/>
              <w:rPr/>
            </w:pPr>
            <w:r>
              <w:rPr/>
              <w:t> </w:t>
            </w:r>
          </w:p>
        </w:tc>
        <w:tc>
          <w:tcPr>
            <w:tcW w:w="791" w:type="dxa"/>
            <w:tcBorders/>
            <w:shd w:fill="EAEAEA" w:val="clear"/>
            <w:vAlign w:val="center"/>
          </w:tcPr>
          <w:p>
            <w:pPr>
              <w:pStyle w:val="TableContents"/>
              <w:bidi w:val="0"/>
              <w:spacing w:before="0" w:after="283"/>
              <w:jc w:val="right"/>
              <w:rPr/>
            </w:pPr>
            <w:r>
              <w:rPr/>
              <w:t>45.18</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055" w:type="dxa"/>
            <w:tcBorders/>
            <w:shd w:fill="EAEAEA" w:val="clear"/>
            <w:vAlign w:val="center"/>
          </w:tcPr>
          <w:p>
            <w:pPr>
              <w:pStyle w:val="TableContents"/>
              <w:bidi w:val="0"/>
              <w:spacing w:before="0" w:after="283"/>
              <w:jc w:val="right"/>
              <w:rPr/>
            </w:pPr>
            <w:r>
              <w:rPr/>
              <w:t>3/3/2027</w:t>
            </w:r>
          </w:p>
        </w:tc>
        <w:tc>
          <w:tcPr>
            <w:tcW w:w="60" w:type="dxa"/>
            <w:tcBorders/>
            <w:shd w:fill="EAEAEA"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79" w:type="dxa"/>
            <w:tcBorders/>
            <w:shd w:fill="EAEAEA" w:val="clear"/>
            <w:vAlign w:val="center"/>
          </w:tcPr>
          <w:p>
            <w:pPr>
              <w:pStyle w:val="TableContents"/>
              <w:bidi w:val="0"/>
              <w:spacing w:before="0" w:after="283"/>
              <w:jc w:val="left"/>
              <w:rPr/>
            </w:pPr>
            <w:r>
              <w:rPr/>
              <w:t> </w:t>
            </w:r>
          </w:p>
        </w:tc>
        <w:tc>
          <w:tcPr>
            <w:tcW w:w="1066" w:type="dxa"/>
            <w:tcBorders/>
            <w:shd w:fill="EAEAEA" w:val="clear"/>
            <w:vAlign w:val="center"/>
          </w:tcPr>
          <w:p>
            <w:pPr>
              <w:pStyle w:val="TableContents"/>
              <w:bidi w:val="0"/>
              <w:spacing w:before="0" w:after="283"/>
              <w:jc w:val="right"/>
              <w:rPr/>
            </w:pPr>
            <w:r>
              <w:rPr/>
              <w:t>—</w:t>
            </w:r>
          </w:p>
        </w:tc>
        <w:tc>
          <w:tcPr>
            <w:tcW w:w="215"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13" w:type="dxa"/>
            <w:tcBorders/>
            <w:shd w:fill="EAEAEA" w:val="clear"/>
            <w:vAlign w:val="center"/>
          </w:tcPr>
          <w:p>
            <w:pPr>
              <w:pStyle w:val="TableContents"/>
              <w:bidi w:val="0"/>
              <w:spacing w:before="0" w:after="283"/>
              <w:jc w:val="left"/>
              <w:rPr/>
            </w:pPr>
            <w:r>
              <w:rPr/>
              <w:t> </w:t>
            </w:r>
          </w:p>
        </w:tc>
        <w:tc>
          <w:tcPr>
            <w:tcW w:w="1512" w:type="dxa"/>
            <w:tcBorders/>
            <w:shd w:fill="EAEAEA" w:val="clear"/>
            <w:vAlign w:val="center"/>
          </w:tcPr>
          <w:p>
            <w:pPr>
              <w:pStyle w:val="TableContents"/>
              <w:bidi w:val="0"/>
              <w:spacing w:before="0" w:after="283"/>
              <w:jc w:val="right"/>
              <w:rPr/>
            </w:pPr>
            <w:r>
              <w:rPr/>
              <w:t>—</w:t>
            </w:r>
          </w:p>
        </w:tc>
        <w:tc>
          <w:tcPr>
            <w:tcW w:w="335"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12" w:type="dxa"/>
            <w:tcBorders/>
            <w:shd w:fill="EAEAEA" w:val="clear"/>
            <w:vAlign w:val="center"/>
          </w:tcPr>
          <w:p>
            <w:pPr>
              <w:pStyle w:val="TableContents"/>
              <w:bidi w:val="0"/>
              <w:spacing w:before="0" w:after="283"/>
              <w:jc w:val="left"/>
              <w:rPr/>
            </w:pPr>
            <w:r>
              <w:rPr/>
              <w:t> </w:t>
            </w:r>
          </w:p>
        </w:tc>
        <w:tc>
          <w:tcPr>
            <w:tcW w:w="1843" w:type="dxa"/>
            <w:tcBorders/>
            <w:shd w:fill="EAEAEA" w:val="clear"/>
            <w:vAlign w:val="center"/>
          </w:tcPr>
          <w:p>
            <w:pPr>
              <w:pStyle w:val="TableContents"/>
              <w:bidi w:val="0"/>
              <w:spacing w:before="0" w:after="283"/>
              <w:jc w:val="right"/>
              <w:rPr/>
            </w:pPr>
            <w:r>
              <w:rPr/>
              <w:t>—</w:t>
            </w:r>
          </w:p>
        </w:tc>
        <w:tc>
          <w:tcPr>
            <w:tcW w:w="75" w:type="dxa"/>
            <w:tcBorders/>
            <w:shd w:fill="EAEAEA" w:val="clear"/>
            <w:vAlign w:val="center"/>
          </w:tcPr>
          <w:p>
            <w:pPr>
              <w:pStyle w:val="TableContents"/>
              <w:bidi w:val="0"/>
              <w:spacing w:before="0" w:after="283"/>
              <w:jc w:val="left"/>
              <w:rPr/>
            </w:pPr>
            <w:r>
              <w:rPr/>
              <w:t> </w:t>
            </w:r>
          </w:p>
        </w:tc>
      </w:tr>
      <w:tr>
        <w:trPr/>
        <w:tc>
          <w:tcPr>
            <w:tcW w:w="635" w:type="dxa"/>
            <w:tcBorders/>
            <w:shd w:fill="EAEAEA" w:val="clear"/>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102" w:type="dxa"/>
            <w:tcBorders/>
            <w:shd w:fill="EAEAEA" w:val="clear"/>
            <w:vAlign w:val="center"/>
          </w:tcPr>
          <w:p>
            <w:pPr>
              <w:pStyle w:val="TableContents"/>
              <w:bidi w:val="0"/>
              <w:spacing w:before="0" w:after="283"/>
              <w:jc w:val="left"/>
              <w:rPr/>
            </w:pPr>
            <w:r>
              <w:rPr/>
              <w:t> </w:t>
            </w:r>
          </w:p>
        </w:tc>
        <w:tc>
          <w:tcPr>
            <w:tcW w:w="1163" w:type="dxa"/>
            <w:tcBorders/>
            <w:shd w:fill="EAEAEA" w:val="clear"/>
            <w:vAlign w:val="center"/>
          </w:tcPr>
          <w:p>
            <w:pPr>
              <w:pStyle w:val="TableContents"/>
              <w:bidi w:val="0"/>
              <w:spacing w:before="0" w:after="283"/>
              <w:jc w:val="right"/>
              <w:rPr/>
            </w:pPr>
            <w:r>
              <w:rPr/>
              <w:t>29,833</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270" w:type="dxa"/>
            <w:tcBorders/>
            <w:shd w:fill="EAEAEA" w:val="clear"/>
            <w:vAlign w:val="center"/>
          </w:tcPr>
          <w:p>
            <w:pPr>
              <w:pStyle w:val="TableContents"/>
              <w:bidi w:val="0"/>
              <w:spacing w:before="0" w:after="283"/>
              <w:jc w:val="left"/>
              <w:rPr/>
            </w:pPr>
            <w:r>
              <w:rPr/>
              <w:t> </w:t>
            </w:r>
          </w:p>
        </w:tc>
        <w:tc>
          <w:tcPr>
            <w:tcW w:w="117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84" w:type="dxa"/>
            <w:tcBorders/>
            <w:shd w:fill="EAEAEA" w:val="clear"/>
            <w:vAlign w:val="center"/>
          </w:tcPr>
          <w:p>
            <w:pPr>
              <w:pStyle w:val="TableContents"/>
              <w:bidi w:val="0"/>
              <w:spacing w:before="0" w:after="283"/>
              <w:jc w:val="left"/>
              <w:rPr/>
            </w:pPr>
            <w:r>
              <w:rPr/>
              <w:t> </w:t>
            </w:r>
          </w:p>
        </w:tc>
        <w:tc>
          <w:tcPr>
            <w:tcW w:w="791" w:type="dxa"/>
            <w:tcBorders/>
            <w:shd w:fill="EAEAEA" w:val="clear"/>
            <w:vAlign w:val="center"/>
          </w:tcPr>
          <w:p>
            <w:pPr>
              <w:pStyle w:val="TableContents"/>
              <w:bidi w:val="0"/>
              <w:spacing w:before="0" w:after="283"/>
              <w:jc w:val="right"/>
              <w:rPr/>
            </w:pPr>
            <w:r>
              <w:rPr/>
              <w:t>40.97</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055" w:type="dxa"/>
            <w:tcBorders/>
            <w:shd w:fill="EAEAEA" w:val="clear"/>
            <w:vAlign w:val="center"/>
          </w:tcPr>
          <w:p>
            <w:pPr>
              <w:pStyle w:val="TableContents"/>
              <w:bidi w:val="0"/>
              <w:spacing w:before="0" w:after="283"/>
              <w:jc w:val="right"/>
              <w:rPr/>
            </w:pPr>
            <w:r>
              <w:rPr/>
              <w:t>3/2/2028</w:t>
            </w:r>
          </w:p>
        </w:tc>
        <w:tc>
          <w:tcPr>
            <w:tcW w:w="60" w:type="dxa"/>
            <w:tcBorders/>
            <w:shd w:fill="EAEAEA"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79" w:type="dxa"/>
            <w:tcBorders/>
            <w:shd w:fill="EAEAEA" w:val="clear"/>
            <w:vAlign w:val="center"/>
          </w:tcPr>
          <w:p>
            <w:pPr>
              <w:pStyle w:val="TableContents"/>
              <w:bidi w:val="0"/>
              <w:spacing w:before="0" w:after="283"/>
              <w:jc w:val="left"/>
              <w:rPr/>
            </w:pPr>
            <w:r>
              <w:rPr/>
              <w:t> </w:t>
            </w:r>
          </w:p>
        </w:tc>
        <w:tc>
          <w:tcPr>
            <w:tcW w:w="1066" w:type="dxa"/>
            <w:tcBorders/>
            <w:shd w:fill="EAEAEA" w:val="clear"/>
            <w:vAlign w:val="center"/>
          </w:tcPr>
          <w:p>
            <w:pPr>
              <w:pStyle w:val="TableContents"/>
              <w:bidi w:val="0"/>
              <w:spacing w:before="0" w:after="283"/>
              <w:jc w:val="right"/>
              <w:rPr/>
            </w:pPr>
            <w:r>
              <w:rPr/>
              <w:t>—</w:t>
            </w:r>
          </w:p>
        </w:tc>
        <w:tc>
          <w:tcPr>
            <w:tcW w:w="215"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13" w:type="dxa"/>
            <w:tcBorders/>
            <w:shd w:fill="EAEAEA" w:val="clear"/>
            <w:vAlign w:val="center"/>
          </w:tcPr>
          <w:p>
            <w:pPr>
              <w:pStyle w:val="TableContents"/>
              <w:bidi w:val="0"/>
              <w:spacing w:before="0" w:after="283"/>
              <w:jc w:val="left"/>
              <w:rPr/>
            </w:pPr>
            <w:r>
              <w:rPr/>
              <w:t> </w:t>
            </w:r>
          </w:p>
        </w:tc>
        <w:tc>
          <w:tcPr>
            <w:tcW w:w="1512" w:type="dxa"/>
            <w:tcBorders/>
            <w:shd w:fill="EAEAEA" w:val="clear"/>
            <w:vAlign w:val="center"/>
          </w:tcPr>
          <w:p>
            <w:pPr>
              <w:pStyle w:val="TableContents"/>
              <w:bidi w:val="0"/>
              <w:spacing w:before="0" w:after="283"/>
              <w:jc w:val="right"/>
              <w:rPr/>
            </w:pPr>
            <w:r>
              <w:rPr/>
              <w:t>—</w:t>
            </w:r>
          </w:p>
        </w:tc>
        <w:tc>
          <w:tcPr>
            <w:tcW w:w="335"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12" w:type="dxa"/>
            <w:tcBorders/>
            <w:shd w:fill="EAEAEA" w:val="clear"/>
            <w:vAlign w:val="center"/>
          </w:tcPr>
          <w:p>
            <w:pPr>
              <w:pStyle w:val="TableContents"/>
              <w:bidi w:val="0"/>
              <w:spacing w:before="0" w:after="283"/>
              <w:jc w:val="left"/>
              <w:rPr/>
            </w:pPr>
            <w:r>
              <w:rPr/>
              <w:t> </w:t>
            </w:r>
          </w:p>
        </w:tc>
        <w:tc>
          <w:tcPr>
            <w:tcW w:w="1843" w:type="dxa"/>
            <w:tcBorders/>
            <w:shd w:fill="EAEAEA" w:val="clear"/>
            <w:vAlign w:val="center"/>
          </w:tcPr>
          <w:p>
            <w:pPr>
              <w:pStyle w:val="TableContents"/>
              <w:bidi w:val="0"/>
              <w:spacing w:before="0" w:after="283"/>
              <w:jc w:val="right"/>
              <w:rPr/>
            </w:pPr>
            <w:r>
              <w:rPr/>
              <w:t>—</w:t>
            </w:r>
          </w:p>
        </w:tc>
        <w:tc>
          <w:tcPr>
            <w:tcW w:w="75" w:type="dxa"/>
            <w:tcBorders/>
            <w:shd w:fill="EAEAEA" w:val="clear"/>
            <w:vAlign w:val="center"/>
          </w:tcPr>
          <w:p>
            <w:pPr>
              <w:pStyle w:val="TableContents"/>
              <w:bidi w:val="0"/>
              <w:spacing w:before="0" w:after="283"/>
              <w:jc w:val="left"/>
              <w:rPr/>
            </w:pPr>
            <w:r>
              <w:rPr/>
              <w:t> </w:t>
            </w:r>
          </w:p>
        </w:tc>
      </w:tr>
      <w:tr>
        <w:trPr/>
        <w:tc>
          <w:tcPr>
            <w:tcW w:w="635" w:type="dxa"/>
            <w:tcBorders/>
            <w:shd w:fill="EAEAEA" w:val="clear"/>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102" w:type="dxa"/>
            <w:tcBorders/>
            <w:shd w:fill="EAEAEA" w:val="clear"/>
            <w:vAlign w:val="center"/>
          </w:tcPr>
          <w:p>
            <w:pPr>
              <w:pStyle w:val="TableContents"/>
              <w:bidi w:val="0"/>
              <w:spacing w:before="0" w:after="283"/>
              <w:jc w:val="left"/>
              <w:rPr/>
            </w:pPr>
            <w:r>
              <w:rPr/>
              <w:t> </w:t>
            </w:r>
          </w:p>
        </w:tc>
        <w:tc>
          <w:tcPr>
            <w:tcW w:w="1163" w:type="dxa"/>
            <w:tcBorders/>
            <w:shd w:fill="EAEAEA" w:val="clear"/>
            <w:vAlign w:val="center"/>
          </w:tcPr>
          <w:p>
            <w:pPr>
              <w:pStyle w:val="TableContents"/>
              <w:bidi w:val="0"/>
              <w:spacing w:before="0" w:after="283"/>
              <w:jc w:val="right"/>
              <w:rPr/>
            </w:pPr>
            <w:r>
              <w:rPr/>
              <w:t>27,851</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270" w:type="dxa"/>
            <w:tcBorders/>
            <w:shd w:fill="EAEAEA" w:val="clear"/>
            <w:vAlign w:val="center"/>
          </w:tcPr>
          <w:p>
            <w:pPr>
              <w:pStyle w:val="TableContents"/>
              <w:bidi w:val="0"/>
              <w:spacing w:before="0" w:after="283"/>
              <w:jc w:val="left"/>
              <w:rPr/>
            </w:pPr>
            <w:r>
              <w:rPr/>
              <w:t> </w:t>
            </w:r>
          </w:p>
        </w:tc>
        <w:tc>
          <w:tcPr>
            <w:tcW w:w="117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84" w:type="dxa"/>
            <w:tcBorders/>
            <w:shd w:fill="EAEAEA" w:val="clear"/>
            <w:vAlign w:val="center"/>
          </w:tcPr>
          <w:p>
            <w:pPr>
              <w:pStyle w:val="TableContents"/>
              <w:bidi w:val="0"/>
              <w:spacing w:before="0" w:after="283"/>
              <w:jc w:val="left"/>
              <w:rPr/>
            </w:pPr>
            <w:r>
              <w:rPr/>
              <w:t> </w:t>
            </w:r>
          </w:p>
        </w:tc>
        <w:tc>
          <w:tcPr>
            <w:tcW w:w="791" w:type="dxa"/>
            <w:tcBorders/>
            <w:shd w:fill="EAEAEA" w:val="clear"/>
            <w:vAlign w:val="center"/>
          </w:tcPr>
          <w:p>
            <w:pPr>
              <w:pStyle w:val="TableContents"/>
              <w:bidi w:val="0"/>
              <w:spacing w:before="0" w:after="283"/>
              <w:jc w:val="right"/>
              <w:rPr/>
            </w:pPr>
            <w:r>
              <w:rPr/>
              <w:t>27.45</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055" w:type="dxa"/>
            <w:tcBorders/>
            <w:shd w:fill="EAEAEA" w:val="clear"/>
            <w:vAlign w:val="center"/>
          </w:tcPr>
          <w:p>
            <w:pPr>
              <w:pStyle w:val="TableContents"/>
              <w:bidi w:val="0"/>
              <w:spacing w:before="0" w:after="283"/>
              <w:jc w:val="right"/>
              <w:rPr/>
            </w:pPr>
            <w:r>
              <w:rPr/>
              <w:t>3/1/2029</w:t>
            </w:r>
          </w:p>
        </w:tc>
        <w:tc>
          <w:tcPr>
            <w:tcW w:w="60" w:type="dxa"/>
            <w:tcBorders/>
            <w:shd w:fill="EAEAEA"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79" w:type="dxa"/>
            <w:tcBorders/>
            <w:shd w:fill="EAEAEA" w:val="clear"/>
            <w:vAlign w:val="center"/>
          </w:tcPr>
          <w:p>
            <w:pPr>
              <w:pStyle w:val="TableContents"/>
              <w:bidi w:val="0"/>
              <w:spacing w:before="0" w:after="283"/>
              <w:jc w:val="left"/>
              <w:rPr/>
            </w:pPr>
            <w:r>
              <w:rPr/>
              <w:t> </w:t>
            </w:r>
          </w:p>
        </w:tc>
        <w:tc>
          <w:tcPr>
            <w:tcW w:w="1066" w:type="dxa"/>
            <w:tcBorders/>
            <w:shd w:fill="EAEAEA" w:val="clear"/>
            <w:vAlign w:val="center"/>
          </w:tcPr>
          <w:p>
            <w:pPr>
              <w:pStyle w:val="TableContents"/>
              <w:bidi w:val="0"/>
              <w:spacing w:before="0" w:after="283"/>
              <w:jc w:val="right"/>
              <w:rPr/>
            </w:pPr>
            <w:r>
              <w:rPr/>
              <w:t>—</w:t>
            </w:r>
          </w:p>
        </w:tc>
        <w:tc>
          <w:tcPr>
            <w:tcW w:w="215"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13" w:type="dxa"/>
            <w:tcBorders/>
            <w:shd w:fill="EAEAEA" w:val="clear"/>
            <w:vAlign w:val="center"/>
          </w:tcPr>
          <w:p>
            <w:pPr>
              <w:pStyle w:val="TableContents"/>
              <w:bidi w:val="0"/>
              <w:spacing w:before="0" w:after="283"/>
              <w:jc w:val="left"/>
              <w:rPr/>
            </w:pPr>
            <w:r>
              <w:rPr/>
              <w:t> </w:t>
            </w:r>
          </w:p>
        </w:tc>
        <w:tc>
          <w:tcPr>
            <w:tcW w:w="1512" w:type="dxa"/>
            <w:tcBorders/>
            <w:shd w:fill="EAEAEA" w:val="clear"/>
            <w:vAlign w:val="center"/>
          </w:tcPr>
          <w:p>
            <w:pPr>
              <w:pStyle w:val="TableContents"/>
              <w:bidi w:val="0"/>
              <w:spacing w:before="0" w:after="283"/>
              <w:jc w:val="right"/>
              <w:rPr/>
            </w:pPr>
            <w:r>
              <w:rPr/>
              <w:t>—</w:t>
            </w:r>
          </w:p>
        </w:tc>
        <w:tc>
          <w:tcPr>
            <w:tcW w:w="335"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12" w:type="dxa"/>
            <w:tcBorders/>
            <w:shd w:fill="EAEAEA" w:val="clear"/>
            <w:vAlign w:val="center"/>
          </w:tcPr>
          <w:p>
            <w:pPr>
              <w:pStyle w:val="TableContents"/>
              <w:bidi w:val="0"/>
              <w:spacing w:before="0" w:after="283"/>
              <w:jc w:val="left"/>
              <w:rPr/>
            </w:pPr>
            <w:r>
              <w:rPr/>
              <w:t> </w:t>
            </w:r>
          </w:p>
        </w:tc>
        <w:tc>
          <w:tcPr>
            <w:tcW w:w="1843" w:type="dxa"/>
            <w:tcBorders/>
            <w:shd w:fill="EAEAEA" w:val="clear"/>
            <w:vAlign w:val="center"/>
          </w:tcPr>
          <w:p>
            <w:pPr>
              <w:pStyle w:val="TableContents"/>
              <w:bidi w:val="0"/>
              <w:spacing w:before="0" w:after="283"/>
              <w:jc w:val="right"/>
              <w:rPr/>
            </w:pPr>
            <w:r>
              <w:rPr/>
              <w:t>—</w:t>
            </w:r>
          </w:p>
        </w:tc>
        <w:tc>
          <w:tcPr>
            <w:tcW w:w="75" w:type="dxa"/>
            <w:tcBorders/>
            <w:shd w:fill="EAEAEA" w:val="clear"/>
            <w:vAlign w:val="center"/>
          </w:tcPr>
          <w:p>
            <w:pPr>
              <w:pStyle w:val="TableContents"/>
              <w:bidi w:val="0"/>
              <w:spacing w:before="0" w:after="283"/>
              <w:jc w:val="left"/>
              <w:rPr/>
            </w:pPr>
            <w:r>
              <w:rPr/>
              <w:t> </w:t>
            </w:r>
          </w:p>
        </w:tc>
      </w:tr>
      <w:tr>
        <w:trPr/>
        <w:tc>
          <w:tcPr>
            <w:tcW w:w="635" w:type="dxa"/>
            <w:tcBorders/>
            <w:shd w:fill="EAEAEA" w:val="clear"/>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102" w:type="dxa"/>
            <w:tcBorders/>
            <w:shd w:fill="EAEAEA" w:val="clear"/>
            <w:vAlign w:val="center"/>
          </w:tcPr>
          <w:p>
            <w:pPr>
              <w:pStyle w:val="TableContents"/>
              <w:bidi w:val="0"/>
              <w:spacing w:before="0" w:after="283"/>
              <w:jc w:val="left"/>
              <w:rPr/>
            </w:pPr>
            <w:r>
              <w:rPr/>
              <w:t> </w:t>
            </w:r>
          </w:p>
        </w:tc>
        <w:tc>
          <w:tcPr>
            <w:tcW w:w="1163" w:type="dxa"/>
            <w:tcBorders/>
            <w:shd w:fill="EAEAEA" w:val="clear"/>
            <w:vAlign w:val="center"/>
          </w:tcPr>
          <w:p>
            <w:pPr>
              <w:pStyle w:val="TableContents"/>
              <w:bidi w:val="0"/>
              <w:spacing w:before="0" w:after="283"/>
              <w:jc w:val="right"/>
              <w:rPr/>
            </w:pPr>
            <w:r>
              <w:rPr/>
              <w:t>39,361</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270" w:type="dxa"/>
            <w:tcBorders/>
            <w:shd w:fill="EAEAEA" w:val="clear"/>
            <w:vAlign w:val="center"/>
          </w:tcPr>
          <w:p>
            <w:pPr>
              <w:pStyle w:val="TableContents"/>
              <w:bidi w:val="0"/>
              <w:spacing w:before="0" w:after="283"/>
              <w:jc w:val="left"/>
              <w:rPr/>
            </w:pPr>
            <w:r>
              <w:rPr/>
              <w:t> </w:t>
            </w:r>
          </w:p>
        </w:tc>
        <w:tc>
          <w:tcPr>
            <w:tcW w:w="117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84" w:type="dxa"/>
            <w:tcBorders/>
            <w:shd w:fill="EAEAEA" w:val="clear"/>
            <w:vAlign w:val="center"/>
          </w:tcPr>
          <w:p>
            <w:pPr>
              <w:pStyle w:val="TableContents"/>
              <w:bidi w:val="0"/>
              <w:spacing w:before="0" w:after="283"/>
              <w:jc w:val="left"/>
              <w:rPr/>
            </w:pPr>
            <w:r>
              <w:rPr/>
              <w:t> </w:t>
            </w:r>
          </w:p>
        </w:tc>
        <w:tc>
          <w:tcPr>
            <w:tcW w:w="791" w:type="dxa"/>
            <w:tcBorders/>
            <w:shd w:fill="EAEAEA" w:val="clear"/>
            <w:vAlign w:val="center"/>
          </w:tcPr>
          <w:p>
            <w:pPr>
              <w:pStyle w:val="TableContents"/>
              <w:bidi w:val="0"/>
              <w:spacing w:before="0" w:after="283"/>
              <w:jc w:val="right"/>
              <w:rPr/>
            </w:pPr>
            <w:r>
              <w:rPr/>
              <w:t>17.48</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055" w:type="dxa"/>
            <w:tcBorders/>
            <w:shd w:fill="EAEAEA" w:val="clear"/>
            <w:vAlign w:val="center"/>
          </w:tcPr>
          <w:p>
            <w:pPr>
              <w:pStyle w:val="TableContents"/>
              <w:bidi w:val="0"/>
              <w:spacing w:before="0" w:after="283"/>
              <w:jc w:val="right"/>
              <w:rPr/>
            </w:pPr>
            <w:r>
              <w:rPr/>
              <w:t>3/2/2030</w:t>
            </w:r>
          </w:p>
        </w:tc>
        <w:tc>
          <w:tcPr>
            <w:tcW w:w="60" w:type="dxa"/>
            <w:tcBorders/>
            <w:shd w:fill="EAEAEA"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79" w:type="dxa"/>
            <w:tcBorders/>
            <w:shd w:fill="EAEAEA" w:val="clear"/>
            <w:vAlign w:val="center"/>
          </w:tcPr>
          <w:p>
            <w:pPr>
              <w:pStyle w:val="TableContents"/>
              <w:bidi w:val="0"/>
              <w:spacing w:before="0" w:after="283"/>
              <w:jc w:val="left"/>
              <w:rPr/>
            </w:pPr>
            <w:r>
              <w:rPr/>
              <w:t> </w:t>
            </w:r>
          </w:p>
        </w:tc>
        <w:tc>
          <w:tcPr>
            <w:tcW w:w="1066" w:type="dxa"/>
            <w:tcBorders/>
            <w:shd w:fill="EAEAEA" w:val="clear"/>
            <w:vAlign w:val="center"/>
          </w:tcPr>
          <w:p>
            <w:pPr>
              <w:pStyle w:val="TableContents"/>
              <w:bidi w:val="0"/>
              <w:spacing w:before="0" w:after="283"/>
              <w:jc w:val="right"/>
              <w:rPr/>
            </w:pPr>
            <w:r>
              <w:rPr/>
              <w:t>—</w:t>
            </w:r>
          </w:p>
        </w:tc>
        <w:tc>
          <w:tcPr>
            <w:tcW w:w="215"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13" w:type="dxa"/>
            <w:tcBorders/>
            <w:shd w:fill="EAEAEA" w:val="clear"/>
            <w:vAlign w:val="center"/>
          </w:tcPr>
          <w:p>
            <w:pPr>
              <w:pStyle w:val="TableContents"/>
              <w:bidi w:val="0"/>
              <w:spacing w:before="0" w:after="283"/>
              <w:jc w:val="left"/>
              <w:rPr/>
            </w:pPr>
            <w:r>
              <w:rPr/>
              <w:t> </w:t>
            </w:r>
          </w:p>
        </w:tc>
        <w:tc>
          <w:tcPr>
            <w:tcW w:w="1512" w:type="dxa"/>
            <w:tcBorders/>
            <w:shd w:fill="EAEAEA" w:val="clear"/>
            <w:vAlign w:val="center"/>
          </w:tcPr>
          <w:p>
            <w:pPr>
              <w:pStyle w:val="TableContents"/>
              <w:bidi w:val="0"/>
              <w:spacing w:before="0" w:after="283"/>
              <w:jc w:val="right"/>
              <w:rPr/>
            </w:pPr>
            <w:r>
              <w:rPr/>
              <w:t>—</w:t>
            </w:r>
          </w:p>
        </w:tc>
        <w:tc>
          <w:tcPr>
            <w:tcW w:w="335"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12" w:type="dxa"/>
            <w:tcBorders/>
            <w:shd w:fill="EAEAEA" w:val="clear"/>
            <w:vAlign w:val="center"/>
          </w:tcPr>
          <w:p>
            <w:pPr>
              <w:pStyle w:val="TableContents"/>
              <w:bidi w:val="0"/>
              <w:spacing w:before="0" w:after="283"/>
              <w:jc w:val="left"/>
              <w:rPr/>
            </w:pPr>
            <w:r>
              <w:rPr/>
              <w:t> </w:t>
            </w:r>
          </w:p>
        </w:tc>
        <w:tc>
          <w:tcPr>
            <w:tcW w:w="1843" w:type="dxa"/>
            <w:tcBorders/>
            <w:shd w:fill="EAEAEA" w:val="clear"/>
            <w:vAlign w:val="center"/>
          </w:tcPr>
          <w:p>
            <w:pPr>
              <w:pStyle w:val="TableContents"/>
              <w:bidi w:val="0"/>
              <w:spacing w:before="0" w:after="283"/>
              <w:jc w:val="right"/>
              <w:rPr/>
            </w:pPr>
            <w:r>
              <w:rPr/>
              <w:t>—</w:t>
            </w:r>
          </w:p>
        </w:tc>
        <w:tc>
          <w:tcPr>
            <w:tcW w:w="75" w:type="dxa"/>
            <w:tcBorders/>
            <w:shd w:fill="EAEAEA" w:val="clear"/>
            <w:vAlign w:val="center"/>
          </w:tcPr>
          <w:p>
            <w:pPr>
              <w:pStyle w:val="TableContents"/>
              <w:bidi w:val="0"/>
              <w:spacing w:before="0" w:after="283"/>
              <w:jc w:val="left"/>
              <w:rPr/>
            </w:pPr>
            <w:r>
              <w:rPr/>
              <w:t> </w:t>
            </w:r>
          </w:p>
        </w:tc>
      </w:tr>
      <w:tr>
        <w:trPr/>
        <w:tc>
          <w:tcPr>
            <w:tcW w:w="635" w:type="dxa"/>
            <w:tcBorders/>
            <w:shd w:fill="EAEAEA" w:val="clear"/>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102" w:type="dxa"/>
            <w:tcBorders/>
            <w:shd w:fill="EAEAEA" w:val="clear"/>
            <w:vAlign w:val="center"/>
          </w:tcPr>
          <w:p>
            <w:pPr>
              <w:pStyle w:val="TableContents"/>
              <w:bidi w:val="0"/>
              <w:spacing w:before="0" w:after="283"/>
              <w:jc w:val="left"/>
              <w:rPr/>
            </w:pPr>
            <w:r>
              <w:rPr/>
              <w:t> </w:t>
            </w:r>
          </w:p>
        </w:tc>
        <w:tc>
          <w:tcPr>
            <w:tcW w:w="1163"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270" w:type="dxa"/>
            <w:tcBorders/>
            <w:shd w:fill="EAEAEA" w:val="clear"/>
            <w:vAlign w:val="center"/>
          </w:tcPr>
          <w:p>
            <w:pPr>
              <w:pStyle w:val="TableContents"/>
              <w:bidi w:val="0"/>
              <w:spacing w:before="0" w:after="283"/>
              <w:jc w:val="left"/>
              <w:rPr/>
            </w:pPr>
            <w:r>
              <w:rPr/>
              <w:t> </w:t>
            </w:r>
          </w:p>
        </w:tc>
        <w:tc>
          <w:tcPr>
            <w:tcW w:w="117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84" w:type="dxa"/>
            <w:tcBorders/>
            <w:shd w:fill="EAEAEA" w:val="clear"/>
            <w:vAlign w:val="center"/>
          </w:tcPr>
          <w:p>
            <w:pPr>
              <w:pStyle w:val="TableContents"/>
              <w:bidi w:val="0"/>
              <w:spacing w:before="0" w:after="283"/>
              <w:jc w:val="left"/>
              <w:rPr/>
            </w:pPr>
            <w:r>
              <w:rPr/>
              <w:t> </w:t>
            </w:r>
          </w:p>
        </w:tc>
        <w:tc>
          <w:tcPr>
            <w:tcW w:w="791"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05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79" w:type="dxa"/>
            <w:tcBorders/>
            <w:shd w:fill="EAEAEA" w:val="clear"/>
            <w:vAlign w:val="center"/>
          </w:tcPr>
          <w:p>
            <w:pPr>
              <w:pStyle w:val="TableContents"/>
              <w:bidi w:val="0"/>
              <w:spacing w:before="0" w:after="283"/>
              <w:jc w:val="left"/>
              <w:rPr/>
            </w:pPr>
            <w:r>
              <w:rPr/>
              <w:t> </w:t>
            </w:r>
          </w:p>
        </w:tc>
        <w:tc>
          <w:tcPr>
            <w:tcW w:w="1066" w:type="dxa"/>
            <w:tcBorders/>
            <w:shd w:fill="EAEAEA" w:val="clear"/>
            <w:vAlign w:val="center"/>
          </w:tcPr>
          <w:p>
            <w:pPr>
              <w:pStyle w:val="TableContents"/>
              <w:bidi w:val="0"/>
              <w:spacing w:before="0" w:after="283"/>
              <w:jc w:val="right"/>
              <w:rPr/>
            </w:pPr>
            <w:r>
              <w:rPr/>
              <w:t>33,806</w:t>
            </w:r>
          </w:p>
        </w:tc>
        <w:tc>
          <w:tcPr>
            <w:tcW w:w="215" w:type="dxa"/>
            <w:tcBorders/>
            <w:shd w:fill="EAEAEA" w:val="clear"/>
            <w:vAlign w:val="center"/>
          </w:tcPr>
          <w:p>
            <w:pPr>
              <w:pStyle w:val="TableContents"/>
              <w:bidi w:val="0"/>
              <w:spacing w:before="0" w:after="283"/>
              <w:jc w:val="left"/>
              <w:rPr/>
            </w:pPr>
            <w:r>
              <w:rPr/>
              <w:t>(4)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366,119</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13" w:type="dxa"/>
            <w:tcBorders/>
            <w:shd w:fill="EAEAEA" w:val="clear"/>
            <w:vAlign w:val="center"/>
          </w:tcPr>
          <w:p>
            <w:pPr>
              <w:pStyle w:val="TableContents"/>
              <w:bidi w:val="0"/>
              <w:spacing w:before="0" w:after="283"/>
              <w:jc w:val="left"/>
              <w:rPr/>
            </w:pPr>
            <w:r>
              <w:rPr/>
              <w:t> </w:t>
            </w:r>
          </w:p>
        </w:tc>
        <w:tc>
          <w:tcPr>
            <w:tcW w:w="1512" w:type="dxa"/>
            <w:tcBorders/>
            <w:shd w:fill="EAEAEA" w:val="clear"/>
            <w:vAlign w:val="center"/>
          </w:tcPr>
          <w:p>
            <w:pPr>
              <w:pStyle w:val="TableContents"/>
              <w:bidi w:val="0"/>
              <w:spacing w:before="0" w:after="283"/>
              <w:jc w:val="right"/>
              <w:rPr/>
            </w:pPr>
            <w:r>
              <w:rPr/>
              <w:t>151,261</w:t>
            </w:r>
          </w:p>
        </w:tc>
        <w:tc>
          <w:tcPr>
            <w:tcW w:w="335" w:type="dxa"/>
            <w:tcBorders/>
            <w:shd w:fill="EAEAEA" w:val="clear"/>
            <w:vAlign w:val="center"/>
          </w:tcPr>
          <w:p>
            <w:pPr>
              <w:pStyle w:val="TableContents"/>
              <w:bidi w:val="0"/>
              <w:spacing w:before="0" w:after="283"/>
              <w:jc w:val="left"/>
              <w:rPr/>
            </w:pPr>
            <w:r>
              <w:rPr/>
              <w:t>(7) </w:t>
            </w:r>
          </w:p>
        </w:tc>
        <w:tc>
          <w:tcPr>
            <w:tcW w:w="60" w:type="dxa"/>
            <w:tcBorders/>
            <w:shd w:fill="EAEAEA" w:val="clear"/>
            <w:vAlign w:val="center"/>
          </w:tcPr>
          <w:p>
            <w:pPr>
              <w:pStyle w:val="TableContents"/>
              <w:bidi w:val="0"/>
              <w:spacing w:before="0" w:after="283"/>
              <w:jc w:val="left"/>
              <w:rPr/>
            </w:pPr>
            <w:r>
              <w:rPr/>
              <w:t> </w:t>
            </w:r>
          </w:p>
        </w:tc>
        <w:tc>
          <w:tcPr>
            <w:tcW w:w="112" w:type="dxa"/>
            <w:tcBorders/>
            <w:shd w:fill="EAEAEA" w:val="clear"/>
            <w:vAlign w:val="center"/>
          </w:tcPr>
          <w:p>
            <w:pPr>
              <w:pStyle w:val="TableContents"/>
              <w:bidi w:val="0"/>
              <w:spacing w:before="0" w:after="283"/>
              <w:jc w:val="left"/>
              <w:rPr/>
            </w:pPr>
            <w:r>
              <w:rPr/>
              <w:t> </w:t>
            </w:r>
          </w:p>
        </w:tc>
        <w:tc>
          <w:tcPr>
            <w:tcW w:w="1843" w:type="dxa"/>
            <w:tcBorders/>
            <w:shd w:fill="EAEAEA" w:val="clear"/>
            <w:vAlign w:val="center"/>
          </w:tcPr>
          <w:p>
            <w:pPr>
              <w:pStyle w:val="TableContents"/>
              <w:bidi w:val="0"/>
              <w:spacing w:before="0" w:after="283"/>
              <w:jc w:val="right"/>
              <w:rPr/>
            </w:pPr>
            <w:r>
              <w:rPr/>
              <w:t>1,638,157</w:t>
            </w:r>
          </w:p>
        </w:tc>
        <w:tc>
          <w:tcPr>
            <w:tcW w:w="75" w:type="dxa"/>
            <w:tcBorders/>
            <w:shd w:fill="EAEAEA" w:val="clear"/>
            <w:vAlign w:val="center"/>
          </w:tcPr>
          <w:p>
            <w:pPr>
              <w:pStyle w:val="TableContents"/>
              <w:bidi w:val="0"/>
              <w:spacing w:before="0" w:after="283"/>
              <w:jc w:val="left"/>
              <w:rPr/>
            </w:pPr>
            <w:r>
              <w:rPr/>
              <w:t> </w:t>
            </w:r>
          </w:p>
        </w:tc>
      </w:tr>
      <w:tr>
        <w:trPr/>
        <w:tc>
          <w:tcPr>
            <w:tcW w:w="635" w:type="dxa"/>
            <w:tcBorders/>
            <w:shd w:fill="EAEAEA" w:val="clear"/>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102" w:type="dxa"/>
            <w:tcBorders/>
            <w:shd w:fill="EAEAEA" w:val="clear"/>
            <w:vAlign w:val="center"/>
          </w:tcPr>
          <w:p>
            <w:pPr>
              <w:pStyle w:val="TableContents"/>
              <w:bidi w:val="0"/>
              <w:spacing w:before="0" w:after="283"/>
              <w:jc w:val="left"/>
              <w:rPr/>
            </w:pPr>
            <w:r>
              <w:rPr/>
              <w:t> </w:t>
            </w:r>
          </w:p>
        </w:tc>
        <w:tc>
          <w:tcPr>
            <w:tcW w:w="1163"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270" w:type="dxa"/>
            <w:tcBorders/>
            <w:shd w:fill="EAEAEA" w:val="clear"/>
            <w:vAlign w:val="center"/>
          </w:tcPr>
          <w:p>
            <w:pPr>
              <w:pStyle w:val="TableContents"/>
              <w:bidi w:val="0"/>
              <w:spacing w:before="0" w:after="283"/>
              <w:jc w:val="left"/>
              <w:rPr/>
            </w:pPr>
            <w:r>
              <w:rPr/>
              <w:t> </w:t>
            </w:r>
          </w:p>
        </w:tc>
        <w:tc>
          <w:tcPr>
            <w:tcW w:w="117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84" w:type="dxa"/>
            <w:tcBorders/>
            <w:shd w:fill="EAEAEA" w:val="clear"/>
            <w:vAlign w:val="center"/>
          </w:tcPr>
          <w:p>
            <w:pPr>
              <w:pStyle w:val="TableContents"/>
              <w:bidi w:val="0"/>
              <w:spacing w:before="0" w:after="283"/>
              <w:jc w:val="left"/>
              <w:rPr/>
            </w:pPr>
            <w:r>
              <w:rPr/>
              <w:t> </w:t>
            </w:r>
          </w:p>
        </w:tc>
        <w:tc>
          <w:tcPr>
            <w:tcW w:w="791"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05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79" w:type="dxa"/>
            <w:tcBorders/>
            <w:shd w:fill="EAEAEA" w:val="clear"/>
            <w:vAlign w:val="center"/>
          </w:tcPr>
          <w:p>
            <w:pPr>
              <w:pStyle w:val="TableContents"/>
              <w:bidi w:val="0"/>
              <w:spacing w:before="0" w:after="283"/>
              <w:jc w:val="left"/>
              <w:rPr/>
            </w:pPr>
            <w:r>
              <w:rPr/>
              <w:t> </w:t>
            </w:r>
          </w:p>
        </w:tc>
        <w:tc>
          <w:tcPr>
            <w:tcW w:w="1066" w:type="dxa"/>
            <w:tcBorders/>
            <w:shd w:fill="EAEAEA" w:val="clear"/>
            <w:vAlign w:val="center"/>
          </w:tcPr>
          <w:p>
            <w:pPr>
              <w:pStyle w:val="TableContents"/>
              <w:bidi w:val="0"/>
              <w:spacing w:before="0" w:after="283"/>
              <w:jc w:val="right"/>
              <w:rPr/>
            </w:pPr>
            <w:r>
              <w:rPr/>
              <w:t>79,569</w:t>
            </w:r>
          </w:p>
        </w:tc>
        <w:tc>
          <w:tcPr>
            <w:tcW w:w="215" w:type="dxa"/>
            <w:tcBorders/>
            <w:shd w:fill="EAEAEA" w:val="clear"/>
            <w:vAlign w:val="center"/>
          </w:tcPr>
          <w:p>
            <w:pPr>
              <w:pStyle w:val="TableContents"/>
              <w:bidi w:val="0"/>
              <w:spacing w:before="0" w:after="283"/>
              <w:jc w:val="left"/>
              <w:rPr/>
            </w:pPr>
            <w:r>
              <w:rPr/>
              <w:t>(5)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861,732</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13" w:type="dxa"/>
            <w:tcBorders/>
            <w:shd w:fill="EAEAEA" w:val="clear"/>
            <w:vAlign w:val="center"/>
          </w:tcPr>
          <w:p>
            <w:pPr>
              <w:pStyle w:val="TableContents"/>
              <w:bidi w:val="0"/>
              <w:spacing w:before="0" w:after="283"/>
              <w:jc w:val="left"/>
              <w:rPr/>
            </w:pPr>
            <w:r>
              <w:rPr/>
              <w:t> </w:t>
            </w:r>
          </w:p>
        </w:tc>
        <w:tc>
          <w:tcPr>
            <w:tcW w:w="1512" w:type="dxa"/>
            <w:tcBorders/>
            <w:shd w:fill="EAEAEA" w:val="clear"/>
            <w:vAlign w:val="center"/>
          </w:tcPr>
          <w:p>
            <w:pPr>
              <w:pStyle w:val="TableContents"/>
              <w:bidi w:val="0"/>
              <w:spacing w:before="0" w:after="283"/>
              <w:jc w:val="right"/>
              <w:rPr/>
            </w:pPr>
            <w:r>
              <w:rPr/>
              <w:t>221,654</w:t>
            </w:r>
          </w:p>
        </w:tc>
        <w:tc>
          <w:tcPr>
            <w:tcW w:w="335" w:type="dxa"/>
            <w:tcBorders/>
            <w:shd w:fill="EAEAEA" w:val="clear"/>
            <w:vAlign w:val="center"/>
          </w:tcPr>
          <w:p>
            <w:pPr>
              <w:pStyle w:val="TableContents"/>
              <w:bidi w:val="0"/>
              <w:spacing w:before="0" w:after="283"/>
              <w:jc w:val="left"/>
              <w:rPr/>
            </w:pPr>
            <w:r>
              <w:rPr/>
              <w:t>(9) </w:t>
            </w:r>
          </w:p>
        </w:tc>
        <w:tc>
          <w:tcPr>
            <w:tcW w:w="60" w:type="dxa"/>
            <w:tcBorders/>
            <w:shd w:fill="EAEAEA" w:val="clear"/>
            <w:vAlign w:val="center"/>
          </w:tcPr>
          <w:p>
            <w:pPr>
              <w:pStyle w:val="TableContents"/>
              <w:bidi w:val="0"/>
              <w:spacing w:before="0" w:after="283"/>
              <w:jc w:val="left"/>
              <w:rPr/>
            </w:pPr>
            <w:r>
              <w:rPr/>
              <w:t> </w:t>
            </w:r>
          </w:p>
        </w:tc>
        <w:tc>
          <w:tcPr>
            <w:tcW w:w="112" w:type="dxa"/>
            <w:tcBorders/>
            <w:shd w:fill="EAEAEA" w:val="clear"/>
            <w:vAlign w:val="center"/>
          </w:tcPr>
          <w:p>
            <w:pPr>
              <w:pStyle w:val="TableContents"/>
              <w:bidi w:val="0"/>
              <w:spacing w:before="0" w:after="283"/>
              <w:jc w:val="left"/>
              <w:rPr/>
            </w:pPr>
            <w:r>
              <w:rPr/>
              <w:t> </w:t>
            </w:r>
          </w:p>
        </w:tc>
        <w:tc>
          <w:tcPr>
            <w:tcW w:w="1843" w:type="dxa"/>
            <w:tcBorders/>
            <w:shd w:fill="EAEAEA" w:val="clear"/>
            <w:vAlign w:val="center"/>
          </w:tcPr>
          <w:p>
            <w:pPr>
              <w:pStyle w:val="TableContents"/>
              <w:bidi w:val="0"/>
              <w:spacing w:before="0" w:after="283"/>
              <w:jc w:val="right"/>
              <w:rPr/>
            </w:pPr>
            <w:r>
              <w:rPr/>
              <w:t>2,400,513</w:t>
            </w:r>
          </w:p>
        </w:tc>
        <w:tc>
          <w:tcPr>
            <w:tcW w:w="75" w:type="dxa"/>
            <w:tcBorders/>
            <w:shd w:fill="EAEAEA" w:val="clear"/>
            <w:vAlign w:val="center"/>
          </w:tcPr>
          <w:p>
            <w:pPr>
              <w:pStyle w:val="TableContents"/>
              <w:bidi w:val="0"/>
              <w:spacing w:before="0" w:after="283"/>
              <w:jc w:val="left"/>
              <w:rPr/>
            </w:pPr>
            <w:r>
              <w:rPr/>
              <w:t> </w:t>
            </w:r>
          </w:p>
        </w:tc>
      </w:tr>
      <w:tr>
        <w:trPr/>
        <w:tc>
          <w:tcPr>
            <w:tcW w:w="635" w:type="dxa"/>
            <w:tcBorders/>
            <w:shd w:fill="EAEAEA" w:val="clear"/>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102" w:type="dxa"/>
            <w:tcBorders/>
            <w:shd w:fill="EAEAEA" w:val="clear"/>
            <w:vAlign w:val="center"/>
          </w:tcPr>
          <w:p>
            <w:pPr>
              <w:pStyle w:val="TableContents"/>
              <w:bidi w:val="0"/>
              <w:spacing w:before="0" w:after="283"/>
              <w:jc w:val="left"/>
              <w:rPr/>
            </w:pPr>
            <w:r>
              <w:rPr/>
              <w:t> </w:t>
            </w:r>
          </w:p>
        </w:tc>
        <w:tc>
          <w:tcPr>
            <w:tcW w:w="1163"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270" w:type="dxa"/>
            <w:tcBorders/>
            <w:shd w:fill="EAEAEA" w:val="clear"/>
            <w:vAlign w:val="center"/>
          </w:tcPr>
          <w:p>
            <w:pPr>
              <w:pStyle w:val="TableContents"/>
              <w:bidi w:val="0"/>
              <w:spacing w:before="0" w:after="283"/>
              <w:jc w:val="left"/>
              <w:rPr/>
            </w:pPr>
            <w:r>
              <w:rPr/>
              <w:t> </w:t>
            </w:r>
          </w:p>
        </w:tc>
        <w:tc>
          <w:tcPr>
            <w:tcW w:w="117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84" w:type="dxa"/>
            <w:tcBorders/>
            <w:shd w:fill="EAEAEA" w:val="clear"/>
            <w:vAlign w:val="center"/>
          </w:tcPr>
          <w:p>
            <w:pPr>
              <w:pStyle w:val="TableContents"/>
              <w:bidi w:val="0"/>
              <w:spacing w:before="0" w:after="283"/>
              <w:jc w:val="left"/>
              <w:rPr/>
            </w:pPr>
            <w:r>
              <w:rPr/>
              <w:t> </w:t>
            </w:r>
          </w:p>
        </w:tc>
        <w:tc>
          <w:tcPr>
            <w:tcW w:w="791"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05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79" w:type="dxa"/>
            <w:tcBorders/>
            <w:shd w:fill="EAEAEA" w:val="clear"/>
            <w:vAlign w:val="center"/>
          </w:tcPr>
          <w:p>
            <w:pPr>
              <w:pStyle w:val="TableContents"/>
              <w:bidi w:val="0"/>
              <w:spacing w:before="0" w:after="283"/>
              <w:jc w:val="left"/>
              <w:rPr/>
            </w:pPr>
            <w:r>
              <w:rPr/>
              <w:t> </w:t>
            </w:r>
          </w:p>
        </w:tc>
        <w:tc>
          <w:tcPr>
            <w:tcW w:w="1066" w:type="dxa"/>
            <w:tcBorders/>
            <w:shd w:fill="EAEAEA" w:val="clear"/>
            <w:vAlign w:val="center"/>
          </w:tcPr>
          <w:p>
            <w:pPr>
              <w:pStyle w:val="TableContents"/>
              <w:bidi w:val="0"/>
              <w:spacing w:before="0" w:after="283"/>
              <w:jc w:val="right"/>
              <w:rPr/>
            </w:pPr>
            <w:r>
              <w:rPr/>
              <w:t>113,504</w:t>
            </w:r>
          </w:p>
        </w:tc>
        <w:tc>
          <w:tcPr>
            <w:tcW w:w="215" w:type="dxa"/>
            <w:tcBorders/>
            <w:shd w:fill="EAEAEA" w:val="clear"/>
            <w:vAlign w:val="center"/>
          </w:tcPr>
          <w:p>
            <w:pPr>
              <w:pStyle w:val="TableContents"/>
              <w:bidi w:val="0"/>
              <w:spacing w:before="0" w:after="283"/>
              <w:jc w:val="left"/>
              <w:rPr/>
            </w:pPr>
            <w:r>
              <w:rPr/>
              <w:t>(3)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1,229,248</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13" w:type="dxa"/>
            <w:tcBorders/>
            <w:shd w:fill="EAEAEA" w:val="clear"/>
            <w:vAlign w:val="center"/>
          </w:tcPr>
          <w:p>
            <w:pPr>
              <w:pStyle w:val="TableContents"/>
              <w:bidi w:val="0"/>
              <w:spacing w:before="0" w:after="283"/>
              <w:jc w:val="left"/>
              <w:rPr/>
            </w:pPr>
            <w:r>
              <w:rPr/>
              <w:t> </w:t>
            </w:r>
          </w:p>
        </w:tc>
        <w:tc>
          <w:tcPr>
            <w:tcW w:w="1512" w:type="dxa"/>
            <w:tcBorders/>
            <w:shd w:fill="EAEAEA" w:val="clear"/>
            <w:vAlign w:val="center"/>
          </w:tcPr>
          <w:p>
            <w:pPr>
              <w:pStyle w:val="TableContents"/>
              <w:bidi w:val="0"/>
              <w:spacing w:before="0" w:after="283"/>
              <w:jc w:val="right"/>
              <w:rPr/>
            </w:pPr>
            <w:r>
              <w:rPr/>
              <w:t>210,791</w:t>
            </w:r>
          </w:p>
        </w:tc>
        <w:tc>
          <w:tcPr>
            <w:tcW w:w="335" w:type="dxa"/>
            <w:tcBorders/>
            <w:shd w:fill="EAEAEA" w:val="clear"/>
            <w:vAlign w:val="center"/>
          </w:tcPr>
          <w:p>
            <w:pPr>
              <w:pStyle w:val="TableContents"/>
              <w:bidi w:val="0"/>
              <w:spacing w:before="0" w:after="283"/>
              <w:jc w:val="left"/>
              <w:rPr/>
            </w:pPr>
            <w:r>
              <w:rPr/>
              <w:t>(10) </w:t>
            </w:r>
          </w:p>
        </w:tc>
        <w:tc>
          <w:tcPr>
            <w:tcW w:w="60" w:type="dxa"/>
            <w:tcBorders/>
            <w:shd w:fill="EAEAEA" w:val="clear"/>
            <w:vAlign w:val="center"/>
          </w:tcPr>
          <w:p>
            <w:pPr>
              <w:pStyle w:val="TableContents"/>
              <w:bidi w:val="0"/>
              <w:spacing w:before="0" w:after="283"/>
              <w:jc w:val="left"/>
              <w:rPr/>
            </w:pPr>
            <w:r>
              <w:rPr/>
              <w:t> </w:t>
            </w:r>
          </w:p>
        </w:tc>
        <w:tc>
          <w:tcPr>
            <w:tcW w:w="112" w:type="dxa"/>
            <w:tcBorders/>
            <w:shd w:fill="EAEAEA" w:val="clear"/>
            <w:vAlign w:val="center"/>
          </w:tcPr>
          <w:p>
            <w:pPr>
              <w:pStyle w:val="TableContents"/>
              <w:bidi w:val="0"/>
              <w:spacing w:before="0" w:after="283"/>
              <w:jc w:val="left"/>
              <w:rPr/>
            </w:pPr>
            <w:r>
              <w:rPr/>
              <w:t> </w:t>
            </w:r>
          </w:p>
        </w:tc>
        <w:tc>
          <w:tcPr>
            <w:tcW w:w="1843" w:type="dxa"/>
            <w:tcBorders/>
            <w:shd w:fill="EAEAEA" w:val="clear"/>
            <w:vAlign w:val="center"/>
          </w:tcPr>
          <w:p>
            <w:pPr>
              <w:pStyle w:val="TableContents"/>
              <w:bidi w:val="0"/>
              <w:spacing w:before="0" w:after="283"/>
              <w:jc w:val="right"/>
              <w:rPr/>
            </w:pPr>
            <w:r>
              <w:rPr/>
              <w:t>2,282,867</w:t>
            </w:r>
          </w:p>
        </w:tc>
        <w:tc>
          <w:tcPr>
            <w:tcW w:w="75" w:type="dxa"/>
            <w:tcBorders/>
            <w:shd w:fill="EAEAEA" w:val="clear"/>
            <w:vAlign w:val="center"/>
          </w:tcPr>
          <w:p>
            <w:pPr>
              <w:pStyle w:val="TableContents"/>
              <w:bidi w:val="0"/>
              <w:spacing w:before="0" w:after="283"/>
              <w:jc w:val="left"/>
              <w:rPr/>
            </w:pPr>
            <w:r>
              <w:rPr/>
              <w:t> </w:t>
            </w:r>
          </w:p>
        </w:tc>
      </w:tr>
      <w:tr>
        <w:trPr/>
        <w:tc>
          <w:tcPr>
            <w:tcW w:w="635" w:type="dxa"/>
            <w:vMerge w:val="restart"/>
            <w:tcBorders/>
            <w:vAlign w:val="center"/>
          </w:tcPr>
          <w:p>
            <w:pPr>
              <w:pStyle w:val="TableContents"/>
              <w:bidi w:val="0"/>
              <w:spacing w:before="0" w:after="0"/>
              <w:jc w:val="left"/>
              <w:rPr>
                <w:rFonts w:ascii="ARIAL" w:hAnsi="ARIAL"/>
                <w:b/>
                <w:sz w:val="15"/>
              </w:rPr>
            </w:pPr>
            <w:r>
              <w:rPr>
                <w:rFonts w:ascii="ARIAL" w:hAnsi="ARIAL"/>
                <w:b/>
                <w:sz w:val="15"/>
              </w:rPr>
              <w:t>Brian</w:t>
            </w:r>
          </w:p>
          <w:p>
            <w:pPr>
              <w:pStyle w:val="TableContents"/>
              <w:bidi w:val="0"/>
              <w:spacing w:before="0" w:after="20"/>
              <w:jc w:val="left"/>
              <w:rPr>
                <w:rFonts w:ascii="ARIAL" w:hAnsi="ARIAL"/>
                <w:b/>
                <w:sz w:val="15"/>
              </w:rPr>
            </w:pPr>
            <w:r>
              <w:rPr>
                <w:rFonts w:ascii="ARIAL" w:hAnsi="ARIAL"/>
                <w:b/>
                <w:sz w:val="15"/>
              </w:rPr>
              <w:t>Roman</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3,821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55.84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3/5/2024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4,111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55.61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3/4/2025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4,739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46.27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2/17/2026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5,694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45.18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3/3/2027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7,876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40.97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3/2/2028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6,267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27.45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3/1/2029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8,119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17.48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3/2/2030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14,791</w:t>
            </w:r>
          </w:p>
        </w:tc>
        <w:tc>
          <w:tcPr>
            <w:tcW w:w="21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160,187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66,177</w:t>
            </w:r>
          </w:p>
        </w:tc>
        <w:tc>
          <w:tcPr>
            <w:tcW w:w="335"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716,697</w:t>
            </w:r>
          </w:p>
        </w:tc>
        <w:tc>
          <w:tcPr>
            <w:tcW w:w="75"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37,299</w:t>
            </w:r>
          </w:p>
        </w:tc>
        <w:tc>
          <w:tcPr>
            <w:tcW w:w="215"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403,948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103,901</w:t>
            </w:r>
          </w:p>
        </w:tc>
        <w:tc>
          <w:tcPr>
            <w:tcW w:w="335"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1,125,248</w:t>
            </w:r>
          </w:p>
        </w:tc>
        <w:tc>
          <w:tcPr>
            <w:tcW w:w="75"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52,793</w:t>
            </w:r>
          </w:p>
        </w:tc>
        <w:tc>
          <w:tcPr>
            <w:tcW w:w="215"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571,748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98,043</w:t>
            </w:r>
          </w:p>
        </w:tc>
        <w:tc>
          <w:tcPr>
            <w:tcW w:w="33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1,061,806</w:t>
            </w:r>
          </w:p>
        </w:tc>
        <w:tc>
          <w:tcPr>
            <w:tcW w:w="75" w:type="dxa"/>
            <w:tcBorders/>
            <w:vAlign w:val="center"/>
          </w:tcPr>
          <w:p>
            <w:pPr>
              <w:pStyle w:val="TableContents"/>
              <w:bidi w:val="0"/>
              <w:spacing w:before="0" w:after="283"/>
              <w:jc w:val="left"/>
              <w:rPr/>
            </w:pPr>
            <w:r>
              <w:rPr/>
              <w:t> </w:t>
            </w:r>
          </w:p>
        </w:tc>
      </w:tr>
      <w:tr>
        <w:trPr/>
        <w:tc>
          <w:tcPr>
            <w:tcW w:w="635" w:type="dxa"/>
            <w:tcBorders/>
            <w:shd w:fill="EAEAEA" w:val="clear"/>
            <w:vAlign w:val="center"/>
          </w:tcPr>
          <w:p>
            <w:pPr>
              <w:pStyle w:val="TableContents"/>
              <w:bidi w:val="0"/>
              <w:spacing w:before="0" w:after="0"/>
              <w:jc w:val="left"/>
              <w:rPr>
                <w:rFonts w:ascii="ARIAL" w:hAnsi="ARIAL"/>
                <w:b/>
                <w:sz w:val="15"/>
              </w:rPr>
            </w:pPr>
            <w:r>
              <w:rPr>
                <w:rFonts w:ascii="ARIAL" w:hAnsi="ARIAL"/>
                <w:b/>
                <w:sz w:val="15"/>
              </w:rPr>
              <w:t>Michael Goettler</w:t>
            </w:r>
          </w:p>
        </w:tc>
        <w:tc>
          <w:tcPr>
            <w:tcW w:w="60" w:type="dxa"/>
            <w:tcBorders/>
            <w:shd w:fill="EAEAEA" w:val="clear"/>
            <w:vAlign w:val="center"/>
          </w:tcPr>
          <w:p>
            <w:pPr>
              <w:pStyle w:val="TableContents"/>
              <w:bidi w:val="0"/>
              <w:spacing w:before="0" w:after="283"/>
              <w:jc w:val="left"/>
              <w:rPr/>
            </w:pPr>
            <w:r>
              <w:rPr/>
              <w:t> </w:t>
            </w:r>
          </w:p>
        </w:tc>
        <w:tc>
          <w:tcPr>
            <w:tcW w:w="102" w:type="dxa"/>
            <w:tcBorders/>
            <w:shd w:fill="EAEAEA" w:val="clear"/>
            <w:vAlign w:val="center"/>
          </w:tcPr>
          <w:p>
            <w:pPr>
              <w:pStyle w:val="TableContents"/>
              <w:bidi w:val="0"/>
              <w:spacing w:before="0" w:after="283"/>
              <w:jc w:val="left"/>
              <w:rPr/>
            </w:pPr>
            <w:r>
              <w:rPr/>
              <w:t> </w:t>
            </w:r>
          </w:p>
        </w:tc>
        <w:tc>
          <w:tcPr>
            <w:tcW w:w="1163"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270" w:type="dxa"/>
            <w:tcBorders/>
            <w:shd w:fill="EAEAEA" w:val="clear"/>
            <w:vAlign w:val="center"/>
          </w:tcPr>
          <w:p>
            <w:pPr>
              <w:pStyle w:val="TableContents"/>
              <w:bidi w:val="0"/>
              <w:spacing w:before="0" w:after="283"/>
              <w:jc w:val="left"/>
              <w:rPr/>
            </w:pPr>
            <w:r>
              <w:rPr/>
              <w:t> </w:t>
            </w:r>
          </w:p>
        </w:tc>
        <w:tc>
          <w:tcPr>
            <w:tcW w:w="117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84" w:type="dxa"/>
            <w:tcBorders/>
            <w:shd w:fill="EAEAEA" w:val="clear"/>
            <w:vAlign w:val="center"/>
          </w:tcPr>
          <w:p>
            <w:pPr>
              <w:pStyle w:val="TableContents"/>
              <w:bidi w:val="0"/>
              <w:spacing w:before="0" w:after="283"/>
              <w:jc w:val="left"/>
              <w:rPr/>
            </w:pPr>
            <w:r>
              <w:rPr/>
              <w:t> </w:t>
            </w:r>
          </w:p>
        </w:tc>
        <w:tc>
          <w:tcPr>
            <w:tcW w:w="791"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055"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79" w:type="dxa"/>
            <w:tcBorders/>
            <w:shd w:fill="EAEAEA" w:val="clear"/>
            <w:vAlign w:val="center"/>
          </w:tcPr>
          <w:p>
            <w:pPr>
              <w:pStyle w:val="TableContents"/>
              <w:bidi w:val="0"/>
              <w:spacing w:before="0" w:after="283"/>
              <w:jc w:val="left"/>
              <w:rPr/>
            </w:pPr>
            <w:r>
              <w:rPr/>
              <w:t> </w:t>
            </w:r>
          </w:p>
        </w:tc>
        <w:tc>
          <w:tcPr>
            <w:tcW w:w="1066" w:type="dxa"/>
            <w:tcBorders/>
            <w:shd w:fill="EAEAEA" w:val="clear"/>
            <w:vAlign w:val="center"/>
          </w:tcPr>
          <w:p>
            <w:pPr>
              <w:pStyle w:val="TableContents"/>
              <w:bidi w:val="0"/>
              <w:spacing w:before="0" w:after="283"/>
              <w:jc w:val="right"/>
              <w:rPr/>
            </w:pPr>
            <w:r>
              <w:rPr/>
              <w:t>—</w:t>
            </w:r>
          </w:p>
        </w:tc>
        <w:tc>
          <w:tcPr>
            <w:tcW w:w="215"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13" w:type="dxa"/>
            <w:tcBorders/>
            <w:shd w:fill="EAEAEA" w:val="clear"/>
            <w:vAlign w:val="center"/>
          </w:tcPr>
          <w:p>
            <w:pPr>
              <w:pStyle w:val="TableContents"/>
              <w:bidi w:val="0"/>
              <w:spacing w:before="0" w:after="283"/>
              <w:jc w:val="left"/>
              <w:rPr/>
            </w:pPr>
            <w:r>
              <w:rPr/>
              <w:t> </w:t>
            </w:r>
          </w:p>
        </w:tc>
        <w:tc>
          <w:tcPr>
            <w:tcW w:w="1512" w:type="dxa"/>
            <w:tcBorders/>
            <w:shd w:fill="EAEAEA" w:val="clear"/>
            <w:vAlign w:val="center"/>
          </w:tcPr>
          <w:p>
            <w:pPr>
              <w:pStyle w:val="TableContents"/>
              <w:bidi w:val="0"/>
              <w:spacing w:before="0" w:after="283"/>
              <w:jc w:val="right"/>
              <w:rPr/>
            </w:pPr>
            <w:r>
              <w:rPr/>
              <w:t>—</w:t>
            </w:r>
          </w:p>
        </w:tc>
        <w:tc>
          <w:tcPr>
            <w:tcW w:w="335"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12" w:type="dxa"/>
            <w:tcBorders/>
            <w:shd w:fill="EAEAEA" w:val="clear"/>
            <w:vAlign w:val="center"/>
          </w:tcPr>
          <w:p>
            <w:pPr>
              <w:pStyle w:val="TableContents"/>
              <w:bidi w:val="0"/>
              <w:spacing w:before="0" w:after="283"/>
              <w:jc w:val="left"/>
              <w:rPr/>
            </w:pPr>
            <w:r>
              <w:rPr/>
              <w:t> </w:t>
            </w:r>
          </w:p>
        </w:tc>
        <w:tc>
          <w:tcPr>
            <w:tcW w:w="1843" w:type="dxa"/>
            <w:tcBorders/>
            <w:shd w:fill="EAEAEA" w:val="clear"/>
            <w:vAlign w:val="center"/>
          </w:tcPr>
          <w:p>
            <w:pPr>
              <w:pStyle w:val="TableContents"/>
              <w:bidi w:val="0"/>
              <w:spacing w:before="0" w:after="283"/>
              <w:jc w:val="right"/>
              <w:rPr/>
            </w:pPr>
            <w:r>
              <w:rPr/>
              <w:t>—</w:t>
            </w:r>
          </w:p>
        </w:tc>
        <w:tc>
          <w:tcPr>
            <w:tcW w:w="75" w:type="dxa"/>
            <w:tcBorders/>
            <w:shd w:fill="EAEAEA" w:val="clear"/>
            <w:vAlign w:val="center"/>
          </w:tcPr>
          <w:p>
            <w:pPr>
              <w:pStyle w:val="TableContents"/>
              <w:bidi w:val="0"/>
              <w:spacing w:before="0" w:after="283"/>
              <w:jc w:val="left"/>
              <w:rPr/>
            </w:pPr>
            <w:r>
              <w:rPr/>
              <w:t> </w:t>
            </w:r>
          </w:p>
        </w:tc>
      </w:tr>
      <w:tr>
        <w:trPr/>
        <w:tc>
          <w:tcPr>
            <w:tcW w:w="635" w:type="dxa"/>
            <w:vMerge w:val="restart"/>
            <w:tcBorders/>
            <w:vAlign w:val="center"/>
          </w:tcPr>
          <w:p>
            <w:pPr>
              <w:pStyle w:val="TableContents"/>
              <w:bidi w:val="0"/>
              <w:spacing w:before="0" w:after="0"/>
              <w:jc w:val="left"/>
              <w:rPr>
                <w:rFonts w:ascii="ARIAL" w:hAnsi="ARIAL"/>
                <w:b/>
                <w:sz w:val="15"/>
              </w:rPr>
            </w:pPr>
            <w:r>
              <w:rPr>
                <w:rFonts w:ascii="ARIAL" w:hAnsi="ARIAL"/>
                <w:b/>
                <w:sz w:val="15"/>
              </w:rPr>
              <w:t>Robert J. Coury</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58,952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55.84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3/5/2024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63,235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50.66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11/17/2025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35"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02" w:type="dxa"/>
            <w:tcBorders>
              <w:bottom w:val="single" w:sz="8" w:space="0" w:color="732282"/>
            </w:tcBorders>
            <w:tcMar>
              <w:bottom w:w="28" w:type="dxa"/>
            </w:tcMar>
            <w:vAlign w:val="center"/>
          </w:tcPr>
          <w:p>
            <w:pPr>
              <w:pStyle w:val="TableContents"/>
              <w:bidi w:val="0"/>
              <w:spacing w:before="0" w:after="283"/>
              <w:jc w:val="left"/>
              <w:rPr/>
            </w:pPr>
            <w:r>
              <w:rPr/>
              <w:t> </w:t>
            </w:r>
          </w:p>
        </w:tc>
        <w:tc>
          <w:tcPr>
            <w:tcW w:w="1163" w:type="dxa"/>
            <w:tcBorders>
              <w:bottom w:val="single" w:sz="8" w:space="0" w:color="732282"/>
            </w:tcBorders>
            <w:tcMar>
              <w:bottom w:w="28" w:type="dxa"/>
            </w:tcMar>
            <w:vAlign w:val="center"/>
          </w:tcPr>
          <w:p>
            <w:pPr>
              <w:pStyle w:val="TableContents"/>
              <w:bidi w:val="0"/>
              <w:spacing w:before="0" w:after="283"/>
              <w:jc w:val="right"/>
              <w:rPr/>
            </w:pPr>
            <w:r>
              <w:rPr/>
              <w:t>82,776</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270" w:type="dxa"/>
            <w:tcBorders>
              <w:bottom w:val="single" w:sz="8" w:space="0" w:color="732282"/>
            </w:tcBorders>
            <w:tcMar>
              <w:bottom w:w="28" w:type="dxa"/>
            </w:tcMar>
            <w:vAlign w:val="center"/>
          </w:tcPr>
          <w:p>
            <w:pPr>
              <w:pStyle w:val="TableContents"/>
              <w:bidi w:val="0"/>
              <w:spacing w:before="0" w:after="283"/>
              <w:jc w:val="left"/>
              <w:rPr/>
            </w:pPr>
            <w:r>
              <w:rPr/>
              <w:t> </w:t>
            </w:r>
          </w:p>
        </w:tc>
        <w:tc>
          <w:tcPr>
            <w:tcW w:w="1175" w:type="dxa"/>
            <w:tcBorders>
              <w:bottom w:val="single" w:sz="8" w:space="0" w:color="732282"/>
            </w:tcBorders>
            <w:tcMar>
              <w:bottom w:w="28" w:type="dxa"/>
            </w:tcMar>
            <w:vAlign w:val="center"/>
          </w:tcPr>
          <w:p>
            <w:pPr>
              <w:pStyle w:val="TableContents"/>
              <w:bidi w:val="0"/>
              <w:spacing w:before="0" w:after="283"/>
              <w:jc w:val="right"/>
              <w:rPr/>
            </w:pPr>
            <w:r>
              <w:rPr/>
              <w:t>—</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84" w:type="dxa"/>
            <w:tcBorders>
              <w:bottom w:val="single" w:sz="8" w:space="0" w:color="732282"/>
            </w:tcBorders>
            <w:tcMar>
              <w:bottom w:w="28" w:type="dxa"/>
            </w:tcMar>
            <w:vAlign w:val="center"/>
          </w:tcPr>
          <w:p>
            <w:pPr>
              <w:pStyle w:val="TableContents"/>
              <w:bidi w:val="0"/>
              <w:spacing w:before="0" w:after="283"/>
              <w:jc w:val="left"/>
              <w:rPr/>
            </w:pPr>
            <w:r>
              <w:rPr/>
              <w:t> </w:t>
            </w:r>
          </w:p>
        </w:tc>
        <w:tc>
          <w:tcPr>
            <w:tcW w:w="791" w:type="dxa"/>
            <w:tcBorders>
              <w:bottom w:val="single" w:sz="8" w:space="0" w:color="732282"/>
            </w:tcBorders>
            <w:tcMar>
              <w:bottom w:w="28" w:type="dxa"/>
            </w:tcMar>
            <w:vAlign w:val="center"/>
          </w:tcPr>
          <w:p>
            <w:pPr>
              <w:pStyle w:val="TableContents"/>
              <w:bidi w:val="0"/>
              <w:spacing w:before="0" w:after="283"/>
              <w:jc w:val="right"/>
              <w:rPr/>
            </w:pPr>
            <w:r>
              <w:rPr/>
              <w:t>46.27</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055" w:type="dxa"/>
            <w:tcBorders>
              <w:bottom w:val="single" w:sz="8" w:space="0" w:color="732282"/>
            </w:tcBorders>
            <w:tcMar>
              <w:bottom w:w="28" w:type="dxa"/>
            </w:tcMar>
            <w:vAlign w:val="center"/>
          </w:tcPr>
          <w:p>
            <w:pPr>
              <w:pStyle w:val="TableContents"/>
              <w:bidi w:val="0"/>
              <w:spacing w:before="0" w:after="283"/>
              <w:jc w:val="right"/>
              <w:rPr/>
            </w:pPr>
            <w:r>
              <w:rPr/>
              <w:t>2/17/2026</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79" w:type="dxa"/>
            <w:tcBorders>
              <w:bottom w:val="single" w:sz="8" w:space="0" w:color="732282"/>
            </w:tcBorders>
            <w:tcMar>
              <w:bottom w:w="28" w:type="dxa"/>
            </w:tcMar>
            <w:vAlign w:val="center"/>
          </w:tcPr>
          <w:p>
            <w:pPr>
              <w:pStyle w:val="TableContents"/>
              <w:bidi w:val="0"/>
              <w:spacing w:before="0" w:after="283"/>
              <w:jc w:val="left"/>
              <w:rPr/>
            </w:pPr>
            <w:r>
              <w:rPr/>
              <w:t> </w:t>
            </w:r>
          </w:p>
        </w:tc>
        <w:tc>
          <w:tcPr>
            <w:tcW w:w="1066" w:type="dxa"/>
            <w:tcBorders>
              <w:bottom w:val="single" w:sz="8" w:space="0" w:color="732282"/>
            </w:tcBorders>
            <w:tcMar>
              <w:bottom w:w="28" w:type="dxa"/>
            </w:tcMar>
            <w:vAlign w:val="center"/>
          </w:tcPr>
          <w:p>
            <w:pPr>
              <w:pStyle w:val="TableContents"/>
              <w:bidi w:val="0"/>
              <w:spacing w:before="0" w:after="283"/>
              <w:jc w:val="right"/>
              <w:rPr/>
            </w:pPr>
            <w:r>
              <w:rPr/>
              <w:t>—</w:t>
            </w:r>
          </w:p>
        </w:tc>
        <w:tc>
          <w:tcPr>
            <w:tcW w:w="215"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980" w:type="dxa"/>
            <w:tcBorders>
              <w:bottom w:val="single" w:sz="8" w:space="0" w:color="732282"/>
            </w:tcBorders>
            <w:tcMar>
              <w:bottom w:w="28" w:type="dxa"/>
            </w:tcMar>
            <w:vAlign w:val="center"/>
          </w:tcPr>
          <w:p>
            <w:pPr>
              <w:pStyle w:val="TableContents"/>
              <w:bidi w:val="0"/>
              <w:spacing w:before="0" w:after="283"/>
              <w:jc w:val="right"/>
              <w:rPr/>
            </w:pPr>
            <w:r>
              <w:rPr/>
              <w:t>—</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13" w:type="dxa"/>
            <w:tcBorders>
              <w:bottom w:val="single" w:sz="8" w:space="0" w:color="732282"/>
            </w:tcBorders>
            <w:tcMar>
              <w:bottom w:w="28" w:type="dxa"/>
            </w:tcMar>
            <w:vAlign w:val="center"/>
          </w:tcPr>
          <w:p>
            <w:pPr>
              <w:pStyle w:val="TableContents"/>
              <w:bidi w:val="0"/>
              <w:spacing w:before="0" w:after="283"/>
              <w:jc w:val="left"/>
              <w:rPr/>
            </w:pPr>
            <w:r>
              <w:rPr/>
              <w:t> </w:t>
            </w:r>
          </w:p>
        </w:tc>
        <w:tc>
          <w:tcPr>
            <w:tcW w:w="1512" w:type="dxa"/>
            <w:tcBorders>
              <w:bottom w:val="single" w:sz="8" w:space="0" w:color="732282"/>
            </w:tcBorders>
            <w:tcMar>
              <w:bottom w:w="28" w:type="dxa"/>
            </w:tcMar>
            <w:vAlign w:val="center"/>
          </w:tcPr>
          <w:p>
            <w:pPr>
              <w:pStyle w:val="TableContents"/>
              <w:bidi w:val="0"/>
              <w:spacing w:before="0" w:after="283"/>
              <w:jc w:val="right"/>
              <w:rPr/>
            </w:pPr>
            <w:r>
              <w:rPr/>
              <w:t>—</w:t>
            </w:r>
          </w:p>
        </w:tc>
        <w:tc>
          <w:tcPr>
            <w:tcW w:w="335"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12" w:type="dxa"/>
            <w:tcBorders>
              <w:bottom w:val="single" w:sz="8" w:space="0" w:color="732282"/>
            </w:tcBorders>
            <w:tcMar>
              <w:bottom w:w="28" w:type="dxa"/>
            </w:tcMar>
            <w:vAlign w:val="center"/>
          </w:tcPr>
          <w:p>
            <w:pPr>
              <w:pStyle w:val="TableContents"/>
              <w:bidi w:val="0"/>
              <w:spacing w:before="0" w:after="283"/>
              <w:jc w:val="left"/>
              <w:rPr/>
            </w:pPr>
            <w:r>
              <w:rPr/>
              <w:t> </w:t>
            </w:r>
          </w:p>
        </w:tc>
        <w:tc>
          <w:tcPr>
            <w:tcW w:w="1843" w:type="dxa"/>
            <w:tcBorders>
              <w:bottom w:val="single" w:sz="8" w:space="0" w:color="732282"/>
            </w:tcBorders>
            <w:tcMar>
              <w:bottom w:w="28" w:type="dxa"/>
            </w:tcMar>
            <w:vAlign w:val="center"/>
          </w:tcPr>
          <w:p>
            <w:pPr>
              <w:pStyle w:val="TableContents"/>
              <w:bidi w:val="0"/>
              <w:spacing w:before="0" w:after="283"/>
              <w:jc w:val="right"/>
              <w:rPr/>
            </w:pPr>
            <w:r>
              <w:rPr/>
              <w:t>—</w:t>
            </w:r>
          </w:p>
        </w:tc>
        <w:tc>
          <w:tcPr>
            <w:tcW w:w="75" w:type="dxa"/>
            <w:tcBorders>
              <w:bottom w:val="single" w:sz="8" w:space="0" w:color="732282"/>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i/>
              </w:rPr>
            </w:pPr>
            <w:r>
              <w:rPr>
                <w:i/>
              </w:rPr>
              <w:t>(1)</w:t>
            </w:r>
          </w:p>
        </w:tc>
        <w:tc>
          <w:tcPr>
            <w:tcW w:w="9967" w:type="dxa"/>
            <w:tcBorders/>
            <w:vAlign w:val="center"/>
          </w:tcPr>
          <w:p>
            <w:pPr>
              <w:pStyle w:val="TableContents"/>
              <w:bidi w:val="0"/>
              <w:spacing w:before="0" w:after="0"/>
              <w:jc w:val="both"/>
              <w:rPr>
                <w:rFonts w:ascii="arial" w:hAnsi="arial"/>
                <w:i/>
                <w:sz w:val="18"/>
              </w:rPr>
            </w:pPr>
            <w:r>
              <w:rPr>
                <w:rFonts w:ascii="arial" w:hAnsi="arial"/>
                <w:i/>
                <w:sz w:val="18"/>
              </w:rPr>
              <w:t xml:space="preserve">Subject to applicable employment agreement provisions, following termination of employment, vested stock options will generally remain exercisable for 30 days following termination, except that (i) in the case of termination because of disability, 100% of options will remain exercisable for two years following termination; (ii) in the case of a termination due to a reduction in force, vested options will remain exercisable for one year following termination; (iii) in the case of death, including within two years following termination because of disability, or, in the case of options granted prior to January 1, 2017, retirement, 100% of options vested will remain exercisable for the remainder of the original term; and (iv) in the case of an involuntary termination without cause or a voluntary resignation for good reason that occurs within two years following a change in control, 100% of options remain exercisable for the remainder of the original term.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i/>
              </w:rPr>
            </w:pPr>
            <w:r>
              <w:rPr>
                <w:i/>
              </w:rPr>
              <w:t>(2)</w:t>
            </w:r>
          </w:p>
        </w:tc>
        <w:tc>
          <w:tcPr>
            <w:tcW w:w="9910" w:type="dxa"/>
            <w:tcBorders/>
            <w:vAlign w:val="center"/>
          </w:tcPr>
          <w:p>
            <w:pPr>
              <w:pStyle w:val="TableContents"/>
              <w:bidi w:val="0"/>
              <w:spacing w:before="0" w:after="0"/>
              <w:jc w:val="both"/>
              <w:rPr>
                <w:rFonts w:ascii="arial" w:hAnsi="arial"/>
                <w:i/>
                <w:sz w:val="18"/>
              </w:rPr>
            </w:pPr>
            <w:r>
              <w:rPr>
                <w:rFonts w:ascii="arial" w:hAnsi="arial"/>
                <w:i/>
                <w:sz w:val="18"/>
              </w:rPr>
              <w:t xml:space="preserve">The market value of RSUs and PRSUs was calculated using the closing price of the Company’s shares as of December 31, 2023, $10.83.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i/>
              </w:rPr>
            </w:pPr>
            <w:r>
              <w:rPr>
                <w:i/>
              </w:rPr>
              <w:t>(3)</w:t>
            </w:r>
          </w:p>
        </w:tc>
        <w:tc>
          <w:tcPr>
            <w:tcW w:w="9967" w:type="dxa"/>
            <w:tcBorders/>
            <w:vAlign w:val="center"/>
          </w:tcPr>
          <w:p>
            <w:pPr>
              <w:pStyle w:val="TableContents"/>
              <w:bidi w:val="0"/>
              <w:spacing w:before="0" w:after="0"/>
              <w:jc w:val="both"/>
              <w:rPr>
                <w:rFonts w:ascii="arial" w:hAnsi="arial"/>
                <w:i/>
                <w:sz w:val="18"/>
              </w:rPr>
            </w:pPr>
            <w:r>
              <w:rPr>
                <w:rFonts w:ascii="arial" w:hAnsi="arial"/>
                <w:i/>
                <w:sz w:val="18"/>
              </w:rPr>
              <w:t xml:space="preserve">Of the 422,177 RSUs held by Mr. Smith, 140,727 vested on March 3, 2024 and 140,725 will vest each on March 3, 2025 and March 3, 2026; of the 122,082 RSUs held by Mr. Narula, 40,695 vested on March 3, 2024 and the remaining unvested RSUs were forfeited in connection with Mr. Narula’s separation from Viatris on March 5, 2024; of the 257,362 RSUs held by Mr. Malik, 85,788 vested on March 3, 2024 and 85,787 will vest each on March 3, 2025 and March 3, 2026; of the 113,504 RSUs held by Mr. Mauro, 37,835 vested on March 3, 2024 and the remaining unvested RSUs were forfeited in connection with Mr. Mauro’s separation from Viatris on April 1, 2024; of the 52,793 RSUs held by Mr. Roman, 17,598 vested on March 3, 2024 and 17,597 will vest on March 3, 2025 and 17,598 will vest on March 3, 2026. Amounts include all accrued and unvested whole share DEUs that vest only to the extent and at the same time the underlying award on which they are issued vest. </w:t>
            </w:r>
          </w:p>
        </w:tc>
      </w:tr>
    </w:tbl>
    <w:tbl>
      <w:tblPr>
        <w:tblW w:w="3700" w:type="dxa"/>
        <w:jc w:val="left"/>
        <w:tblInd w:w="0" w:type="dxa"/>
        <w:tblLayout w:type="fixed"/>
        <w:tblCellMar>
          <w:top w:w="0" w:type="dxa"/>
          <w:left w:w="0" w:type="dxa"/>
          <w:bottom w:w="0" w:type="dxa"/>
          <w:right w:w="0" w:type="dxa"/>
        </w:tblCellMar>
      </w:tblPr>
      <w:tblGrid>
        <w:gridCol w:w="305"/>
        <w:gridCol w:w="3395"/>
      </w:tblGrid>
      <w:tr>
        <w:trPr/>
        <w:tc>
          <w:tcPr>
            <w:tcW w:w="305" w:type="dxa"/>
            <w:tcBorders/>
            <w:vAlign w:val="center"/>
          </w:tcPr>
          <w:p>
            <w:pPr>
              <w:pStyle w:val="TableContents"/>
              <w:bidi w:val="0"/>
              <w:spacing w:before="0" w:after="283"/>
              <w:jc w:val="left"/>
              <w:rPr>
                <w:i/>
              </w:rPr>
            </w:pPr>
            <w:r>
              <w:rPr>
                <w:i/>
              </w:rPr>
              <w:t>(4)</w:t>
            </w:r>
          </w:p>
        </w:tc>
        <w:tc>
          <w:tcPr>
            <w:tcW w:w="3395" w:type="dxa"/>
            <w:tcBorders/>
            <w:vAlign w:val="center"/>
          </w:tcPr>
          <w:p>
            <w:pPr>
              <w:pStyle w:val="TableContents"/>
              <w:bidi w:val="0"/>
              <w:spacing w:before="0" w:after="0"/>
              <w:jc w:val="both"/>
              <w:rPr>
                <w:rFonts w:ascii="arial" w:hAnsi="arial"/>
                <w:i/>
                <w:sz w:val="18"/>
              </w:rPr>
            </w:pPr>
            <w:r>
              <w:rPr>
                <w:rFonts w:ascii="arial" w:hAnsi="arial"/>
                <w:i/>
                <w:sz w:val="18"/>
              </w:rPr>
              <w:t xml:space="preserve">The RSUs fully vested on March 2, 2024.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i/>
              </w:rPr>
            </w:pPr>
            <w:r>
              <w:rPr>
                <w:i/>
              </w:rPr>
              <w:t>(5)</w:t>
            </w:r>
          </w:p>
        </w:tc>
        <w:tc>
          <w:tcPr>
            <w:tcW w:w="9965" w:type="dxa"/>
            <w:tcBorders/>
            <w:vAlign w:val="center"/>
          </w:tcPr>
          <w:p>
            <w:pPr>
              <w:pStyle w:val="TableContents"/>
              <w:bidi w:val="0"/>
              <w:spacing w:before="0" w:after="0"/>
              <w:jc w:val="both"/>
              <w:rPr>
                <w:rFonts w:ascii="arial" w:hAnsi="arial"/>
                <w:i/>
                <w:sz w:val="18"/>
              </w:rPr>
            </w:pPr>
            <w:r>
              <w:rPr>
                <w:rFonts w:ascii="arial" w:hAnsi="arial"/>
                <w:i/>
                <w:sz w:val="18"/>
              </w:rPr>
              <w:t xml:space="preserve">Of the 84,542 RSUs held by Mr. Narula, 42,271 vested on March 4, 2024 and the remaining unvested RSUs were forfeited in connection with Mr. Narula’s separation from Viatris on March 5, 2024; of the 179,028 RSUs held by Mr. Malik, 89,514 vested on March 4, 2024 and 89,514 will vest on March 4, 2025; of the 79,569 RSUs held by Mr. Mauro, 39,784 vested on March 4, 2024 and the remaining unvested RSUs were forfeited in connection with Mr. Mauro’s separation from Viatris on April 1, 2024; of the 37,299 RSUs held by Mr. Roman, 18,650 vested on March 4, 2024 and 18,649 will vest on March 4, 2025. Amounts include all accrued and unvested whole share DEUs that vest only to the extent and at the same time the underlying award on which they are issued vest.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i/>
              </w:rPr>
            </w:pPr>
            <w:r>
              <w:rPr>
                <w:i/>
              </w:rPr>
              <w:t>(6)</w:t>
            </w:r>
          </w:p>
        </w:tc>
        <w:tc>
          <w:tcPr>
            <w:tcW w:w="9940" w:type="dxa"/>
            <w:tcBorders/>
            <w:vAlign w:val="center"/>
          </w:tcPr>
          <w:p>
            <w:pPr>
              <w:pStyle w:val="TableContents"/>
              <w:bidi w:val="0"/>
              <w:spacing w:before="0" w:after="0"/>
              <w:jc w:val="both"/>
              <w:rPr>
                <w:rFonts w:ascii="arial" w:hAnsi="arial"/>
                <w:i/>
                <w:sz w:val="18"/>
              </w:rPr>
            </w:pPr>
            <w:r>
              <w:rPr>
                <w:rFonts w:ascii="arial" w:hAnsi="arial"/>
                <w:i/>
                <w:sz w:val="18"/>
              </w:rPr>
              <w:t xml:space="preserve">The PRSUs will vest on March 3, 2026, subject to attainment of performance goals. Amounts include all accrued and unvested whole share DEUs that vest only to the extent and at the same time the underlying award on which they are issued vest.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i/>
              </w:rPr>
            </w:pPr>
            <w:r>
              <w:rPr>
                <w:i/>
              </w:rPr>
              <w:t>(7)</w:t>
            </w:r>
          </w:p>
        </w:tc>
        <w:tc>
          <w:tcPr>
            <w:tcW w:w="9941" w:type="dxa"/>
            <w:tcBorders/>
            <w:vAlign w:val="center"/>
          </w:tcPr>
          <w:p>
            <w:pPr>
              <w:pStyle w:val="TableContents"/>
              <w:bidi w:val="0"/>
              <w:spacing w:before="0" w:after="0"/>
              <w:jc w:val="both"/>
              <w:rPr>
                <w:rFonts w:ascii="arial" w:hAnsi="arial"/>
                <w:i/>
                <w:sz w:val="18"/>
              </w:rPr>
            </w:pPr>
            <w:r>
              <w:rPr>
                <w:rFonts w:ascii="arial" w:hAnsi="arial"/>
                <w:i/>
                <w:sz w:val="18"/>
              </w:rPr>
              <w:t xml:space="preserve">The PRSUs fully vested on March 2, 2024, subject to attainment of performance goals. Amounts include all accrued and unvested whole share DEUs that vest only to the extent and at the same time the underlying award on which they are issued vest.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i/>
              </w:rPr>
            </w:pPr>
            <w:r>
              <w:rPr>
                <w:i/>
              </w:rPr>
              <w:t>(8)</w:t>
            </w:r>
          </w:p>
        </w:tc>
        <w:tc>
          <w:tcPr>
            <w:tcW w:w="9940" w:type="dxa"/>
            <w:tcBorders/>
            <w:vAlign w:val="center"/>
          </w:tcPr>
          <w:p>
            <w:pPr>
              <w:pStyle w:val="TableContents"/>
              <w:bidi w:val="0"/>
              <w:spacing w:before="0" w:after="0"/>
              <w:jc w:val="both"/>
              <w:rPr>
                <w:rFonts w:ascii="arial" w:hAnsi="arial"/>
                <w:i/>
                <w:sz w:val="18"/>
              </w:rPr>
            </w:pPr>
            <w:r>
              <w:rPr>
                <w:rFonts w:ascii="arial" w:hAnsi="arial"/>
                <w:i/>
                <w:sz w:val="18"/>
              </w:rPr>
              <w:t xml:space="preserve">The PRSUs will vest on March 4, 2025, subject to attainment of performance goals. Amounts include all accrued and unvested whole share DEUs that vest only to the extent and at the same time the underlying award on which they are issued vest.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i/>
              </w:rPr>
            </w:pPr>
            <w:r>
              <w:rPr>
                <w:i/>
              </w:rPr>
              <w:t>(9)</w:t>
            </w:r>
          </w:p>
        </w:tc>
        <w:tc>
          <w:tcPr>
            <w:tcW w:w="9950" w:type="dxa"/>
            <w:tcBorders/>
            <w:vAlign w:val="center"/>
          </w:tcPr>
          <w:p>
            <w:pPr>
              <w:pStyle w:val="TableContents"/>
              <w:bidi w:val="0"/>
              <w:spacing w:before="0" w:after="0"/>
              <w:jc w:val="both"/>
              <w:rPr>
                <w:rFonts w:ascii="arial" w:hAnsi="arial"/>
                <w:i/>
                <w:sz w:val="18"/>
              </w:rPr>
            </w:pPr>
            <w:r>
              <w:rPr>
                <w:rFonts w:ascii="arial" w:hAnsi="arial"/>
                <w:i/>
                <w:sz w:val="18"/>
              </w:rPr>
              <w:t xml:space="preserve">Of the 235,508 PRSUs held by Mr. Narula, only 170,830 will continue to vest on March 4, 2025 in connection with his separation from Viatris on March 5, 2024 and the remaining portion were forfeited. Of the 221,654 PRSUs held by Mr. Mauro, all unvested PRSU were forfeited in connection with his separation from Viatris on April 1, 2024. </w:t>
            </w:r>
          </w:p>
        </w:tc>
      </w:tr>
    </w:tbl>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i/>
              </w:rPr>
            </w:pPr>
            <w:r>
              <w:rPr>
                <w:i/>
              </w:rPr>
              <w:t>(10)</w:t>
            </w:r>
          </w:p>
        </w:tc>
        <w:tc>
          <w:tcPr>
            <w:tcW w:w="9834" w:type="dxa"/>
            <w:tcBorders/>
            <w:vAlign w:val="center"/>
          </w:tcPr>
          <w:p>
            <w:pPr>
              <w:pStyle w:val="TableContents"/>
              <w:bidi w:val="0"/>
              <w:spacing w:before="0" w:after="0"/>
              <w:jc w:val="both"/>
              <w:rPr>
                <w:rFonts w:ascii="arial" w:hAnsi="arial"/>
                <w:i/>
                <w:sz w:val="18"/>
              </w:rPr>
            </w:pPr>
            <w:r>
              <w:rPr>
                <w:rFonts w:ascii="arial" w:hAnsi="arial"/>
                <w:i/>
                <w:sz w:val="18"/>
              </w:rPr>
              <w:t xml:space="preserve">Of the 226,723 PRSUs held by Mr. Narula, only 88,171 will continue to vest on March 3, 2026 in connection with his separation from Viatris on March 5, 2024 and the remaining portion were forfeited. Of the 210,791 PRSUs held by Mr. Mauro, only 87,830 will continue to vest on March 3, 2026 in connection with his separation from Viatris on April 1, 2024 and the remaining portion were forfeited.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48 </w:t>
      </w:r>
      <w:r>
        <w:br w:type="page"/>
      </w:r>
    </w:p>
    <w:p>
      <w:pPr>
        <w:pStyle w:val="HorizontalLine"/>
        <w:bidi w:val="0"/>
        <w:jc w:val="left"/>
        <w:rPr/>
      </w:pPr>
      <w:r>
        <w:rPr/>
      </w:r>
    </w:p>
    <w:p>
      <w:pPr>
        <w:pStyle w:val="TextBody"/>
        <w:bidi w:val="0"/>
        <w:spacing w:before="0" w:after="0"/>
        <w:jc w:val="left"/>
        <w:rPr>
          <w:rFonts w:ascii="arial" w:hAnsi="arial"/>
          <w:b/>
          <w:color w:val="732282"/>
          <w:sz w:val="20"/>
        </w:rPr>
      </w:pPr>
      <w:r>
        <w:rPr>
          <w:rFonts w:ascii="arial" w:hAnsi="arial"/>
          <w:b/>
          <w:color w:val="732282"/>
          <w:sz w:val="20"/>
        </w:rPr>
        <w:t xml:space="preserve">Option Exercises and Stock Vested for 2023 </w:t>
      </w:r>
    </w:p>
    <w:p>
      <w:pPr>
        <w:pStyle w:val="TextBody"/>
        <w:bidi w:val="0"/>
        <w:spacing w:before="120" w:after="0"/>
        <w:jc w:val="both"/>
        <w:rPr>
          <w:rFonts w:ascii="arial" w:hAnsi="arial"/>
          <w:sz w:val="18"/>
        </w:rPr>
      </w:pPr>
      <w:r>
        <w:rPr>
          <w:rFonts w:ascii="arial" w:hAnsi="arial"/>
          <w:sz w:val="18"/>
        </w:rPr>
        <w:t xml:space="preserve">The option awards and stock awards reflected in the table below were exercised or became vested for the NEOs during 2023. </w:t>
      </w:r>
    </w:p>
    <w:p>
      <w:pPr>
        <w:pStyle w:val="TextBody"/>
        <w:bidi w:val="0"/>
        <w:spacing w:before="0" w:after="0"/>
        <w:jc w:val="left"/>
        <w:rPr/>
      </w:pPr>
      <w:r>
        <w:rPr/>
        <w:t> </w:t>
      </w:r>
    </w:p>
    <w:tbl>
      <w:tblPr>
        <w:tblW w:w="7118" w:type="dxa"/>
        <w:jc w:val="left"/>
        <w:tblInd w:w="0" w:type="dxa"/>
        <w:tblLayout w:type="fixed"/>
        <w:tblCellMar>
          <w:top w:w="0" w:type="dxa"/>
          <w:left w:w="0" w:type="dxa"/>
          <w:bottom w:w="0" w:type="dxa"/>
          <w:right w:w="0" w:type="dxa"/>
        </w:tblCellMar>
      </w:tblPr>
      <w:tblGrid>
        <w:gridCol w:w="1370"/>
        <w:gridCol w:w="60"/>
        <w:gridCol w:w="225"/>
        <w:gridCol w:w="980"/>
        <w:gridCol w:w="124"/>
        <w:gridCol w:w="124"/>
        <w:gridCol w:w="194"/>
        <w:gridCol w:w="861"/>
        <w:gridCol w:w="60"/>
        <w:gridCol w:w="120"/>
        <w:gridCol w:w="60"/>
        <w:gridCol w:w="60"/>
        <w:gridCol w:w="60"/>
        <w:gridCol w:w="60"/>
        <w:gridCol w:w="64"/>
        <w:gridCol w:w="1051"/>
        <w:gridCol w:w="350"/>
        <w:gridCol w:w="60"/>
        <w:gridCol w:w="60"/>
        <w:gridCol w:w="1100"/>
        <w:gridCol w:w="75"/>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pPr>
            <w:r>
              <w:rPr/>
              <w:t> </w:t>
            </w:r>
          </w:p>
        </w:tc>
        <w:tc>
          <w:tcPr>
            <w:tcW w:w="60" w:type="dxa"/>
            <w:tcBorders/>
            <w:shd w:fill="231161" w:val="clear"/>
            <w:vAlign w:val="center"/>
          </w:tcPr>
          <w:p>
            <w:pPr>
              <w:pStyle w:val="TableContents"/>
              <w:bidi w:val="0"/>
              <w:spacing w:before="0" w:after="283"/>
              <w:jc w:val="left"/>
              <w:rPr/>
            </w:pPr>
            <w:r>
              <w:rPr/>
              <w:t> </w:t>
            </w:r>
          </w:p>
        </w:tc>
        <w:tc>
          <w:tcPr>
            <w:tcW w:w="2508" w:type="dxa"/>
            <w:gridSpan w:val="6"/>
            <w:tcBorders/>
            <w:shd w:fill="231161" w:val="clear"/>
            <w:vAlign w:val="center"/>
          </w:tcPr>
          <w:p>
            <w:pPr>
              <w:pStyle w:val="TableContents"/>
              <w:bidi w:val="0"/>
              <w:spacing w:before="0" w:after="283"/>
              <w:jc w:val="center"/>
              <w:rPr>
                <w:b/>
                <w:color w:val="FFFFFF"/>
              </w:rPr>
            </w:pPr>
            <w:r>
              <w:rPr>
                <w:b/>
                <w:color w:val="FFFFFF"/>
              </w:rPr>
              <w:t>Option Awards</w:t>
            </w:r>
          </w:p>
        </w:tc>
        <w:tc>
          <w:tcPr>
            <w:tcW w:w="60" w:type="dxa"/>
            <w:tcBorders/>
            <w:shd w:fill="231161"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231161" w:val="clear"/>
            <w:vAlign w:val="center"/>
          </w:tcPr>
          <w:p>
            <w:pPr>
              <w:pStyle w:val="TableContents"/>
              <w:bidi w:val="0"/>
              <w:spacing w:before="0" w:after="283"/>
              <w:jc w:val="left"/>
              <w:rPr/>
            </w:pPr>
            <w:r>
              <w:rPr/>
              <w:t> </w:t>
            </w:r>
          </w:p>
        </w:tc>
        <w:tc>
          <w:tcPr>
            <w:tcW w:w="2685" w:type="dxa"/>
            <w:gridSpan w:val="6"/>
            <w:tcBorders/>
            <w:shd w:fill="231161" w:val="clear"/>
            <w:vAlign w:val="center"/>
          </w:tcPr>
          <w:p>
            <w:pPr>
              <w:pStyle w:val="TableContents"/>
              <w:bidi w:val="0"/>
              <w:spacing w:before="0" w:after="283"/>
              <w:jc w:val="center"/>
              <w:rPr>
                <w:b/>
                <w:color w:val="FFFFFF"/>
              </w:rPr>
            </w:pPr>
            <w:r>
              <w:rPr>
                <w:b/>
                <w:color w:val="FFFFFF"/>
              </w:rPr>
              <w:t>Stock Awards</w:t>
            </w:r>
          </w:p>
        </w:tc>
        <w:tc>
          <w:tcPr>
            <w:tcW w:w="75" w:type="dxa"/>
            <w:tcBorders/>
            <w:shd w:fill="231161" w:val="clear"/>
            <w:vAlign w:val="center"/>
          </w:tcPr>
          <w:p>
            <w:pPr>
              <w:pStyle w:val="TableContents"/>
              <w:bidi w:val="0"/>
              <w:spacing w:before="0" w:after="283"/>
              <w:jc w:val="left"/>
              <w:rPr/>
            </w:pPr>
            <w:r>
              <w:rPr/>
              <w:t> </w:t>
            </w:r>
          </w:p>
        </w:tc>
      </w:tr>
      <w:tr>
        <w:trPr/>
        <w:tc>
          <w:tcPr>
            <w:tcW w:w="1370" w:type="dxa"/>
            <w:tcBorders/>
            <w:shd w:fill="444444" w:val="clear"/>
            <w:vAlign w:val="center"/>
          </w:tcPr>
          <w:p>
            <w:pPr>
              <w:pStyle w:val="TableContents"/>
              <w:bidi w:val="0"/>
              <w:spacing w:before="0" w:after="283"/>
              <w:jc w:val="left"/>
              <w:rPr>
                <w:b/>
                <w:color w:val="FFFFFF"/>
              </w:rPr>
            </w:pPr>
            <w:r>
              <w:rPr>
                <w:b/>
                <w:color w:val="FFFFFF"/>
              </w:rPr>
              <w:t>Name</w:t>
            </w:r>
          </w:p>
        </w:tc>
        <w:tc>
          <w:tcPr>
            <w:tcW w:w="60" w:type="dxa"/>
            <w:tcBorders/>
            <w:shd w:fill="444444" w:val="clear"/>
            <w:vAlign w:val="center"/>
          </w:tcPr>
          <w:p>
            <w:pPr>
              <w:pStyle w:val="TableContents"/>
              <w:bidi w:val="0"/>
              <w:spacing w:before="0" w:after="283"/>
              <w:jc w:val="left"/>
              <w:rPr/>
            </w:pPr>
            <w:r>
              <w:rPr/>
              <w:t> </w:t>
            </w:r>
          </w:p>
        </w:tc>
        <w:tc>
          <w:tcPr>
            <w:tcW w:w="1205" w:type="dxa"/>
            <w:gridSpan w:val="2"/>
            <w:tcBorders/>
            <w:shd w:fill="444444" w:val="clear"/>
            <w:vAlign w:val="center"/>
          </w:tcPr>
          <w:p>
            <w:pPr>
              <w:pStyle w:val="TableContents"/>
              <w:bidi w:val="0"/>
              <w:spacing w:before="0" w:after="283"/>
              <w:jc w:val="center"/>
              <w:rPr>
                <w:b/>
                <w:color w:val="FFFFFF"/>
              </w:rPr>
            </w:pPr>
            <w:r>
              <w:rPr>
                <w:b/>
                <w:color w:val="FFFFFF"/>
              </w:rPr>
              <w:t>Number of</w:t>
              <w:br/>
              <w:t>Shares</w:t>
              <w:br/>
              <w:t>Acquired</w:t>
              <w:br/>
              <w:t>on</w:t>
              <w:br/>
              <w:t>Exercise (#)</w:t>
            </w:r>
          </w:p>
        </w:tc>
        <w:tc>
          <w:tcPr>
            <w:tcW w:w="124" w:type="dxa"/>
            <w:tcBorders/>
            <w:shd w:fill="444444" w:val="clear"/>
            <w:vAlign w:val="center"/>
          </w:tcPr>
          <w:p>
            <w:pPr>
              <w:pStyle w:val="TableContents"/>
              <w:bidi w:val="0"/>
              <w:spacing w:before="0" w:after="283"/>
              <w:jc w:val="left"/>
              <w:rPr/>
            </w:pPr>
            <w:r>
              <w:rPr/>
              <w:t> </w:t>
            </w:r>
          </w:p>
        </w:tc>
        <w:tc>
          <w:tcPr>
            <w:tcW w:w="124" w:type="dxa"/>
            <w:tcBorders/>
            <w:shd w:fill="444444" w:val="clear"/>
            <w:vAlign w:val="center"/>
          </w:tcPr>
          <w:p>
            <w:pPr>
              <w:pStyle w:val="TableContents"/>
              <w:bidi w:val="0"/>
              <w:spacing w:before="0" w:after="283"/>
              <w:jc w:val="left"/>
              <w:rPr/>
            </w:pPr>
            <w:r>
              <w:rPr/>
              <w:t> </w:t>
            </w:r>
          </w:p>
        </w:tc>
        <w:tc>
          <w:tcPr>
            <w:tcW w:w="1055" w:type="dxa"/>
            <w:gridSpan w:val="2"/>
            <w:tcBorders/>
            <w:shd w:fill="444444"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Value</w:t>
              <w:br/>
              <w:t>Realized</w:t>
            </w:r>
          </w:p>
          <w:p>
            <w:pPr>
              <w:pStyle w:val="TableContents"/>
              <w:bidi w:val="0"/>
              <w:spacing w:before="0" w:after="20"/>
              <w:jc w:val="center"/>
              <w:rPr>
                <w:rFonts w:ascii="ARIAL" w:hAnsi="ARIAL"/>
                <w:b/>
                <w:color w:val="FFFFFF"/>
                <w:sz w:val="18"/>
              </w:rPr>
            </w:pPr>
            <w:r>
              <w:rPr>
                <w:rFonts w:ascii="ARIAL" w:hAnsi="ARIAL"/>
                <w:b/>
                <w:color w:val="FFFFFF"/>
                <w:sz w:val="18"/>
              </w:rPr>
              <w:t>on</w:t>
              <w:br/>
              <w:t>Exercise ($)</w:t>
            </w:r>
          </w:p>
        </w:tc>
        <w:tc>
          <w:tcPr>
            <w:tcW w:w="60" w:type="dxa"/>
            <w:tcBorders/>
            <w:shd w:fill="444444"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115" w:type="dxa"/>
            <w:gridSpan w:val="2"/>
            <w:tcBorders/>
            <w:shd w:fill="444444" w:val="clear"/>
            <w:vAlign w:val="center"/>
          </w:tcPr>
          <w:p>
            <w:pPr>
              <w:pStyle w:val="TableContents"/>
              <w:bidi w:val="0"/>
              <w:spacing w:before="0" w:after="283"/>
              <w:jc w:val="center"/>
              <w:rPr>
                <w:b/>
                <w:color w:val="FFFFFF"/>
              </w:rPr>
            </w:pPr>
            <w:r>
              <w:rPr>
                <w:b/>
                <w:color w:val="FFFFFF"/>
              </w:rPr>
              <w:t>Number</w:t>
              <w:br/>
              <w:t>of Shares</w:t>
              <w:br/>
              <w:t>Acquired</w:t>
              <w:br/>
              <w:t>on</w:t>
              <w:br/>
              <w:t>Vesting (#)</w:t>
            </w:r>
          </w:p>
        </w:tc>
        <w:tc>
          <w:tcPr>
            <w:tcW w:w="35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160" w:type="dxa"/>
            <w:gridSpan w:val="2"/>
            <w:tcBorders/>
            <w:shd w:fill="444444" w:val="clear"/>
            <w:vAlign w:val="center"/>
          </w:tcPr>
          <w:p>
            <w:pPr>
              <w:pStyle w:val="TableContents"/>
              <w:bidi w:val="0"/>
              <w:spacing w:before="0" w:after="283"/>
              <w:jc w:val="center"/>
              <w:rPr>
                <w:b/>
                <w:color w:val="FFFFFF"/>
              </w:rPr>
            </w:pPr>
            <w:r>
              <w:rPr>
                <w:b/>
                <w:color w:val="FFFFFF"/>
              </w:rPr>
              <w:t>Value</w:t>
              <w:br/>
              <w:t>Realized</w:t>
              <w:br/>
              <w:t>on</w:t>
              <w:br/>
              <w:t>Vesting ($)</w:t>
            </w:r>
          </w:p>
        </w:tc>
        <w:tc>
          <w:tcPr>
            <w:tcW w:w="75" w:type="dxa"/>
            <w:tcBorders/>
            <w:shd w:fill="444444" w:val="clear"/>
            <w:vAlign w:val="center"/>
          </w:tcPr>
          <w:p>
            <w:pPr>
              <w:pStyle w:val="TableContents"/>
              <w:bidi w:val="0"/>
              <w:spacing w:before="0" w:after="283"/>
              <w:jc w:val="left"/>
              <w:rPr/>
            </w:pPr>
            <w:r>
              <w:rPr/>
              <w:t> </w:t>
            </w:r>
          </w:p>
        </w:tc>
      </w:tr>
      <w:tr>
        <w:trPr/>
        <w:tc>
          <w:tcPr>
            <w:tcW w:w="1370" w:type="dxa"/>
            <w:tcBorders/>
            <w:shd w:fill="EAEAEA" w:val="clear"/>
            <w:vAlign w:val="center"/>
          </w:tcPr>
          <w:p>
            <w:pPr>
              <w:pStyle w:val="TableContents"/>
              <w:bidi w:val="0"/>
              <w:spacing w:before="0" w:after="0"/>
              <w:jc w:val="left"/>
              <w:rPr>
                <w:rFonts w:ascii="ARIAL" w:hAnsi="ARIAL"/>
                <w:sz w:val="18"/>
              </w:rPr>
            </w:pPr>
            <w:r>
              <w:rPr>
                <w:rFonts w:ascii="ARIAL" w:hAnsi="ARIAL"/>
                <w:sz w:val="18"/>
              </w:rPr>
              <w:t>Scott A. Smith</w:t>
            </w:r>
          </w:p>
        </w:tc>
        <w:tc>
          <w:tcPr>
            <w:tcW w:w="60" w:type="dxa"/>
            <w:tcBorders/>
            <w:shd w:fill="EAEAEA" w:val="clear"/>
            <w:vAlign w:val="center"/>
          </w:tcPr>
          <w:p>
            <w:pPr>
              <w:pStyle w:val="TableContents"/>
              <w:bidi w:val="0"/>
              <w:spacing w:before="0" w:after="283"/>
              <w:jc w:val="left"/>
              <w:rPr/>
            </w:pPr>
            <w:r>
              <w:rPr/>
              <w:t> </w:t>
            </w:r>
          </w:p>
        </w:tc>
        <w:tc>
          <w:tcPr>
            <w:tcW w:w="225"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w:t>
            </w:r>
          </w:p>
        </w:tc>
        <w:tc>
          <w:tcPr>
            <w:tcW w:w="124" w:type="dxa"/>
            <w:tcBorders/>
            <w:shd w:fill="EAEAEA" w:val="clear"/>
            <w:vAlign w:val="center"/>
          </w:tcPr>
          <w:p>
            <w:pPr>
              <w:pStyle w:val="TableContents"/>
              <w:bidi w:val="0"/>
              <w:spacing w:before="0" w:after="283"/>
              <w:jc w:val="left"/>
              <w:rPr/>
            </w:pPr>
            <w:r>
              <w:rPr/>
              <w:t> </w:t>
            </w:r>
          </w:p>
        </w:tc>
        <w:tc>
          <w:tcPr>
            <w:tcW w:w="124" w:type="dxa"/>
            <w:tcBorders/>
            <w:shd w:fill="EAEAEA" w:val="clear"/>
            <w:vAlign w:val="center"/>
          </w:tcPr>
          <w:p>
            <w:pPr>
              <w:pStyle w:val="TableContents"/>
              <w:bidi w:val="0"/>
              <w:spacing w:before="0" w:after="283"/>
              <w:jc w:val="left"/>
              <w:rPr/>
            </w:pPr>
            <w:r>
              <w:rPr/>
              <w:t> </w:t>
            </w:r>
          </w:p>
        </w:tc>
        <w:tc>
          <w:tcPr>
            <w:tcW w:w="194" w:type="dxa"/>
            <w:tcBorders/>
            <w:shd w:fill="EAEAEA" w:val="clear"/>
            <w:vAlign w:val="center"/>
          </w:tcPr>
          <w:p>
            <w:pPr>
              <w:pStyle w:val="TableContents"/>
              <w:bidi w:val="0"/>
              <w:spacing w:before="0" w:after="283"/>
              <w:jc w:val="left"/>
              <w:rPr/>
            </w:pPr>
            <w:r>
              <w:rPr/>
              <w:t> </w:t>
            </w:r>
          </w:p>
        </w:tc>
        <w:tc>
          <w:tcPr>
            <w:tcW w:w="861"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64" w:type="dxa"/>
            <w:tcBorders/>
            <w:shd w:fill="EAEAEA" w:val="clear"/>
            <w:vAlign w:val="center"/>
          </w:tcPr>
          <w:p>
            <w:pPr>
              <w:pStyle w:val="TableContents"/>
              <w:bidi w:val="0"/>
              <w:spacing w:before="0" w:after="283"/>
              <w:jc w:val="left"/>
              <w:rPr/>
            </w:pPr>
            <w:r>
              <w:rPr/>
              <w:t> </w:t>
            </w:r>
          </w:p>
        </w:tc>
        <w:tc>
          <w:tcPr>
            <w:tcW w:w="1051" w:type="dxa"/>
            <w:tcBorders/>
            <w:shd w:fill="EAEAEA" w:val="clear"/>
            <w:vAlign w:val="center"/>
          </w:tcPr>
          <w:p>
            <w:pPr>
              <w:pStyle w:val="TableContents"/>
              <w:bidi w:val="0"/>
              <w:spacing w:before="0" w:after="283"/>
              <w:jc w:val="right"/>
              <w:rPr/>
            </w:pPr>
            <w:r>
              <w:rPr/>
              <w:t>—</w:t>
            </w:r>
          </w:p>
        </w:tc>
        <w:tc>
          <w:tcPr>
            <w:tcW w:w="35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100" w:type="dxa"/>
            <w:tcBorders/>
            <w:shd w:fill="EAEAEA" w:val="clear"/>
            <w:vAlign w:val="center"/>
          </w:tcPr>
          <w:p>
            <w:pPr>
              <w:pStyle w:val="TableContents"/>
              <w:bidi w:val="0"/>
              <w:spacing w:before="0" w:after="283"/>
              <w:jc w:val="right"/>
              <w:rPr/>
            </w:pPr>
            <w:r>
              <w:rPr/>
              <w:t>—</w:t>
            </w:r>
          </w:p>
        </w:tc>
        <w:tc>
          <w:tcPr>
            <w:tcW w:w="75" w:type="dxa"/>
            <w:tcBorders/>
            <w:shd w:fill="EAEAEA"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rFonts w:ascii="ARIAL" w:hAnsi="ARIAL"/>
                <w:sz w:val="18"/>
              </w:rPr>
            </w:pPr>
            <w:r>
              <w:rPr>
                <w:rFonts w:ascii="ARIAL" w:hAnsi="ARIAL"/>
                <w:sz w:val="18"/>
              </w:rPr>
              <w:t>Sanjeev Narula</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24"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91,275</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1,017,486</w:t>
            </w:r>
          </w:p>
        </w:tc>
        <w:tc>
          <w:tcPr>
            <w:tcW w:w="75" w:type="dxa"/>
            <w:tcBorders/>
            <w:vAlign w:val="center"/>
          </w:tcPr>
          <w:p>
            <w:pPr>
              <w:pStyle w:val="TableContents"/>
              <w:bidi w:val="0"/>
              <w:spacing w:before="0" w:after="283"/>
              <w:jc w:val="left"/>
              <w:rPr/>
            </w:pPr>
            <w:r>
              <w:rPr/>
              <w:t> </w:t>
            </w:r>
          </w:p>
        </w:tc>
      </w:tr>
      <w:tr>
        <w:trPr/>
        <w:tc>
          <w:tcPr>
            <w:tcW w:w="1370" w:type="dxa"/>
            <w:tcBorders/>
            <w:shd w:fill="EAEAEA" w:val="clear"/>
            <w:vAlign w:val="center"/>
          </w:tcPr>
          <w:p>
            <w:pPr>
              <w:pStyle w:val="TableContents"/>
              <w:bidi w:val="0"/>
              <w:spacing w:before="0" w:after="0"/>
              <w:jc w:val="left"/>
              <w:rPr>
                <w:rFonts w:ascii="ARIAL" w:hAnsi="ARIAL"/>
                <w:sz w:val="18"/>
              </w:rPr>
            </w:pPr>
            <w:r>
              <w:rPr>
                <w:rFonts w:ascii="ARIAL" w:hAnsi="ARIAL"/>
                <w:sz w:val="18"/>
              </w:rPr>
              <w:t>Rajiv Malik</w:t>
            </w:r>
          </w:p>
        </w:tc>
        <w:tc>
          <w:tcPr>
            <w:tcW w:w="60" w:type="dxa"/>
            <w:tcBorders/>
            <w:shd w:fill="EAEAEA" w:val="clear"/>
            <w:vAlign w:val="center"/>
          </w:tcPr>
          <w:p>
            <w:pPr>
              <w:pStyle w:val="TableContents"/>
              <w:bidi w:val="0"/>
              <w:spacing w:before="0" w:after="283"/>
              <w:jc w:val="left"/>
              <w:rPr/>
            </w:pPr>
            <w:r>
              <w:rPr/>
              <w:t> </w:t>
            </w:r>
          </w:p>
        </w:tc>
        <w:tc>
          <w:tcPr>
            <w:tcW w:w="225"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w:t>
            </w:r>
          </w:p>
        </w:tc>
        <w:tc>
          <w:tcPr>
            <w:tcW w:w="124" w:type="dxa"/>
            <w:tcBorders/>
            <w:shd w:fill="EAEAEA" w:val="clear"/>
            <w:vAlign w:val="center"/>
          </w:tcPr>
          <w:p>
            <w:pPr>
              <w:pStyle w:val="TableContents"/>
              <w:bidi w:val="0"/>
              <w:spacing w:before="0" w:after="283"/>
              <w:jc w:val="left"/>
              <w:rPr/>
            </w:pPr>
            <w:r>
              <w:rPr/>
              <w:t> </w:t>
            </w:r>
          </w:p>
        </w:tc>
        <w:tc>
          <w:tcPr>
            <w:tcW w:w="124" w:type="dxa"/>
            <w:tcBorders/>
            <w:shd w:fill="EAEAEA" w:val="clear"/>
            <w:vAlign w:val="center"/>
          </w:tcPr>
          <w:p>
            <w:pPr>
              <w:pStyle w:val="TableContents"/>
              <w:bidi w:val="0"/>
              <w:spacing w:before="0" w:after="283"/>
              <w:jc w:val="left"/>
              <w:rPr/>
            </w:pPr>
            <w:r>
              <w:rPr/>
              <w:t> </w:t>
            </w:r>
          </w:p>
        </w:tc>
        <w:tc>
          <w:tcPr>
            <w:tcW w:w="194" w:type="dxa"/>
            <w:tcBorders/>
            <w:shd w:fill="EAEAEA" w:val="clear"/>
            <w:vAlign w:val="center"/>
          </w:tcPr>
          <w:p>
            <w:pPr>
              <w:pStyle w:val="TableContents"/>
              <w:bidi w:val="0"/>
              <w:spacing w:before="0" w:after="283"/>
              <w:jc w:val="left"/>
              <w:rPr/>
            </w:pPr>
            <w:r>
              <w:rPr/>
              <w:t> </w:t>
            </w:r>
          </w:p>
        </w:tc>
        <w:tc>
          <w:tcPr>
            <w:tcW w:w="861"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64" w:type="dxa"/>
            <w:tcBorders/>
            <w:shd w:fill="EAEAEA" w:val="clear"/>
            <w:vAlign w:val="center"/>
          </w:tcPr>
          <w:p>
            <w:pPr>
              <w:pStyle w:val="TableContents"/>
              <w:bidi w:val="0"/>
              <w:spacing w:before="0" w:after="283"/>
              <w:jc w:val="left"/>
              <w:rPr/>
            </w:pPr>
            <w:r>
              <w:rPr/>
              <w:t> </w:t>
            </w:r>
          </w:p>
        </w:tc>
        <w:tc>
          <w:tcPr>
            <w:tcW w:w="1051" w:type="dxa"/>
            <w:tcBorders/>
            <w:shd w:fill="EAEAEA" w:val="clear"/>
            <w:vAlign w:val="center"/>
          </w:tcPr>
          <w:p>
            <w:pPr>
              <w:pStyle w:val="TableContents"/>
              <w:bidi w:val="0"/>
              <w:spacing w:before="0" w:after="283"/>
              <w:jc w:val="right"/>
              <w:rPr/>
            </w:pPr>
            <w:r>
              <w:rPr/>
              <w:t>407,808</w:t>
            </w:r>
          </w:p>
        </w:tc>
        <w:tc>
          <w:tcPr>
            <w:tcW w:w="35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100" w:type="dxa"/>
            <w:tcBorders/>
            <w:shd w:fill="EAEAEA" w:val="clear"/>
            <w:vAlign w:val="center"/>
          </w:tcPr>
          <w:p>
            <w:pPr>
              <w:pStyle w:val="TableContents"/>
              <w:bidi w:val="0"/>
              <w:spacing w:before="0" w:after="283"/>
              <w:jc w:val="right"/>
              <w:rPr/>
            </w:pPr>
            <w:r>
              <w:rPr/>
              <w:t>4,538,903</w:t>
            </w:r>
          </w:p>
        </w:tc>
        <w:tc>
          <w:tcPr>
            <w:tcW w:w="75" w:type="dxa"/>
            <w:tcBorders/>
            <w:shd w:fill="EAEAEA"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rFonts w:ascii="ARIAL" w:hAnsi="ARIAL"/>
                <w:sz w:val="18"/>
              </w:rPr>
            </w:pPr>
            <w:r>
              <w:rPr>
                <w:rFonts w:ascii="ARIAL" w:hAnsi="ARIAL"/>
                <w:sz w:val="18"/>
              </w:rPr>
              <w:t>Anthony Mauro</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24"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186,080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2,071,070</w:t>
            </w:r>
          </w:p>
        </w:tc>
        <w:tc>
          <w:tcPr>
            <w:tcW w:w="75" w:type="dxa"/>
            <w:tcBorders/>
            <w:vAlign w:val="center"/>
          </w:tcPr>
          <w:p>
            <w:pPr>
              <w:pStyle w:val="TableContents"/>
              <w:bidi w:val="0"/>
              <w:spacing w:before="0" w:after="283"/>
              <w:jc w:val="left"/>
              <w:rPr/>
            </w:pPr>
            <w:r>
              <w:rPr/>
              <w:t> </w:t>
            </w:r>
          </w:p>
        </w:tc>
      </w:tr>
      <w:tr>
        <w:trPr/>
        <w:tc>
          <w:tcPr>
            <w:tcW w:w="1370" w:type="dxa"/>
            <w:tcBorders/>
            <w:shd w:fill="EAEAEA" w:val="clear"/>
            <w:vAlign w:val="center"/>
          </w:tcPr>
          <w:p>
            <w:pPr>
              <w:pStyle w:val="TableContents"/>
              <w:bidi w:val="0"/>
              <w:spacing w:before="0" w:after="0"/>
              <w:jc w:val="left"/>
              <w:rPr>
                <w:rFonts w:ascii="ARIAL" w:hAnsi="ARIAL"/>
                <w:sz w:val="18"/>
              </w:rPr>
            </w:pPr>
            <w:r>
              <w:rPr>
                <w:rFonts w:ascii="ARIAL" w:hAnsi="ARIAL"/>
                <w:sz w:val="18"/>
              </w:rPr>
              <w:t>Brian Roman</w:t>
            </w:r>
          </w:p>
        </w:tc>
        <w:tc>
          <w:tcPr>
            <w:tcW w:w="60" w:type="dxa"/>
            <w:tcBorders/>
            <w:shd w:fill="EAEAEA" w:val="clear"/>
            <w:vAlign w:val="center"/>
          </w:tcPr>
          <w:p>
            <w:pPr>
              <w:pStyle w:val="TableContents"/>
              <w:bidi w:val="0"/>
              <w:spacing w:before="0" w:after="283"/>
              <w:jc w:val="left"/>
              <w:rPr/>
            </w:pPr>
            <w:r>
              <w:rPr/>
              <w:t> </w:t>
            </w:r>
          </w:p>
        </w:tc>
        <w:tc>
          <w:tcPr>
            <w:tcW w:w="225" w:type="dxa"/>
            <w:tcBorders/>
            <w:shd w:fill="EAEAEA" w:val="clear"/>
            <w:vAlign w:val="center"/>
          </w:tcPr>
          <w:p>
            <w:pPr>
              <w:pStyle w:val="TableContents"/>
              <w:bidi w:val="0"/>
              <w:spacing w:before="0" w:after="283"/>
              <w:jc w:val="left"/>
              <w:rPr/>
            </w:pPr>
            <w:r>
              <w:rPr/>
              <w:t> </w:t>
            </w:r>
          </w:p>
        </w:tc>
        <w:tc>
          <w:tcPr>
            <w:tcW w:w="980" w:type="dxa"/>
            <w:tcBorders/>
            <w:shd w:fill="EAEAEA" w:val="clear"/>
            <w:vAlign w:val="center"/>
          </w:tcPr>
          <w:p>
            <w:pPr>
              <w:pStyle w:val="TableContents"/>
              <w:bidi w:val="0"/>
              <w:spacing w:before="0" w:after="283"/>
              <w:jc w:val="right"/>
              <w:rPr/>
            </w:pPr>
            <w:r>
              <w:rPr/>
              <w:t>—</w:t>
            </w:r>
          </w:p>
        </w:tc>
        <w:tc>
          <w:tcPr>
            <w:tcW w:w="124" w:type="dxa"/>
            <w:tcBorders/>
            <w:shd w:fill="EAEAEA" w:val="clear"/>
            <w:vAlign w:val="center"/>
          </w:tcPr>
          <w:p>
            <w:pPr>
              <w:pStyle w:val="TableContents"/>
              <w:bidi w:val="0"/>
              <w:spacing w:before="0" w:after="283"/>
              <w:jc w:val="left"/>
              <w:rPr/>
            </w:pPr>
            <w:r>
              <w:rPr/>
              <w:t> </w:t>
            </w:r>
          </w:p>
        </w:tc>
        <w:tc>
          <w:tcPr>
            <w:tcW w:w="124" w:type="dxa"/>
            <w:tcBorders/>
            <w:shd w:fill="EAEAEA" w:val="clear"/>
            <w:vAlign w:val="center"/>
          </w:tcPr>
          <w:p>
            <w:pPr>
              <w:pStyle w:val="TableContents"/>
              <w:bidi w:val="0"/>
              <w:spacing w:before="0" w:after="283"/>
              <w:jc w:val="left"/>
              <w:rPr/>
            </w:pPr>
            <w:r>
              <w:rPr/>
              <w:t> </w:t>
            </w:r>
          </w:p>
        </w:tc>
        <w:tc>
          <w:tcPr>
            <w:tcW w:w="194" w:type="dxa"/>
            <w:tcBorders/>
            <w:shd w:fill="EAEAEA" w:val="clear"/>
            <w:vAlign w:val="center"/>
          </w:tcPr>
          <w:p>
            <w:pPr>
              <w:pStyle w:val="TableContents"/>
              <w:bidi w:val="0"/>
              <w:spacing w:before="0" w:after="283"/>
              <w:jc w:val="left"/>
              <w:rPr/>
            </w:pPr>
            <w:r>
              <w:rPr/>
              <w:t> </w:t>
            </w:r>
          </w:p>
        </w:tc>
        <w:tc>
          <w:tcPr>
            <w:tcW w:w="861" w:type="dxa"/>
            <w:tcBorders/>
            <w:shd w:fill="EAEAEA" w:val="clear"/>
            <w:vAlign w:val="center"/>
          </w:tcPr>
          <w:p>
            <w:pPr>
              <w:pStyle w:val="TableContents"/>
              <w:bidi w:val="0"/>
              <w:spacing w:before="0" w:after="283"/>
              <w:jc w:val="right"/>
              <w:rPr/>
            </w:pPr>
            <w:r>
              <w:rPr/>
              <w:t>—</w:t>
            </w:r>
          </w:p>
        </w:tc>
        <w:tc>
          <w:tcPr>
            <w:tcW w:w="60" w:type="dxa"/>
            <w:tcBorders/>
            <w:shd w:fill="EAEAEA"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AEAEA" w:val="clear"/>
            <w:vAlign w:val="center"/>
          </w:tcPr>
          <w:p>
            <w:pPr>
              <w:pStyle w:val="TableContents"/>
              <w:bidi w:val="0"/>
              <w:spacing w:before="0" w:after="283"/>
              <w:jc w:val="left"/>
              <w:rPr/>
            </w:pPr>
            <w:r>
              <w:rPr/>
              <w:t> </w:t>
            </w:r>
          </w:p>
        </w:tc>
        <w:tc>
          <w:tcPr>
            <w:tcW w:w="64" w:type="dxa"/>
            <w:tcBorders/>
            <w:shd w:fill="EAEAEA" w:val="clear"/>
            <w:vAlign w:val="center"/>
          </w:tcPr>
          <w:p>
            <w:pPr>
              <w:pStyle w:val="TableContents"/>
              <w:bidi w:val="0"/>
              <w:spacing w:before="0" w:after="283"/>
              <w:jc w:val="left"/>
              <w:rPr/>
            </w:pPr>
            <w:r>
              <w:rPr/>
              <w:t> </w:t>
            </w:r>
          </w:p>
        </w:tc>
        <w:tc>
          <w:tcPr>
            <w:tcW w:w="1051" w:type="dxa"/>
            <w:tcBorders/>
            <w:shd w:fill="EAEAEA" w:val="clear"/>
            <w:vAlign w:val="center"/>
          </w:tcPr>
          <w:p>
            <w:pPr>
              <w:pStyle w:val="TableContents"/>
              <w:bidi w:val="0"/>
              <w:spacing w:before="0" w:after="283"/>
              <w:jc w:val="right"/>
              <w:rPr/>
            </w:pPr>
            <w:r>
              <w:rPr/>
              <w:t>55,783</w:t>
            </w:r>
          </w:p>
        </w:tc>
        <w:tc>
          <w:tcPr>
            <w:tcW w:w="35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100" w:type="dxa"/>
            <w:tcBorders/>
            <w:shd w:fill="EAEAEA" w:val="clear"/>
            <w:vAlign w:val="center"/>
          </w:tcPr>
          <w:p>
            <w:pPr>
              <w:pStyle w:val="TableContents"/>
              <w:bidi w:val="0"/>
              <w:spacing w:before="0" w:after="283"/>
              <w:jc w:val="right"/>
              <w:rPr/>
            </w:pPr>
            <w:r>
              <w:rPr/>
              <w:t>620,865</w:t>
            </w:r>
          </w:p>
        </w:tc>
        <w:tc>
          <w:tcPr>
            <w:tcW w:w="75" w:type="dxa"/>
            <w:tcBorders/>
            <w:shd w:fill="EAEAEA"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rFonts w:ascii="ARIAL" w:hAnsi="ARIAL"/>
                <w:sz w:val="18"/>
              </w:rPr>
            </w:pPr>
            <w:r>
              <w:rPr>
                <w:rFonts w:ascii="ARIAL" w:hAnsi="ARIAL"/>
                <w:sz w:val="18"/>
              </w:rPr>
              <w:t>Michael Goettler</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24"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328,178</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3,661,632</w:t>
            </w:r>
          </w:p>
        </w:tc>
        <w:tc>
          <w:tcPr>
            <w:tcW w:w="75" w:type="dxa"/>
            <w:tcBorders/>
            <w:vAlign w:val="center"/>
          </w:tcPr>
          <w:p>
            <w:pPr>
              <w:pStyle w:val="TableContents"/>
              <w:bidi w:val="0"/>
              <w:spacing w:before="0" w:after="283"/>
              <w:jc w:val="left"/>
              <w:rPr/>
            </w:pPr>
            <w:r>
              <w:rPr/>
              <w:t> </w:t>
            </w:r>
          </w:p>
        </w:tc>
      </w:tr>
      <w:tr>
        <w:trPr/>
        <w:tc>
          <w:tcPr>
            <w:tcW w:w="1370" w:type="dxa"/>
            <w:tcBorders>
              <w:bottom w:val="single" w:sz="8" w:space="0" w:color="732282"/>
            </w:tcBorders>
            <w:shd w:fill="EAEAEA" w:val="clear"/>
            <w:tcMar>
              <w:bottom w:w="28" w:type="dxa"/>
            </w:tcMar>
            <w:vAlign w:val="center"/>
          </w:tcPr>
          <w:p>
            <w:pPr>
              <w:pStyle w:val="TableContents"/>
              <w:bidi w:val="0"/>
              <w:spacing w:before="0" w:after="0"/>
              <w:jc w:val="left"/>
              <w:rPr>
                <w:rFonts w:ascii="ARIAL" w:hAnsi="ARIAL"/>
                <w:sz w:val="18"/>
              </w:rPr>
            </w:pPr>
            <w:r>
              <w:rPr>
                <w:rFonts w:ascii="ARIAL" w:hAnsi="ARIAL"/>
                <w:sz w:val="18"/>
              </w:rPr>
              <w:t>Robert J. Coury</w:t>
            </w:r>
          </w:p>
        </w:tc>
        <w:tc>
          <w:tcPr>
            <w:tcW w:w="60" w:type="dxa"/>
            <w:tcBorders>
              <w:bottom w:val="single" w:sz="8" w:space="0" w:color="732282"/>
            </w:tcBorders>
            <w:shd w:fill="EAEAEA" w:val="clear"/>
            <w:tcMar>
              <w:bottom w:w="28" w:type="dxa"/>
            </w:tcMar>
            <w:vAlign w:val="center"/>
          </w:tcPr>
          <w:p>
            <w:pPr>
              <w:pStyle w:val="TableContents"/>
              <w:bidi w:val="0"/>
              <w:spacing w:before="0" w:after="283"/>
              <w:jc w:val="left"/>
              <w:rPr/>
            </w:pPr>
            <w:r>
              <w:rPr/>
              <w:t> </w:t>
            </w:r>
          </w:p>
        </w:tc>
        <w:tc>
          <w:tcPr>
            <w:tcW w:w="225" w:type="dxa"/>
            <w:tcBorders>
              <w:bottom w:val="single" w:sz="8" w:space="0" w:color="732282"/>
            </w:tcBorders>
            <w:shd w:fill="EAEAEA" w:val="clear"/>
            <w:tcMar>
              <w:bottom w:w="28" w:type="dxa"/>
            </w:tcMar>
            <w:vAlign w:val="center"/>
          </w:tcPr>
          <w:p>
            <w:pPr>
              <w:pStyle w:val="TableContents"/>
              <w:bidi w:val="0"/>
              <w:spacing w:before="0" w:after="283"/>
              <w:jc w:val="left"/>
              <w:rPr/>
            </w:pPr>
            <w:r>
              <w:rPr/>
              <w:t> </w:t>
            </w:r>
          </w:p>
        </w:tc>
        <w:tc>
          <w:tcPr>
            <w:tcW w:w="980" w:type="dxa"/>
            <w:tcBorders>
              <w:bottom w:val="single" w:sz="8" w:space="0" w:color="732282"/>
            </w:tcBorders>
            <w:shd w:fill="EAEAEA" w:val="clear"/>
            <w:tcMar>
              <w:bottom w:w="28" w:type="dxa"/>
            </w:tcMar>
            <w:vAlign w:val="center"/>
          </w:tcPr>
          <w:p>
            <w:pPr>
              <w:pStyle w:val="TableContents"/>
              <w:bidi w:val="0"/>
              <w:spacing w:before="0" w:after="283"/>
              <w:jc w:val="right"/>
              <w:rPr/>
            </w:pPr>
            <w:r>
              <w:rPr/>
              <w:t>—</w:t>
            </w:r>
          </w:p>
        </w:tc>
        <w:tc>
          <w:tcPr>
            <w:tcW w:w="124" w:type="dxa"/>
            <w:tcBorders>
              <w:bottom w:val="single" w:sz="8" w:space="0" w:color="732282"/>
            </w:tcBorders>
            <w:shd w:fill="EAEAEA" w:val="clear"/>
            <w:tcMar>
              <w:bottom w:w="28" w:type="dxa"/>
            </w:tcMar>
            <w:vAlign w:val="center"/>
          </w:tcPr>
          <w:p>
            <w:pPr>
              <w:pStyle w:val="TableContents"/>
              <w:bidi w:val="0"/>
              <w:spacing w:before="0" w:after="283"/>
              <w:jc w:val="left"/>
              <w:rPr/>
            </w:pPr>
            <w:r>
              <w:rPr/>
              <w:t> </w:t>
            </w:r>
          </w:p>
        </w:tc>
        <w:tc>
          <w:tcPr>
            <w:tcW w:w="124" w:type="dxa"/>
            <w:tcBorders>
              <w:bottom w:val="single" w:sz="8" w:space="0" w:color="732282"/>
            </w:tcBorders>
            <w:shd w:fill="EAEAEA" w:val="clear"/>
            <w:tcMar>
              <w:bottom w:w="28" w:type="dxa"/>
            </w:tcMar>
            <w:vAlign w:val="center"/>
          </w:tcPr>
          <w:p>
            <w:pPr>
              <w:pStyle w:val="TableContents"/>
              <w:bidi w:val="0"/>
              <w:spacing w:before="0" w:after="283"/>
              <w:jc w:val="left"/>
              <w:rPr/>
            </w:pPr>
            <w:r>
              <w:rPr/>
              <w:t> </w:t>
            </w:r>
          </w:p>
        </w:tc>
        <w:tc>
          <w:tcPr>
            <w:tcW w:w="194" w:type="dxa"/>
            <w:tcBorders>
              <w:bottom w:val="single" w:sz="8" w:space="0" w:color="732282"/>
            </w:tcBorders>
            <w:shd w:fill="EAEAEA" w:val="clear"/>
            <w:tcMar>
              <w:bottom w:w="28" w:type="dxa"/>
            </w:tcMar>
            <w:vAlign w:val="center"/>
          </w:tcPr>
          <w:p>
            <w:pPr>
              <w:pStyle w:val="TableContents"/>
              <w:bidi w:val="0"/>
              <w:spacing w:before="0" w:after="283"/>
              <w:jc w:val="left"/>
              <w:rPr/>
            </w:pPr>
            <w:r>
              <w:rPr/>
              <w:t> </w:t>
            </w:r>
          </w:p>
        </w:tc>
        <w:tc>
          <w:tcPr>
            <w:tcW w:w="861" w:type="dxa"/>
            <w:tcBorders>
              <w:bottom w:val="single" w:sz="8" w:space="0" w:color="732282"/>
            </w:tcBorders>
            <w:shd w:fill="EAEAEA" w:val="clear"/>
            <w:tcMar>
              <w:bottom w:w="28" w:type="dxa"/>
            </w:tcMar>
            <w:vAlign w:val="center"/>
          </w:tcPr>
          <w:p>
            <w:pPr>
              <w:pStyle w:val="TableContents"/>
              <w:bidi w:val="0"/>
              <w:spacing w:before="0" w:after="283"/>
              <w:jc w:val="right"/>
              <w:rPr/>
            </w:pPr>
            <w:r>
              <w:rPr/>
              <w:t>—</w:t>
            </w:r>
          </w:p>
        </w:tc>
        <w:tc>
          <w:tcPr>
            <w:tcW w:w="60" w:type="dxa"/>
            <w:tcBorders>
              <w:bottom w:val="single" w:sz="8" w:space="0" w:color="732282"/>
            </w:tcBorders>
            <w:shd w:fill="EAEAEA" w:val="clear"/>
            <w:tcMar>
              <w:bottom w:w="28" w:type="dxa"/>
            </w:tcMar>
            <w:vAlign w:val="center"/>
          </w:tcPr>
          <w:p>
            <w:pPr>
              <w:pStyle w:val="TableContents"/>
              <w:bidi w:val="0"/>
              <w:spacing w:before="0" w:after="283"/>
              <w:jc w:val="left"/>
              <w:rPr/>
            </w:pPr>
            <w:r>
              <w:rPr/>
              <w:t> </w:t>
            </w:r>
          </w:p>
        </w:tc>
        <w:tc>
          <w:tcPr>
            <w:tcW w:w="120" w:type="dxa"/>
            <w:tcBorders>
              <w:bottom w:val="single" w:sz="8" w:space="0" w:color="732282"/>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AEAEA" w:val="clear"/>
            <w:tcMar>
              <w:bottom w:w="28" w:type="dxa"/>
            </w:tcMar>
            <w:vAlign w:val="center"/>
          </w:tcPr>
          <w:p>
            <w:pPr>
              <w:pStyle w:val="TableContents"/>
              <w:bidi w:val="0"/>
              <w:spacing w:before="0" w:after="283"/>
              <w:jc w:val="left"/>
              <w:rPr/>
            </w:pPr>
            <w:r>
              <w:rPr/>
              <w:t> </w:t>
            </w:r>
          </w:p>
        </w:tc>
        <w:tc>
          <w:tcPr>
            <w:tcW w:w="64" w:type="dxa"/>
            <w:tcBorders>
              <w:bottom w:val="single" w:sz="8" w:space="0" w:color="732282"/>
            </w:tcBorders>
            <w:shd w:fill="EAEAEA" w:val="clear"/>
            <w:tcMar>
              <w:bottom w:w="28" w:type="dxa"/>
            </w:tcMar>
            <w:vAlign w:val="center"/>
          </w:tcPr>
          <w:p>
            <w:pPr>
              <w:pStyle w:val="TableContents"/>
              <w:bidi w:val="0"/>
              <w:spacing w:before="0" w:after="283"/>
              <w:jc w:val="left"/>
              <w:rPr/>
            </w:pPr>
            <w:r>
              <w:rPr/>
              <w:t> </w:t>
            </w:r>
          </w:p>
        </w:tc>
        <w:tc>
          <w:tcPr>
            <w:tcW w:w="1051" w:type="dxa"/>
            <w:tcBorders>
              <w:bottom w:val="single" w:sz="8" w:space="0" w:color="732282"/>
            </w:tcBorders>
            <w:shd w:fill="EAEAEA" w:val="clear"/>
            <w:tcMar>
              <w:bottom w:w="28" w:type="dxa"/>
            </w:tcMar>
            <w:vAlign w:val="center"/>
          </w:tcPr>
          <w:p>
            <w:pPr>
              <w:pStyle w:val="TableContents"/>
              <w:bidi w:val="0"/>
              <w:spacing w:before="0" w:after="283"/>
              <w:jc w:val="right"/>
              <w:rPr/>
            </w:pPr>
            <w:r>
              <w:rPr/>
              <w:t>4,580,904</w:t>
            </w:r>
          </w:p>
        </w:tc>
        <w:tc>
          <w:tcPr>
            <w:tcW w:w="350" w:type="dxa"/>
            <w:tcBorders>
              <w:bottom w:val="single" w:sz="8" w:space="0" w:color="732282"/>
            </w:tcBorders>
            <w:shd w:fill="EAEAEA" w:val="clear"/>
            <w:tcMar>
              <w:bottom w:w="28" w:type="dxa"/>
            </w:tcMar>
            <w:vAlign w:val="center"/>
          </w:tcPr>
          <w:p>
            <w:pPr>
              <w:pStyle w:val="TableContents"/>
              <w:bidi w:val="0"/>
              <w:spacing w:before="0" w:after="283"/>
              <w:jc w:val="left"/>
              <w:rPr/>
            </w:pPr>
            <w:r>
              <w:rPr/>
              <w:t>(1) </w:t>
            </w:r>
          </w:p>
        </w:tc>
        <w:tc>
          <w:tcPr>
            <w:tcW w:w="60" w:type="dxa"/>
            <w:tcBorders>
              <w:bottom w:val="single" w:sz="8" w:space="0" w:color="732282"/>
            </w:tcBorders>
            <w:shd w:fill="EAEAEA"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AEAEA" w:val="clear"/>
            <w:tcMar>
              <w:bottom w:w="28" w:type="dxa"/>
            </w:tcMar>
            <w:vAlign w:val="center"/>
          </w:tcPr>
          <w:p>
            <w:pPr>
              <w:pStyle w:val="TableContents"/>
              <w:bidi w:val="0"/>
              <w:spacing w:before="0" w:after="283"/>
              <w:jc w:val="left"/>
              <w:rPr/>
            </w:pPr>
            <w:r>
              <w:rPr/>
              <w:t> </w:t>
            </w:r>
          </w:p>
        </w:tc>
        <w:tc>
          <w:tcPr>
            <w:tcW w:w="1100" w:type="dxa"/>
            <w:tcBorders>
              <w:bottom w:val="single" w:sz="8" w:space="0" w:color="732282"/>
            </w:tcBorders>
            <w:shd w:fill="EAEAEA" w:val="clear"/>
            <w:tcMar>
              <w:bottom w:w="28" w:type="dxa"/>
            </w:tcMar>
            <w:vAlign w:val="center"/>
          </w:tcPr>
          <w:p>
            <w:pPr>
              <w:pStyle w:val="TableContents"/>
              <w:bidi w:val="0"/>
              <w:spacing w:before="0" w:after="283"/>
              <w:jc w:val="right"/>
              <w:rPr/>
            </w:pPr>
            <w:r>
              <w:rPr/>
              <w:t>47,249,454</w:t>
            </w:r>
          </w:p>
        </w:tc>
        <w:tc>
          <w:tcPr>
            <w:tcW w:w="75" w:type="dxa"/>
            <w:tcBorders>
              <w:bottom w:val="single" w:sz="8" w:space="0" w:color="732282"/>
            </w:tcBorders>
            <w:shd w:fill="EAEAEA" w:val="clear"/>
            <w:tcMar>
              <w:bottom w:w="28"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i/>
              </w:rPr>
            </w:pPr>
            <w:r>
              <w:rPr>
                <w:i/>
              </w:rPr>
              <w:t>(1)</w:t>
            </w:r>
          </w:p>
        </w:tc>
        <w:tc>
          <w:tcPr>
            <w:tcW w:w="9933" w:type="dxa"/>
            <w:tcBorders/>
            <w:vAlign w:val="center"/>
          </w:tcPr>
          <w:p>
            <w:pPr>
              <w:pStyle w:val="TableContents"/>
              <w:bidi w:val="0"/>
              <w:spacing w:before="0" w:after="0"/>
              <w:jc w:val="both"/>
              <w:rPr>
                <w:rFonts w:ascii="arial" w:hAnsi="arial"/>
                <w:i/>
                <w:sz w:val="18"/>
              </w:rPr>
            </w:pPr>
            <w:r>
              <w:rPr>
                <w:rFonts w:ascii="arial" w:hAnsi="arial"/>
                <w:i/>
                <w:sz w:val="18"/>
              </w:rPr>
              <w:t xml:space="preserve">All shares reflected as vesting in this table were paid pursuant to their pre-existing contractual terms, including those paid to Mr. Coury in connection with his separation from employment for “good reason”. </w:t>
            </w:r>
          </w:p>
        </w:tc>
      </w:tr>
    </w:tbl>
    <w:p>
      <w:pPr>
        <w:pStyle w:val="TextBody"/>
        <w:bidi w:val="0"/>
        <w:spacing w:before="240" w:after="0"/>
        <w:jc w:val="left"/>
        <w:rPr>
          <w:rFonts w:ascii="ARIAL" w:hAnsi="ARIAL"/>
          <w:b/>
          <w:color w:val="732282"/>
          <w:sz w:val="20"/>
        </w:rPr>
      </w:pPr>
      <w:r>
        <w:rPr>
          <w:rFonts w:ascii="ARIAL" w:hAnsi="ARIAL"/>
          <w:b/>
          <w:color w:val="732282"/>
          <w:sz w:val="20"/>
        </w:rPr>
        <w:t xml:space="preserve">Pension Benefits for 2023 </w:t>
      </w:r>
    </w:p>
    <w:p>
      <w:pPr>
        <w:pStyle w:val="TextBody"/>
        <w:bidi w:val="0"/>
        <w:spacing w:before="120" w:after="0"/>
        <w:jc w:val="both"/>
        <w:rPr>
          <w:rFonts w:ascii="arial" w:hAnsi="arial"/>
          <w:sz w:val="18"/>
        </w:rPr>
      </w:pPr>
      <w:r>
        <w:rPr>
          <w:rFonts w:ascii="arial" w:hAnsi="arial"/>
          <w:sz w:val="18"/>
        </w:rPr>
        <w:t xml:space="preserve">The following table summarizes Mr. Malik’s benefits as of December 31, 2023 under The Executive Plan for Rajiv Malik (“The Executive Plan”) and Mr. Malik’s Retirement Benefit Agreement (the “Malik RBA”). The Malik RBA was frozen in November 2020. Mr. Malik will not accrue any additional benefits pursuant to the agreement. The Executive Plan is a deferred compensation plan to which the Company no longer contributes, though the value of the benefit may change depending on the performance of investments. The Company does not sponsor any other defined benefit pension programs covering the NEOs. </w:t>
      </w:r>
    </w:p>
    <w:p>
      <w:pPr>
        <w:pStyle w:val="TextBody"/>
        <w:bidi w:val="0"/>
        <w:spacing w:before="0" w:after="0"/>
        <w:jc w:val="left"/>
        <w:rPr/>
      </w:pPr>
      <w:r>
        <w:rPr/>
        <w:t> </w:t>
      </w:r>
    </w:p>
    <w:tbl>
      <w:tblPr>
        <w:tblW w:w="8740" w:type="dxa"/>
        <w:jc w:val="left"/>
        <w:tblInd w:w="0" w:type="dxa"/>
        <w:tblLayout w:type="fixed"/>
        <w:tblCellMar>
          <w:top w:w="0" w:type="dxa"/>
          <w:left w:w="0" w:type="dxa"/>
          <w:bottom w:w="0" w:type="dxa"/>
          <w:right w:w="0" w:type="dxa"/>
        </w:tblCellMar>
      </w:tblPr>
      <w:tblGrid>
        <w:gridCol w:w="1370"/>
        <w:gridCol w:w="120"/>
        <w:gridCol w:w="3185"/>
        <w:gridCol w:w="120"/>
        <w:gridCol w:w="211"/>
        <w:gridCol w:w="919"/>
        <w:gridCol w:w="60"/>
        <w:gridCol w:w="120"/>
        <w:gridCol w:w="79"/>
        <w:gridCol w:w="1291"/>
        <w:gridCol w:w="60"/>
        <w:gridCol w:w="120"/>
        <w:gridCol w:w="189"/>
        <w:gridCol w:w="821"/>
        <w:gridCol w:w="75"/>
      </w:tblGrid>
      <w:tr>
        <w:trPr/>
        <w:tc>
          <w:tcPr>
            <w:tcW w:w="1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444444" w:val="clear"/>
            <w:vAlign w:val="center"/>
          </w:tcPr>
          <w:p>
            <w:pPr>
              <w:pStyle w:val="TableContents"/>
              <w:bidi w:val="0"/>
              <w:spacing w:before="0" w:after="283"/>
              <w:jc w:val="left"/>
              <w:rPr>
                <w:b/>
                <w:color w:val="FFFFFF"/>
              </w:rPr>
            </w:pPr>
            <w:r>
              <w:rPr>
                <w:b/>
                <w:color w:val="FFFFFF"/>
              </w:rPr>
              <w:t>Name</w:t>
            </w:r>
          </w:p>
        </w:tc>
        <w:tc>
          <w:tcPr>
            <w:tcW w:w="120" w:type="dxa"/>
            <w:tcBorders/>
            <w:shd w:fill="444444" w:val="clear"/>
            <w:vAlign w:val="center"/>
          </w:tcPr>
          <w:p>
            <w:pPr>
              <w:pStyle w:val="TableContents"/>
              <w:bidi w:val="0"/>
              <w:spacing w:before="0" w:after="283"/>
              <w:jc w:val="left"/>
              <w:rPr/>
            </w:pPr>
            <w:r>
              <w:rPr/>
              <w:t>  </w:t>
            </w:r>
          </w:p>
        </w:tc>
        <w:tc>
          <w:tcPr>
            <w:tcW w:w="3185" w:type="dxa"/>
            <w:tcBorders/>
            <w:shd w:fill="444444" w:val="clear"/>
            <w:vAlign w:val="center"/>
          </w:tcPr>
          <w:p>
            <w:pPr>
              <w:pStyle w:val="TableContents"/>
              <w:bidi w:val="0"/>
              <w:spacing w:before="0" w:after="283"/>
              <w:jc w:val="center"/>
              <w:rPr>
                <w:b/>
                <w:color w:val="FFFFFF"/>
              </w:rPr>
            </w:pPr>
            <w:r>
              <w:rPr>
                <w:b/>
                <w:color w:val="FFFFFF"/>
              </w:rPr>
              <w:t>Plan Name(1)</w:t>
            </w:r>
          </w:p>
        </w:tc>
        <w:tc>
          <w:tcPr>
            <w:tcW w:w="120" w:type="dxa"/>
            <w:tcBorders/>
            <w:shd w:fill="444444" w:val="clear"/>
            <w:vAlign w:val="center"/>
          </w:tcPr>
          <w:p>
            <w:pPr>
              <w:pStyle w:val="TableContents"/>
              <w:bidi w:val="0"/>
              <w:spacing w:before="0" w:after="283"/>
              <w:jc w:val="left"/>
              <w:rPr/>
            </w:pPr>
            <w:r>
              <w:rPr/>
              <w:t>  </w:t>
            </w:r>
          </w:p>
        </w:tc>
        <w:tc>
          <w:tcPr>
            <w:tcW w:w="1130" w:type="dxa"/>
            <w:gridSpan w:val="2"/>
            <w:tcBorders/>
            <w:shd w:fill="444444" w:val="clear"/>
            <w:vAlign w:val="center"/>
          </w:tcPr>
          <w:p>
            <w:pPr>
              <w:pStyle w:val="TableContents"/>
              <w:bidi w:val="0"/>
              <w:spacing w:before="0" w:after="283"/>
              <w:jc w:val="center"/>
              <w:rPr>
                <w:b/>
                <w:color w:val="FFFFFF"/>
              </w:rPr>
            </w:pPr>
            <w:r>
              <w:rPr>
                <w:b/>
                <w:color w:val="FFFFFF"/>
              </w:rPr>
              <w:t>Number of</w:t>
              <w:br/>
              <w:t>Years of</w:t>
              <w:br/>
              <w:t>Credited</w:t>
              <w:br/>
              <w:t>Service (#)</w:t>
            </w:r>
          </w:p>
        </w:tc>
        <w:tc>
          <w:tcPr>
            <w:tcW w:w="60" w:type="dxa"/>
            <w:tcBorders/>
            <w:shd w:fill="444444" w:val="clear"/>
            <w:vAlign w:val="center"/>
          </w:tcPr>
          <w:p>
            <w:pPr>
              <w:pStyle w:val="TableContents"/>
              <w:bidi w:val="0"/>
              <w:spacing w:before="0" w:after="283"/>
              <w:jc w:val="left"/>
              <w:rPr/>
            </w:pPr>
            <w:r>
              <w:rPr/>
              <w:t> </w:t>
            </w:r>
          </w:p>
        </w:tc>
        <w:tc>
          <w:tcPr>
            <w:tcW w:w="120" w:type="dxa"/>
            <w:tcBorders/>
            <w:shd w:fill="444444" w:val="clear"/>
            <w:vAlign w:val="center"/>
          </w:tcPr>
          <w:p>
            <w:pPr>
              <w:pStyle w:val="TableContents"/>
              <w:bidi w:val="0"/>
              <w:spacing w:before="0" w:after="283"/>
              <w:jc w:val="left"/>
              <w:rPr/>
            </w:pPr>
            <w:r>
              <w:rPr/>
              <w:t>  </w:t>
            </w:r>
          </w:p>
        </w:tc>
        <w:tc>
          <w:tcPr>
            <w:tcW w:w="1370" w:type="dxa"/>
            <w:gridSpan w:val="2"/>
            <w:tcBorders/>
            <w:shd w:fill="444444" w:val="clear"/>
            <w:vAlign w:val="center"/>
          </w:tcPr>
          <w:p>
            <w:pPr>
              <w:pStyle w:val="TableContents"/>
              <w:bidi w:val="0"/>
              <w:spacing w:before="0" w:after="283"/>
              <w:jc w:val="center"/>
              <w:rPr>
                <w:b/>
                <w:color w:val="FFFFFF"/>
              </w:rPr>
            </w:pPr>
            <w:r>
              <w:rPr>
                <w:b/>
                <w:color w:val="FFFFFF"/>
              </w:rPr>
              <w:t>Present</w:t>
              <w:br/>
              <w:t>Value of</w:t>
              <w:br/>
              <w:t>Accumulated</w:t>
              <w:br/>
              <w:t>Benefit ($)(2)</w:t>
            </w:r>
          </w:p>
        </w:tc>
        <w:tc>
          <w:tcPr>
            <w:tcW w:w="60" w:type="dxa"/>
            <w:tcBorders/>
            <w:shd w:fill="444444" w:val="clear"/>
            <w:vAlign w:val="center"/>
          </w:tcPr>
          <w:p>
            <w:pPr>
              <w:pStyle w:val="TableContents"/>
              <w:bidi w:val="0"/>
              <w:spacing w:before="0" w:after="283"/>
              <w:jc w:val="left"/>
              <w:rPr/>
            </w:pPr>
            <w:r>
              <w:rPr/>
              <w:t> </w:t>
            </w:r>
          </w:p>
        </w:tc>
        <w:tc>
          <w:tcPr>
            <w:tcW w:w="120" w:type="dxa"/>
            <w:tcBorders/>
            <w:shd w:fill="444444" w:val="clear"/>
            <w:vAlign w:val="center"/>
          </w:tcPr>
          <w:p>
            <w:pPr>
              <w:pStyle w:val="TableContents"/>
              <w:bidi w:val="0"/>
              <w:spacing w:before="0" w:after="283"/>
              <w:jc w:val="left"/>
              <w:rPr/>
            </w:pPr>
            <w:r>
              <w:rPr/>
              <w:t>  </w:t>
            </w:r>
          </w:p>
        </w:tc>
        <w:tc>
          <w:tcPr>
            <w:tcW w:w="1010" w:type="dxa"/>
            <w:gridSpan w:val="2"/>
            <w:tcBorders/>
            <w:shd w:fill="444444" w:val="clear"/>
            <w:vAlign w:val="center"/>
          </w:tcPr>
          <w:p>
            <w:pPr>
              <w:pStyle w:val="TableContents"/>
              <w:bidi w:val="0"/>
              <w:spacing w:before="0" w:after="283"/>
              <w:jc w:val="center"/>
              <w:rPr>
                <w:b/>
                <w:color w:val="FFFFFF"/>
              </w:rPr>
            </w:pPr>
            <w:r>
              <w:rPr>
                <w:b/>
                <w:color w:val="FFFFFF"/>
              </w:rPr>
              <w:t>Payments</w:t>
              <w:br/>
              <w:t>During</w:t>
              <w:br/>
              <w:t>Last</w:t>
              <w:br/>
              <w:t>Fiscal</w:t>
              <w:br/>
              <w:t>Year ($)</w:t>
            </w:r>
          </w:p>
        </w:tc>
        <w:tc>
          <w:tcPr>
            <w:tcW w:w="75" w:type="dxa"/>
            <w:tcBorders/>
            <w:shd w:fill="444444" w:val="clear"/>
            <w:vAlign w:val="center"/>
          </w:tcPr>
          <w:p>
            <w:pPr>
              <w:pStyle w:val="TableContents"/>
              <w:bidi w:val="0"/>
              <w:spacing w:before="0" w:after="283"/>
              <w:jc w:val="left"/>
              <w:rPr/>
            </w:pPr>
            <w:r>
              <w:rPr/>
              <w:t> </w:t>
            </w:r>
          </w:p>
        </w:tc>
      </w:tr>
      <w:tr>
        <w:trPr/>
        <w:tc>
          <w:tcPr>
            <w:tcW w:w="1370" w:type="dxa"/>
            <w:tcBorders/>
            <w:shd w:fill="E5E5E5" w:val="clear"/>
            <w:vAlign w:val="center"/>
          </w:tcPr>
          <w:p>
            <w:pPr>
              <w:pStyle w:val="TableContents"/>
              <w:bidi w:val="0"/>
              <w:spacing w:before="0" w:after="0"/>
              <w:jc w:val="left"/>
              <w:rPr>
                <w:rFonts w:ascii="ARIAL" w:hAnsi="ARIAL"/>
                <w:sz w:val="18"/>
              </w:rPr>
            </w:pPr>
            <w:r>
              <w:rPr>
                <w:rFonts w:ascii="ARIAL" w:hAnsi="ARIAL"/>
                <w:sz w:val="18"/>
              </w:rPr>
              <w:t>Scott A. Smith</w:t>
            </w:r>
          </w:p>
        </w:tc>
        <w:tc>
          <w:tcPr>
            <w:tcW w:w="120" w:type="dxa"/>
            <w:tcBorders/>
            <w:shd w:fill="E5E5E5" w:val="clear"/>
            <w:vAlign w:val="center"/>
          </w:tcPr>
          <w:p>
            <w:pPr>
              <w:pStyle w:val="TableContents"/>
              <w:bidi w:val="0"/>
              <w:spacing w:before="0" w:after="283"/>
              <w:jc w:val="left"/>
              <w:rPr/>
            </w:pPr>
            <w:r>
              <w:rPr/>
              <w:t>  </w:t>
            </w:r>
          </w:p>
        </w:tc>
        <w:tc>
          <w:tcPr>
            <w:tcW w:w="3185" w:type="dxa"/>
            <w:tcBorders/>
            <w:shd w:fill="E5E5E5" w:val="clear"/>
            <w:vAlign w:val="center"/>
          </w:tcPr>
          <w:p>
            <w:pPr>
              <w:pStyle w:val="TableContents"/>
              <w:bidi w:val="0"/>
              <w:spacing w:before="0" w:after="283"/>
              <w:jc w:val="right"/>
              <w:rPr/>
            </w:pPr>
            <w:r>
              <w:rPr/>
              <w:t>N/A</w:t>
            </w:r>
          </w:p>
        </w:tc>
        <w:tc>
          <w:tcPr>
            <w:tcW w:w="120"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919" w:type="dxa"/>
            <w:tcBorders/>
            <w:shd w:fill="E5E5E5" w:val="clear"/>
            <w:vAlign w:val="center"/>
          </w:tcPr>
          <w:p>
            <w:pPr>
              <w:pStyle w:val="TableContents"/>
              <w:bidi w:val="0"/>
              <w:spacing w:before="0" w:after="283"/>
              <w:jc w:val="right"/>
              <w:rPr/>
            </w:pPr>
            <w:r>
              <w:rPr/>
              <w:t>N/A</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79" w:type="dxa"/>
            <w:tcBorders/>
            <w:shd w:fill="E5E5E5" w:val="clear"/>
            <w:vAlign w:val="center"/>
          </w:tcPr>
          <w:p>
            <w:pPr>
              <w:pStyle w:val="TableContents"/>
              <w:bidi w:val="0"/>
              <w:spacing w:before="0" w:after="283"/>
              <w:jc w:val="left"/>
              <w:rPr/>
            </w:pPr>
            <w:r>
              <w:rPr/>
              <w:t> </w:t>
            </w:r>
          </w:p>
        </w:tc>
        <w:tc>
          <w:tcPr>
            <w:tcW w:w="1291"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189" w:type="dxa"/>
            <w:tcBorders/>
            <w:shd w:fill="E5E5E5" w:val="clear"/>
            <w:vAlign w:val="center"/>
          </w:tcPr>
          <w:p>
            <w:pPr>
              <w:pStyle w:val="TableContents"/>
              <w:bidi w:val="0"/>
              <w:spacing w:before="0" w:after="283"/>
              <w:jc w:val="left"/>
              <w:rPr/>
            </w:pPr>
            <w:r>
              <w:rPr/>
              <w:t> </w:t>
            </w:r>
          </w:p>
        </w:tc>
        <w:tc>
          <w:tcPr>
            <w:tcW w:w="821" w:type="dxa"/>
            <w:tcBorders/>
            <w:shd w:fill="E5E5E5" w:val="clear"/>
            <w:vAlign w:val="center"/>
          </w:tcPr>
          <w:p>
            <w:pPr>
              <w:pStyle w:val="TableContents"/>
              <w:bidi w:val="0"/>
              <w:spacing w:before="0" w:after="283"/>
              <w:jc w:val="right"/>
              <w:rPr/>
            </w:pPr>
            <w:r>
              <w:rPr/>
              <w:t>—</w:t>
            </w:r>
          </w:p>
        </w:tc>
        <w:tc>
          <w:tcPr>
            <w:tcW w:w="75" w:type="dxa"/>
            <w:tcBorders/>
            <w:shd w:fill="E5E5E5"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rFonts w:ascii="ARIAL" w:hAnsi="ARIAL"/>
                <w:sz w:val="18"/>
              </w:rPr>
            </w:pPr>
            <w:r>
              <w:rPr>
                <w:rFonts w:ascii="ARIAL" w:hAnsi="ARIAL"/>
                <w:sz w:val="18"/>
              </w:rPr>
              <w:t>Sanjeev Narula</w:t>
            </w:r>
          </w:p>
        </w:tc>
        <w:tc>
          <w:tcPr>
            <w:tcW w:w="12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right"/>
              <w:rPr/>
            </w:pPr>
            <w:r>
              <w:rPr/>
              <w:t>N/A</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1370" w:type="dxa"/>
            <w:tcBorders/>
            <w:shd w:fill="E5E5E5" w:val="clear"/>
            <w:vAlign w:val="center"/>
          </w:tcPr>
          <w:p>
            <w:pPr>
              <w:pStyle w:val="TableContents"/>
              <w:bidi w:val="0"/>
              <w:spacing w:before="0" w:after="0"/>
              <w:jc w:val="left"/>
              <w:rPr>
                <w:rFonts w:ascii="ARIAL" w:hAnsi="ARIAL"/>
                <w:sz w:val="18"/>
              </w:rPr>
            </w:pPr>
            <w:r>
              <w:rPr>
                <w:rFonts w:ascii="ARIAL" w:hAnsi="ARIAL"/>
                <w:sz w:val="18"/>
              </w:rPr>
              <w:t>Rajiv Malik</w:t>
            </w:r>
          </w:p>
        </w:tc>
        <w:tc>
          <w:tcPr>
            <w:tcW w:w="120" w:type="dxa"/>
            <w:tcBorders/>
            <w:shd w:fill="E5E5E5" w:val="clear"/>
            <w:vAlign w:val="center"/>
          </w:tcPr>
          <w:p>
            <w:pPr>
              <w:pStyle w:val="TableContents"/>
              <w:bidi w:val="0"/>
              <w:spacing w:before="0" w:after="283"/>
              <w:jc w:val="left"/>
              <w:rPr/>
            </w:pPr>
            <w:r>
              <w:rPr/>
              <w:t>  </w:t>
            </w:r>
          </w:p>
        </w:tc>
        <w:tc>
          <w:tcPr>
            <w:tcW w:w="3185" w:type="dxa"/>
            <w:tcBorders/>
            <w:shd w:fill="E5E5E5" w:val="clear"/>
            <w:vAlign w:val="center"/>
          </w:tcPr>
          <w:p>
            <w:pPr>
              <w:pStyle w:val="TableContents"/>
              <w:bidi w:val="0"/>
              <w:spacing w:before="0" w:after="283"/>
              <w:jc w:val="right"/>
              <w:rPr/>
            </w:pPr>
            <w:r>
              <w:rPr/>
              <w:t>The Executive Plan(3)</w:t>
            </w:r>
          </w:p>
        </w:tc>
        <w:tc>
          <w:tcPr>
            <w:tcW w:w="120"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919" w:type="dxa"/>
            <w:tcBorders/>
            <w:shd w:fill="E5E5E5" w:val="clear"/>
            <w:vAlign w:val="center"/>
          </w:tcPr>
          <w:p>
            <w:pPr>
              <w:pStyle w:val="TableContents"/>
              <w:bidi w:val="0"/>
              <w:spacing w:before="0" w:after="283"/>
              <w:jc w:val="right"/>
              <w:rPr/>
            </w:pPr>
            <w:r>
              <w:rPr/>
              <w:t>N/A</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79" w:type="dxa"/>
            <w:tcBorders/>
            <w:shd w:fill="E5E5E5" w:val="clear"/>
            <w:vAlign w:val="center"/>
          </w:tcPr>
          <w:p>
            <w:pPr>
              <w:pStyle w:val="TableContents"/>
              <w:bidi w:val="0"/>
              <w:spacing w:before="0" w:after="283"/>
              <w:jc w:val="left"/>
              <w:rPr/>
            </w:pPr>
            <w:r>
              <w:rPr/>
              <w:t> </w:t>
            </w:r>
          </w:p>
        </w:tc>
        <w:tc>
          <w:tcPr>
            <w:tcW w:w="1291" w:type="dxa"/>
            <w:tcBorders/>
            <w:shd w:fill="E5E5E5" w:val="clear"/>
            <w:vAlign w:val="center"/>
          </w:tcPr>
          <w:p>
            <w:pPr>
              <w:pStyle w:val="TableContents"/>
              <w:bidi w:val="0"/>
              <w:spacing w:before="0" w:after="283"/>
              <w:jc w:val="right"/>
              <w:rPr/>
            </w:pPr>
            <w:r>
              <w:rPr/>
              <w:t>497,703</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189" w:type="dxa"/>
            <w:tcBorders/>
            <w:shd w:fill="E5E5E5" w:val="clear"/>
            <w:vAlign w:val="center"/>
          </w:tcPr>
          <w:p>
            <w:pPr>
              <w:pStyle w:val="TableContents"/>
              <w:bidi w:val="0"/>
              <w:spacing w:before="0" w:after="283"/>
              <w:jc w:val="left"/>
              <w:rPr/>
            </w:pPr>
            <w:r>
              <w:rPr/>
              <w:t> </w:t>
            </w:r>
          </w:p>
        </w:tc>
        <w:tc>
          <w:tcPr>
            <w:tcW w:w="821" w:type="dxa"/>
            <w:tcBorders/>
            <w:shd w:fill="E5E5E5" w:val="clear"/>
            <w:vAlign w:val="center"/>
          </w:tcPr>
          <w:p>
            <w:pPr>
              <w:pStyle w:val="TableContents"/>
              <w:bidi w:val="0"/>
              <w:spacing w:before="0" w:after="283"/>
              <w:jc w:val="right"/>
              <w:rPr/>
            </w:pPr>
            <w:r>
              <w:rPr/>
              <w:t>—</w:t>
            </w:r>
          </w:p>
        </w:tc>
        <w:tc>
          <w:tcPr>
            <w:tcW w:w="75" w:type="dxa"/>
            <w:tcBorders/>
            <w:shd w:fill="E5E5E5"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rFonts w:ascii="ARIAL" w:hAnsi="ARIAL"/>
                <w:sz w:val="18"/>
              </w:rPr>
            </w:pPr>
            <w:r>
              <w:rPr>
                <w:rFonts w:ascii="ARIAL" w:hAnsi="ARIAL"/>
                <w:sz w:val="18"/>
              </w:rPr>
              <w:t>Rajiv Malik</w:t>
            </w:r>
          </w:p>
        </w:tc>
        <w:tc>
          <w:tcPr>
            <w:tcW w:w="12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right"/>
              <w:rPr/>
            </w:pPr>
            <w:r>
              <w:rPr/>
              <w:t>Retirement Benefit Agreement(4)</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right"/>
              <w:rPr/>
            </w:pPr>
            <w:r>
              <w:rPr/>
              <w:t>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5,342,449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1370" w:type="dxa"/>
            <w:tcBorders/>
            <w:shd w:fill="E5E5E5" w:val="clear"/>
            <w:vAlign w:val="center"/>
          </w:tcPr>
          <w:p>
            <w:pPr>
              <w:pStyle w:val="TableContents"/>
              <w:bidi w:val="0"/>
              <w:spacing w:before="0" w:after="0"/>
              <w:jc w:val="left"/>
              <w:rPr>
                <w:rFonts w:ascii="ARIAL" w:hAnsi="ARIAL"/>
                <w:sz w:val="18"/>
              </w:rPr>
            </w:pPr>
            <w:r>
              <w:rPr>
                <w:rFonts w:ascii="ARIAL" w:hAnsi="ARIAL"/>
                <w:sz w:val="18"/>
              </w:rPr>
              <w:t>Anthony Mauro</w:t>
            </w:r>
          </w:p>
        </w:tc>
        <w:tc>
          <w:tcPr>
            <w:tcW w:w="120" w:type="dxa"/>
            <w:tcBorders/>
            <w:shd w:fill="E5E5E5" w:val="clear"/>
            <w:vAlign w:val="center"/>
          </w:tcPr>
          <w:p>
            <w:pPr>
              <w:pStyle w:val="TableContents"/>
              <w:bidi w:val="0"/>
              <w:spacing w:before="0" w:after="283"/>
              <w:jc w:val="left"/>
              <w:rPr/>
            </w:pPr>
            <w:r>
              <w:rPr/>
              <w:t>  </w:t>
            </w:r>
          </w:p>
        </w:tc>
        <w:tc>
          <w:tcPr>
            <w:tcW w:w="3185" w:type="dxa"/>
            <w:tcBorders/>
            <w:shd w:fill="E5E5E5" w:val="clear"/>
            <w:vAlign w:val="center"/>
          </w:tcPr>
          <w:p>
            <w:pPr>
              <w:pStyle w:val="TableContents"/>
              <w:bidi w:val="0"/>
              <w:spacing w:before="0" w:after="283"/>
              <w:jc w:val="right"/>
              <w:rPr/>
            </w:pPr>
            <w:r>
              <w:rPr/>
              <w:t>N/A</w:t>
            </w:r>
          </w:p>
        </w:tc>
        <w:tc>
          <w:tcPr>
            <w:tcW w:w="120"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919" w:type="dxa"/>
            <w:tcBorders/>
            <w:shd w:fill="E5E5E5" w:val="clear"/>
            <w:vAlign w:val="center"/>
          </w:tcPr>
          <w:p>
            <w:pPr>
              <w:pStyle w:val="TableContents"/>
              <w:bidi w:val="0"/>
              <w:spacing w:before="0" w:after="283"/>
              <w:jc w:val="right"/>
              <w:rPr/>
            </w:pPr>
            <w:r>
              <w:rPr/>
              <w:t>N/A</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79" w:type="dxa"/>
            <w:tcBorders/>
            <w:shd w:fill="E5E5E5" w:val="clear"/>
            <w:vAlign w:val="center"/>
          </w:tcPr>
          <w:p>
            <w:pPr>
              <w:pStyle w:val="TableContents"/>
              <w:bidi w:val="0"/>
              <w:spacing w:before="0" w:after="283"/>
              <w:jc w:val="left"/>
              <w:rPr/>
            </w:pPr>
            <w:r>
              <w:rPr/>
              <w:t> </w:t>
            </w:r>
          </w:p>
        </w:tc>
        <w:tc>
          <w:tcPr>
            <w:tcW w:w="1291"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189" w:type="dxa"/>
            <w:tcBorders/>
            <w:shd w:fill="E5E5E5" w:val="clear"/>
            <w:vAlign w:val="center"/>
          </w:tcPr>
          <w:p>
            <w:pPr>
              <w:pStyle w:val="TableContents"/>
              <w:bidi w:val="0"/>
              <w:spacing w:before="0" w:after="283"/>
              <w:jc w:val="left"/>
              <w:rPr/>
            </w:pPr>
            <w:r>
              <w:rPr/>
              <w:t> </w:t>
            </w:r>
          </w:p>
        </w:tc>
        <w:tc>
          <w:tcPr>
            <w:tcW w:w="821" w:type="dxa"/>
            <w:tcBorders/>
            <w:shd w:fill="E5E5E5" w:val="clear"/>
            <w:vAlign w:val="center"/>
          </w:tcPr>
          <w:p>
            <w:pPr>
              <w:pStyle w:val="TableContents"/>
              <w:bidi w:val="0"/>
              <w:spacing w:before="0" w:after="283"/>
              <w:jc w:val="right"/>
              <w:rPr/>
            </w:pPr>
            <w:r>
              <w:rPr/>
              <w:t>—</w:t>
            </w:r>
          </w:p>
        </w:tc>
        <w:tc>
          <w:tcPr>
            <w:tcW w:w="75" w:type="dxa"/>
            <w:tcBorders/>
            <w:shd w:fill="E5E5E5"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rFonts w:ascii="ARIAL" w:hAnsi="ARIAL"/>
                <w:sz w:val="18"/>
              </w:rPr>
            </w:pPr>
            <w:r>
              <w:rPr>
                <w:rFonts w:ascii="ARIAL" w:hAnsi="ARIAL"/>
                <w:sz w:val="18"/>
              </w:rPr>
              <w:t>Brian Roman</w:t>
            </w:r>
          </w:p>
        </w:tc>
        <w:tc>
          <w:tcPr>
            <w:tcW w:w="12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right"/>
              <w:rPr/>
            </w:pPr>
            <w:r>
              <w:rPr/>
              <w:t>N/A</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1370" w:type="dxa"/>
            <w:tcBorders/>
            <w:shd w:fill="E5E5E5" w:val="clear"/>
            <w:vAlign w:val="center"/>
          </w:tcPr>
          <w:p>
            <w:pPr>
              <w:pStyle w:val="TableContents"/>
              <w:bidi w:val="0"/>
              <w:spacing w:before="0" w:after="0"/>
              <w:jc w:val="left"/>
              <w:rPr>
                <w:rFonts w:ascii="ARIAL" w:hAnsi="ARIAL"/>
                <w:sz w:val="18"/>
              </w:rPr>
            </w:pPr>
            <w:r>
              <w:rPr>
                <w:rFonts w:ascii="ARIAL" w:hAnsi="ARIAL"/>
                <w:sz w:val="18"/>
              </w:rPr>
              <w:t>Michael Goettler</w:t>
            </w:r>
          </w:p>
        </w:tc>
        <w:tc>
          <w:tcPr>
            <w:tcW w:w="120" w:type="dxa"/>
            <w:tcBorders/>
            <w:shd w:fill="E5E5E5" w:val="clear"/>
            <w:vAlign w:val="center"/>
          </w:tcPr>
          <w:p>
            <w:pPr>
              <w:pStyle w:val="TableContents"/>
              <w:bidi w:val="0"/>
              <w:spacing w:before="0" w:after="283"/>
              <w:jc w:val="left"/>
              <w:rPr/>
            </w:pPr>
            <w:r>
              <w:rPr/>
              <w:t>  </w:t>
            </w:r>
          </w:p>
        </w:tc>
        <w:tc>
          <w:tcPr>
            <w:tcW w:w="3185" w:type="dxa"/>
            <w:tcBorders/>
            <w:shd w:fill="E5E5E5" w:val="clear"/>
            <w:vAlign w:val="center"/>
          </w:tcPr>
          <w:p>
            <w:pPr>
              <w:pStyle w:val="TableContents"/>
              <w:bidi w:val="0"/>
              <w:spacing w:before="0" w:after="283"/>
              <w:jc w:val="right"/>
              <w:rPr/>
            </w:pPr>
            <w:r>
              <w:rPr/>
              <w:t>N/A</w:t>
            </w:r>
          </w:p>
        </w:tc>
        <w:tc>
          <w:tcPr>
            <w:tcW w:w="120"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919" w:type="dxa"/>
            <w:tcBorders/>
            <w:shd w:fill="E5E5E5" w:val="clear"/>
            <w:vAlign w:val="center"/>
          </w:tcPr>
          <w:p>
            <w:pPr>
              <w:pStyle w:val="TableContents"/>
              <w:bidi w:val="0"/>
              <w:spacing w:before="0" w:after="283"/>
              <w:jc w:val="right"/>
              <w:rPr/>
            </w:pPr>
            <w:r>
              <w:rPr/>
              <w:t>N/A</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79" w:type="dxa"/>
            <w:tcBorders/>
            <w:shd w:fill="E5E5E5" w:val="clear"/>
            <w:vAlign w:val="center"/>
          </w:tcPr>
          <w:p>
            <w:pPr>
              <w:pStyle w:val="TableContents"/>
              <w:bidi w:val="0"/>
              <w:spacing w:before="0" w:after="283"/>
              <w:jc w:val="left"/>
              <w:rPr/>
            </w:pPr>
            <w:r>
              <w:rPr/>
              <w:t> </w:t>
            </w:r>
          </w:p>
        </w:tc>
        <w:tc>
          <w:tcPr>
            <w:tcW w:w="1291"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189" w:type="dxa"/>
            <w:tcBorders/>
            <w:shd w:fill="E5E5E5" w:val="clear"/>
            <w:vAlign w:val="center"/>
          </w:tcPr>
          <w:p>
            <w:pPr>
              <w:pStyle w:val="TableContents"/>
              <w:bidi w:val="0"/>
              <w:spacing w:before="0" w:after="283"/>
              <w:jc w:val="left"/>
              <w:rPr/>
            </w:pPr>
            <w:r>
              <w:rPr/>
              <w:t> </w:t>
            </w:r>
          </w:p>
        </w:tc>
        <w:tc>
          <w:tcPr>
            <w:tcW w:w="821" w:type="dxa"/>
            <w:tcBorders/>
            <w:shd w:fill="E5E5E5" w:val="clear"/>
            <w:vAlign w:val="center"/>
          </w:tcPr>
          <w:p>
            <w:pPr>
              <w:pStyle w:val="TableContents"/>
              <w:bidi w:val="0"/>
              <w:spacing w:before="0" w:after="283"/>
              <w:jc w:val="right"/>
              <w:rPr/>
            </w:pPr>
            <w:r>
              <w:rPr/>
              <w:t>—</w:t>
            </w:r>
          </w:p>
        </w:tc>
        <w:tc>
          <w:tcPr>
            <w:tcW w:w="75" w:type="dxa"/>
            <w:tcBorders/>
            <w:shd w:fill="E5E5E5" w:val="clear"/>
            <w:vAlign w:val="center"/>
          </w:tcPr>
          <w:p>
            <w:pPr>
              <w:pStyle w:val="TableContents"/>
              <w:bidi w:val="0"/>
              <w:spacing w:before="0" w:after="283"/>
              <w:jc w:val="left"/>
              <w:rPr/>
            </w:pPr>
            <w:r>
              <w:rPr/>
              <w:t> </w:t>
            </w:r>
          </w:p>
        </w:tc>
      </w:tr>
      <w:tr>
        <w:trPr/>
        <w:tc>
          <w:tcPr>
            <w:tcW w:w="1370" w:type="dxa"/>
            <w:tcBorders>
              <w:bottom w:val="single" w:sz="8" w:space="0" w:color="732282"/>
            </w:tcBorders>
            <w:tcMar>
              <w:bottom w:w="28" w:type="dxa"/>
            </w:tcMar>
            <w:vAlign w:val="center"/>
          </w:tcPr>
          <w:p>
            <w:pPr>
              <w:pStyle w:val="TableContents"/>
              <w:bidi w:val="0"/>
              <w:spacing w:before="0" w:after="0"/>
              <w:jc w:val="left"/>
              <w:rPr>
                <w:rFonts w:ascii="ARIAL" w:hAnsi="ARIAL"/>
                <w:sz w:val="18"/>
              </w:rPr>
            </w:pPr>
            <w:r>
              <w:rPr>
                <w:rFonts w:ascii="ARIAL" w:hAnsi="ARIAL"/>
                <w:sz w:val="18"/>
              </w:rPr>
              <w:t>Robert J. Coury</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3185" w:type="dxa"/>
            <w:tcBorders>
              <w:bottom w:val="single" w:sz="8" w:space="0" w:color="732282"/>
            </w:tcBorders>
            <w:tcMar>
              <w:bottom w:w="28" w:type="dxa"/>
            </w:tcMar>
            <w:vAlign w:val="center"/>
          </w:tcPr>
          <w:p>
            <w:pPr>
              <w:pStyle w:val="TableContents"/>
              <w:bidi w:val="0"/>
              <w:spacing w:before="0" w:after="283"/>
              <w:jc w:val="right"/>
              <w:rPr/>
            </w:pPr>
            <w:r>
              <w:rPr/>
              <w:t>N/A</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211" w:type="dxa"/>
            <w:tcBorders>
              <w:bottom w:val="single" w:sz="8" w:space="0" w:color="732282"/>
            </w:tcBorders>
            <w:tcMar>
              <w:bottom w:w="28" w:type="dxa"/>
            </w:tcMar>
            <w:vAlign w:val="center"/>
          </w:tcPr>
          <w:p>
            <w:pPr>
              <w:pStyle w:val="TableContents"/>
              <w:bidi w:val="0"/>
              <w:spacing w:before="0" w:after="283"/>
              <w:jc w:val="left"/>
              <w:rPr/>
            </w:pPr>
            <w:r>
              <w:rPr/>
              <w:t> </w:t>
            </w:r>
          </w:p>
        </w:tc>
        <w:tc>
          <w:tcPr>
            <w:tcW w:w="919" w:type="dxa"/>
            <w:tcBorders>
              <w:bottom w:val="single" w:sz="8" w:space="0" w:color="732282"/>
            </w:tcBorders>
            <w:tcMar>
              <w:bottom w:w="28" w:type="dxa"/>
            </w:tcMar>
            <w:vAlign w:val="center"/>
          </w:tcPr>
          <w:p>
            <w:pPr>
              <w:pStyle w:val="TableContents"/>
              <w:bidi w:val="0"/>
              <w:spacing w:before="0" w:after="283"/>
              <w:jc w:val="right"/>
              <w:rPr/>
            </w:pPr>
            <w:r>
              <w:rPr/>
              <w:t>N/A</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79" w:type="dxa"/>
            <w:tcBorders>
              <w:bottom w:val="single" w:sz="8" w:space="0" w:color="732282"/>
            </w:tcBorders>
            <w:tcMar>
              <w:bottom w:w="28" w:type="dxa"/>
            </w:tcMar>
            <w:vAlign w:val="center"/>
          </w:tcPr>
          <w:p>
            <w:pPr>
              <w:pStyle w:val="TableContents"/>
              <w:bidi w:val="0"/>
              <w:spacing w:before="0" w:after="283"/>
              <w:jc w:val="left"/>
              <w:rPr/>
            </w:pPr>
            <w:r>
              <w:rPr/>
              <w:t> </w:t>
            </w:r>
          </w:p>
        </w:tc>
        <w:tc>
          <w:tcPr>
            <w:tcW w:w="1291" w:type="dxa"/>
            <w:tcBorders>
              <w:bottom w:val="single" w:sz="8" w:space="0" w:color="732282"/>
            </w:tcBorders>
            <w:tcMar>
              <w:bottom w:w="28" w:type="dxa"/>
            </w:tcMar>
            <w:vAlign w:val="center"/>
          </w:tcPr>
          <w:p>
            <w:pPr>
              <w:pStyle w:val="TableContents"/>
              <w:bidi w:val="0"/>
              <w:spacing w:before="0" w:after="283"/>
              <w:jc w:val="right"/>
              <w:rPr/>
            </w:pPr>
            <w:r>
              <w:rPr/>
              <w:t>—</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89" w:type="dxa"/>
            <w:tcBorders>
              <w:bottom w:val="single" w:sz="8" w:space="0" w:color="732282"/>
            </w:tcBorders>
            <w:tcMar>
              <w:bottom w:w="28" w:type="dxa"/>
            </w:tcMar>
            <w:vAlign w:val="center"/>
          </w:tcPr>
          <w:p>
            <w:pPr>
              <w:pStyle w:val="TableContents"/>
              <w:bidi w:val="0"/>
              <w:spacing w:before="0" w:after="283"/>
              <w:jc w:val="left"/>
              <w:rPr/>
            </w:pPr>
            <w:r>
              <w:rPr/>
              <w:t> </w:t>
            </w:r>
          </w:p>
        </w:tc>
        <w:tc>
          <w:tcPr>
            <w:tcW w:w="821" w:type="dxa"/>
            <w:tcBorders>
              <w:bottom w:val="single" w:sz="8" w:space="0" w:color="732282"/>
            </w:tcBorders>
            <w:tcMar>
              <w:bottom w:w="28" w:type="dxa"/>
            </w:tcMar>
            <w:vAlign w:val="center"/>
          </w:tcPr>
          <w:p>
            <w:pPr>
              <w:pStyle w:val="TableContents"/>
              <w:bidi w:val="0"/>
              <w:spacing w:before="0" w:after="283"/>
              <w:jc w:val="right"/>
              <w:rPr/>
            </w:pPr>
            <w:r>
              <w:rPr/>
              <w:t>—</w:t>
            </w:r>
          </w:p>
        </w:tc>
        <w:tc>
          <w:tcPr>
            <w:tcW w:w="75" w:type="dxa"/>
            <w:tcBorders>
              <w:bottom w:val="single" w:sz="8" w:space="0" w:color="732282"/>
            </w:tcBorders>
            <w:tcMar>
              <w:bottom w:w="28" w:type="dxa"/>
            </w:tcMar>
            <w:vAlign w:val="center"/>
          </w:tcPr>
          <w:p>
            <w:pPr>
              <w:pStyle w:val="TableContents"/>
              <w:bidi w:val="0"/>
              <w:spacing w:before="0" w:after="283"/>
              <w:jc w:val="left"/>
              <w:rPr/>
            </w:pPr>
            <w:r>
              <w:rPr/>
              <w:t> </w:t>
            </w:r>
          </w:p>
        </w:tc>
      </w:tr>
    </w:tbl>
    <w:tbl>
      <w:tblPr>
        <w:tblW w:w="9670" w:type="dxa"/>
        <w:jc w:val="left"/>
        <w:tblInd w:w="0" w:type="dxa"/>
        <w:tblLayout w:type="fixed"/>
        <w:tblCellMar>
          <w:top w:w="0" w:type="dxa"/>
          <w:left w:w="0" w:type="dxa"/>
          <w:bottom w:w="0" w:type="dxa"/>
          <w:right w:w="0" w:type="dxa"/>
        </w:tblCellMar>
      </w:tblPr>
      <w:tblGrid>
        <w:gridCol w:w="305"/>
        <w:gridCol w:w="9365"/>
      </w:tblGrid>
      <w:tr>
        <w:trPr/>
        <w:tc>
          <w:tcPr>
            <w:tcW w:w="305" w:type="dxa"/>
            <w:tcBorders/>
            <w:vAlign w:val="center"/>
          </w:tcPr>
          <w:p>
            <w:pPr>
              <w:pStyle w:val="TableContents"/>
              <w:bidi w:val="0"/>
              <w:spacing w:before="0" w:after="283"/>
              <w:jc w:val="left"/>
              <w:rPr>
                <w:i/>
              </w:rPr>
            </w:pPr>
            <w:r>
              <w:rPr>
                <w:i/>
              </w:rPr>
              <w:t>(1)</w:t>
            </w:r>
          </w:p>
        </w:tc>
        <w:tc>
          <w:tcPr>
            <w:tcW w:w="9365" w:type="dxa"/>
            <w:tcBorders/>
            <w:vAlign w:val="center"/>
          </w:tcPr>
          <w:p>
            <w:pPr>
              <w:pStyle w:val="TableContents"/>
              <w:bidi w:val="0"/>
              <w:spacing w:before="0" w:after="0"/>
              <w:jc w:val="both"/>
              <w:rPr>
                <w:rFonts w:ascii="arial" w:hAnsi="arial"/>
                <w:i/>
                <w:sz w:val="18"/>
              </w:rPr>
            </w:pPr>
            <w:r>
              <w:rPr>
                <w:rFonts w:ascii="arial" w:hAnsi="arial"/>
                <w:i/>
                <w:sz w:val="18"/>
              </w:rPr>
              <w:t xml:space="preserve">Messrs. Smith, Narula, Mauro, Roman, Goettler, and Coury are not party to a defined benefit pension arrangement. </w:t>
            </w:r>
          </w:p>
        </w:tc>
      </w:tr>
    </w:tbl>
    <w:tbl>
      <w:tblPr>
        <w:tblW w:w="9505" w:type="dxa"/>
        <w:jc w:val="left"/>
        <w:tblInd w:w="0" w:type="dxa"/>
        <w:tblLayout w:type="fixed"/>
        <w:tblCellMar>
          <w:top w:w="0" w:type="dxa"/>
          <w:left w:w="0" w:type="dxa"/>
          <w:bottom w:w="0" w:type="dxa"/>
          <w:right w:w="0" w:type="dxa"/>
        </w:tblCellMar>
      </w:tblPr>
      <w:tblGrid>
        <w:gridCol w:w="305"/>
        <w:gridCol w:w="9200"/>
      </w:tblGrid>
      <w:tr>
        <w:trPr/>
        <w:tc>
          <w:tcPr>
            <w:tcW w:w="305" w:type="dxa"/>
            <w:tcBorders/>
            <w:vAlign w:val="center"/>
          </w:tcPr>
          <w:p>
            <w:pPr>
              <w:pStyle w:val="TableContents"/>
              <w:bidi w:val="0"/>
              <w:spacing w:before="0" w:after="283"/>
              <w:jc w:val="left"/>
              <w:rPr>
                <w:i/>
              </w:rPr>
            </w:pPr>
            <w:r>
              <w:rPr>
                <w:i/>
              </w:rPr>
              <w:t>(2)</w:t>
            </w:r>
          </w:p>
        </w:tc>
        <w:tc>
          <w:tcPr>
            <w:tcW w:w="9200" w:type="dxa"/>
            <w:tcBorders/>
            <w:vAlign w:val="center"/>
          </w:tcPr>
          <w:p>
            <w:pPr>
              <w:pStyle w:val="TableContents"/>
              <w:bidi w:val="0"/>
              <w:spacing w:before="0" w:after="0"/>
              <w:jc w:val="both"/>
              <w:rPr>
                <w:rFonts w:ascii="arial" w:hAnsi="arial"/>
                <w:i/>
                <w:sz w:val="18"/>
              </w:rPr>
            </w:pPr>
            <w:r>
              <w:rPr>
                <w:rFonts w:ascii="arial" w:hAnsi="arial"/>
                <w:i/>
                <w:sz w:val="18"/>
              </w:rPr>
              <w:t xml:space="preserve">See pages 39 and 43 of this Form 10-K/A for further information on the value of the accumulated pension benefit. </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i/>
              </w:rPr>
            </w:pPr>
            <w:r>
              <w:rPr>
                <w:i/>
              </w:rPr>
              <w:t>(3)</w:t>
            </w:r>
          </w:p>
        </w:tc>
        <w:tc>
          <w:tcPr>
            <w:tcW w:w="9905" w:type="dxa"/>
            <w:tcBorders/>
            <w:vAlign w:val="center"/>
          </w:tcPr>
          <w:p>
            <w:pPr>
              <w:pStyle w:val="TableContents"/>
              <w:bidi w:val="0"/>
              <w:spacing w:before="0" w:after="0"/>
              <w:jc w:val="both"/>
              <w:rPr>
                <w:rFonts w:ascii="arial" w:hAnsi="arial"/>
                <w:i/>
                <w:sz w:val="18"/>
              </w:rPr>
            </w:pPr>
            <w:r>
              <w:rPr>
                <w:rFonts w:ascii="arial" w:hAnsi="arial"/>
                <w:i/>
                <w:sz w:val="18"/>
              </w:rPr>
              <w:t xml:space="preserve">This is a deferred compensation plan established for the benefit of Mr. Malik. The Company is no longer contributing to this plan. </w:t>
            </w:r>
          </w:p>
        </w:tc>
      </w:tr>
    </w:tbl>
    <w:tbl>
      <w:tblPr>
        <w:tblW w:w="8995" w:type="dxa"/>
        <w:jc w:val="left"/>
        <w:tblInd w:w="0" w:type="dxa"/>
        <w:tblLayout w:type="fixed"/>
        <w:tblCellMar>
          <w:top w:w="0" w:type="dxa"/>
          <w:left w:w="0" w:type="dxa"/>
          <w:bottom w:w="0" w:type="dxa"/>
          <w:right w:w="0" w:type="dxa"/>
        </w:tblCellMar>
      </w:tblPr>
      <w:tblGrid>
        <w:gridCol w:w="305"/>
        <w:gridCol w:w="8690"/>
      </w:tblGrid>
      <w:tr>
        <w:trPr/>
        <w:tc>
          <w:tcPr>
            <w:tcW w:w="305" w:type="dxa"/>
            <w:tcBorders/>
            <w:vAlign w:val="center"/>
          </w:tcPr>
          <w:p>
            <w:pPr>
              <w:pStyle w:val="TableContents"/>
              <w:bidi w:val="0"/>
              <w:spacing w:before="0" w:after="283"/>
              <w:jc w:val="left"/>
              <w:rPr>
                <w:i/>
              </w:rPr>
            </w:pPr>
            <w:r>
              <w:rPr>
                <w:i/>
              </w:rPr>
              <w:t>(4)</w:t>
            </w:r>
          </w:p>
        </w:tc>
        <w:tc>
          <w:tcPr>
            <w:tcW w:w="8690" w:type="dxa"/>
            <w:tcBorders/>
            <w:vAlign w:val="center"/>
          </w:tcPr>
          <w:p>
            <w:pPr>
              <w:pStyle w:val="TableContents"/>
              <w:bidi w:val="0"/>
              <w:spacing w:before="0" w:after="0"/>
              <w:jc w:val="both"/>
              <w:rPr>
                <w:rFonts w:ascii="arial" w:hAnsi="arial"/>
                <w:i/>
                <w:sz w:val="18"/>
              </w:rPr>
            </w:pPr>
            <w:r>
              <w:rPr>
                <w:rFonts w:ascii="arial" w:hAnsi="arial"/>
                <w:i/>
                <w:sz w:val="18"/>
              </w:rPr>
              <w:t xml:space="preserve">The Malik RBA has been frozen. Mr. Malik no longer accrues any additional benefits under the agreement.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49 </w:t>
      </w:r>
      <w:r>
        <w:br w:type="page"/>
      </w:r>
    </w:p>
    <w:p>
      <w:pPr>
        <w:pStyle w:val="HorizontalLine"/>
        <w:bidi w:val="0"/>
        <w:jc w:val="left"/>
        <w:rPr/>
      </w:pPr>
      <w:r>
        <w:rPr/>
      </w:r>
    </w:p>
    <w:p>
      <w:pPr>
        <w:pStyle w:val="TextBody"/>
        <w:bidi w:val="0"/>
        <w:spacing w:before="0" w:after="0"/>
        <w:jc w:val="left"/>
        <w:rPr>
          <w:rFonts w:ascii="ARIAL" w:hAnsi="ARIAL"/>
          <w:b/>
          <w:color w:val="732282"/>
          <w:sz w:val="20"/>
        </w:rPr>
      </w:pPr>
      <w:r>
        <w:rPr>
          <w:rFonts w:ascii="ARIAL" w:hAnsi="ARIAL"/>
          <w:b/>
          <w:color w:val="732282"/>
          <w:sz w:val="20"/>
        </w:rPr>
        <w:t xml:space="preserve">Nonqualified Deferred Compensation for 2023 </w:t>
      </w:r>
    </w:p>
    <w:p>
      <w:pPr>
        <w:pStyle w:val="TextBody"/>
        <w:bidi w:val="0"/>
        <w:spacing w:before="120" w:after="0"/>
        <w:jc w:val="both"/>
        <w:rPr>
          <w:rFonts w:ascii="arial" w:hAnsi="arial"/>
          <w:sz w:val="18"/>
        </w:rPr>
      </w:pPr>
      <w:r>
        <w:rPr>
          <w:rFonts w:ascii="arial" w:hAnsi="arial"/>
          <w:sz w:val="18"/>
        </w:rPr>
        <w:t xml:space="preserve">The following table sets forth information relating to the Restoration Plan for 2023. </w:t>
      </w:r>
    </w:p>
    <w:p>
      <w:pPr>
        <w:pStyle w:val="TextBody"/>
        <w:bidi w:val="0"/>
        <w:spacing w:before="0" w:after="0"/>
        <w:jc w:val="left"/>
        <w:rPr/>
      </w:pPr>
      <w:r>
        <w:rPr/>
        <w:t> </w:t>
      </w:r>
    </w:p>
    <w:tbl>
      <w:tblPr>
        <w:tblW w:w="9760" w:type="dxa"/>
        <w:jc w:val="left"/>
        <w:tblInd w:w="0" w:type="dxa"/>
        <w:tblLayout w:type="fixed"/>
        <w:tblCellMar>
          <w:top w:w="0" w:type="dxa"/>
          <w:left w:w="0" w:type="dxa"/>
          <w:bottom w:w="0" w:type="dxa"/>
          <w:right w:w="0" w:type="dxa"/>
        </w:tblCellMar>
      </w:tblPr>
      <w:tblGrid>
        <w:gridCol w:w="1430"/>
        <w:gridCol w:w="60"/>
        <w:gridCol w:w="61"/>
        <w:gridCol w:w="1009"/>
        <w:gridCol w:w="60"/>
        <w:gridCol w:w="60"/>
        <w:gridCol w:w="100"/>
        <w:gridCol w:w="1345"/>
        <w:gridCol w:w="60"/>
        <w:gridCol w:w="60"/>
        <w:gridCol w:w="100"/>
        <w:gridCol w:w="1345"/>
        <w:gridCol w:w="60"/>
        <w:gridCol w:w="60"/>
        <w:gridCol w:w="74"/>
        <w:gridCol w:w="996"/>
        <w:gridCol w:w="60"/>
        <w:gridCol w:w="60"/>
        <w:gridCol w:w="75"/>
        <w:gridCol w:w="1325"/>
        <w:gridCol w:w="155"/>
        <w:gridCol w:w="60"/>
        <w:gridCol w:w="61"/>
        <w:gridCol w:w="1009"/>
        <w:gridCol w:w="75"/>
      </w:tblGrid>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shd w:fill="444444" w:val="clear"/>
            <w:vAlign w:val="center"/>
          </w:tcPr>
          <w:p>
            <w:pPr>
              <w:pStyle w:val="TableContents"/>
              <w:bidi w:val="0"/>
              <w:spacing w:before="0" w:after="283"/>
              <w:jc w:val="left"/>
              <w:rPr>
                <w:b/>
                <w:color w:val="FFFFFF"/>
              </w:rPr>
            </w:pPr>
            <w:r>
              <w:rPr>
                <w:b/>
                <w:color w:val="FFFFFF"/>
              </w:rPr>
              <w:t>Name</w:t>
            </w:r>
          </w:p>
        </w:tc>
        <w:tc>
          <w:tcPr>
            <w:tcW w:w="60" w:type="dxa"/>
            <w:tcBorders/>
            <w:shd w:fill="444444" w:val="clear"/>
            <w:vAlign w:val="center"/>
          </w:tcPr>
          <w:p>
            <w:pPr>
              <w:pStyle w:val="TableContents"/>
              <w:bidi w:val="0"/>
              <w:spacing w:before="0" w:after="283"/>
              <w:jc w:val="left"/>
              <w:rPr/>
            </w:pPr>
            <w:r>
              <w:rPr/>
              <w:t> </w:t>
            </w:r>
          </w:p>
        </w:tc>
        <w:tc>
          <w:tcPr>
            <w:tcW w:w="1070" w:type="dxa"/>
            <w:gridSpan w:val="2"/>
            <w:tcBorders/>
            <w:shd w:fill="444444" w:val="clear"/>
            <w:vAlign w:val="center"/>
          </w:tcPr>
          <w:p>
            <w:pPr>
              <w:pStyle w:val="TableContents"/>
              <w:bidi w:val="0"/>
              <w:spacing w:before="0" w:after="283"/>
              <w:jc w:val="center"/>
              <w:rPr>
                <w:b/>
                <w:color w:val="FFFFFF"/>
              </w:rPr>
            </w:pPr>
            <w:r>
              <w:rPr>
                <w:b/>
                <w:color w:val="FFFFFF"/>
              </w:rPr>
              <w:t>Aggregate</w:t>
              <w:br/>
              <w:t>Balance</w:t>
              <w:br/>
              <w:t>at Last</w:t>
              <w:br/>
              <w:t>FYE</w:t>
              <w:br/>
              <w:t>($)</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445" w:type="dxa"/>
            <w:gridSpan w:val="2"/>
            <w:tcBorders/>
            <w:shd w:fill="444444" w:val="clear"/>
            <w:vAlign w:val="center"/>
          </w:tcPr>
          <w:p>
            <w:pPr>
              <w:pStyle w:val="TableContents"/>
              <w:bidi w:val="0"/>
              <w:spacing w:before="0" w:after="283"/>
              <w:jc w:val="center"/>
              <w:rPr>
                <w:b/>
                <w:color w:val="FFFFFF"/>
              </w:rPr>
            </w:pPr>
            <w:r>
              <w:rPr>
                <w:b/>
                <w:color w:val="FFFFFF"/>
              </w:rPr>
              <w:t>Executive</w:t>
              <w:br/>
              <w:t>Contributions</w:t>
              <w:br/>
              <w:t>in Last FY</w:t>
              <w:br/>
              <w:t>($)</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445" w:type="dxa"/>
            <w:gridSpan w:val="2"/>
            <w:tcBorders/>
            <w:shd w:fill="444444" w:val="clear"/>
            <w:vAlign w:val="center"/>
          </w:tcPr>
          <w:p>
            <w:pPr>
              <w:pStyle w:val="TableContents"/>
              <w:bidi w:val="0"/>
              <w:spacing w:before="0" w:after="283"/>
              <w:jc w:val="center"/>
              <w:rPr>
                <w:b/>
                <w:color w:val="FFFFFF"/>
              </w:rPr>
            </w:pPr>
            <w:r>
              <w:rPr>
                <w:b/>
                <w:color w:val="FFFFFF"/>
              </w:rPr>
              <w:t>Company</w:t>
              <w:br/>
              <w:t>Profit</w:t>
              <w:br/>
              <w:t>Sharing</w:t>
              <w:br/>
              <w:t>and Match</w:t>
              <w:br/>
              <w:t>Contributions</w:t>
              <w:br/>
              <w:t>in Last FY</w:t>
              <w:br/>
              <w:t>($)</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070" w:type="dxa"/>
            <w:gridSpan w:val="2"/>
            <w:tcBorders/>
            <w:shd w:fill="444444" w:val="clear"/>
            <w:vAlign w:val="center"/>
          </w:tcPr>
          <w:p>
            <w:pPr>
              <w:pStyle w:val="TableContents"/>
              <w:bidi w:val="0"/>
              <w:spacing w:before="0" w:after="283"/>
              <w:jc w:val="center"/>
              <w:rPr>
                <w:b/>
                <w:color w:val="FFFFFF"/>
              </w:rPr>
            </w:pPr>
            <w:r>
              <w:rPr>
                <w:b/>
                <w:color w:val="FFFFFF"/>
              </w:rPr>
              <w:t>Aggregate</w:t>
              <w:br/>
              <w:t>Earnings</w:t>
              <w:br/>
              <w:t>(Loss) in</w:t>
              <w:br/>
              <w:t>Last FY</w:t>
              <w:br/>
              <w:t>($)</w:t>
            </w:r>
          </w:p>
        </w:tc>
        <w:tc>
          <w:tcPr>
            <w:tcW w:w="60"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400" w:type="dxa"/>
            <w:gridSpan w:val="2"/>
            <w:tcBorders/>
            <w:shd w:fill="444444" w:val="clear"/>
            <w:vAlign w:val="center"/>
          </w:tcPr>
          <w:p>
            <w:pPr>
              <w:pStyle w:val="TableContents"/>
              <w:bidi w:val="0"/>
              <w:spacing w:before="0" w:after="283"/>
              <w:jc w:val="center"/>
              <w:rPr>
                <w:b/>
                <w:color w:val="FFFFFF"/>
              </w:rPr>
            </w:pPr>
            <w:r>
              <w:rPr>
                <w:b/>
                <w:color w:val="FFFFFF"/>
              </w:rPr>
              <w:t>Aggregate</w:t>
              <w:br/>
              <w:t>Withdrawals/</w:t>
              <w:br/>
              <w:t>Distributions</w:t>
              <w:br/>
              <w:t>($)</w:t>
            </w:r>
          </w:p>
        </w:tc>
        <w:tc>
          <w:tcPr>
            <w:tcW w:w="155" w:type="dxa"/>
            <w:tcBorders/>
            <w:shd w:fill="444444" w:val="clear"/>
            <w:vAlign w:val="center"/>
          </w:tcPr>
          <w:p>
            <w:pPr>
              <w:pStyle w:val="TableContents"/>
              <w:bidi w:val="0"/>
              <w:spacing w:before="0" w:after="283"/>
              <w:jc w:val="left"/>
              <w:rPr/>
            </w:pPr>
            <w:r>
              <w:rPr/>
              <w:t> </w:t>
            </w:r>
          </w:p>
        </w:tc>
        <w:tc>
          <w:tcPr>
            <w:tcW w:w="60" w:type="dxa"/>
            <w:tcBorders/>
            <w:shd w:fill="444444" w:val="clear"/>
            <w:vAlign w:val="center"/>
          </w:tcPr>
          <w:p>
            <w:pPr>
              <w:pStyle w:val="TableContents"/>
              <w:bidi w:val="0"/>
              <w:spacing w:before="0" w:after="283"/>
              <w:jc w:val="left"/>
              <w:rPr/>
            </w:pPr>
            <w:r>
              <w:rPr/>
              <w:t> </w:t>
            </w:r>
          </w:p>
        </w:tc>
        <w:tc>
          <w:tcPr>
            <w:tcW w:w="1070" w:type="dxa"/>
            <w:gridSpan w:val="2"/>
            <w:tcBorders/>
            <w:shd w:fill="444444" w:val="clear"/>
            <w:vAlign w:val="center"/>
          </w:tcPr>
          <w:p>
            <w:pPr>
              <w:pStyle w:val="TableContents"/>
              <w:bidi w:val="0"/>
              <w:spacing w:before="0" w:after="283"/>
              <w:jc w:val="center"/>
              <w:rPr>
                <w:b/>
                <w:color w:val="FFFFFF"/>
              </w:rPr>
            </w:pPr>
            <w:r>
              <w:rPr>
                <w:b/>
                <w:color w:val="FFFFFF"/>
              </w:rPr>
              <w:t>Aggregate</w:t>
              <w:br/>
              <w:t>Balance</w:t>
              <w:br/>
              <w:t>at FYE</w:t>
              <w:br/>
              <w:t>($)</w:t>
            </w:r>
          </w:p>
        </w:tc>
        <w:tc>
          <w:tcPr>
            <w:tcW w:w="75" w:type="dxa"/>
            <w:tcBorders/>
            <w:shd w:fill="444444" w:val="clear"/>
            <w:vAlign w:val="center"/>
          </w:tcPr>
          <w:p>
            <w:pPr>
              <w:pStyle w:val="TableContents"/>
              <w:bidi w:val="0"/>
              <w:spacing w:before="0" w:after="283"/>
              <w:jc w:val="left"/>
              <w:rPr/>
            </w:pPr>
            <w:r>
              <w:rPr/>
              <w:t> </w:t>
            </w:r>
          </w:p>
        </w:tc>
      </w:tr>
      <w:tr>
        <w:trPr/>
        <w:tc>
          <w:tcPr>
            <w:tcW w:w="1430" w:type="dxa"/>
            <w:tcBorders/>
            <w:shd w:fill="E5E5E5" w:val="clear"/>
            <w:vAlign w:val="center"/>
          </w:tcPr>
          <w:p>
            <w:pPr>
              <w:pStyle w:val="TableContents"/>
              <w:bidi w:val="0"/>
              <w:spacing w:before="0" w:after="0"/>
              <w:jc w:val="left"/>
              <w:rPr>
                <w:rFonts w:ascii="ARIAL" w:hAnsi="ARIAL"/>
                <w:b/>
                <w:sz w:val="18"/>
              </w:rPr>
            </w:pPr>
            <w:r>
              <w:rPr>
                <w:rFonts w:ascii="ARIAL" w:hAnsi="ARIAL"/>
                <w:b/>
                <w:sz w:val="18"/>
              </w:rPr>
              <w:t>Scott A. Smith</w:t>
            </w:r>
          </w:p>
        </w:tc>
        <w:tc>
          <w:tcPr>
            <w:tcW w:w="6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1009"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0" w:type="dxa"/>
            <w:tcBorders/>
            <w:shd w:fill="E5E5E5" w:val="clear"/>
            <w:vAlign w:val="center"/>
          </w:tcPr>
          <w:p>
            <w:pPr>
              <w:pStyle w:val="TableContents"/>
              <w:bidi w:val="0"/>
              <w:spacing w:before="0" w:after="283"/>
              <w:jc w:val="left"/>
              <w:rPr/>
            </w:pPr>
            <w:r>
              <w:rPr/>
              <w:t> </w:t>
            </w:r>
          </w:p>
        </w:tc>
        <w:tc>
          <w:tcPr>
            <w:tcW w:w="1345" w:type="dxa"/>
            <w:tcBorders/>
            <w:shd w:fill="E5E5E5" w:val="clear"/>
            <w:vAlign w:val="center"/>
          </w:tcPr>
          <w:p>
            <w:pPr>
              <w:pStyle w:val="TableContents"/>
              <w:bidi w:val="0"/>
              <w:spacing w:before="0" w:after="283"/>
              <w:jc w:val="right"/>
              <w:rPr/>
            </w:pPr>
            <w:r>
              <w:rPr/>
              <w:t>27,723</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0" w:type="dxa"/>
            <w:tcBorders/>
            <w:shd w:fill="E5E5E5" w:val="clear"/>
            <w:vAlign w:val="center"/>
          </w:tcPr>
          <w:p>
            <w:pPr>
              <w:pStyle w:val="TableContents"/>
              <w:bidi w:val="0"/>
              <w:spacing w:before="0" w:after="283"/>
              <w:jc w:val="left"/>
              <w:rPr/>
            </w:pPr>
            <w:r>
              <w:rPr/>
              <w:t> </w:t>
            </w:r>
          </w:p>
        </w:tc>
        <w:tc>
          <w:tcPr>
            <w:tcW w:w="1345" w:type="dxa"/>
            <w:tcBorders/>
            <w:shd w:fill="E5E5E5" w:val="clear"/>
            <w:vAlign w:val="center"/>
          </w:tcPr>
          <w:p>
            <w:pPr>
              <w:pStyle w:val="TableContents"/>
              <w:bidi w:val="0"/>
              <w:spacing w:before="0" w:after="283"/>
              <w:jc w:val="right"/>
              <w:rPr/>
            </w:pPr>
            <w:r>
              <w:rPr/>
              <w:t>27,723</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4" w:type="dxa"/>
            <w:tcBorders/>
            <w:shd w:fill="E5E5E5" w:val="clear"/>
            <w:vAlign w:val="center"/>
          </w:tcPr>
          <w:p>
            <w:pPr>
              <w:pStyle w:val="TableContents"/>
              <w:bidi w:val="0"/>
              <w:spacing w:before="0" w:after="283"/>
              <w:jc w:val="left"/>
              <w:rPr/>
            </w:pPr>
            <w:r>
              <w:rPr/>
              <w:t> </w:t>
            </w:r>
          </w:p>
        </w:tc>
        <w:tc>
          <w:tcPr>
            <w:tcW w:w="996" w:type="dxa"/>
            <w:tcBorders/>
            <w:shd w:fill="E5E5E5" w:val="clear"/>
            <w:vAlign w:val="center"/>
          </w:tcPr>
          <w:p>
            <w:pPr>
              <w:pStyle w:val="TableContents"/>
              <w:bidi w:val="0"/>
              <w:spacing w:before="0" w:after="283"/>
              <w:jc w:val="right"/>
              <w:rPr/>
            </w:pPr>
            <w:r>
              <w:rPr/>
              <w:t>358</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1325" w:type="dxa"/>
            <w:tcBorders/>
            <w:shd w:fill="E5E5E5" w:val="clear"/>
            <w:vAlign w:val="center"/>
          </w:tcPr>
          <w:p>
            <w:pPr>
              <w:pStyle w:val="TableContents"/>
              <w:bidi w:val="0"/>
              <w:spacing w:before="0" w:after="283"/>
              <w:jc w:val="right"/>
              <w:rPr/>
            </w:pPr>
            <w:r>
              <w:rPr/>
              <w:t>—</w:t>
            </w:r>
          </w:p>
        </w:tc>
        <w:tc>
          <w:tcPr>
            <w:tcW w:w="155"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1009" w:type="dxa"/>
            <w:tcBorders/>
            <w:shd w:fill="E5E5E5" w:val="clear"/>
            <w:vAlign w:val="center"/>
          </w:tcPr>
          <w:p>
            <w:pPr>
              <w:pStyle w:val="TableContents"/>
              <w:bidi w:val="0"/>
              <w:spacing w:before="0" w:after="283"/>
              <w:jc w:val="right"/>
              <w:rPr/>
            </w:pPr>
            <w:r>
              <w:rPr/>
              <w:t>55,805</w:t>
            </w:r>
          </w:p>
        </w:tc>
        <w:tc>
          <w:tcPr>
            <w:tcW w:w="75" w:type="dxa"/>
            <w:tcBorders/>
            <w:shd w:fill="E5E5E5"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ARIAL" w:hAnsi="ARIAL"/>
                <w:b/>
                <w:sz w:val="18"/>
              </w:rPr>
            </w:pPr>
            <w:r>
              <w:rPr>
                <w:rFonts w:ascii="ARIAL" w:hAnsi="ARIAL"/>
                <w:b/>
                <w:sz w:val="18"/>
              </w:rPr>
              <w:t>Sanjeev Narula</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253,020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132,802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231,393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68,499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685,714</w:t>
            </w:r>
          </w:p>
        </w:tc>
        <w:tc>
          <w:tcPr>
            <w:tcW w:w="75" w:type="dxa"/>
            <w:tcBorders/>
            <w:vAlign w:val="center"/>
          </w:tcPr>
          <w:p>
            <w:pPr>
              <w:pStyle w:val="TableContents"/>
              <w:bidi w:val="0"/>
              <w:spacing w:before="0" w:after="283"/>
              <w:jc w:val="left"/>
              <w:rPr/>
            </w:pPr>
            <w:r>
              <w:rPr/>
              <w:t> </w:t>
            </w:r>
          </w:p>
        </w:tc>
      </w:tr>
      <w:tr>
        <w:trPr/>
        <w:tc>
          <w:tcPr>
            <w:tcW w:w="1430" w:type="dxa"/>
            <w:tcBorders/>
            <w:shd w:fill="E5E5E5" w:val="clear"/>
            <w:vAlign w:val="center"/>
          </w:tcPr>
          <w:p>
            <w:pPr>
              <w:pStyle w:val="TableContents"/>
              <w:bidi w:val="0"/>
              <w:spacing w:before="0" w:after="0"/>
              <w:jc w:val="left"/>
              <w:rPr>
                <w:rFonts w:ascii="ARIAL" w:hAnsi="ARIAL"/>
                <w:b/>
                <w:sz w:val="18"/>
              </w:rPr>
            </w:pPr>
            <w:r>
              <w:rPr>
                <w:rFonts w:ascii="ARIAL" w:hAnsi="ARIAL"/>
                <w:b/>
                <w:sz w:val="18"/>
              </w:rPr>
              <w:t>Rajiv Malik</w:t>
            </w:r>
          </w:p>
        </w:tc>
        <w:tc>
          <w:tcPr>
            <w:tcW w:w="6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1009" w:type="dxa"/>
            <w:tcBorders/>
            <w:shd w:fill="E5E5E5" w:val="clear"/>
            <w:vAlign w:val="center"/>
          </w:tcPr>
          <w:p>
            <w:pPr>
              <w:pStyle w:val="TableContents"/>
              <w:bidi w:val="0"/>
              <w:spacing w:before="0" w:after="283"/>
              <w:jc w:val="right"/>
              <w:rPr/>
            </w:pPr>
            <w:r>
              <w:rPr/>
              <w:t>1,036,644</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0" w:type="dxa"/>
            <w:tcBorders/>
            <w:shd w:fill="E5E5E5" w:val="clear"/>
            <w:vAlign w:val="center"/>
          </w:tcPr>
          <w:p>
            <w:pPr>
              <w:pStyle w:val="TableContents"/>
              <w:bidi w:val="0"/>
              <w:spacing w:before="0" w:after="283"/>
              <w:jc w:val="left"/>
              <w:rPr/>
            </w:pPr>
            <w:r>
              <w:rPr/>
              <w:t> </w:t>
            </w:r>
          </w:p>
        </w:tc>
        <w:tc>
          <w:tcPr>
            <w:tcW w:w="1345"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0" w:type="dxa"/>
            <w:tcBorders/>
            <w:shd w:fill="E5E5E5" w:val="clear"/>
            <w:vAlign w:val="center"/>
          </w:tcPr>
          <w:p>
            <w:pPr>
              <w:pStyle w:val="TableContents"/>
              <w:bidi w:val="0"/>
              <w:spacing w:before="0" w:after="283"/>
              <w:jc w:val="left"/>
              <w:rPr/>
            </w:pPr>
            <w:r>
              <w:rPr/>
              <w:t> </w:t>
            </w:r>
          </w:p>
        </w:tc>
        <w:tc>
          <w:tcPr>
            <w:tcW w:w="1345" w:type="dxa"/>
            <w:tcBorders/>
            <w:shd w:fill="E5E5E5" w:val="clear"/>
            <w:vAlign w:val="center"/>
          </w:tcPr>
          <w:p>
            <w:pPr>
              <w:pStyle w:val="TableContents"/>
              <w:bidi w:val="0"/>
              <w:spacing w:before="0" w:after="283"/>
              <w:jc w:val="right"/>
              <w:rPr/>
            </w:pPr>
            <w:r>
              <w:rPr/>
              <w:t>262,749</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4" w:type="dxa"/>
            <w:tcBorders/>
            <w:shd w:fill="E5E5E5" w:val="clear"/>
            <w:vAlign w:val="center"/>
          </w:tcPr>
          <w:p>
            <w:pPr>
              <w:pStyle w:val="TableContents"/>
              <w:bidi w:val="0"/>
              <w:spacing w:before="0" w:after="283"/>
              <w:jc w:val="left"/>
              <w:rPr/>
            </w:pPr>
            <w:r>
              <w:rPr/>
              <w:t> </w:t>
            </w:r>
          </w:p>
        </w:tc>
        <w:tc>
          <w:tcPr>
            <w:tcW w:w="996" w:type="dxa"/>
            <w:tcBorders/>
            <w:shd w:fill="E5E5E5" w:val="clear"/>
            <w:vAlign w:val="center"/>
          </w:tcPr>
          <w:p>
            <w:pPr>
              <w:pStyle w:val="TableContents"/>
              <w:bidi w:val="0"/>
              <w:spacing w:before="0" w:after="283"/>
              <w:jc w:val="right"/>
              <w:rPr/>
            </w:pPr>
            <w:r>
              <w:rPr/>
              <w:t>231,307</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1325" w:type="dxa"/>
            <w:tcBorders/>
            <w:shd w:fill="E5E5E5" w:val="clear"/>
            <w:vAlign w:val="center"/>
          </w:tcPr>
          <w:p>
            <w:pPr>
              <w:pStyle w:val="TableContents"/>
              <w:bidi w:val="0"/>
              <w:spacing w:before="0" w:after="283"/>
              <w:jc w:val="right"/>
              <w:rPr/>
            </w:pPr>
            <w:r>
              <w:rPr/>
              <w:t>—</w:t>
            </w:r>
          </w:p>
        </w:tc>
        <w:tc>
          <w:tcPr>
            <w:tcW w:w="155"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1009" w:type="dxa"/>
            <w:tcBorders/>
            <w:shd w:fill="E5E5E5" w:val="clear"/>
            <w:vAlign w:val="center"/>
          </w:tcPr>
          <w:p>
            <w:pPr>
              <w:pStyle w:val="TableContents"/>
              <w:bidi w:val="0"/>
              <w:spacing w:before="0" w:after="283"/>
              <w:jc w:val="right"/>
              <w:rPr/>
            </w:pPr>
            <w:r>
              <w:rPr/>
              <w:t>1,530,699</w:t>
            </w:r>
          </w:p>
        </w:tc>
        <w:tc>
          <w:tcPr>
            <w:tcW w:w="75" w:type="dxa"/>
            <w:tcBorders/>
            <w:shd w:fill="E5E5E5"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ARIAL" w:hAnsi="ARIAL"/>
                <w:b/>
                <w:sz w:val="18"/>
              </w:rPr>
            </w:pPr>
            <w:r>
              <w:rPr>
                <w:rFonts w:ascii="ARIAL" w:hAnsi="ARIAL"/>
                <w:b/>
                <w:sz w:val="18"/>
              </w:rPr>
              <w:t>Anthony Mauro</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3,077,440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89,834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247,211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151,298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3,565,782</w:t>
            </w:r>
          </w:p>
        </w:tc>
        <w:tc>
          <w:tcPr>
            <w:tcW w:w="75" w:type="dxa"/>
            <w:tcBorders/>
            <w:vAlign w:val="center"/>
          </w:tcPr>
          <w:p>
            <w:pPr>
              <w:pStyle w:val="TableContents"/>
              <w:bidi w:val="0"/>
              <w:spacing w:before="0" w:after="283"/>
              <w:jc w:val="left"/>
              <w:rPr/>
            </w:pPr>
            <w:r>
              <w:rPr/>
              <w:t> </w:t>
            </w:r>
          </w:p>
        </w:tc>
      </w:tr>
      <w:tr>
        <w:trPr/>
        <w:tc>
          <w:tcPr>
            <w:tcW w:w="1430" w:type="dxa"/>
            <w:tcBorders/>
            <w:shd w:fill="E5E5E5" w:val="clear"/>
            <w:vAlign w:val="center"/>
          </w:tcPr>
          <w:p>
            <w:pPr>
              <w:pStyle w:val="TableContents"/>
              <w:bidi w:val="0"/>
              <w:spacing w:before="0" w:after="0"/>
              <w:jc w:val="left"/>
              <w:rPr>
                <w:rFonts w:ascii="ARIAL" w:hAnsi="ARIAL"/>
                <w:b/>
                <w:sz w:val="18"/>
              </w:rPr>
            </w:pPr>
            <w:r>
              <w:rPr>
                <w:rFonts w:ascii="ARIAL" w:hAnsi="ARIAL"/>
                <w:b/>
                <w:sz w:val="18"/>
              </w:rPr>
              <w:t>Brian Roman</w:t>
            </w:r>
          </w:p>
        </w:tc>
        <w:tc>
          <w:tcPr>
            <w:tcW w:w="6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1009" w:type="dxa"/>
            <w:tcBorders/>
            <w:shd w:fill="E5E5E5" w:val="clear"/>
            <w:vAlign w:val="center"/>
          </w:tcPr>
          <w:p>
            <w:pPr>
              <w:pStyle w:val="TableContents"/>
              <w:bidi w:val="0"/>
              <w:spacing w:before="0" w:after="283"/>
              <w:jc w:val="right"/>
              <w:rPr/>
            </w:pPr>
            <w:r>
              <w:rPr/>
              <w:t>3,403,430</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0" w:type="dxa"/>
            <w:tcBorders/>
            <w:shd w:fill="E5E5E5" w:val="clear"/>
            <w:vAlign w:val="center"/>
          </w:tcPr>
          <w:p>
            <w:pPr>
              <w:pStyle w:val="TableContents"/>
              <w:bidi w:val="0"/>
              <w:spacing w:before="0" w:after="283"/>
              <w:jc w:val="left"/>
              <w:rPr/>
            </w:pPr>
            <w:r>
              <w:rPr/>
              <w:t> </w:t>
            </w:r>
          </w:p>
        </w:tc>
        <w:tc>
          <w:tcPr>
            <w:tcW w:w="1345" w:type="dxa"/>
            <w:tcBorders/>
            <w:shd w:fill="E5E5E5" w:val="clear"/>
            <w:vAlign w:val="center"/>
          </w:tcPr>
          <w:p>
            <w:pPr>
              <w:pStyle w:val="TableContents"/>
              <w:bidi w:val="0"/>
              <w:spacing w:before="0" w:after="283"/>
              <w:jc w:val="right"/>
              <w:rPr/>
            </w:pPr>
            <w:r>
              <w:rPr/>
              <w:t>113,174</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0" w:type="dxa"/>
            <w:tcBorders/>
            <w:shd w:fill="E5E5E5" w:val="clear"/>
            <w:vAlign w:val="center"/>
          </w:tcPr>
          <w:p>
            <w:pPr>
              <w:pStyle w:val="TableContents"/>
              <w:bidi w:val="0"/>
              <w:spacing w:before="0" w:after="283"/>
              <w:jc w:val="left"/>
              <w:rPr/>
            </w:pPr>
            <w:r>
              <w:rPr/>
              <w:t> </w:t>
            </w:r>
          </w:p>
        </w:tc>
        <w:tc>
          <w:tcPr>
            <w:tcW w:w="1345" w:type="dxa"/>
            <w:tcBorders/>
            <w:shd w:fill="E5E5E5" w:val="clear"/>
            <w:vAlign w:val="center"/>
          </w:tcPr>
          <w:p>
            <w:pPr>
              <w:pStyle w:val="TableContents"/>
              <w:bidi w:val="0"/>
              <w:spacing w:before="0" w:after="283"/>
              <w:jc w:val="right"/>
              <w:rPr/>
            </w:pPr>
            <w:r>
              <w:rPr/>
              <w:t>198,261</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4" w:type="dxa"/>
            <w:tcBorders/>
            <w:shd w:fill="E5E5E5" w:val="clear"/>
            <w:vAlign w:val="center"/>
          </w:tcPr>
          <w:p>
            <w:pPr>
              <w:pStyle w:val="TableContents"/>
              <w:bidi w:val="0"/>
              <w:spacing w:before="0" w:after="283"/>
              <w:jc w:val="left"/>
              <w:rPr/>
            </w:pPr>
            <w:r>
              <w:rPr/>
              <w:t> </w:t>
            </w:r>
          </w:p>
        </w:tc>
        <w:tc>
          <w:tcPr>
            <w:tcW w:w="996" w:type="dxa"/>
            <w:tcBorders/>
            <w:shd w:fill="E5E5E5" w:val="clear"/>
            <w:vAlign w:val="center"/>
          </w:tcPr>
          <w:p>
            <w:pPr>
              <w:pStyle w:val="TableContents"/>
              <w:bidi w:val="0"/>
              <w:spacing w:before="0" w:after="283"/>
              <w:jc w:val="right"/>
              <w:rPr/>
            </w:pPr>
            <w:r>
              <w:rPr/>
              <w:t>646,637</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1325" w:type="dxa"/>
            <w:tcBorders/>
            <w:shd w:fill="E5E5E5" w:val="clear"/>
            <w:vAlign w:val="center"/>
          </w:tcPr>
          <w:p>
            <w:pPr>
              <w:pStyle w:val="TableContents"/>
              <w:bidi w:val="0"/>
              <w:spacing w:before="0" w:after="283"/>
              <w:jc w:val="right"/>
              <w:rPr/>
            </w:pPr>
            <w:r>
              <w:rPr/>
              <w:t>—</w:t>
            </w:r>
          </w:p>
        </w:tc>
        <w:tc>
          <w:tcPr>
            <w:tcW w:w="155"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1009" w:type="dxa"/>
            <w:tcBorders/>
            <w:shd w:fill="E5E5E5" w:val="clear"/>
            <w:vAlign w:val="center"/>
          </w:tcPr>
          <w:p>
            <w:pPr>
              <w:pStyle w:val="TableContents"/>
              <w:bidi w:val="0"/>
              <w:spacing w:before="0" w:after="283"/>
              <w:jc w:val="right"/>
              <w:rPr/>
            </w:pPr>
            <w:r>
              <w:rPr/>
              <w:t>4,361,501</w:t>
            </w:r>
          </w:p>
        </w:tc>
        <w:tc>
          <w:tcPr>
            <w:tcW w:w="75" w:type="dxa"/>
            <w:tcBorders/>
            <w:shd w:fill="E5E5E5"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ARIAL" w:hAnsi="ARIAL"/>
                <w:b/>
                <w:sz w:val="18"/>
              </w:rPr>
            </w:pPr>
            <w:r>
              <w:rPr>
                <w:rFonts w:ascii="ARIAL" w:hAnsi="ARIAL"/>
                <w:b/>
                <w:sz w:val="18"/>
              </w:rPr>
              <w:t>Michael Goettler</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611,509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151,371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481,149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56,063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(1,300,093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1430" w:type="dxa"/>
            <w:tcBorders>
              <w:bottom w:val="single" w:sz="8" w:space="0" w:color="732282"/>
            </w:tcBorders>
            <w:shd w:fill="E5E5E5" w:val="clear"/>
            <w:tcMar>
              <w:bottom w:w="28" w:type="dxa"/>
            </w:tcMar>
            <w:vAlign w:val="center"/>
          </w:tcPr>
          <w:p>
            <w:pPr>
              <w:pStyle w:val="TableContents"/>
              <w:bidi w:val="0"/>
              <w:spacing w:before="0" w:after="0"/>
              <w:jc w:val="left"/>
              <w:rPr>
                <w:rFonts w:ascii="ARIAL" w:hAnsi="ARIAL"/>
                <w:b/>
                <w:sz w:val="18"/>
              </w:rPr>
            </w:pPr>
            <w:r>
              <w:rPr>
                <w:rFonts w:ascii="ARIAL" w:hAnsi="ARIAL"/>
                <w:b/>
                <w:sz w:val="18"/>
              </w:rPr>
              <w:t>Robert J. Coury</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1"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009" w:type="dxa"/>
            <w:tcBorders>
              <w:bottom w:val="single" w:sz="8" w:space="0" w:color="732282"/>
            </w:tcBorders>
            <w:shd w:fill="E5E5E5" w:val="clear"/>
            <w:tcMar>
              <w:bottom w:w="28" w:type="dxa"/>
            </w:tcMar>
            <w:vAlign w:val="center"/>
          </w:tcPr>
          <w:p>
            <w:pPr>
              <w:pStyle w:val="TableContents"/>
              <w:bidi w:val="0"/>
              <w:spacing w:before="0" w:after="283"/>
              <w:jc w:val="right"/>
              <w:rPr/>
            </w:pPr>
            <w:r>
              <w:rPr/>
              <w:t>1,424,614</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0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345" w:type="dxa"/>
            <w:tcBorders>
              <w:bottom w:val="single" w:sz="8" w:space="0" w:color="732282"/>
            </w:tcBorders>
            <w:shd w:fill="E5E5E5" w:val="clear"/>
            <w:tcMar>
              <w:bottom w:w="28" w:type="dxa"/>
            </w:tcMar>
            <w:vAlign w:val="center"/>
          </w:tcPr>
          <w:p>
            <w:pPr>
              <w:pStyle w:val="TableContents"/>
              <w:bidi w:val="0"/>
              <w:spacing w:before="0" w:after="283"/>
              <w:jc w:val="right"/>
              <w:rPr/>
            </w:pPr>
            <w:r>
              <w:rPr/>
              <w:t>273,408</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0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345" w:type="dxa"/>
            <w:tcBorders>
              <w:bottom w:val="single" w:sz="8" w:space="0" w:color="732282"/>
            </w:tcBorders>
            <w:shd w:fill="E5E5E5" w:val="clear"/>
            <w:tcMar>
              <w:bottom w:w="28" w:type="dxa"/>
            </w:tcMar>
            <w:vAlign w:val="center"/>
          </w:tcPr>
          <w:p>
            <w:pPr>
              <w:pStyle w:val="TableContents"/>
              <w:bidi w:val="0"/>
              <w:spacing w:before="0" w:after="283"/>
              <w:jc w:val="right"/>
              <w:rPr/>
            </w:pPr>
            <w:r>
              <w:rPr/>
              <w:t>738,235</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74"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996" w:type="dxa"/>
            <w:tcBorders>
              <w:bottom w:val="single" w:sz="8" w:space="0" w:color="732282"/>
            </w:tcBorders>
            <w:shd w:fill="E5E5E5" w:val="clear"/>
            <w:tcMar>
              <w:bottom w:w="28" w:type="dxa"/>
            </w:tcMar>
            <w:vAlign w:val="center"/>
          </w:tcPr>
          <w:p>
            <w:pPr>
              <w:pStyle w:val="TableContents"/>
              <w:bidi w:val="0"/>
              <w:spacing w:before="0" w:after="283"/>
              <w:jc w:val="right"/>
              <w:rPr/>
            </w:pPr>
            <w:r>
              <w:rPr/>
              <w:t>291,737</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75"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325" w:type="dxa"/>
            <w:tcBorders>
              <w:bottom w:val="single" w:sz="8" w:space="0" w:color="732282"/>
            </w:tcBorders>
            <w:shd w:fill="E5E5E5" w:val="clear"/>
            <w:tcMar>
              <w:bottom w:w="28" w:type="dxa"/>
            </w:tcMar>
            <w:vAlign w:val="center"/>
          </w:tcPr>
          <w:p>
            <w:pPr>
              <w:pStyle w:val="TableContents"/>
              <w:bidi w:val="0"/>
              <w:spacing w:before="0" w:after="283"/>
              <w:jc w:val="right"/>
              <w:rPr/>
            </w:pPr>
            <w:r>
              <w:rPr/>
              <w:t>—</w:t>
            </w:r>
          </w:p>
        </w:tc>
        <w:tc>
          <w:tcPr>
            <w:tcW w:w="155"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1"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009" w:type="dxa"/>
            <w:tcBorders>
              <w:bottom w:val="single" w:sz="8" w:space="0" w:color="732282"/>
            </w:tcBorders>
            <w:shd w:fill="E5E5E5" w:val="clear"/>
            <w:tcMar>
              <w:bottom w:w="28" w:type="dxa"/>
            </w:tcMar>
            <w:vAlign w:val="center"/>
          </w:tcPr>
          <w:p>
            <w:pPr>
              <w:pStyle w:val="TableContents"/>
              <w:bidi w:val="0"/>
              <w:spacing w:before="0" w:after="283"/>
              <w:jc w:val="right"/>
              <w:rPr/>
            </w:pPr>
            <w:r>
              <w:rPr/>
              <w:t>2,727,993</w:t>
            </w:r>
          </w:p>
        </w:tc>
        <w:tc>
          <w:tcPr>
            <w:tcW w:w="75"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b/>
          <w:color w:val="666666"/>
          <w:sz w:val="28"/>
        </w:rPr>
      </w:pPr>
      <w:r>
        <w:rPr>
          <w:rFonts w:ascii="arial" w:hAnsi="arial"/>
          <w:b/>
          <w:color w:val="666666"/>
          <w:sz w:val="28"/>
        </w:rPr>
        <w:t xml:space="preserve">Estimated Payments in Connection with a Termination of Employment or Change in Control </w:t>
      </w:r>
    </w:p>
    <w:p>
      <w:pPr>
        <w:pStyle w:val="TextBody"/>
        <w:pBdr>
          <w:bottom w:val="single" w:sz="2" w:space="1" w:color="732282"/>
        </w:pBdr>
        <w:bidi w:val="0"/>
        <w:spacing w:lineRule="atLeast" w:line="142" w:before="0" w:after="40"/>
        <w:jc w:val="left"/>
        <w:rPr/>
      </w:pPr>
      <w:r>
        <w:rPr/>
        <w:t> </w:t>
      </w:r>
    </w:p>
    <w:p>
      <w:pPr>
        <w:pStyle w:val="TextBody"/>
        <w:bidi w:val="0"/>
        <w:spacing w:before="240" w:after="0"/>
        <w:jc w:val="both"/>
        <w:rPr>
          <w:rFonts w:ascii="arial" w:hAnsi="arial"/>
          <w:sz w:val="18"/>
        </w:rPr>
      </w:pPr>
      <w:r>
        <w:rPr>
          <w:rFonts w:ascii="arial" w:hAnsi="arial"/>
          <w:sz w:val="18"/>
        </w:rPr>
        <w:t xml:space="preserve">The following discussion summarizes the potential payments and benefits that would have been payable to each of the NEOs upon a termination of employment on December 31, 2023 by Viatris without “cause”, by the NEO for “good reason” (each as defined in the applicable agreement), due to the NEO’s death or disability or as a result of a CIC Termination (as defined below). A “CIC Termination” occurs if an NEO’s employment is terminated other than for cause or if he terminates employment for good reason, in each case, within two years following the occurrence of a change in control. The amounts discussed below exclude (i) 401(k) retirement plan contributions and distributions that are generally available to all salaried employees, (ii) payments pursuant to vested Restoration Plan balances and vested rights under Retirement Benefit Agreements, (iii) payments pursuant to awards scheduled to vest on or before December 31, 2023 by their terms, (iv) any amounts that may be due at the time of an event in respect of accrued and unpaid salary, bonuses, or vacation, and (v) the value of each NEO’s annual bonus for the 2023 completed fiscal year as the year was complete as of December 31, 2023. These are estimates only and actual amounts payable upon such terminations may be different and will only be determined upon the actual occurrence of any such event. </w:t>
      </w:r>
    </w:p>
    <w:p>
      <w:pPr>
        <w:pStyle w:val="TextBody"/>
        <w:bidi w:val="0"/>
        <w:spacing w:before="240" w:after="0"/>
        <w:jc w:val="left"/>
        <w:rPr>
          <w:rFonts w:ascii="arial" w:hAnsi="arial"/>
          <w:color w:val="732282"/>
          <w:sz w:val="20"/>
        </w:rPr>
      </w:pPr>
      <w:r>
        <w:rPr>
          <w:rFonts w:ascii="arial" w:hAnsi="arial"/>
          <w:color w:val="732282"/>
          <w:sz w:val="20"/>
        </w:rPr>
        <w:t xml:space="preserve">Scott A. Smith </w:t>
      </w:r>
    </w:p>
    <w:p>
      <w:pPr>
        <w:pStyle w:val="TextBody"/>
        <w:bidi w:val="0"/>
        <w:spacing w:before="120" w:after="0"/>
        <w:jc w:val="both"/>
        <w:rPr>
          <w:rFonts w:ascii="arial" w:hAnsi="arial"/>
          <w:sz w:val="18"/>
        </w:rPr>
      </w:pPr>
      <w:r>
        <w:rPr>
          <w:rFonts w:ascii="arial" w:hAnsi="arial"/>
          <w:sz w:val="18"/>
        </w:rPr>
        <w:t xml:space="preserve">Mr. Smith is entitled to severance payments and benefits upon certain terminations of employment pursuant to an agreement with Viatris and his equity award agreements with Viatris. </w:t>
      </w:r>
    </w:p>
    <w:p>
      <w:pPr>
        <w:pStyle w:val="TextBody"/>
        <w:bidi w:val="0"/>
        <w:spacing w:before="240" w:after="0"/>
        <w:jc w:val="both"/>
        <w:rPr>
          <w:rFonts w:ascii="arial" w:hAnsi="arial"/>
          <w:sz w:val="18"/>
        </w:rPr>
      </w:pPr>
      <w:r>
        <w:rPr>
          <w:rFonts w:ascii="arial" w:hAnsi="arial"/>
          <w:b/>
          <w:i/>
          <w:sz w:val="18"/>
        </w:rPr>
        <w:t>Termination Without Cause Absent a Change in Control.</w:t>
      </w:r>
      <w:r>
        <w:rPr>
          <w:rFonts w:ascii="arial" w:hAnsi="arial"/>
          <w:sz w:val="18"/>
        </w:rPr>
        <w:t xml:space="preserve"> If Mr. Smith’s employment was terminated on December 31, 2023 by Viatris without cause, he would have been entitled to a payment equal to one times the sum of his base salary and his target annual bonus in effect at the time of such termination, payable in equal installments, and eligibility for continued vesting of a prorated number of his PRSUs granted in 2023 based on actual Company performance. The estimated values of such payments and benefits, assuming a December 31, 2023 termination of employment, would have been $3,500,000, in respect of cash severance and $2,830,388, in respect of the vesting of his PRSUs granted in 2023 (assuming target performance).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50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b/>
          <w:i/>
          <w:sz w:val="18"/>
        </w:rPr>
        <w:t xml:space="preserve">Termination due to Death or Disability Absent a Change in Control. </w:t>
      </w:r>
      <w:r>
        <w:rPr>
          <w:rFonts w:ascii="arial" w:hAnsi="arial"/>
          <w:sz w:val="18"/>
        </w:rPr>
        <w:t xml:space="preserve">If Mr. Smith’s employment was terminated on December 31, 2023 due to death or disability, he would have been entitled to full vesting of his unvested equity awards (with any PRSUs vesting based on target performance). The estimated value of such equity vesting, assuming a December 31, 2023 termination, would have been $13,063,341. Mr. Smith is not entitled to cash severance payments in connection with a termination of employment due to death or disability. </w:t>
      </w:r>
    </w:p>
    <w:p>
      <w:pPr>
        <w:pStyle w:val="TextBody"/>
        <w:bidi w:val="0"/>
        <w:spacing w:before="240" w:after="0"/>
        <w:jc w:val="both"/>
        <w:rPr>
          <w:rFonts w:ascii="arial" w:hAnsi="arial"/>
          <w:sz w:val="18"/>
        </w:rPr>
      </w:pPr>
      <w:r>
        <w:rPr>
          <w:rFonts w:ascii="arial" w:hAnsi="arial"/>
          <w:b/>
          <w:i/>
          <w:sz w:val="18"/>
        </w:rPr>
        <w:t>Termination in Connection with a Change in Control.</w:t>
      </w:r>
      <w:r>
        <w:rPr>
          <w:rFonts w:ascii="arial" w:hAnsi="arial"/>
          <w:sz w:val="18"/>
        </w:rPr>
        <w:t xml:space="preserve"> If Mr. Smith incurred a CIC Termination on December 31, 2023, he would have been entitled to a payment equal to two and a half (2.5) times the sum of his base salary and his target annual bonus in effect at the time of such termination, payable in equal installments, and full vesting of his unvested equity awards (with any PRSUs vesting based on target performance). The estimated values of such payments and benefits, assuming a December 31, 2023 termination of employment, would have been $8,750,000, in respect of cash severance and $13,063,341, in respect of the vesting of his equity awards. </w:t>
      </w:r>
    </w:p>
    <w:p>
      <w:pPr>
        <w:pStyle w:val="TextBody"/>
        <w:bidi w:val="0"/>
        <w:spacing w:before="240" w:after="0"/>
        <w:jc w:val="left"/>
        <w:rPr>
          <w:rFonts w:ascii="arial" w:hAnsi="arial"/>
          <w:color w:val="732282"/>
          <w:sz w:val="20"/>
        </w:rPr>
      </w:pPr>
      <w:r>
        <w:rPr>
          <w:rFonts w:ascii="arial" w:hAnsi="arial"/>
          <w:color w:val="732282"/>
          <w:sz w:val="20"/>
        </w:rPr>
        <w:t xml:space="preserve">Sanjeev Narula </w:t>
      </w:r>
    </w:p>
    <w:p>
      <w:pPr>
        <w:pStyle w:val="TextBody"/>
        <w:bidi w:val="0"/>
        <w:spacing w:before="120" w:after="0"/>
        <w:jc w:val="both"/>
        <w:rPr>
          <w:rFonts w:ascii="arial" w:hAnsi="arial"/>
          <w:sz w:val="18"/>
        </w:rPr>
      </w:pPr>
      <w:r>
        <w:rPr>
          <w:rFonts w:ascii="arial" w:hAnsi="arial"/>
          <w:sz w:val="18"/>
        </w:rPr>
        <w:t xml:space="preserve">Mr. Narula was entitled to severance payments and benefits upon certain terminations of employment pursuant an agreement with Viatris, the Mylan N.V. Severance Plan and Global Guidelines (which was assumed by Viatris) (“Severance Plan”), and his equity award agreements with Viatris. </w:t>
      </w:r>
    </w:p>
    <w:p>
      <w:pPr>
        <w:pStyle w:val="TextBody"/>
        <w:bidi w:val="0"/>
        <w:spacing w:before="240" w:after="0"/>
        <w:jc w:val="both"/>
        <w:rPr>
          <w:rFonts w:ascii="arial" w:hAnsi="arial"/>
          <w:sz w:val="18"/>
        </w:rPr>
      </w:pPr>
      <w:r>
        <w:rPr>
          <w:rFonts w:ascii="arial" w:hAnsi="arial"/>
          <w:b/>
          <w:i/>
          <w:sz w:val="18"/>
        </w:rPr>
        <w:t>Termination Without Cause Absent a Change in Control.</w:t>
      </w:r>
      <w:r>
        <w:rPr>
          <w:rFonts w:ascii="arial" w:hAnsi="arial"/>
          <w:sz w:val="18"/>
        </w:rPr>
        <w:t xml:space="preserve"> If Mr. Narula’s employment was terminated on December 31, 2023 by Viatris without cause, he would have been entitled to twelve (12) months of base salary continuation, twelve (12) months of continued health and other benefits, and eligibility for continued vesting of a prorated number of his PRSUs granted in 2023 based on actual Company performance. The estimated values of such payments and benefits, assuming a December 31, 2023 termination of employment, would have been $989,894, in respect of cash severance and other benefits and $818,470, in respect of the vesting of his PRSUs granted in 2023 (assuming target performance). </w:t>
      </w:r>
    </w:p>
    <w:p>
      <w:pPr>
        <w:pStyle w:val="TextBody"/>
        <w:bidi w:val="0"/>
        <w:spacing w:before="240" w:after="0"/>
        <w:jc w:val="both"/>
        <w:rPr>
          <w:rFonts w:ascii="arial" w:hAnsi="arial"/>
          <w:sz w:val="18"/>
        </w:rPr>
      </w:pPr>
      <w:r>
        <w:rPr>
          <w:rFonts w:ascii="arial" w:hAnsi="arial"/>
          <w:b/>
          <w:i/>
          <w:sz w:val="18"/>
        </w:rPr>
        <w:t xml:space="preserve">Termination due to Death or Disability Absent a Change in Control. </w:t>
      </w:r>
      <w:r>
        <w:rPr>
          <w:rFonts w:ascii="arial" w:hAnsi="arial"/>
          <w:sz w:val="18"/>
        </w:rPr>
        <w:t xml:space="preserve">If Mr. Narula’s employment was terminated on December 31, 2023 due to death or disability, he would have been entitled to full vesting of his unvested equity awards (with any PRSUs vesting based on target performance). The estimated value of such equity vesting, assuming a December 31, 2023 termination, would have been $8,997,445. Mr. Narula is not entitled to cash severance payments in connection with a termination of employment due to death or disability. </w:t>
      </w:r>
    </w:p>
    <w:p>
      <w:pPr>
        <w:pStyle w:val="TextBody"/>
        <w:bidi w:val="0"/>
        <w:spacing w:before="240" w:after="0"/>
        <w:jc w:val="both"/>
        <w:rPr>
          <w:rFonts w:ascii="arial" w:hAnsi="arial"/>
          <w:sz w:val="18"/>
        </w:rPr>
      </w:pPr>
      <w:r>
        <w:rPr>
          <w:rFonts w:ascii="arial" w:hAnsi="arial"/>
          <w:b/>
          <w:i/>
          <w:sz w:val="18"/>
        </w:rPr>
        <w:t xml:space="preserve">Termination in Connection with a Change in Control. </w:t>
      </w:r>
      <w:r>
        <w:rPr>
          <w:rFonts w:ascii="arial" w:hAnsi="arial"/>
          <w:sz w:val="18"/>
        </w:rPr>
        <w:t xml:space="preserve">If Mr. Narula incurred a CIC Termination on December 31, 2023, he would have been entitled to a payment equal to two times the sum of his base salary and his target annual bonus in effect at the time of such termination, payable in equal installments, twenty-four (24) months of continued health and other benefits, and full vesting of his unvested equity awards (with any PRSUs vesting based on target performance). The estimated values of such payments and benefits, assuming a December 31, 2023 CIC Termination, would have been $3,789,788, in respect of cash severance and other benefits and $8,997,445, in respect of the vesting of his equity awards. </w:t>
      </w:r>
    </w:p>
    <w:p>
      <w:pPr>
        <w:pStyle w:val="TextBody"/>
        <w:bidi w:val="0"/>
        <w:spacing w:before="240" w:after="0"/>
        <w:jc w:val="both"/>
        <w:rPr>
          <w:rFonts w:ascii="arial" w:hAnsi="arial"/>
          <w:sz w:val="18"/>
        </w:rPr>
      </w:pPr>
      <w:r>
        <w:rPr>
          <w:rFonts w:ascii="arial" w:hAnsi="arial"/>
          <w:sz w:val="18"/>
        </w:rPr>
        <w:t xml:space="preserve">As described above in “Leadership Transitions – Other Executive Transitions” on page 29, on December 15, 2023, Mr. Narula entered into a separation agreement with Viatris pursuant to which he departed from the Company effective as of March 5, 2024. Mr. Narula’s separation agreement provided for a cash payment equal to $3,700,000 payable in the form of installments over a period of two (2) years, a prorated annual bonus for 2024 based on actual Company performance, eligibility for continued vesting of a prorated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51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sz w:val="18"/>
        </w:rPr>
        <w:t xml:space="preserve">number of his PRSUs granted in each of 2022 and 2023 based on actual Company performance, and up to thirty-six (36) months of continued health and other benefits (the cost of which is approximately $2,300 per month), subject to a release of claims and other customary conditions. Mr. Narula is also eligible for reimbursement and allowances with respect to reasonable relocation-related expenses. </w:t>
      </w:r>
    </w:p>
    <w:p>
      <w:pPr>
        <w:pStyle w:val="TextBody"/>
        <w:bidi w:val="0"/>
        <w:spacing w:before="240" w:after="0"/>
        <w:jc w:val="left"/>
        <w:rPr>
          <w:rFonts w:ascii="arial" w:hAnsi="arial"/>
          <w:color w:val="732282"/>
          <w:sz w:val="20"/>
        </w:rPr>
      </w:pPr>
      <w:r>
        <w:rPr>
          <w:rFonts w:ascii="arial" w:hAnsi="arial"/>
          <w:color w:val="732282"/>
          <w:sz w:val="20"/>
        </w:rPr>
        <w:t xml:space="preserve">Rajiv Malik </w:t>
      </w:r>
    </w:p>
    <w:p>
      <w:pPr>
        <w:pStyle w:val="TextBody"/>
        <w:bidi w:val="0"/>
        <w:spacing w:before="120" w:after="0"/>
        <w:jc w:val="both"/>
        <w:rPr>
          <w:rFonts w:ascii="arial" w:hAnsi="arial"/>
          <w:sz w:val="18"/>
        </w:rPr>
      </w:pPr>
      <w:r>
        <w:rPr>
          <w:rFonts w:ascii="arial" w:hAnsi="arial"/>
          <w:sz w:val="18"/>
        </w:rPr>
        <w:t xml:space="preserve">Mr. Malik was entitled to severance payments and benefits upon certain terminations of employment pursuant to an agreement with Viatris, the Severance Plan, and his equity award agreements with Viatris. </w:t>
      </w:r>
    </w:p>
    <w:p>
      <w:pPr>
        <w:pStyle w:val="TextBody"/>
        <w:bidi w:val="0"/>
        <w:spacing w:before="240" w:after="0"/>
        <w:jc w:val="both"/>
        <w:rPr>
          <w:rFonts w:ascii="arial" w:hAnsi="arial"/>
          <w:sz w:val="18"/>
        </w:rPr>
      </w:pPr>
      <w:r>
        <w:rPr>
          <w:rFonts w:ascii="arial" w:hAnsi="arial"/>
          <w:b/>
          <w:i/>
          <w:sz w:val="18"/>
        </w:rPr>
        <w:t>Termination Without Cause Absent a Change in Control.</w:t>
      </w:r>
      <w:r>
        <w:rPr>
          <w:rFonts w:ascii="arial" w:hAnsi="arial"/>
          <w:sz w:val="18"/>
        </w:rPr>
        <w:t xml:space="preserve"> If Mr. Malik’s employment was terminated on December 31, 2023 by Viatris without cause, he would have been entitled to full vesting of his unvested equity awards with any PRSUs vesting based on target performance. The estimated value of such equity vesting, assuming a December 31, 2023 termination, would have been $19,813,115. Mr. Malik is also entitled to participate in the Company’s Supplemental Health Insurance Plan for certain retired executives following a termination of employment. </w:t>
      </w:r>
    </w:p>
    <w:p>
      <w:pPr>
        <w:pStyle w:val="TextBody"/>
        <w:bidi w:val="0"/>
        <w:spacing w:before="240" w:after="0"/>
        <w:jc w:val="both"/>
        <w:rPr>
          <w:rFonts w:ascii="arial" w:hAnsi="arial"/>
          <w:sz w:val="18"/>
        </w:rPr>
      </w:pPr>
      <w:r>
        <w:rPr>
          <w:rFonts w:ascii="arial" w:hAnsi="arial"/>
          <w:b/>
          <w:i/>
          <w:sz w:val="18"/>
        </w:rPr>
        <w:t xml:space="preserve">Termination due to Death or Disability Absent a Change in Control. </w:t>
      </w:r>
      <w:r>
        <w:rPr>
          <w:rFonts w:ascii="arial" w:hAnsi="arial"/>
          <w:sz w:val="18"/>
        </w:rPr>
        <w:t xml:space="preserve">If Mr. Malik’s employment was terminated on December 31, 2023 due to death or disability, he would have been entitled to full vesting of his unvested equity awards with any PRSUs vesting based on target performance. The estimated value of such equity vesting, assuming a December 31, 2023 termination, would have been $19,813,115. Mr. Malik is not entitled to cash severance payments in connection with a termination of employment due to death or disability. </w:t>
      </w:r>
    </w:p>
    <w:p>
      <w:pPr>
        <w:pStyle w:val="TextBody"/>
        <w:bidi w:val="0"/>
        <w:spacing w:before="240" w:after="0"/>
        <w:jc w:val="both"/>
        <w:rPr>
          <w:rFonts w:ascii="arial" w:hAnsi="arial"/>
          <w:sz w:val="18"/>
        </w:rPr>
      </w:pPr>
      <w:r>
        <w:rPr>
          <w:rFonts w:ascii="arial" w:hAnsi="arial"/>
          <w:b/>
          <w:i/>
          <w:sz w:val="18"/>
        </w:rPr>
        <w:t xml:space="preserve">Termination in Connection with a Change in Control. </w:t>
      </w:r>
      <w:r>
        <w:rPr>
          <w:rFonts w:ascii="arial" w:hAnsi="arial"/>
          <w:sz w:val="18"/>
        </w:rPr>
        <w:t xml:space="preserve">If Mr. Malik incurred a CIC Termination on December 31, 2023, he would have been entitled to a payment equal to two times the sum of his base salary and his target annual bonus in effect at the time of such termination, payable in equal installments, twenty-four (24) months of continued health and other benefits, and full vesting of his unvested equity awards with any PRSUs vesting based on target performance. The estimated values of such payments and benefits, assuming a December 31, 2023 CIC Termination, would have been $5,939,788, in respect of cash severance and other benefits and $19,813,115, in respect of the vesting of his equity awards. </w:t>
      </w:r>
    </w:p>
    <w:p>
      <w:pPr>
        <w:pStyle w:val="TextBody"/>
        <w:bidi w:val="0"/>
        <w:spacing w:before="240" w:after="0"/>
        <w:jc w:val="both"/>
        <w:rPr>
          <w:rFonts w:ascii="arial" w:hAnsi="arial"/>
          <w:sz w:val="18"/>
        </w:rPr>
      </w:pPr>
      <w:r>
        <w:rPr>
          <w:rFonts w:ascii="arial" w:hAnsi="arial"/>
          <w:sz w:val="18"/>
        </w:rPr>
        <w:t xml:space="preserve">As described above in “Leadership Transitions – Other Executive Transitions” on page 28, on October 20, 2023, Mr. Malik entered into a retirement and operating consulting agreement with Viatris pursuant to which he retired from the Company effective as of April 1, 2024. Mr. Malik’s retirement and operating consulting agreement provided for a prorated annual bonus for 2024 based on actual Company performance, twenty-four (24) months of continued health and other benefits (the cost of which is approximately $2,100 per month) and that his currently outstanding equity awards will continue vesting during his service on the Board and as a consultant, subject to acceleration described above under “Termination Without Cause Absent a Change in Control” in the event that he is not nominated or re-elected to the Board, is involuntarily terminated as an operating consultant, or voluntarily resigns from the Board on or after the end of the term of office following the 2023 Annual General Meeting, subject to a release of claims and other customary conditions. </w:t>
      </w:r>
    </w:p>
    <w:p>
      <w:pPr>
        <w:pStyle w:val="TextBody"/>
        <w:bidi w:val="0"/>
        <w:spacing w:before="240" w:after="0"/>
        <w:jc w:val="left"/>
        <w:rPr>
          <w:rFonts w:ascii="arial" w:hAnsi="arial"/>
          <w:color w:val="732282"/>
          <w:sz w:val="20"/>
        </w:rPr>
      </w:pPr>
      <w:r>
        <w:rPr>
          <w:rFonts w:ascii="arial" w:hAnsi="arial"/>
          <w:color w:val="732282"/>
          <w:sz w:val="20"/>
        </w:rPr>
        <w:t xml:space="preserve">Anthony Mauro </w:t>
      </w:r>
    </w:p>
    <w:p>
      <w:pPr>
        <w:pStyle w:val="TextBody"/>
        <w:bidi w:val="0"/>
        <w:spacing w:before="120" w:after="0"/>
        <w:jc w:val="both"/>
        <w:rPr>
          <w:rFonts w:ascii="arial" w:hAnsi="arial"/>
          <w:sz w:val="18"/>
        </w:rPr>
      </w:pPr>
      <w:r>
        <w:rPr>
          <w:rFonts w:ascii="arial" w:hAnsi="arial"/>
          <w:sz w:val="18"/>
        </w:rPr>
        <w:t xml:space="preserve">Mr. Mauro is entitled to severance payments and benefits upon certain terminations of employment pursuant to an agreement with Viatris, the Severance Plan, and his equity award agreements with Viatris.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52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b/>
          <w:i/>
          <w:sz w:val="18"/>
        </w:rPr>
        <w:t>Termination Without Cause Absent a Change in Control.</w:t>
      </w:r>
      <w:r>
        <w:rPr>
          <w:rFonts w:ascii="arial" w:hAnsi="arial"/>
          <w:sz w:val="18"/>
        </w:rPr>
        <w:t xml:space="preserve"> If Mr. Mauro’s employment was terminated on December 31, 2023 by Viatris without cause, he would have been entitled to a lump-sum cash payment equal of $3,698,000, twenty-four (24) months of continued health and other benefits, and eligibility for continued vesting of a prorated number of his PRSUs granted in 2023 based on actual Company performance. The estimated values of such payments and benefits, assuming a December 31, 2023 termination of employment, would have been $3,788,411, in respect of cash severance and other benefits and $760,956, in respect of the vesting of his PRSUs granted in 2023 (assuming target performance). </w:t>
      </w:r>
    </w:p>
    <w:p>
      <w:pPr>
        <w:pStyle w:val="TextBody"/>
        <w:bidi w:val="0"/>
        <w:spacing w:before="240" w:after="0"/>
        <w:jc w:val="both"/>
        <w:rPr>
          <w:rFonts w:ascii="arial" w:hAnsi="arial"/>
          <w:sz w:val="18"/>
        </w:rPr>
      </w:pPr>
      <w:r>
        <w:rPr>
          <w:rFonts w:ascii="arial" w:hAnsi="arial"/>
          <w:b/>
          <w:i/>
          <w:sz w:val="18"/>
        </w:rPr>
        <w:t xml:space="preserve">Termination due to Death or Disability Absent a Change in Control. </w:t>
      </w:r>
      <w:r>
        <w:rPr>
          <w:rFonts w:ascii="arial" w:hAnsi="arial"/>
          <w:sz w:val="18"/>
        </w:rPr>
        <w:t xml:space="preserve">If Mr. Mauro’s employment was terminated on December 31, 2023 due to death or disability, he would have been entitled to full vesting of his unvested equity awards (with any PRSUs vesting based on target performance). The estimated value of such equity vesting, assuming a December 31, 2023 termination, would have been $8,778,636. Mr. Mauro is not entitled to cash severance payments in connection with a termination of employment due to death or disability. </w:t>
      </w:r>
    </w:p>
    <w:p>
      <w:pPr>
        <w:pStyle w:val="TextBody"/>
        <w:bidi w:val="0"/>
        <w:spacing w:before="240" w:after="0"/>
        <w:jc w:val="both"/>
        <w:rPr>
          <w:rFonts w:ascii="arial" w:hAnsi="arial"/>
          <w:sz w:val="18"/>
        </w:rPr>
      </w:pPr>
      <w:r>
        <w:rPr>
          <w:rFonts w:ascii="arial" w:hAnsi="arial"/>
          <w:b/>
          <w:i/>
          <w:sz w:val="18"/>
        </w:rPr>
        <w:t xml:space="preserve">Termination in Connection with a Change in Control. </w:t>
      </w:r>
      <w:r>
        <w:rPr>
          <w:rFonts w:ascii="arial" w:hAnsi="arial"/>
          <w:sz w:val="18"/>
        </w:rPr>
        <w:t xml:space="preserve">If Mr. Mauro incurred a CIC Termination on December 31, 2023, he would have been entitled to a payment equal to two times the sum of his base salary and his target annual bonus in effect at the time of such termination, payable in equal installments, twenty-four (24) months of continued health and other benefits, and full vesting of his unvested equity awards (with any PRSUs vesting based on target performance). The estimated values of such payments and benefits, assuming a December 31, 2023 CIC Termination, would have been $3,788,411, in respect of cash severance and other benefits and $8,778,636, in respect of the vesting of his equity awards. </w:t>
      </w:r>
    </w:p>
    <w:p>
      <w:pPr>
        <w:pStyle w:val="TextBody"/>
        <w:bidi w:val="0"/>
        <w:spacing w:before="240" w:after="0"/>
        <w:jc w:val="both"/>
        <w:rPr>
          <w:rFonts w:ascii="arial" w:hAnsi="arial"/>
          <w:sz w:val="18"/>
        </w:rPr>
      </w:pPr>
      <w:r>
        <w:rPr>
          <w:rFonts w:ascii="arial" w:hAnsi="arial"/>
          <w:sz w:val="18"/>
        </w:rPr>
        <w:t xml:space="preserve">As described above in “Leadership Transitions – Other Executive Transitions” on page 28, on October 20, 2023, Mr. Mauro entered into a separation agreement with Viatris pursuant to which he departed from the Company effective as of April 1, 2024. Mr. Mauro’s separation agreement provided for the benefits described above under “Termination Without Cause Absent a Change in Control” in addition to a prorated annual bonus for 2024 based on actual Company performance, subject to a release of claims and other customary conditions. </w:t>
      </w:r>
    </w:p>
    <w:p>
      <w:pPr>
        <w:pStyle w:val="TextBody"/>
        <w:bidi w:val="0"/>
        <w:spacing w:before="240" w:after="0"/>
        <w:jc w:val="left"/>
        <w:rPr>
          <w:rFonts w:ascii="arial" w:hAnsi="arial"/>
          <w:color w:val="732282"/>
          <w:sz w:val="20"/>
        </w:rPr>
      </w:pPr>
      <w:r>
        <w:rPr>
          <w:rFonts w:ascii="arial" w:hAnsi="arial"/>
          <w:color w:val="732282"/>
          <w:sz w:val="20"/>
        </w:rPr>
        <w:t xml:space="preserve">Brian Roman </w:t>
      </w:r>
    </w:p>
    <w:p>
      <w:pPr>
        <w:pStyle w:val="TextBody"/>
        <w:bidi w:val="0"/>
        <w:spacing w:before="120" w:after="0"/>
        <w:jc w:val="both"/>
        <w:rPr>
          <w:rFonts w:ascii="arial" w:hAnsi="arial"/>
          <w:sz w:val="18"/>
        </w:rPr>
      </w:pPr>
      <w:r>
        <w:rPr>
          <w:rFonts w:ascii="arial" w:hAnsi="arial"/>
          <w:sz w:val="18"/>
        </w:rPr>
        <w:t xml:space="preserve">Mr. Roman is entitled to severance payments and benefits upon certain terminations of employment pursuant to the Severance Plan and his equity award agreements with Viatris. </w:t>
      </w:r>
    </w:p>
    <w:p>
      <w:pPr>
        <w:pStyle w:val="TextBody"/>
        <w:bidi w:val="0"/>
        <w:spacing w:before="240" w:after="0"/>
        <w:jc w:val="both"/>
        <w:rPr>
          <w:rFonts w:ascii="arial" w:hAnsi="arial"/>
          <w:sz w:val="18"/>
        </w:rPr>
      </w:pPr>
      <w:r>
        <w:rPr>
          <w:rFonts w:ascii="arial" w:hAnsi="arial"/>
          <w:b/>
          <w:i/>
          <w:sz w:val="18"/>
        </w:rPr>
        <w:t>Termination Without Cause Absent a Change in Control.</w:t>
      </w:r>
      <w:r>
        <w:rPr>
          <w:rFonts w:ascii="arial" w:hAnsi="arial"/>
          <w:sz w:val="18"/>
        </w:rPr>
        <w:t xml:space="preserve"> If Mr. Roman’s employment was terminated on December 31, 2023 by Viatris without cause, he would have been entitled to twelve (12) months of base salary continuation, twelve (12) months of continued health and other benefits, and eligibility for continued vesting of a prorated number of his PRSUs granted in 2023 based on actual Company performance. The estimated values of such payments, assuming a December 31, 2023 termination of employment, would have been $865,206, in respect of cash severance and other benefits and $353,935, in respect of the vesting of his PRSUs granted in 2023 (assuming target performance). </w:t>
      </w:r>
    </w:p>
    <w:p>
      <w:pPr>
        <w:pStyle w:val="TextBody"/>
        <w:bidi w:val="0"/>
        <w:spacing w:before="240" w:after="0"/>
        <w:jc w:val="both"/>
        <w:rPr>
          <w:rFonts w:ascii="arial" w:hAnsi="arial"/>
          <w:sz w:val="18"/>
        </w:rPr>
      </w:pPr>
      <w:r>
        <w:rPr>
          <w:rFonts w:ascii="arial" w:hAnsi="arial"/>
          <w:b/>
          <w:i/>
          <w:sz w:val="18"/>
        </w:rPr>
        <w:t xml:space="preserve">Termination due to Death or Disability Absent a Change in Control. </w:t>
      </w:r>
      <w:r>
        <w:rPr>
          <w:rFonts w:ascii="arial" w:hAnsi="arial"/>
          <w:sz w:val="18"/>
        </w:rPr>
        <w:t xml:space="preserve">If Mr. Roman’s employment was terminated on December 31, 2023 due to death or disability, he would have been entitled to full vesting of his unvested equity awards (with any PRSUs vesting based on target performance). The estimated values of such equity vesting, assuming a December 31, 2023 termination, would have been $4,039,634. Mr. Roman is not entitled to cash severance payments in connection with a termination of employment due to death or disability.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53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b/>
          <w:i/>
          <w:sz w:val="18"/>
        </w:rPr>
        <w:t xml:space="preserve">Termination in Connection with a Change in Control. </w:t>
      </w:r>
      <w:r>
        <w:rPr>
          <w:rFonts w:ascii="arial" w:hAnsi="arial"/>
          <w:sz w:val="18"/>
        </w:rPr>
        <w:t xml:space="preserve">If Mr. Roman incurred a CIC Termination on December 31, 2023, he would have been entitled to a payment equal to two times the sum of his base salary and his target annual bonus in effect at the time of such termination, payable in equal installments, twenty-four (24) months of continued health and other benefits, and full vesting of his unvested equity awards with any PRSUs vesting based on target performance. The estimated values of such payments and benefits, assuming a December 31, 2023 CIC Termination, would have been $3,290,411, in respect of cash severance and other benefits and $4,039,634, in respect of the vesting of his equity awards. </w:t>
      </w:r>
    </w:p>
    <w:p>
      <w:pPr>
        <w:pStyle w:val="TextBody"/>
        <w:bidi w:val="0"/>
        <w:spacing w:before="240" w:after="0"/>
        <w:jc w:val="left"/>
        <w:rPr>
          <w:rFonts w:ascii="arial" w:hAnsi="arial"/>
          <w:color w:val="732282"/>
          <w:sz w:val="20"/>
        </w:rPr>
      </w:pPr>
      <w:r>
        <w:rPr>
          <w:rFonts w:ascii="arial" w:hAnsi="arial"/>
          <w:color w:val="732282"/>
          <w:sz w:val="20"/>
        </w:rPr>
        <w:t xml:space="preserve">Michael Goettler </w:t>
      </w:r>
    </w:p>
    <w:p>
      <w:pPr>
        <w:pStyle w:val="TextBody"/>
        <w:bidi w:val="0"/>
        <w:spacing w:before="120" w:after="0"/>
        <w:jc w:val="both"/>
        <w:rPr>
          <w:rFonts w:ascii="arial" w:hAnsi="arial"/>
          <w:sz w:val="18"/>
        </w:rPr>
      </w:pPr>
      <w:r>
        <w:rPr>
          <w:rFonts w:ascii="arial" w:hAnsi="arial"/>
          <w:sz w:val="18"/>
        </w:rPr>
        <w:t xml:space="preserve">As described above in “Leadership Transitions – Other Executive Transitions” on page 29, on February 24, 2023, Mr. Goettler entered into a separation agreement with Viatris pursuant to which he ceased to serve as CEO and on the Board, in each case, effective as of April 1, 2023. Mr. Goettler’s separation agreement provided for separation benefits payable in accordance with the terms of his previously disclosed letter agreement with Viatris, including a cash payment equal to $8,125,000 payable in the form of installments over a period of two and a half (2.5) years, a prorated annual bonus for 2023 in the amount of $886,326, and thirty-six (36) months of continued health and other benefits (the cost of which is approximately $1,150 per month). Mr. Goettler is also eligible for reimbursement of reasonable relocation-related expenses. </w:t>
      </w:r>
    </w:p>
    <w:p>
      <w:pPr>
        <w:pStyle w:val="TextBody"/>
        <w:bidi w:val="0"/>
        <w:spacing w:before="240" w:after="0"/>
        <w:jc w:val="left"/>
        <w:rPr>
          <w:rFonts w:ascii="arial" w:hAnsi="arial"/>
          <w:color w:val="732282"/>
          <w:sz w:val="20"/>
        </w:rPr>
      </w:pPr>
      <w:r>
        <w:rPr>
          <w:rFonts w:ascii="arial" w:hAnsi="arial"/>
          <w:color w:val="732282"/>
          <w:sz w:val="20"/>
        </w:rPr>
        <w:t xml:space="preserve">Robert J. Coury </w:t>
      </w:r>
    </w:p>
    <w:p>
      <w:pPr>
        <w:pStyle w:val="TextBody"/>
        <w:bidi w:val="0"/>
        <w:spacing w:before="120" w:after="0"/>
        <w:jc w:val="both"/>
        <w:rPr>
          <w:rFonts w:ascii="arial" w:hAnsi="arial"/>
          <w:sz w:val="18"/>
        </w:rPr>
      </w:pPr>
      <w:r>
        <w:rPr>
          <w:rFonts w:ascii="arial" w:hAnsi="arial"/>
          <w:sz w:val="18"/>
        </w:rPr>
        <w:t xml:space="preserve">As described above in “Leadership Transitions – Executive Chairman Transition” on page 28, in 2023, the Board approached Mr. Coury, and Mr. Coury agreed, to transition to a new role as Chairman Emeritus and Senior Strategic Advisor from the conclusion of the 2023 Annual Meeting through the end of 2025 (the same period that Mr. Coury previously committed to the Company under his Executive Employment Agreement when Viatris was created). In connection with this transition, Mr. Coury was treated as separating from employment for “good reason” for severance benefit purposes (as defined in, and pursuant to, his Executive Employment Agreement). Mr. Coury will receive a lump sum cash payment of $21,286,170 and has received, a prorated annual bonus for 2023 in the amount of $5,098,811, continued exercisability of all vested stock options through the full term of such stock option, full vesting of all other unvested equity-based awards, with any PRSUs vesting based on target performance, in the amount of $47,249,454, and thirty-six (36) months of continued health and other benefits (the cost of which is approximately $2,283 per month), after which Mr. Coury is entitled to participate in the Company’s Supplemental Health Insurance Plan for certain retired executives. </w:t>
      </w:r>
    </w:p>
    <w:p>
      <w:pPr>
        <w:pStyle w:val="TextBody"/>
        <w:bidi w:val="0"/>
        <w:spacing w:before="240" w:after="0"/>
        <w:jc w:val="both"/>
        <w:rPr>
          <w:rFonts w:ascii="arial" w:hAnsi="arial"/>
          <w:sz w:val="18"/>
        </w:rPr>
      </w:pPr>
      <w:r>
        <w:rPr>
          <w:rFonts w:ascii="arial" w:hAnsi="arial"/>
          <w:sz w:val="18"/>
        </w:rPr>
        <w:t xml:space="preserve">The Company will also honor the existing compensation rights set forth in Mr. Coury’s Executive Employment Agreement for 2024 and 2025 through an annual advisory fee of $15 million, paid in monthly installments. Amounts paid to Mr. Coury were required pursuant to his existing employment agreement upon a resignation for “good reason” and the consulting payments represent the Company honoring the economic entitlements of that agreement through its scheduled duration. The Board believes and anticipates that the value of the compensation is commensurate with the value and benefits to be received by the Company from Mr. Coury’s agreement. To the extent Mr. Coury’s agreement is terminated by Mr. Coury upon a resignation for good reason or by the Company without cause or due to Mr. Coury’s death or disability, any unpaid portion of the annual consulting fee for the remainder of the consulting period will become payable in full.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54 </w:t>
      </w:r>
      <w:r>
        <w:br w:type="page"/>
      </w:r>
    </w:p>
    <w:p>
      <w:pPr>
        <w:pStyle w:val="HorizontalLine"/>
        <w:bidi w:val="0"/>
        <w:jc w:val="left"/>
        <w:rPr/>
      </w:pPr>
      <w:r>
        <w:rPr/>
      </w:r>
    </w:p>
    <w:p>
      <w:pPr>
        <w:pStyle w:val="TextBody"/>
        <w:bidi w:val="0"/>
        <w:spacing w:before="0" w:after="0"/>
        <w:jc w:val="left"/>
        <w:rPr>
          <w:rFonts w:ascii="arial" w:hAnsi="arial"/>
          <w:b/>
          <w:color w:val="732282"/>
          <w:sz w:val="24"/>
        </w:rPr>
      </w:pPr>
      <w:r>
        <w:rPr>
          <w:rFonts w:ascii="arial" w:hAnsi="arial"/>
          <w:b/>
          <w:color w:val="732282"/>
          <w:sz w:val="24"/>
        </w:rPr>
        <w:t xml:space="preserve">CEO Pay Ratio </w:t>
      </w:r>
    </w:p>
    <w:p>
      <w:pPr>
        <w:pStyle w:val="TextBody"/>
        <w:bidi w:val="0"/>
        <w:spacing w:before="240" w:after="0"/>
        <w:jc w:val="both"/>
        <w:rPr>
          <w:rFonts w:ascii="arial" w:hAnsi="arial"/>
          <w:sz w:val="18"/>
        </w:rPr>
      </w:pPr>
      <w:r>
        <w:rPr>
          <w:rFonts w:ascii="arial" w:hAnsi="arial"/>
          <w:sz w:val="18"/>
        </w:rPr>
        <w:t xml:space="preserve">Pursuant to Item 402(u) of Regulation S-K, we are providing the following information about the relationship of the annual total compensation of our global employee population and the annual total compensation of our CEO, Scott A. Smith, for 2023. The pay ratio included in this information is a reasonable estimate calculated in a manner consistent with Regulation S-K Item 402(u). </w:t>
      </w:r>
    </w:p>
    <w:p>
      <w:pPr>
        <w:pStyle w:val="TextBody"/>
        <w:bidi w:val="0"/>
        <w:spacing w:before="240" w:after="0"/>
        <w:jc w:val="both"/>
        <w:rPr>
          <w:rFonts w:ascii="arial" w:hAnsi="arial"/>
          <w:sz w:val="18"/>
        </w:rPr>
      </w:pPr>
      <w:r>
        <w:rPr>
          <w:rFonts w:ascii="arial" w:hAnsi="arial"/>
          <w:sz w:val="18"/>
        </w:rPr>
        <w:t xml:space="preserve">Further to this requirement, under Instruction 2 to Item 402(u), the median-paid employee may be identified once every three years if there is no impact to the pay ratio disclosure. As there were no changes in our employee population (other than the addition of 254 and 3 employees in connection with the completion of the acquisitions of Oyster Point and Famy Life Sciences, respectively, who have been excluded from the employee population for purposes of the pay ratio disclosure as permitted under Instruction 7 to Item 402(u)) or to the median-paid employee’s compensation arrangements in 2023 that would affect the pay ratio disclosure, the employee representing the median-paid employee is the same employee selected for the Company’s 2023 proxy statement. We collected the 2023 annual total compensation for the median employee using the same methodology we use for our NEOs as disclosed in the Summary Compensation Table on page 43. </w:t>
      </w:r>
    </w:p>
    <w:p>
      <w:pPr>
        <w:pStyle w:val="TextBody"/>
        <w:bidi w:val="0"/>
        <w:spacing w:before="240" w:after="0"/>
        <w:jc w:val="both"/>
        <w:rPr>
          <w:rFonts w:ascii="arial" w:hAnsi="arial"/>
          <w:sz w:val="18"/>
        </w:rPr>
      </w:pPr>
      <w:r>
        <w:rPr>
          <w:rFonts w:ascii="arial" w:hAnsi="arial"/>
          <w:sz w:val="18"/>
        </w:rPr>
        <w:t xml:space="preserve">Total annual compensation for the median employee was $36,903 and is calculated according to the disclosure requirements of Item 402(u) of Regulation S-K under the Exchange Act and includes base salary, annual incentive, equity awards, change in pension values and other compensation such as perquisites and medical benefits. </w:t>
      </w:r>
    </w:p>
    <w:p>
      <w:pPr>
        <w:pStyle w:val="TextBody"/>
        <w:bidi w:val="0"/>
        <w:spacing w:before="240" w:after="0"/>
        <w:jc w:val="both"/>
        <w:rPr>
          <w:rFonts w:ascii="arial" w:hAnsi="arial"/>
          <w:sz w:val="18"/>
        </w:rPr>
      </w:pPr>
      <w:r>
        <w:rPr>
          <w:rFonts w:ascii="arial" w:hAnsi="arial"/>
          <w:sz w:val="18"/>
        </w:rPr>
        <w:t xml:space="preserve">Given that Mr. Smith was appointed CEO, effective as of April 1, 2023, the total annual compensation solely for purposes of the pay ratio disclosure was $17,316,131, which consists of the “Total” column for the Summary Compensation Table, subject to the following adjustments: (i) annualizing “Salary”, “Non-Equity Incentive Plan Compensation” and recurring “All Other Compensation”; (ii) not annualizing “Stock Awards” or non-recurring “All Other Compensation”; and (iii) excluding compensation earned in respect of services prior to Mr. Smith’s appointment as CEO ($37,500). As a result, the ratio of median employee total annual compensation to CEO total annual compensation was 469 to 1. </w:t>
      </w:r>
    </w:p>
    <w:p>
      <w:pPr>
        <w:pStyle w:val="TextBody"/>
        <w:bidi w:val="0"/>
        <w:spacing w:before="240" w:after="0"/>
        <w:jc w:val="both"/>
        <w:rPr>
          <w:rFonts w:ascii="arial" w:hAnsi="arial"/>
          <w:sz w:val="18"/>
        </w:rPr>
      </w:pPr>
      <w:r>
        <w:rPr>
          <w:rFonts w:ascii="arial" w:hAnsi="arial"/>
          <w:sz w:val="18"/>
        </w:rPr>
        <w:t xml:space="preserve">Our median employee is located in India, which reflects the true global nature of our organization and the fact that we are a diversified company within our peer group whose employees participate in all aspects of bringing our products to market, from R&amp;D to manufacturing. This diversification should be considered by readers who would compare our CEO Pay Ratio to those within our peer or industry group and reflects differences in pay demographics among those groups. Pay ratios may not be comparable because of different employee populations, geographic distribution of employees, and compensation practices and companies may utilize different methodologies, exclusions, estimates, and assumptions in calculating their own pay ratios. </w:t>
      </w:r>
    </w:p>
    <w:p>
      <w:pPr>
        <w:pStyle w:val="TextBody"/>
        <w:bidi w:val="0"/>
        <w:spacing w:before="0" w:after="0"/>
        <w:jc w:val="left"/>
        <w:rPr/>
      </w:pPr>
      <w:r>
        <w:rPr/>
        <w:t> </w:t>
      </w:r>
    </w:p>
    <w:p>
      <w:pPr>
        <w:pStyle w:val="TextBody"/>
        <w:pBdr>
          <w:bottom w:val="single" w:sz="2" w:space="1" w:color="732282"/>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55 </w:t>
      </w:r>
      <w:r>
        <w:br w:type="page"/>
      </w:r>
    </w:p>
    <w:p>
      <w:pPr>
        <w:pStyle w:val="HorizontalLine"/>
        <w:bidi w:val="0"/>
        <w:jc w:val="left"/>
        <w:rPr/>
      </w:pPr>
      <w:r>
        <w:rPr/>
      </w:r>
    </w:p>
    <w:p>
      <w:pPr>
        <w:pStyle w:val="TextBody"/>
        <w:bidi w:val="0"/>
        <w:spacing w:before="0" w:after="0"/>
        <w:jc w:val="left"/>
        <w:rPr>
          <w:rFonts w:ascii="ARIAL" w:hAnsi="ARIAL"/>
          <w:b/>
          <w:sz w:val="20"/>
        </w:rPr>
      </w:pPr>
      <w:r>
        <w:rPr>
          <w:rFonts w:ascii="ARIAL" w:hAnsi="ARIAL"/>
          <w:b/>
          <w:sz w:val="20"/>
        </w:rPr>
        <w:t xml:space="preserve">Non-Employee Director Compensation for 2023 </w:t>
      </w:r>
    </w:p>
    <w:p>
      <w:pPr>
        <w:pStyle w:val="TextBody"/>
        <w:bidi w:val="0"/>
        <w:spacing w:before="120" w:after="0"/>
        <w:jc w:val="both"/>
        <w:rPr>
          <w:rFonts w:ascii="arial" w:hAnsi="arial"/>
          <w:sz w:val="18"/>
        </w:rPr>
      </w:pPr>
      <w:r>
        <w:rPr>
          <w:rFonts w:ascii="arial" w:hAnsi="arial"/>
          <w:sz w:val="18"/>
        </w:rPr>
        <w:t xml:space="preserve">The following table sets forth information concerning the compensation earned by Viatris’ non-employee directors (each a “Non-Employee Director” and, together, the “Non-Employee Directors”) for 2023. Directors who are or were concurrently employees of Viatris (Messrs. Coury, Smith, Goettler and Malik) receive no compensation for their concurrent Board service. A discussion of the elements of Non-Employee Director compensation follows the table. </w:t>
      </w:r>
    </w:p>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2705"/>
        <w:gridCol w:w="120"/>
        <w:gridCol w:w="146"/>
        <w:gridCol w:w="1959"/>
        <w:gridCol w:w="60"/>
        <w:gridCol w:w="120"/>
        <w:gridCol w:w="60"/>
        <w:gridCol w:w="800"/>
        <w:gridCol w:w="60"/>
        <w:gridCol w:w="120"/>
        <w:gridCol w:w="120"/>
        <w:gridCol w:w="1370"/>
        <w:gridCol w:w="60"/>
        <w:gridCol w:w="120"/>
        <w:gridCol w:w="60"/>
        <w:gridCol w:w="800"/>
        <w:gridCol w:w="75"/>
      </w:tblGrid>
      <w:tr>
        <w:trPr/>
        <w:tc>
          <w:tcPr>
            <w:tcW w:w="2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05" w:type="dxa"/>
            <w:tcBorders>
              <w:bottom w:val="single" w:sz="8" w:space="0" w:color="732282"/>
            </w:tcBorders>
            <w:tcMar>
              <w:bottom w:w="28" w:type="dxa"/>
            </w:tcMar>
            <w:vAlign w:val="center"/>
          </w:tcPr>
          <w:p>
            <w:pPr>
              <w:pStyle w:val="TableContents"/>
              <w:bidi w:val="0"/>
              <w:spacing w:before="0" w:after="0"/>
              <w:jc w:val="left"/>
              <w:rPr>
                <w:rFonts w:ascii="ARIAL" w:hAnsi="ARIAL"/>
                <w:b/>
                <w:color w:val="732282"/>
                <w:sz w:val="18"/>
              </w:rPr>
            </w:pPr>
            <w:r>
              <w:rPr>
                <w:rFonts w:ascii="ARIAL" w:hAnsi="ARIAL"/>
                <w:b/>
                <w:color w:val="732282"/>
                <w:sz w:val="18"/>
              </w:rPr>
              <w:t>Name</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2105" w:type="dxa"/>
            <w:gridSpan w:val="2"/>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Fees Earned or Paid</w:t>
              <w:br/>
              <w:t>in Cash</w:t>
              <w:br/>
              <w:t>($)</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RSUs</w:t>
              <w:br/>
              <w:t>($)(3)</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490" w:type="dxa"/>
            <w:gridSpan w:val="2"/>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All Other</w:t>
              <w:br/>
              <w:t>Compensation</w:t>
              <w:br/>
              <w:t>($)(4)</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Total</w:t>
              <w:br/>
              <w:t>($)</w:t>
            </w:r>
          </w:p>
        </w:tc>
        <w:tc>
          <w:tcPr>
            <w:tcW w:w="75" w:type="dxa"/>
            <w:tcBorders>
              <w:bottom w:val="single" w:sz="8" w:space="0" w:color="732282"/>
            </w:tcBorders>
            <w:tcMar>
              <w:bottom w:w="28" w:type="dxa"/>
            </w:tcMar>
            <w:vAlign w:val="center"/>
          </w:tcPr>
          <w:p>
            <w:pPr>
              <w:pStyle w:val="TableContents"/>
              <w:bidi w:val="0"/>
              <w:spacing w:before="0" w:after="283"/>
              <w:jc w:val="left"/>
              <w:rPr/>
            </w:pPr>
            <w:r>
              <w:rPr/>
              <w:t> </w:t>
            </w:r>
          </w:p>
        </w:tc>
      </w:tr>
      <w:tr>
        <w:trPr/>
        <w:tc>
          <w:tcPr>
            <w:tcW w:w="2705" w:type="dxa"/>
            <w:tcBorders/>
            <w:shd w:fill="E5E5E5" w:val="clear"/>
            <w:vAlign w:val="center"/>
          </w:tcPr>
          <w:p>
            <w:pPr>
              <w:pStyle w:val="TableContents"/>
              <w:bidi w:val="0"/>
              <w:spacing w:before="0" w:after="283"/>
              <w:jc w:val="left"/>
              <w:rPr>
                <w:sz w:val="4"/>
                <w:szCs w:val="4"/>
              </w:rPr>
            </w:pPr>
            <w:r>
              <w:rPr>
                <w:sz w:val="4"/>
                <w:szCs w:val="4"/>
              </w:rPr>
            </w:r>
          </w:p>
        </w:tc>
        <w:tc>
          <w:tcPr>
            <w:tcW w:w="2285" w:type="dxa"/>
            <w:gridSpan w:val="4"/>
            <w:tcBorders/>
            <w:shd w:fill="E5E5E5" w:val="clear"/>
            <w:vAlign w:val="center"/>
          </w:tcPr>
          <w:p>
            <w:pPr>
              <w:pStyle w:val="TableContents"/>
              <w:bidi w:val="0"/>
              <w:spacing w:before="0" w:after="283"/>
              <w:jc w:val="left"/>
              <w:rPr>
                <w:sz w:val="4"/>
                <w:szCs w:val="4"/>
              </w:rPr>
            </w:pPr>
            <w:r>
              <w:rPr>
                <w:sz w:val="4"/>
                <w:szCs w:val="4"/>
              </w:rPr>
            </w:r>
          </w:p>
        </w:tc>
        <w:tc>
          <w:tcPr>
            <w:tcW w:w="1040" w:type="dxa"/>
            <w:gridSpan w:val="4"/>
            <w:tcBorders/>
            <w:shd w:fill="E5E5E5" w:val="clear"/>
            <w:vAlign w:val="center"/>
          </w:tcPr>
          <w:p>
            <w:pPr>
              <w:pStyle w:val="TableContents"/>
              <w:bidi w:val="0"/>
              <w:spacing w:before="0" w:after="283"/>
              <w:jc w:val="left"/>
              <w:rPr>
                <w:sz w:val="4"/>
                <w:szCs w:val="4"/>
              </w:rPr>
            </w:pPr>
            <w:r>
              <w:rPr>
                <w:sz w:val="4"/>
                <w:szCs w:val="4"/>
              </w:rPr>
            </w:r>
          </w:p>
        </w:tc>
        <w:tc>
          <w:tcPr>
            <w:tcW w:w="1670" w:type="dxa"/>
            <w:gridSpan w:val="4"/>
            <w:tcBorders/>
            <w:shd w:fill="E5E5E5" w:val="clear"/>
            <w:vAlign w:val="center"/>
          </w:tcPr>
          <w:p>
            <w:pPr>
              <w:pStyle w:val="TableContents"/>
              <w:bidi w:val="0"/>
              <w:spacing w:before="0" w:after="283"/>
              <w:jc w:val="left"/>
              <w:rPr>
                <w:sz w:val="4"/>
                <w:szCs w:val="4"/>
              </w:rPr>
            </w:pPr>
            <w:r>
              <w:rPr>
                <w:sz w:val="4"/>
                <w:szCs w:val="4"/>
              </w:rPr>
            </w:r>
          </w:p>
        </w:tc>
        <w:tc>
          <w:tcPr>
            <w:tcW w:w="105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2705" w:type="dxa"/>
            <w:tcBorders/>
            <w:shd w:fill="E5E5E5" w:val="clear"/>
            <w:vAlign w:val="center"/>
          </w:tcPr>
          <w:p>
            <w:pPr>
              <w:pStyle w:val="TableContents"/>
              <w:bidi w:val="0"/>
              <w:spacing w:before="0" w:after="0"/>
              <w:jc w:val="left"/>
              <w:rPr>
                <w:rFonts w:ascii="ARIAL" w:hAnsi="ARIAL"/>
                <w:sz w:val="18"/>
              </w:rPr>
            </w:pPr>
            <w:r>
              <w:rPr>
                <w:rFonts w:ascii="ARIAL" w:hAnsi="ARIAL"/>
                <w:sz w:val="18"/>
              </w:rPr>
              <w:t>W. Don Cornwell</w:t>
            </w:r>
          </w:p>
        </w:tc>
        <w:tc>
          <w:tcPr>
            <w:tcW w:w="120"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959" w:type="dxa"/>
            <w:tcBorders/>
            <w:shd w:fill="E5E5E5" w:val="clear"/>
            <w:vAlign w:val="center"/>
          </w:tcPr>
          <w:p>
            <w:pPr>
              <w:pStyle w:val="TableContents"/>
              <w:bidi w:val="0"/>
              <w:spacing w:before="0" w:after="283"/>
              <w:jc w:val="right"/>
              <w:rPr/>
            </w:pPr>
            <w:r>
              <w:rPr/>
              <w:t>150,000  </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200,006</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1370" w:type="dxa"/>
            <w:tcBorders/>
            <w:shd w:fill="E5E5E5" w:val="clear"/>
            <w:vAlign w:val="center"/>
          </w:tcPr>
          <w:p>
            <w:pPr>
              <w:pStyle w:val="TableContents"/>
              <w:bidi w:val="0"/>
              <w:spacing w:before="0" w:after="283"/>
              <w:jc w:val="right"/>
              <w:rPr/>
            </w:pPr>
            <w:r>
              <w:rPr/>
              <w:t>20,000  </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370,006</w:t>
            </w:r>
          </w:p>
        </w:tc>
        <w:tc>
          <w:tcPr>
            <w:tcW w:w="75" w:type="dxa"/>
            <w:tcBorders/>
            <w:shd w:fill="E5E5E5"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228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before="0" w:after="0"/>
              <w:jc w:val="left"/>
              <w:rPr>
                <w:rFonts w:ascii="ARIAL" w:hAnsi="ARIAL"/>
                <w:sz w:val="18"/>
              </w:rPr>
            </w:pPr>
            <w:r>
              <w:rPr>
                <w:rFonts w:ascii="ARIAL" w:hAnsi="ARIAL"/>
                <w:sz w:val="18"/>
              </w:rPr>
              <w:t>JoEllen Lyons Dillon</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right"/>
              <w:rPr/>
            </w:pPr>
            <w:r>
              <w:rPr/>
              <w:t>200,000  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200,006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400,006</w:t>
            </w:r>
          </w:p>
        </w:tc>
        <w:tc>
          <w:tcPr>
            <w:tcW w:w="75" w:type="dxa"/>
            <w:tcBorders/>
            <w:vAlign w:val="center"/>
          </w:tcPr>
          <w:p>
            <w:pPr>
              <w:pStyle w:val="TableContents"/>
              <w:bidi w:val="0"/>
              <w:spacing w:before="0" w:after="283"/>
              <w:jc w:val="left"/>
              <w:rPr/>
            </w:pPr>
            <w:r>
              <w:rPr/>
              <w:t> </w:t>
            </w:r>
          </w:p>
        </w:tc>
      </w:tr>
      <w:tr>
        <w:trPr/>
        <w:tc>
          <w:tcPr>
            <w:tcW w:w="2705" w:type="dxa"/>
            <w:tcBorders/>
            <w:shd w:fill="E5E5E5" w:val="clear"/>
            <w:vAlign w:val="center"/>
          </w:tcPr>
          <w:p>
            <w:pPr>
              <w:pStyle w:val="TableContents"/>
              <w:bidi w:val="0"/>
              <w:spacing w:before="0" w:after="283"/>
              <w:jc w:val="left"/>
              <w:rPr>
                <w:sz w:val="4"/>
                <w:szCs w:val="4"/>
              </w:rPr>
            </w:pPr>
            <w:r>
              <w:rPr>
                <w:sz w:val="4"/>
                <w:szCs w:val="4"/>
              </w:rPr>
            </w:r>
          </w:p>
        </w:tc>
        <w:tc>
          <w:tcPr>
            <w:tcW w:w="2285" w:type="dxa"/>
            <w:gridSpan w:val="4"/>
            <w:tcBorders/>
            <w:shd w:fill="E5E5E5" w:val="clear"/>
            <w:vAlign w:val="center"/>
          </w:tcPr>
          <w:p>
            <w:pPr>
              <w:pStyle w:val="TableContents"/>
              <w:bidi w:val="0"/>
              <w:spacing w:before="0" w:after="283"/>
              <w:jc w:val="left"/>
              <w:rPr>
                <w:sz w:val="4"/>
                <w:szCs w:val="4"/>
              </w:rPr>
            </w:pPr>
            <w:r>
              <w:rPr>
                <w:sz w:val="4"/>
                <w:szCs w:val="4"/>
              </w:rPr>
            </w:r>
          </w:p>
        </w:tc>
        <w:tc>
          <w:tcPr>
            <w:tcW w:w="1040" w:type="dxa"/>
            <w:gridSpan w:val="4"/>
            <w:tcBorders/>
            <w:shd w:fill="E5E5E5" w:val="clear"/>
            <w:vAlign w:val="center"/>
          </w:tcPr>
          <w:p>
            <w:pPr>
              <w:pStyle w:val="TableContents"/>
              <w:bidi w:val="0"/>
              <w:spacing w:before="0" w:after="283"/>
              <w:jc w:val="left"/>
              <w:rPr>
                <w:sz w:val="4"/>
                <w:szCs w:val="4"/>
              </w:rPr>
            </w:pPr>
            <w:r>
              <w:rPr>
                <w:sz w:val="4"/>
                <w:szCs w:val="4"/>
              </w:rPr>
            </w:r>
          </w:p>
        </w:tc>
        <w:tc>
          <w:tcPr>
            <w:tcW w:w="1670" w:type="dxa"/>
            <w:gridSpan w:val="4"/>
            <w:tcBorders/>
            <w:shd w:fill="E5E5E5" w:val="clear"/>
            <w:vAlign w:val="center"/>
          </w:tcPr>
          <w:p>
            <w:pPr>
              <w:pStyle w:val="TableContents"/>
              <w:bidi w:val="0"/>
              <w:spacing w:before="0" w:after="283"/>
              <w:jc w:val="left"/>
              <w:rPr>
                <w:sz w:val="4"/>
                <w:szCs w:val="4"/>
              </w:rPr>
            </w:pPr>
            <w:r>
              <w:rPr>
                <w:sz w:val="4"/>
                <w:szCs w:val="4"/>
              </w:rPr>
            </w:r>
          </w:p>
        </w:tc>
        <w:tc>
          <w:tcPr>
            <w:tcW w:w="105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2705" w:type="dxa"/>
            <w:tcBorders/>
            <w:shd w:fill="E5E5E5" w:val="clear"/>
            <w:vAlign w:val="center"/>
          </w:tcPr>
          <w:p>
            <w:pPr>
              <w:pStyle w:val="TableContents"/>
              <w:bidi w:val="0"/>
              <w:spacing w:before="0" w:after="0"/>
              <w:jc w:val="left"/>
              <w:rPr>
                <w:rFonts w:ascii="ARIAL" w:hAnsi="ARIAL"/>
                <w:sz w:val="18"/>
              </w:rPr>
            </w:pPr>
            <w:r>
              <w:rPr>
                <w:rFonts w:ascii="ARIAL" w:hAnsi="ARIAL"/>
                <w:sz w:val="18"/>
              </w:rPr>
              <w:t>Elisha Finney</w:t>
            </w:r>
          </w:p>
        </w:tc>
        <w:tc>
          <w:tcPr>
            <w:tcW w:w="120"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959" w:type="dxa"/>
            <w:tcBorders/>
            <w:shd w:fill="E5E5E5" w:val="clear"/>
            <w:vAlign w:val="center"/>
          </w:tcPr>
          <w:p>
            <w:pPr>
              <w:pStyle w:val="TableContents"/>
              <w:bidi w:val="0"/>
              <w:spacing w:before="0" w:after="283"/>
              <w:jc w:val="right"/>
              <w:rPr/>
            </w:pPr>
            <w:r>
              <w:rPr/>
              <w:t>150,000  </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200,006</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1370" w:type="dxa"/>
            <w:tcBorders/>
            <w:shd w:fill="E5E5E5" w:val="clear"/>
            <w:vAlign w:val="center"/>
          </w:tcPr>
          <w:p>
            <w:pPr>
              <w:pStyle w:val="TableContents"/>
              <w:bidi w:val="0"/>
              <w:spacing w:before="0" w:after="283"/>
              <w:jc w:val="right"/>
              <w:rPr/>
            </w:pPr>
            <w:r>
              <w:rPr/>
              <w:t>20,000  </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370,006</w:t>
            </w:r>
          </w:p>
        </w:tc>
        <w:tc>
          <w:tcPr>
            <w:tcW w:w="75" w:type="dxa"/>
            <w:tcBorders/>
            <w:shd w:fill="E5E5E5"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228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before="0" w:after="0"/>
              <w:jc w:val="left"/>
              <w:rPr>
                <w:rFonts w:ascii="ARIAL" w:hAnsi="ARIAL"/>
                <w:sz w:val="18"/>
              </w:rPr>
            </w:pPr>
            <w:r>
              <w:rPr>
                <w:rFonts w:ascii="ARIAL" w:hAnsi="ARIAL"/>
                <w:sz w:val="18"/>
              </w:rPr>
              <w:t>Leo Groothuis(1)</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right"/>
              <w:rPr/>
            </w:pPr>
            <w:r>
              <w:rPr/>
              <w:t>113,542  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200,001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313,543</w:t>
            </w:r>
          </w:p>
        </w:tc>
        <w:tc>
          <w:tcPr>
            <w:tcW w:w="75" w:type="dxa"/>
            <w:tcBorders/>
            <w:vAlign w:val="center"/>
          </w:tcPr>
          <w:p>
            <w:pPr>
              <w:pStyle w:val="TableContents"/>
              <w:bidi w:val="0"/>
              <w:spacing w:before="0" w:after="283"/>
              <w:jc w:val="left"/>
              <w:rPr/>
            </w:pPr>
            <w:r>
              <w:rPr/>
              <w:t> </w:t>
            </w:r>
          </w:p>
        </w:tc>
      </w:tr>
      <w:tr>
        <w:trPr/>
        <w:tc>
          <w:tcPr>
            <w:tcW w:w="2705" w:type="dxa"/>
            <w:tcBorders/>
            <w:shd w:fill="E5E5E5" w:val="clear"/>
            <w:vAlign w:val="center"/>
          </w:tcPr>
          <w:p>
            <w:pPr>
              <w:pStyle w:val="TableContents"/>
              <w:bidi w:val="0"/>
              <w:spacing w:before="0" w:after="283"/>
              <w:jc w:val="left"/>
              <w:rPr>
                <w:sz w:val="4"/>
                <w:szCs w:val="4"/>
              </w:rPr>
            </w:pPr>
            <w:r>
              <w:rPr>
                <w:sz w:val="4"/>
                <w:szCs w:val="4"/>
              </w:rPr>
            </w:r>
          </w:p>
        </w:tc>
        <w:tc>
          <w:tcPr>
            <w:tcW w:w="2285" w:type="dxa"/>
            <w:gridSpan w:val="4"/>
            <w:tcBorders/>
            <w:shd w:fill="E5E5E5" w:val="clear"/>
            <w:vAlign w:val="center"/>
          </w:tcPr>
          <w:p>
            <w:pPr>
              <w:pStyle w:val="TableContents"/>
              <w:bidi w:val="0"/>
              <w:spacing w:before="0" w:after="283"/>
              <w:jc w:val="left"/>
              <w:rPr>
                <w:sz w:val="4"/>
                <w:szCs w:val="4"/>
              </w:rPr>
            </w:pPr>
            <w:r>
              <w:rPr>
                <w:sz w:val="4"/>
                <w:szCs w:val="4"/>
              </w:rPr>
            </w:r>
          </w:p>
        </w:tc>
        <w:tc>
          <w:tcPr>
            <w:tcW w:w="1040" w:type="dxa"/>
            <w:gridSpan w:val="4"/>
            <w:tcBorders/>
            <w:shd w:fill="E5E5E5" w:val="clear"/>
            <w:vAlign w:val="center"/>
          </w:tcPr>
          <w:p>
            <w:pPr>
              <w:pStyle w:val="TableContents"/>
              <w:bidi w:val="0"/>
              <w:spacing w:before="0" w:after="283"/>
              <w:jc w:val="left"/>
              <w:rPr>
                <w:sz w:val="4"/>
                <w:szCs w:val="4"/>
              </w:rPr>
            </w:pPr>
            <w:r>
              <w:rPr>
                <w:sz w:val="4"/>
                <w:szCs w:val="4"/>
              </w:rPr>
            </w:r>
          </w:p>
        </w:tc>
        <w:tc>
          <w:tcPr>
            <w:tcW w:w="1670" w:type="dxa"/>
            <w:gridSpan w:val="4"/>
            <w:tcBorders/>
            <w:shd w:fill="E5E5E5" w:val="clear"/>
            <w:vAlign w:val="center"/>
          </w:tcPr>
          <w:p>
            <w:pPr>
              <w:pStyle w:val="TableContents"/>
              <w:bidi w:val="0"/>
              <w:spacing w:before="0" w:after="283"/>
              <w:jc w:val="left"/>
              <w:rPr>
                <w:sz w:val="4"/>
                <w:szCs w:val="4"/>
              </w:rPr>
            </w:pPr>
            <w:r>
              <w:rPr>
                <w:sz w:val="4"/>
                <w:szCs w:val="4"/>
              </w:rPr>
            </w:r>
          </w:p>
        </w:tc>
        <w:tc>
          <w:tcPr>
            <w:tcW w:w="105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2705" w:type="dxa"/>
            <w:tcBorders/>
            <w:shd w:fill="E5E5E5" w:val="clear"/>
            <w:vAlign w:val="center"/>
          </w:tcPr>
          <w:p>
            <w:pPr>
              <w:pStyle w:val="TableContents"/>
              <w:bidi w:val="0"/>
              <w:spacing w:before="0" w:after="0"/>
              <w:jc w:val="left"/>
              <w:rPr>
                <w:rFonts w:ascii="ARIAL" w:hAnsi="ARIAL"/>
                <w:sz w:val="18"/>
              </w:rPr>
            </w:pPr>
            <w:r>
              <w:rPr>
                <w:rFonts w:ascii="ARIAL" w:hAnsi="ARIAL"/>
                <w:sz w:val="18"/>
              </w:rPr>
              <w:t>Melina Higgins</w:t>
            </w:r>
          </w:p>
        </w:tc>
        <w:tc>
          <w:tcPr>
            <w:tcW w:w="120"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959" w:type="dxa"/>
            <w:tcBorders/>
            <w:shd w:fill="E5E5E5" w:val="clear"/>
            <w:vAlign w:val="center"/>
          </w:tcPr>
          <w:p>
            <w:pPr>
              <w:pStyle w:val="TableContents"/>
              <w:bidi w:val="0"/>
              <w:spacing w:before="0" w:after="283"/>
              <w:jc w:val="right"/>
              <w:rPr/>
            </w:pPr>
            <w:r>
              <w:rPr/>
              <w:t>234,375  </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200,006</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1370" w:type="dxa"/>
            <w:tcBorders/>
            <w:shd w:fill="E5E5E5" w:val="clear"/>
            <w:vAlign w:val="center"/>
          </w:tcPr>
          <w:p>
            <w:pPr>
              <w:pStyle w:val="TableContents"/>
              <w:bidi w:val="0"/>
              <w:spacing w:before="0" w:after="283"/>
              <w:jc w:val="right"/>
              <w:rPr/>
            </w:pPr>
            <w:r>
              <w:rPr/>
              <w:t>20,000  </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454,381</w:t>
            </w:r>
          </w:p>
        </w:tc>
        <w:tc>
          <w:tcPr>
            <w:tcW w:w="75" w:type="dxa"/>
            <w:tcBorders/>
            <w:shd w:fill="E5E5E5"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228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before="0" w:after="0"/>
              <w:jc w:val="left"/>
              <w:rPr>
                <w:rFonts w:ascii="ARIAL" w:hAnsi="ARIAL"/>
                <w:sz w:val="18"/>
              </w:rPr>
            </w:pPr>
            <w:r>
              <w:rPr>
                <w:rFonts w:ascii="ARIAL" w:hAnsi="ARIAL"/>
                <w:sz w:val="18"/>
              </w:rPr>
              <w:t>James Kilts</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right"/>
              <w:rPr/>
            </w:pPr>
            <w:r>
              <w:rPr/>
              <w:t>150,000  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200,006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20,000  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370,006</w:t>
            </w:r>
          </w:p>
        </w:tc>
        <w:tc>
          <w:tcPr>
            <w:tcW w:w="75" w:type="dxa"/>
            <w:tcBorders/>
            <w:vAlign w:val="center"/>
          </w:tcPr>
          <w:p>
            <w:pPr>
              <w:pStyle w:val="TableContents"/>
              <w:bidi w:val="0"/>
              <w:spacing w:before="0" w:after="283"/>
              <w:jc w:val="left"/>
              <w:rPr/>
            </w:pPr>
            <w:r>
              <w:rPr/>
              <w:t> </w:t>
            </w:r>
          </w:p>
        </w:tc>
      </w:tr>
      <w:tr>
        <w:trPr/>
        <w:tc>
          <w:tcPr>
            <w:tcW w:w="2705" w:type="dxa"/>
            <w:tcBorders/>
            <w:shd w:fill="E5E5E5" w:val="clear"/>
            <w:vAlign w:val="center"/>
          </w:tcPr>
          <w:p>
            <w:pPr>
              <w:pStyle w:val="TableContents"/>
              <w:bidi w:val="0"/>
              <w:spacing w:before="0" w:after="283"/>
              <w:jc w:val="left"/>
              <w:rPr>
                <w:sz w:val="4"/>
                <w:szCs w:val="4"/>
              </w:rPr>
            </w:pPr>
            <w:r>
              <w:rPr>
                <w:sz w:val="4"/>
                <w:szCs w:val="4"/>
              </w:rPr>
            </w:r>
          </w:p>
        </w:tc>
        <w:tc>
          <w:tcPr>
            <w:tcW w:w="2285" w:type="dxa"/>
            <w:gridSpan w:val="4"/>
            <w:tcBorders/>
            <w:shd w:fill="E5E5E5" w:val="clear"/>
            <w:vAlign w:val="center"/>
          </w:tcPr>
          <w:p>
            <w:pPr>
              <w:pStyle w:val="TableContents"/>
              <w:bidi w:val="0"/>
              <w:spacing w:before="0" w:after="283"/>
              <w:jc w:val="left"/>
              <w:rPr>
                <w:sz w:val="4"/>
                <w:szCs w:val="4"/>
              </w:rPr>
            </w:pPr>
            <w:r>
              <w:rPr>
                <w:sz w:val="4"/>
                <w:szCs w:val="4"/>
              </w:rPr>
            </w:r>
          </w:p>
        </w:tc>
        <w:tc>
          <w:tcPr>
            <w:tcW w:w="1040" w:type="dxa"/>
            <w:gridSpan w:val="4"/>
            <w:tcBorders/>
            <w:shd w:fill="E5E5E5" w:val="clear"/>
            <w:vAlign w:val="center"/>
          </w:tcPr>
          <w:p>
            <w:pPr>
              <w:pStyle w:val="TableContents"/>
              <w:bidi w:val="0"/>
              <w:spacing w:before="0" w:after="283"/>
              <w:jc w:val="left"/>
              <w:rPr>
                <w:sz w:val="4"/>
                <w:szCs w:val="4"/>
              </w:rPr>
            </w:pPr>
            <w:r>
              <w:rPr>
                <w:sz w:val="4"/>
                <w:szCs w:val="4"/>
              </w:rPr>
            </w:r>
          </w:p>
        </w:tc>
        <w:tc>
          <w:tcPr>
            <w:tcW w:w="1670" w:type="dxa"/>
            <w:gridSpan w:val="4"/>
            <w:tcBorders/>
            <w:shd w:fill="E5E5E5" w:val="clear"/>
            <w:vAlign w:val="center"/>
          </w:tcPr>
          <w:p>
            <w:pPr>
              <w:pStyle w:val="TableContents"/>
              <w:bidi w:val="0"/>
              <w:spacing w:before="0" w:after="283"/>
              <w:jc w:val="left"/>
              <w:rPr>
                <w:sz w:val="4"/>
                <w:szCs w:val="4"/>
              </w:rPr>
            </w:pPr>
            <w:r>
              <w:rPr>
                <w:sz w:val="4"/>
                <w:szCs w:val="4"/>
              </w:rPr>
            </w:r>
          </w:p>
        </w:tc>
        <w:tc>
          <w:tcPr>
            <w:tcW w:w="105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2705" w:type="dxa"/>
            <w:tcBorders/>
            <w:shd w:fill="E5E5E5" w:val="clear"/>
            <w:vAlign w:val="center"/>
          </w:tcPr>
          <w:p>
            <w:pPr>
              <w:pStyle w:val="TableContents"/>
              <w:bidi w:val="0"/>
              <w:spacing w:before="0" w:after="0"/>
              <w:jc w:val="left"/>
              <w:rPr>
                <w:rFonts w:ascii="ARIAL" w:hAnsi="ARIAL"/>
                <w:sz w:val="18"/>
              </w:rPr>
            </w:pPr>
            <w:r>
              <w:rPr>
                <w:rFonts w:ascii="ARIAL" w:hAnsi="ARIAL"/>
                <w:sz w:val="18"/>
              </w:rPr>
              <w:t>Harry Korman</w:t>
            </w:r>
          </w:p>
        </w:tc>
        <w:tc>
          <w:tcPr>
            <w:tcW w:w="120"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959" w:type="dxa"/>
            <w:tcBorders/>
            <w:shd w:fill="E5E5E5" w:val="clear"/>
            <w:vAlign w:val="center"/>
          </w:tcPr>
          <w:p>
            <w:pPr>
              <w:pStyle w:val="TableContents"/>
              <w:bidi w:val="0"/>
              <w:spacing w:before="0" w:after="283"/>
              <w:jc w:val="right"/>
              <w:rPr/>
            </w:pPr>
            <w:r>
              <w:rPr/>
              <w:t>175,000  </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200,006</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1370" w:type="dxa"/>
            <w:tcBorders/>
            <w:shd w:fill="E5E5E5" w:val="clear"/>
            <w:vAlign w:val="center"/>
          </w:tcPr>
          <w:p>
            <w:pPr>
              <w:pStyle w:val="TableContents"/>
              <w:bidi w:val="0"/>
              <w:spacing w:before="0" w:after="283"/>
              <w:jc w:val="right"/>
              <w:rPr/>
            </w:pPr>
            <w:r>
              <w:rPr/>
              <w:t>—  </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375,006</w:t>
            </w:r>
          </w:p>
        </w:tc>
        <w:tc>
          <w:tcPr>
            <w:tcW w:w="75" w:type="dxa"/>
            <w:tcBorders/>
            <w:shd w:fill="E5E5E5"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228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before="0" w:after="0"/>
              <w:jc w:val="left"/>
              <w:rPr>
                <w:rFonts w:ascii="ARIAL" w:hAnsi="ARIAL"/>
                <w:sz w:val="18"/>
              </w:rPr>
            </w:pPr>
            <w:r>
              <w:rPr>
                <w:rFonts w:ascii="ARIAL" w:hAnsi="ARIAL"/>
                <w:sz w:val="18"/>
              </w:rPr>
              <w:t>Richard Mark</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right"/>
              <w:rPr/>
            </w:pPr>
            <w:r>
              <w:rPr/>
              <w:t>200,000  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200,006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20,000  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420,006</w:t>
            </w:r>
          </w:p>
        </w:tc>
        <w:tc>
          <w:tcPr>
            <w:tcW w:w="75" w:type="dxa"/>
            <w:tcBorders/>
            <w:vAlign w:val="center"/>
          </w:tcPr>
          <w:p>
            <w:pPr>
              <w:pStyle w:val="TableContents"/>
              <w:bidi w:val="0"/>
              <w:spacing w:before="0" w:after="283"/>
              <w:jc w:val="left"/>
              <w:rPr/>
            </w:pPr>
            <w:r>
              <w:rPr/>
              <w:t> </w:t>
            </w:r>
          </w:p>
        </w:tc>
      </w:tr>
      <w:tr>
        <w:trPr/>
        <w:tc>
          <w:tcPr>
            <w:tcW w:w="2705" w:type="dxa"/>
            <w:tcBorders/>
            <w:shd w:fill="E5E5E5" w:val="clear"/>
            <w:vAlign w:val="center"/>
          </w:tcPr>
          <w:p>
            <w:pPr>
              <w:pStyle w:val="TableContents"/>
              <w:bidi w:val="0"/>
              <w:spacing w:before="0" w:after="283"/>
              <w:jc w:val="left"/>
              <w:rPr>
                <w:sz w:val="4"/>
                <w:szCs w:val="4"/>
              </w:rPr>
            </w:pPr>
            <w:r>
              <w:rPr>
                <w:sz w:val="4"/>
                <w:szCs w:val="4"/>
              </w:rPr>
            </w:r>
          </w:p>
        </w:tc>
        <w:tc>
          <w:tcPr>
            <w:tcW w:w="2285" w:type="dxa"/>
            <w:gridSpan w:val="4"/>
            <w:tcBorders/>
            <w:shd w:fill="E5E5E5" w:val="clear"/>
            <w:vAlign w:val="center"/>
          </w:tcPr>
          <w:p>
            <w:pPr>
              <w:pStyle w:val="TableContents"/>
              <w:bidi w:val="0"/>
              <w:spacing w:before="0" w:after="283"/>
              <w:jc w:val="left"/>
              <w:rPr>
                <w:sz w:val="4"/>
                <w:szCs w:val="4"/>
              </w:rPr>
            </w:pPr>
            <w:r>
              <w:rPr>
                <w:sz w:val="4"/>
                <w:szCs w:val="4"/>
              </w:rPr>
            </w:r>
          </w:p>
        </w:tc>
        <w:tc>
          <w:tcPr>
            <w:tcW w:w="1040" w:type="dxa"/>
            <w:gridSpan w:val="4"/>
            <w:tcBorders/>
            <w:shd w:fill="E5E5E5" w:val="clear"/>
            <w:vAlign w:val="center"/>
          </w:tcPr>
          <w:p>
            <w:pPr>
              <w:pStyle w:val="TableContents"/>
              <w:bidi w:val="0"/>
              <w:spacing w:before="0" w:after="283"/>
              <w:jc w:val="left"/>
              <w:rPr>
                <w:sz w:val="4"/>
                <w:szCs w:val="4"/>
              </w:rPr>
            </w:pPr>
            <w:r>
              <w:rPr>
                <w:sz w:val="4"/>
                <w:szCs w:val="4"/>
              </w:rPr>
            </w:r>
          </w:p>
        </w:tc>
        <w:tc>
          <w:tcPr>
            <w:tcW w:w="1670" w:type="dxa"/>
            <w:gridSpan w:val="4"/>
            <w:tcBorders/>
            <w:shd w:fill="E5E5E5" w:val="clear"/>
            <w:vAlign w:val="center"/>
          </w:tcPr>
          <w:p>
            <w:pPr>
              <w:pStyle w:val="TableContents"/>
              <w:bidi w:val="0"/>
              <w:spacing w:before="0" w:after="283"/>
              <w:jc w:val="left"/>
              <w:rPr>
                <w:sz w:val="4"/>
                <w:szCs w:val="4"/>
              </w:rPr>
            </w:pPr>
            <w:r>
              <w:rPr>
                <w:sz w:val="4"/>
                <w:szCs w:val="4"/>
              </w:rPr>
            </w:r>
          </w:p>
        </w:tc>
        <w:tc>
          <w:tcPr>
            <w:tcW w:w="105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2705" w:type="dxa"/>
            <w:tcBorders/>
            <w:shd w:fill="E5E5E5" w:val="clear"/>
            <w:vAlign w:val="center"/>
          </w:tcPr>
          <w:p>
            <w:pPr>
              <w:pStyle w:val="TableContents"/>
              <w:bidi w:val="0"/>
              <w:spacing w:before="0" w:after="0"/>
              <w:jc w:val="left"/>
              <w:rPr>
                <w:rFonts w:ascii="ARIAL" w:hAnsi="ARIAL"/>
                <w:sz w:val="18"/>
              </w:rPr>
            </w:pPr>
            <w:r>
              <w:rPr>
                <w:rFonts w:ascii="ARIAL" w:hAnsi="ARIAL"/>
                <w:sz w:val="18"/>
              </w:rPr>
              <w:t>Mark Parrish</w:t>
            </w:r>
          </w:p>
        </w:tc>
        <w:tc>
          <w:tcPr>
            <w:tcW w:w="120"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959" w:type="dxa"/>
            <w:tcBorders/>
            <w:shd w:fill="E5E5E5" w:val="clear"/>
            <w:vAlign w:val="center"/>
          </w:tcPr>
          <w:p>
            <w:pPr>
              <w:pStyle w:val="TableContents"/>
              <w:bidi w:val="0"/>
              <w:spacing w:before="0" w:after="283"/>
              <w:jc w:val="right"/>
              <w:rPr/>
            </w:pPr>
            <w:r>
              <w:rPr/>
              <w:t>250,000  </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200,006</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1370" w:type="dxa"/>
            <w:tcBorders/>
            <w:shd w:fill="E5E5E5" w:val="clear"/>
            <w:vAlign w:val="center"/>
          </w:tcPr>
          <w:p>
            <w:pPr>
              <w:pStyle w:val="TableContents"/>
              <w:bidi w:val="0"/>
              <w:spacing w:before="0" w:after="283"/>
              <w:jc w:val="right"/>
              <w:rPr/>
            </w:pPr>
            <w:r>
              <w:rPr/>
              <w:t>—  </w:t>
            </w:r>
          </w:p>
        </w:tc>
        <w:tc>
          <w:tcPr>
            <w:tcW w:w="6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450,006</w:t>
            </w:r>
          </w:p>
        </w:tc>
        <w:tc>
          <w:tcPr>
            <w:tcW w:w="75" w:type="dxa"/>
            <w:tcBorders/>
            <w:shd w:fill="E5E5E5"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228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705" w:type="dxa"/>
            <w:tcBorders>
              <w:bottom w:val="single" w:sz="8" w:space="0" w:color="732282"/>
            </w:tcBorders>
            <w:tcMar>
              <w:bottom w:w="40" w:type="dxa"/>
            </w:tcMar>
            <w:vAlign w:val="center"/>
          </w:tcPr>
          <w:p>
            <w:pPr>
              <w:pStyle w:val="TableContents"/>
              <w:bidi w:val="0"/>
              <w:spacing w:before="0" w:after="0"/>
              <w:jc w:val="left"/>
              <w:rPr>
                <w:rFonts w:ascii="ARIAL" w:hAnsi="ARIAL"/>
                <w:sz w:val="18"/>
              </w:rPr>
            </w:pPr>
            <w:r>
              <w:rPr>
                <w:rFonts w:ascii="ARIAL" w:hAnsi="ARIAL"/>
                <w:sz w:val="18"/>
              </w:rPr>
              <w:t>Pauline van der Meer Mohr(1)(2)</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46" w:type="dxa"/>
            <w:tcBorders>
              <w:bottom w:val="single" w:sz="8" w:space="0" w:color="732282"/>
            </w:tcBorders>
            <w:tcMar>
              <w:bottom w:w="40" w:type="dxa"/>
            </w:tcMar>
            <w:vAlign w:val="center"/>
          </w:tcPr>
          <w:p>
            <w:pPr>
              <w:pStyle w:val="TableContents"/>
              <w:bidi w:val="0"/>
              <w:spacing w:before="0" w:after="283"/>
              <w:jc w:val="left"/>
              <w:rPr/>
            </w:pPr>
            <w:r>
              <w:rPr/>
              <w:t> </w:t>
            </w:r>
          </w:p>
        </w:tc>
        <w:tc>
          <w:tcPr>
            <w:tcW w:w="1959" w:type="dxa"/>
            <w:tcBorders>
              <w:bottom w:val="single" w:sz="8" w:space="0" w:color="732282"/>
            </w:tcBorders>
            <w:tcMar>
              <w:bottom w:w="40" w:type="dxa"/>
            </w:tcMar>
            <w:vAlign w:val="center"/>
          </w:tcPr>
          <w:p>
            <w:pPr>
              <w:pStyle w:val="TableContents"/>
              <w:bidi w:val="0"/>
              <w:spacing w:before="0" w:after="283"/>
              <w:jc w:val="right"/>
              <w:rPr/>
            </w:pPr>
            <w:r>
              <w:rPr/>
              <w:t>150,000  </w:t>
            </w:r>
          </w:p>
        </w:tc>
        <w:tc>
          <w:tcPr>
            <w:tcW w:w="60" w:type="dxa"/>
            <w:tcBorders>
              <w:bottom w:val="single" w:sz="8" w:space="0" w:color="732282"/>
            </w:tcBorders>
            <w:tcMar>
              <w:bottom w:w="40" w:type="dxa"/>
            </w:tcMar>
            <w:vAlign w:val="center"/>
          </w:tcPr>
          <w:p>
            <w:pPr>
              <w:pStyle w:val="TableContents"/>
              <w:bidi w:val="0"/>
              <w:spacing w:before="0" w:after="283"/>
              <w:jc w:val="left"/>
              <w:rPr/>
            </w:pPr>
            <w:r>
              <w:rPr/>
              <w:t> </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40" w:type="dxa"/>
            </w:tcMar>
            <w:vAlign w:val="center"/>
          </w:tcPr>
          <w:p>
            <w:pPr>
              <w:pStyle w:val="TableContents"/>
              <w:bidi w:val="0"/>
              <w:spacing w:before="0" w:after="283"/>
              <w:jc w:val="left"/>
              <w:rPr/>
            </w:pPr>
            <w:r>
              <w:rPr/>
              <w:t> </w:t>
            </w:r>
          </w:p>
        </w:tc>
        <w:tc>
          <w:tcPr>
            <w:tcW w:w="800" w:type="dxa"/>
            <w:tcBorders>
              <w:bottom w:val="single" w:sz="8" w:space="0" w:color="732282"/>
            </w:tcBorders>
            <w:tcMar>
              <w:bottom w:w="40" w:type="dxa"/>
            </w:tcMar>
            <w:vAlign w:val="center"/>
          </w:tcPr>
          <w:p>
            <w:pPr>
              <w:pStyle w:val="TableContents"/>
              <w:bidi w:val="0"/>
              <w:spacing w:before="0" w:after="283"/>
              <w:jc w:val="right"/>
              <w:rPr/>
            </w:pPr>
            <w:r>
              <w:rPr/>
              <w:t>200,006</w:t>
            </w:r>
          </w:p>
        </w:tc>
        <w:tc>
          <w:tcPr>
            <w:tcW w:w="60" w:type="dxa"/>
            <w:tcBorders>
              <w:bottom w:val="single" w:sz="8" w:space="0" w:color="732282"/>
            </w:tcBorders>
            <w:tcMar>
              <w:bottom w:w="40" w:type="dxa"/>
            </w:tcMar>
            <w:vAlign w:val="center"/>
          </w:tcPr>
          <w:p>
            <w:pPr>
              <w:pStyle w:val="TableContents"/>
              <w:bidi w:val="0"/>
              <w:spacing w:before="0" w:after="283"/>
              <w:jc w:val="left"/>
              <w:rPr/>
            </w:pPr>
            <w:r>
              <w:rPr/>
              <w:t> </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20" w:type="dxa"/>
            <w:tcBorders>
              <w:bottom w:val="single" w:sz="8" w:space="0" w:color="732282"/>
            </w:tcBorders>
            <w:tcMar>
              <w:bottom w:w="40" w:type="dxa"/>
            </w:tcMar>
            <w:vAlign w:val="center"/>
          </w:tcPr>
          <w:p>
            <w:pPr>
              <w:pStyle w:val="TableContents"/>
              <w:bidi w:val="0"/>
              <w:spacing w:before="0" w:after="283"/>
              <w:jc w:val="left"/>
              <w:rPr/>
            </w:pPr>
            <w:r>
              <w:rPr/>
              <w:t> </w:t>
            </w:r>
          </w:p>
        </w:tc>
        <w:tc>
          <w:tcPr>
            <w:tcW w:w="1370" w:type="dxa"/>
            <w:tcBorders>
              <w:bottom w:val="single" w:sz="8" w:space="0" w:color="732282"/>
            </w:tcBorders>
            <w:tcMar>
              <w:bottom w:w="40" w:type="dxa"/>
            </w:tcMar>
            <w:vAlign w:val="center"/>
          </w:tcPr>
          <w:p>
            <w:pPr>
              <w:pStyle w:val="TableContents"/>
              <w:bidi w:val="0"/>
              <w:spacing w:before="0" w:after="283"/>
              <w:jc w:val="right"/>
              <w:rPr/>
            </w:pPr>
            <w:r>
              <w:rPr/>
              <w:t>—  </w:t>
            </w:r>
          </w:p>
        </w:tc>
        <w:tc>
          <w:tcPr>
            <w:tcW w:w="60" w:type="dxa"/>
            <w:tcBorders>
              <w:bottom w:val="single" w:sz="8" w:space="0" w:color="732282"/>
            </w:tcBorders>
            <w:tcMar>
              <w:bottom w:w="40" w:type="dxa"/>
            </w:tcMar>
            <w:vAlign w:val="center"/>
          </w:tcPr>
          <w:p>
            <w:pPr>
              <w:pStyle w:val="TableContents"/>
              <w:bidi w:val="0"/>
              <w:spacing w:before="0" w:after="283"/>
              <w:jc w:val="left"/>
              <w:rPr/>
            </w:pPr>
            <w:r>
              <w:rPr/>
              <w:t> </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40" w:type="dxa"/>
            </w:tcMar>
            <w:vAlign w:val="center"/>
          </w:tcPr>
          <w:p>
            <w:pPr>
              <w:pStyle w:val="TableContents"/>
              <w:bidi w:val="0"/>
              <w:spacing w:before="0" w:after="283"/>
              <w:jc w:val="left"/>
              <w:rPr/>
            </w:pPr>
            <w:r>
              <w:rPr/>
              <w:t> </w:t>
            </w:r>
          </w:p>
        </w:tc>
        <w:tc>
          <w:tcPr>
            <w:tcW w:w="800" w:type="dxa"/>
            <w:tcBorders>
              <w:bottom w:val="single" w:sz="8" w:space="0" w:color="732282"/>
            </w:tcBorders>
            <w:tcMar>
              <w:bottom w:w="40" w:type="dxa"/>
            </w:tcMar>
            <w:vAlign w:val="center"/>
          </w:tcPr>
          <w:p>
            <w:pPr>
              <w:pStyle w:val="TableContents"/>
              <w:bidi w:val="0"/>
              <w:spacing w:before="0" w:after="283"/>
              <w:jc w:val="right"/>
              <w:rPr/>
            </w:pPr>
            <w:r>
              <w:rPr/>
              <w:t>350,006</w:t>
            </w:r>
          </w:p>
        </w:tc>
        <w:tc>
          <w:tcPr>
            <w:tcW w:w="75" w:type="dxa"/>
            <w:tcBorders>
              <w:bottom w:val="single" w:sz="8" w:space="0" w:color="732282"/>
            </w:tcBorders>
            <w:tcMar>
              <w:bottom w:w="4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i/>
              </w:rPr>
            </w:pPr>
            <w:r>
              <w:rPr>
                <w:i/>
              </w:rPr>
              <w:t>(1)</w:t>
            </w:r>
          </w:p>
        </w:tc>
        <w:tc>
          <w:tcPr>
            <w:tcW w:w="9931" w:type="dxa"/>
            <w:tcBorders/>
            <w:vAlign w:val="center"/>
          </w:tcPr>
          <w:p>
            <w:pPr>
              <w:pStyle w:val="TableContents"/>
              <w:bidi w:val="0"/>
              <w:spacing w:before="0" w:after="0"/>
              <w:jc w:val="both"/>
              <w:rPr>
                <w:rFonts w:ascii="arial" w:hAnsi="arial"/>
                <w:i/>
                <w:sz w:val="18"/>
              </w:rPr>
            </w:pPr>
            <w:r>
              <w:rPr>
                <w:rFonts w:ascii="arial" w:hAnsi="arial"/>
                <w:i/>
                <w:sz w:val="18"/>
              </w:rPr>
              <w:t xml:space="preserve">Fees earned by Mr. Groothuis and Ms. van der Meer Mohr were paid in Euros. Such amounts were converted into Euros using the monthly conversion rate in effect when each payment was made. </w:t>
            </w:r>
          </w:p>
        </w:tc>
      </w:tr>
    </w:tbl>
    <w:tbl>
      <w:tblPr>
        <w:tblW w:w="7900" w:type="dxa"/>
        <w:jc w:val="left"/>
        <w:tblInd w:w="0" w:type="dxa"/>
        <w:tblLayout w:type="fixed"/>
        <w:tblCellMar>
          <w:top w:w="0" w:type="dxa"/>
          <w:left w:w="0" w:type="dxa"/>
          <w:bottom w:w="0" w:type="dxa"/>
          <w:right w:w="0" w:type="dxa"/>
        </w:tblCellMar>
      </w:tblPr>
      <w:tblGrid>
        <w:gridCol w:w="305"/>
        <w:gridCol w:w="7595"/>
      </w:tblGrid>
      <w:tr>
        <w:trPr/>
        <w:tc>
          <w:tcPr>
            <w:tcW w:w="305" w:type="dxa"/>
            <w:tcBorders/>
            <w:vAlign w:val="center"/>
          </w:tcPr>
          <w:p>
            <w:pPr>
              <w:pStyle w:val="TableContents"/>
              <w:bidi w:val="0"/>
              <w:spacing w:before="0" w:after="283"/>
              <w:jc w:val="left"/>
              <w:rPr>
                <w:i/>
              </w:rPr>
            </w:pPr>
            <w:r>
              <w:rPr>
                <w:i/>
              </w:rPr>
              <w:t>(2)</w:t>
            </w:r>
          </w:p>
        </w:tc>
        <w:tc>
          <w:tcPr>
            <w:tcW w:w="7595" w:type="dxa"/>
            <w:tcBorders/>
            <w:vAlign w:val="center"/>
          </w:tcPr>
          <w:p>
            <w:pPr>
              <w:pStyle w:val="TableContents"/>
              <w:bidi w:val="0"/>
              <w:spacing w:before="0" w:after="0"/>
              <w:jc w:val="both"/>
              <w:rPr>
                <w:rFonts w:ascii="arial" w:hAnsi="arial"/>
                <w:i/>
                <w:sz w:val="18"/>
              </w:rPr>
            </w:pPr>
            <w:r>
              <w:rPr>
                <w:rFonts w:ascii="arial" w:hAnsi="arial"/>
                <w:i/>
                <w:sz w:val="18"/>
              </w:rPr>
              <w:t xml:space="preserve">Ms. van der Meer Mohr did not stand for re-election to the Board at the 2023 Annual Meeting.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i/>
              </w:rPr>
            </w:pPr>
            <w:r>
              <w:rPr>
                <w:i/>
              </w:rPr>
              <w:t>(3)</w:t>
            </w:r>
          </w:p>
        </w:tc>
        <w:tc>
          <w:tcPr>
            <w:tcW w:w="9968" w:type="dxa"/>
            <w:tcBorders/>
            <w:vAlign w:val="center"/>
          </w:tcPr>
          <w:p>
            <w:pPr>
              <w:pStyle w:val="TableContents"/>
              <w:bidi w:val="0"/>
              <w:spacing w:before="0" w:after="0"/>
              <w:jc w:val="both"/>
              <w:rPr>
                <w:rFonts w:ascii="arial" w:hAnsi="arial"/>
                <w:i/>
                <w:sz w:val="18"/>
              </w:rPr>
            </w:pPr>
            <w:r>
              <w:rPr>
                <w:rFonts w:ascii="arial" w:hAnsi="arial"/>
                <w:i/>
                <w:sz w:val="18"/>
              </w:rPr>
              <w:t xml:space="preserve">Represents the grant date fair value of the specific award granted to the Non-Employee Director. RSU awards granted in 2023 vested on March 3, 2024. For information regarding assumptions used in determining the amounts reflected in the table above, please refer to Note 13 to the Company’s Consolidated Financial Statements contained in the Original Filing. The number of unvested RSUs held by each of the Non-Employee Directors, as of December 31, 2023, were as follows: Mr. Cornwell, 18,855; Ms. Dillon, 18,855; Ms. Finney, 18,855; Mr. Groothuis, 22,484; Ms. Higgins, 18,855; Mr. Kilts, 18,855; Mr. Korman, 18,855; Mr. Mark, 18,855; and Mr. Parrish, 18,855. Amounts include all accrued and unvested whole share DEUs that vest only to the extent and at the same time the underlying award on which they are issued vest. The aggregate number of shares subject to stock options held by the Non-Employee Directors, as of December 31, 2023, were as follows: Ms. Dillon, 24,780; Ms. Higgins, 24,780; Mr. Korman, 24,714; Mr. Mark, 12,260; Mr. Parrish, 24,780; and Ms. van der Meer Mohr, 13,949. </w:t>
            </w:r>
          </w:p>
        </w:tc>
      </w:tr>
    </w:tbl>
    <w:tbl>
      <w:tblPr>
        <w:tblW w:w="8095" w:type="dxa"/>
        <w:jc w:val="left"/>
        <w:tblInd w:w="0" w:type="dxa"/>
        <w:tblLayout w:type="fixed"/>
        <w:tblCellMar>
          <w:top w:w="0" w:type="dxa"/>
          <w:left w:w="0" w:type="dxa"/>
          <w:bottom w:w="0" w:type="dxa"/>
          <w:right w:w="0" w:type="dxa"/>
        </w:tblCellMar>
      </w:tblPr>
      <w:tblGrid>
        <w:gridCol w:w="305"/>
        <w:gridCol w:w="7790"/>
      </w:tblGrid>
      <w:tr>
        <w:trPr/>
        <w:tc>
          <w:tcPr>
            <w:tcW w:w="305" w:type="dxa"/>
            <w:tcBorders/>
            <w:vAlign w:val="center"/>
          </w:tcPr>
          <w:p>
            <w:pPr>
              <w:pStyle w:val="TableContents"/>
              <w:bidi w:val="0"/>
              <w:spacing w:before="0" w:after="283"/>
              <w:jc w:val="left"/>
              <w:rPr>
                <w:i/>
              </w:rPr>
            </w:pPr>
            <w:r>
              <w:rPr>
                <w:i/>
              </w:rPr>
              <w:t>(4)</w:t>
            </w:r>
          </w:p>
        </w:tc>
        <w:tc>
          <w:tcPr>
            <w:tcW w:w="7790" w:type="dxa"/>
            <w:tcBorders/>
            <w:vAlign w:val="center"/>
          </w:tcPr>
          <w:p>
            <w:pPr>
              <w:pStyle w:val="TableContents"/>
              <w:bidi w:val="0"/>
              <w:spacing w:before="0" w:after="0"/>
              <w:jc w:val="both"/>
              <w:rPr>
                <w:rFonts w:ascii="arial" w:hAnsi="arial"/>
                <w:i/>
                <w:sz w:val="18"/>
              </w:rPr>
            </w:pPr>
            <w:r>
              <w:rPr>
                <w:rFonts w:ascii="arial" w:hAnsi="arial"/>
                <w:i/>
                <w:sz w:val="18"/>
              </w:rPr>
              <w:t xml:space="preserve">The amounts represent charitable contributions made in 2023 under our matching gift program. </w:t>
            </w:r>
          </w:p>
        </w:tc>
      </w:tr>
    </w:tbl>
    <w:p>
      <w:pPr>
        <w:pStyle w:val="TextBody"/>
        <w:bidi w:val="0"/>
        <w:spacing w:before="240" w:after="0"/>
        <w:jc w:val="both"/>
        <w:rPr>
          <w:rFonts w:ascii="arial" w:hAnsi="arial"/>
          <w:sz w:val="18"/>
        </w:rPr>
      </w:pPr>
      <w:r>
        <w:rPr>
          <w:rFonts w:ascii="arial" w:hAnsi="arial"/>
          <w:sz w:val="18"/>
        </w:rPr>
        <w:t xml:space="preserve">Viatris’ compensation philosophy for Non-Employee Directors is designed to attract and retain Directors with the experience necessary to represent the Company and oversee executive management. On an annual basis, the Compensation Committee considers market data for our peer group and input received from the Compensation Committee’s independent compensation consultant regarding market practices for Director compensation. Any changes to Director compensation are approved by the Compensation Committee and the independent Directors.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56 </w:t>
      </w:r>
      <w:r>
        <w:br w:type="page"/>
      </w:r>
    </w:p>
    <w:p>
      <w:pPr>
        <w:pStyle w:val="HorizontalLine"/>
        <w:bidi w:val="0"/>
        <w:jc w:val="left"/>
        <w:rPr/>
      </w:pPr>
      <w:r>
        <w:rPr/>
      </w:r>
    </w:p>
    <w:p>
      <w:pPr>
        <w:pStyle w:val="TextBody"/>
        <w:bidi w:val="0"/>
        <w:spacing w:before="0" w:after="0"/>
        <w:jc w:val="left"/>
        <w:rPr>
          <w:rFonts w:ascii="ARIAL" w:hAnsi="ARIAL"/>
          <w:b/>
          <w:sz w:val="20"/>
        </w:rPr>
      </w:pPr>
      <w:r>
        <w:rPr>
          <w:rFonts w:ascii="ARIAL" w:hAnsi="ARIAL"/>
          <w:b/>
          <w:sz w:val="20"/>
        </w:rPr>
        <w:t xml:space="preserve">Director Compensation Structure for 2023 </w:t>
      </w:r>
    </w:p>
    <w:p>
      <w:pPr>
        <w:pStyle w:val="TextBody"/>
        <w:bidi w:val="0"/>
        <w:spacing w:before="120" w:after="0"/>
        <w:jc w:val="both"/>
        <w:rPr>
          <w:rFonts w:ascii="arial" w:hAnsi="arial"/>
          <w:sz w:val="18"/>
        </w:rPr>
      </w:pPr>
      <w:r>
        <w:rPr>
          <w:rFonts w:ascii="arial" w:hAnsi="arial"/>
          <w:sz w:val="18"/>
        </w:rPr>
        <w:t xml:space="preserve">In March 2023, the Compensation Committee and the independent Directors approved the following Non-Employee Director compensation structure effective as of January 2023, unchanged from 2022: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3470"/>
        <w:gridCol w:w="120"/>
        <w:gridCol w:w="140"/>
        <w:gridCol w:w="800"/>
        <w:gridCol w:w="75"/>
      </w:tblGrid>
      <w:tr>
        <w:trPr/>
        <w:tc>
          <w:tcPr>
            <w:tcW w:w="3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732282"/>
            </w:tcBorders>
            <w:tcMar>
              <w:bottom w:w="28" w:type="dxa"/>
            </w:tcMar>
            <w:vAlign w:val="center"/>
          </w:tcPr>
          <w:p>
            <w:pPr>
              <w:pStyle w:val="TableContents"/>
              <w:bidi w:val="0"/>
              <w:spacing w:before="0" w:after="0"/>
              <w:jc w:val="left"/>
              <w:rPr>
                <w:rFonts w:ascii="ARIAL" w:hAnsi="ARIAL"/>
                <w:b/>
                <w:color w:val="732282"/>
                <w:sz w:val="18"/>
              </w:rPr>
            </w:pPr>
            <w:r>
              <w:rPr>
                <w:rFonts w:ascii="ARIAL" w:hAnsi="ARIAL"/>
                <w:b/>
                <w:color w:val="732282"/>
                <w:sz w:val="18"/>
              </w:rPr>
              <w:t>Element of Compensation</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940" w:type="dxa"/>
            <w:gridSpan w:val="2"/>
            <w:tcBorders>
              <w:bottom w:val="single" w:sz="8" w:space="0" w:color="732282"/>
            </w:tcBorders>
            <w:tcMar>
              <w:bottom w:w="28" w:type="dxa"/>
            </w:tcMar>
            <w:vAlign w:val="center"/>
          </w:tcPr>
          <w:p>
            <w:pPr>
              <w:pStyle w:val="TableContents"/>
              <w:bidi w:val="0"/>
              <w:spacing w:before="0" w:after="283"/>
              <w:jc w:val="right"/>
              <w:rPr>
                <w:b/>
                <w:color w:val="732282"/>
              </w:rPr>
            </w:pPr>
            <w:r>
              <w:rPr>
                <w:b/>
                <w:color w:val="732282"/>
              </w:rPr>
              <w:t>Amount</w:t>
            </w:r>
          </w:p>
        </w:tc>
        <w:tc>
          <w:tcPr>
            <w:tcW w:w="75" w:type="dxa"/>
            <w:tcBorders>
              <w:bottom w:val="single" w:sz="8" w:space="0" w:color="732282"/>
            </w:tcBorders>
            <w:tcMar>
              <w:bottom w:w="28" w:type="dxa"/>
            </w:tcMar>
            <w:vAlign w:val="center"/>
          </w:tcPr>
          <w:p>
            <w:pPr>
              <w:pStyle w:val="TableContents"/>
              <w:bidi w:val="0"/>
              <w:spacing w:before="0" w:after="283"/>
              <w:jc w:val="left"/>
              <w:rPr/>
            </w:pPr>
            <w:r>
              <w:rPr/>
              <w:t> </w:t>
            </w:r>
          </w:p>
        </w:tc>
      </w:tr>
      <w:tr>
        <w:trPr/>
        <w:tc>
          <w:tcPr>
            <w:tcW w:w="3470" w:type="dxa"/>
            <w:tcBorders/>
            <w:shd w:fill="E5E5E5" w:val="clear"/>
            <w:vAlign w:val="center"/>
          </w:tcPr>
          <w:p>
            <w:pPr>
              <w:pStyle w:val="TableContents"/>
              <w:bidi w:val="0"/>
              <w:spacing w:before="0" w:after="0"/>
              <w:jc w:val="left"/>
              <w:rPr>
                <w:rFonts w:ascii="ARIAL" w:hAnsi="ARIAL"/>
                <w:sz w:val="18"/>
              </w:rPr>
            </w:pPr>
            <w:r>
              <w:rPr>
                <w:rFonts w:ascii="ARIAL" w:hAnsi="ARIAL"/>
                <w:sz w:val="18"/>
              </w:rPr>
              <w:t>Board Member Retainer</w:t>
            </w:r>
          </w:p>
        </w:tc>
        <w:tc>
          <w:tcPr>
            <w:tcW w:w="12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150,000</w:t>
            </w:r>
          </w:p>
        </w:tc>
        <w:tc>
          <w:tcPr>
            <w:tcW w:w="75" w:type="dxa"/>
            <w:tcBorders/>
            <w:shd w:fill="E5E5E5"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rFonts w:ascii="ARIAL" w:hAnsi="ARIAL"/>
                <w:sz w:val="18"/>
              </w:rPr>
            </w:pPr>
            <w:r>
              <w:rPr>
                <w:rFonts w:ascii="ARIAL" w:hAnsi="ARIAL"/>
                <w:sz w:val="18"/>
              </w:rPr>
              <w:t>Committee Chair Fee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$25,000</w:t>
            </w:r>
          </w:p>
        </w:tc>
        <w:tc>
          <w:tcPr>
            <w:tcW w:w="75" w:type="dxa"/>
            <w:tcBorders/>
            <w:vAlign w:val="center"/>
          </w:tcPr>
          <w:p>
            <w:pPr>
              <w:pStyle w:val="TableContents"/>
              <w:bidi w:val="0"/>
              <w:spacing w:before="0" w:after="283"/>
              <w:jc w:val="left"/>
              <w:rPr/>
            </w:pPr>
            <w:r>
              <w:rPr/>
              <w:t> </w:t>
            </w:r>
          </w:p>
        </w:tc>
      </w:tr>
      <w:tr>
        <w:trPr/>
        <w:tc>
          <w:tcPr>
            <w:tcW w:w="3470" w:type="dxa"/>
            <w:tcBorders/>
            <w:shd w:fill="E5E5E5" w:val="clear"/>
            <w:vAlign w:val="center"/>
          </w:tcPr>
          <w:p>
            <w:pPr>
              <w:pStyle w:val="TableContents"/>
              <w:bidi w:val="0"/>
              <w:spacing w:before="0" w:after="0"/>
              <w:jc w:val="left"/>
              <w:rPr>
                <w:rFonts w:ascii="ARIAL" w:hAnsi="ARIAL"/>
                <w:sz w:val="18"/>
              </w:rPr>
            </w:pPr>
            <w:r>
              <w:rPr>
                <w:rFonts w:ascii="ARIAL" w:hAnsi="ARIAL"/>
                <w:sz w:val="18"/>
              </w:rPr>
              <w:t>Executive Committee Member Fee</w:t>
            </w:r>
          </w:p>
        </w:tc>
        <w:tc>
          <w:tcPr>
            <w:tcW w:w="12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$25,000</w:t>
            </w:r>
          </w:p>
        </w:tc>
        <w:tc>
          <w:tcPr>
            <w:tcW w:w="75" w:type="dxa"/>
            <w:tcBorders/>
            <w:shd w:fill="E5E5E5"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rFonts w:ascii="ARIAL" w:hAnsi="ARIAL"/>
                <w:sz w:val="18"/>
              </w:rPr>
            </w:pPr>
            <w:r>
              <w:rPr>
                <w:rFonts w:ascii="ARIAL" w:hAnsi="ARIAL"/>
                <w:sz w:val="18"/>
              </w:rPr>
              <w:t>Lead Independent Director Compensation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$50,000</w:t>
            </w:r>
          </w:p>
        </w:tc>
        <w:tc>
          <w:tcPr>
            <w:tcW w:w="75" w:type="dxa"/>
            <w:tcBorders/>
            <w:vAlign w:val="center"/>
          </w:tcPr>
          <w:p>
            <w:pPr>
              <w:pStyle w:val="TableContents"/>
              <w:bidi w:val="0"/>
              <w:spacing w:before="0" w:after="283"/>
              <w:jc w:val="left"/>
              <w:rPr/>
            </w:pPr>
            <w:r>
              <w:rPr/>
              <w:t> </w:t>
            </w:r>
          </w:p>
        </w:tc>
      </w:tr>
      <w:tr>
        <w:trPr/>
        <w:tc>
          <w:tcPr>
            <w:tcW w:w="3470" w:type="dxa"/>
            <w:tcBorders>
              <w:bottom w:val="single" w:sz="8" w:space="0" w:color="732282"/>
            </w:tcBorders>
            <w:shd w:fill="E5E5E5" w:val="clear"/>
            <w:tcMar>
              <w:bottom w:w="28" w:type="dxa"/>
            </w:tcMar>
            <w:vAlign w:val="center"/>
          </w:tcPr>
          <w:p>
            <w:pPr>
              <w:pStyle w:val="TableContents"/>
              <w:bidi w:val="0"/>
              <w:spacing w:before="0" w:after="0"/>
              <w:jc w:val="left"/>
              <w:rPr>
                <w:rFonts w:ascii="ARIAL" w:hAnsi="ARIAL"/>
                <w:sz w:val="18"/>
              </w:rPr>
            </w:pPr>
            <w:r>
              <w:rPr>
                <w:rFonts w:ascii="ARIAL" w:hAnsi="ARIAL"/>
                <w:sz w:val="18"/>
              </w:rPr>
              <w:t>Annual Equity Grant Value (RSUs)</w:t>
            </w:r>
          </w:p>
        </w:tc>
        <w:tc>
          <w:tcPr>
            <w:tcW w:w="12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8" w:space="0" w:color="732282"/>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8" w:space="0" w:color="732282"/>
            </w:tcBorders>
            <w:shd w:fill="E5E5E5" w:val="clear"/>
            <w:tcMar>
              <w:bottom w:w="28" w:type="dxa"/>
            </w:tcMar>
            <w:vAlign w:val="center"/>
          </w:tcPr>
          <w:p>
            <w:pPr>
              <w:pStyle w:val="TableContents"/>
              <w:bidi w:val="0"/>
              <w:spacing w:before="0" w:after="283"/>
              <w:jc w:val="right"/>
              <w:rPr/>
            </w:pPr>
            <w:r>
              <w:rPr/>
              <w:t>200,000</w:t>
            </w:r>
          </w:p>
        </w:tc>
        <w:tc>
          <w:tcPr>
            <w:tcW w:w="75"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18"/>
        </w:rPr>
      </w:pPr>
      <w:r>
        <w:rPr>
          <w:rFonts w:ascii="arial" w:hAnsi="arial"/>
          <w:sz w:val="18"/>
        </w:rPr>
        <w:t xml:space="preserve">In December 2023, the Compensation Committee and the independent Directors approved the following Non-Employee Director compensation effective as of December 15, 2023: </w:t>
      </w:r>
    </w:p>
    <w:p>
      <w:pPr>
        <w:pStyle w:val="TextBody"/>
        <w:bidi w:val="0"/>
        <w:spacing w:before="0" w:after="0"/>
        <w:jc w:val="left"/>
        <w:rPr/>
      </w:pPr>
      <w:r>
        <w:rPr/>
        <w:t> </w:t>
      </w:r>
    </w:p>
    <w:tbl>
      <w:tblPr>
        <w:tblW w:w="4915" w:type="dxa"/>
        <w:jc w:val="left"/>
        <w:tblInd w:w="0" w:type="dxa"/>
        <w:tblLayout w:type="fixed"/>
        <w:tblCellMar>
          <w:top w:w="0" w:type="dxa"/>
          <w:left w:w="0" w:type="dxa"/>
          <w:bottom w:w="0" w:type="dxa"/>
          <w:right w:w="0" w:type="dxa"/>
        </w:tblCellMar>
      </w:tblPr>
      <w:tblGrid>
        <w:gridCol w:w="3740"/>
        <w:gridCol w:w="120"/>
        <w:gridCol w:w="60"/>
        <w:gridCol w:w="920"/>
        <w:gridCol w:w="75"/>
      </w:tblGrid>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40" w:type="dxa"/>
            <w:tcBorders>
              <w:bottom w:val="single" w:sz="8" w:space="0" w:color="732282"/>
            </w:tcBorders>
            <w:tcMar>
              <w:bottom w:w="28" w:type="dxa"/>
            </w:tcMar>
            <w:vAlign w:val="center"/>
          </w:tcPr>
          <w:p>
            <w:pPr>
              <w:pStyle w:val="TableContents"/>
              <w:bidi w:val="0"/>
              <w:spacing w:before="0" w:after="0"/>
              <w:jc w:val="left"/>
              <w:rPr>
                <w:rFonts w:ascii="ARIAL" w:hAnsi="ARIAL"/>
                <w:b/>
                <w:color w:val="732282"/>
                <w:sz w:val="18"/>
              </w:rPr>
            </w:pPr>
            <w:r>
              <w:rPr>
                <w:rFonts w:ascii="ARIAL" w:hAnsi="ARIAL"/>
                <w:b/>
                <w:color w:val="732282"/>
                <w:sz w:val="18"/>
              </w:rPr>
              <w:t>Element of Compensation</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980" w:type="dxa"/>
            <w:gridSpan w:val="2"/>
            <w:tcBorders>
              <w:bottom w:val="single" w:sz="8" w:space="0" w:color="732282"/>
            </w:tcBorders>
            <w:tcMar>
              <w:bottom w:w="28" w:type="dxa"/>
            </w:tcMar>
            <w:vAlign w:val="center"/>
          </w:tcPr>
          <w:p>
            <w:pPr>
              <w:pStyle w:val="TableContents"/>
              <w:bidi w:val="0"/>
              <w:spacing w:before="0" w:after="283"/>
              <w:jc w:val="right"/>
              <w:rPr>
                <w:b/>
                <w:color w:val="732282"/>
              </w:rPr>
            </w:pPr>
            <w:r>
              <w:rPr>
                <w:b/>
                <w:color w:val="732282"/>
              </w:rPr>
              <w:t>Amount</w:t>
            </w:r>
          </w:p>
        </w:tc>
        <w:tc>
          <w:tcPr>
            <w:tcW w:w="75" w:type="dxa"/>
            <w:tcBorders>
              <w:bottom w:val="single" w:sz="8" w:space="0" w:color="732282"/>
            </w:tcBorders>
            <w:tcMar>
              <w:bottom w:w="28" w:type="dxa"/>
            </w:tcMar>
            <w:vAlign w:val="center"/>
          </w:tcPr>
          <w:p>
            <w:pPr>
              <w:pStyle w:val="TableContents"/>
              <w:bidi w:val="0"/>
              <w:spacing w:before="0" w:after="283"/>
              <w:jc w:val="left"/>
              <w:rPr/>
            </w:pPr>
            <w:r>
              <w:rPr/>
              <w:t> </w:t>
            </w:r>
          </w:p>
        </w:tc>
      </w:tr>
      <w:tr>
        <w:trPr/>
        <w:tc>
          <w:tcPr>
            <w:tcW w:w="3740" w:type="dxa"/>
            <w:tcBorders/>
            <w:shd w:fill="E5E5E5" w:val="clear"/>
            <w:vAlign w:val="center"/>
          </w:tcPr>
          <w:p>
            <w:pPr>
              <w:pStyle w:val="TableContents"/>
              <w:bidi w:val="0"/>
              <w:spacing w:before="0" w:after="0"/>
              <w:jc w:val="left"/>
              <w:rPr>
                <w:rFonts w:ascii="ARIAL" w:hAnsi="ARIAL"/>
                <w:sz w:val="18"/>
              </w:rPr>
            </w:pPr>
            <w:r>
              <w:rPr>
                <w:rFonts w:ascii="ARIAL" w:hAnsi="ARIAL"/>
                <w:sz w:val="18"/>
              </w:rPr>
              <w:t>Board Member Retainer</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20" w:type="dxa"/>
            <w:tcBorders/>
            <w:shd w:fill="E5E5E5" w:val="clear"/>
            <w:vAlign w:val="center"/>
          </w:tcPr>
          <w:p>
            <w:pPr>
              <w:pStyle w:val="TableContents"/>
              <w:bidi w:val="0"/>
              <w:spacing w:before="0" w:after="283"/>
              <w:jc w:val="right"/>
              <w:rPr/>
            </w:pPr>
            <w:r>
              <w:rPr/>
              <w:t>$150,000</w:t>
            </w:r>
          </w:p>
        </w:tc>
        <w:tc>
          <w:tcPr>
            <w:tcW w:w="75" w:type="dxa"/>
            <w:tcBorders/>
            <w:shd w:fill="E5E5E5"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left"/>
              <w:rPr>
                <w:rFonts w:ascii="ARIAL" w:hAnsi="ARIAL"/>
                <w:sz w:val="18"/>
              </w:rPr>
            </w:pPr>
            <w:r>
              <w:rPr>
                <w:rFonts w:ascii="ARIAL" w:hAnsi="ARIAL"/>
                <w:sz w:val="18"/>
              </w:rPr>
              <w:t>Chair of the Board of Directors Compensation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$225,000</w:t>
            </w:r>
          </w:p>
        </w:tc>
        <w:tc>
          <w:tcPr>
            <w:tcW w:w="75" w:type="dxa"/>
            <w:tcBorders/>
            <w:vAlign w:val="center"/>
          </w:tcPr>
          <w:p>
            <w:pPr>
              <w:pStyle w:val="TableContents"/>
              <w:bidi w:val="0"/>
              <w:spacing w:before="0" w:after="283"/>
              <w:jc w:val="left"/>
              <w:rPr/>
            </w:pPr>
            <w:r>
              <w:rPr/>
              <w:t> </w:t>
            </w:r>
          </w:p>
        </w:tc>
      </w:tr>
      <w:tr>
        <w:trPr/>
        <w:tc>
          <w:tcPr>
            <w:tcW w:w="3740" w:type="dxa"/>
            <w:tcBorders/>
            <w:shd w:fill="E5E5E5" w:val="clear"/>
            <w:vAlign w:val="center"/>
          </w:tcPr>
          <w:p>
            <w:pPr>
              <w:pStyle w:val="TableContents"/>
              <w:bidi w:val="0"/>
              <w:spacing w:before="0" w:after="0"/>
              <w:jc w:val="left"/>
              <w:rPr>
                <w:rFonts w:ascii="ARIAL" w:hAnsi="ARIAL"/>
                <w:sz w:val="18"/>
              </w:rPr>
            </w:pPr>
            <w:r>
              <w:rPr>
                <w:rFonts w:ascii="ARIAL" w:hAnsi="ARIAL"/>
                <w:sz w:val="18"/>
              </w:rPr>
              <w:t>Vice Chair Compensation</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20" w:type="dxa"/>
            <w:tcBorders/>
            <w:shd w:fill="E5E5E5" w:val="clear"/>
            <w:vAlign w:val="center"/>
          </w:tcPr>
          <w:p>
            <w:pPr>
              <w:pStyle w:val="TableContents"/>
              <w:bidi w:val="0"/>
              <w:spacing w:before="0" w:after="283"/>
              <w:jc w:val="right"/>
              <w:rPr/>
            </w:pPr>
            <w:r>
              <w:rPr/>
              <w:t>$50,000</w:t>
            </w:r>
          </w:p>
        </w:tc>
        <w:tc>
          <w:tcPr>
            <w:tcW w:w="75" w:type="dxa"/>
            <w:tcBorders/>
            <w:shd w:fill="E5E5E5"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left"/>
              <w:rPr>
                <w:rFonts w:ascii="ARIAL" w:hAnsi="ARIAL"/>
                <w:sz w:val="18"/>
              </w:rPr>
            </w:pPr>
            <w:r>
              <w:rPr>
                <w:rFonts w:ascii="ARIAL" w:hAnsi="ARIAL"/>
                <w:sz w:val="18"/>
              </w:rPr>
              <w:t>Committee Chair Fee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$25,000</w:t>
            </w:r>
          </w:p>
        </w:tc>
        <w:tc>
          <w:tcPr>
            <w:tcW w:w="75" w:type="dxa"/>
            <w:tcBorders/>
            <w:vAlign w:val="center"/>
          </w:tcPr>
          <w:p>
            <w:pPr>
              <w:pStyle w:val="TableContents"/>
              <w:bidi w:val="0"/>
              <w:spacing w:before="0" w:after="283"/>
              <w:jc w:val="left"/>
              <w:rPr/>
            </w:pPr>
            <w:r>
              <w:rPr/>
              <w:t> </w:t>
            </w:r>
          </w:p>
        </w:tc>
      </w:tr>
      <w:tr>
        <w:trPr/>
        <w:tc>
          <w:tcPr>
            <w:tcW w:w="3740" w:type="dxa"/>
            <w:tcBorders/>
            <w:shd w:fill="E5E5E5" w:val="clear"/>
            <w:vAlign w:val="center"/>
          </w:tcPr>
          <w:p>
            <w:pPr>
              <w:pStyle w:val="TableContents"/>
              <w:bidi w:val="0"/>
              <w:spacing w:before="0" w:after="0"/>
              <w:jc w:val="left"/>
              <w:rPr>
                <w:rFonts w:ascii="ARIAL" w:hAnsi="ARIAL"/>
                <w:sz w:val="18"/>
              </w:rPr>
            </w:pPr>
            <w:r>
              <w:rPr>
                <w:rFonts w:ascii="ARIAL" w:hAnsi="ARIAL"/>
                <w:sz w:val="18"/>
              </w:rPr>
              <w:t>Executive Committee Member Fee</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20" w:type="dxa"/>
            <w:tcBorders/>
            <w:shd w:fill="E5E5E5" w:val="clear"/>
            <w:vAlign w:val="center"/>
          </w:tcPr>
          <w:p>
            <w:pPr>
              <w:pStyle w:val="TableContents"/>
              <w:bidi w:val="0"/>
              <w:spacing w:before="0" w:after="283"/>
              <w:jc w:val="right"/>
              <w:rPr/>
            </w:pPr>
            <w:r>
              <w:rPr/>
              <w:t>$25,000</w:t>
            </w:r>
          </w:p>
        </w:tc>
        <w:tc>
          <w:tcPr>
            <w:tcW w:w="75" w:type="dxa"/>
            <w:tcBorders/>
            <w:shd w:fill="E5E5E5" w:val="clear"/>
            <w:vAlign w:val="center"/>
          </w:tcPr>
          <w:p>
            <w:pPr>
              <w:pStyle w:val="TableContents"/>
              <w:bidi w:val="0"/>
              <w:spacing w:before="0" w:after="283"/>
              <w:jc w:val="left"/>
              <w:rPr/>
            </w:pPr>
            <w:r>
              <w:rPr/>
              <w:t> </w:t>
            </w:r>
          </w:p>
        </w:tc>
      </w:tr>
      <w:tr>
        <w:trPr/>
        <w:tc>
          <w:tcPr>
            <w:tcW w:w="3740" w:type="dxa"/>
            <w:tcBorders>
              <w:bottom w:val="single" w:sz="8" w:space="0" w:color="732282"/>
            </w:tcBorders>
            <w:tcMar>
              <w:bottom w:w="28" w:type="dxa"/>
            </w:tcMar>
            <w:vAlign w:val="center"/>
          </w:tcPr>
          <w:p>
            <w:pPr>
              <w:pStyle w:val="TableContents"/>
              <w:bidi w:val="0"/>
              <w:spacing w:before="0" w:after="0"/>
              <w:jc w:val="left"/>
              <w:rPr>
                <w:rFonts w:ascii="ARIAL" w:hAnsi="ARIAL"/>
                <w:sz w:val="18"/>
              </w:rPr>
            </w:pPr>
            <w:r>
              <w:rPr>
                <w:rFonts w:ascii="ARIAL" w:hAnsi="ARIAL"/>
                <w:sz w:val="18"/>
              </w:rPr>
              <w:t>Annual Equity Grant Value (RSUs)</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920" w:type="dxa"/>
            <w:tcBorders>
              <w:bottom w:val="single" w:sz="8" w:space="0" w:color="732282"/>
            </w:tcBorders>
            <w:tcMar>
              <w:bottom w:w="28" w:type="dxa"/>
            </w:tcMar>
            <w:vAlign w:val="center"/>
          </w:tcPr>
          <w:p>
            <w:pPr>
              <w:pStyle w:val="TableContents"/>
              <w:bidi w:val="0"/>
              <w:spacing w:before="0" w:after="283"/>
              <w:jc w:val="right"/>
              <w:rPr/>
            </w:pPr>
            <w:r>
              <w:rPr/>
              <w:t>$225,000</w:t>
            </w:r>
          </w:p>
        </w:tc>
        <w:tc>
          <w:tcPr>
            <w:tcW w:w="75" w:type="dxa"/>
            <w:tcBorders>
              <w:bottom w:val="single" w:sz="8" w:space="0" w:color="732282"/>
            </w:tcBorders>
            <w:tcMar>
              <w:bottom w:w="28" w:type="dxa"/>
            </w:tcMar>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18"/>
        </w:rPr>
      </w:pPr>
      <w:r>
        <w:rPr>
          <w:rFonts w:ascii="arial" w:hAnsi="arial"/>
          <w:sz w:val="18"/>
        </w:rPr>
        <w:t xml:space="preserve">Non-Employee Directors are also eligible to receive matching charitable contributions under the Company’s Director Matching Gift Program. Under this program, to the extent Non-Employee Directors choose to make charitable contributions to qualifying charitable organizations, the Company matches those contributions dollar-for-dollar up to an annual limit of $20,000 per person per calendar year. </w:t>
      </w:r>
    </w:p>
    <w:p>
      <w:pPr>
        <w:pStyle w:val="TextBody"/>
        <w:bidi w:val="0"/>
        <w:spacing w:before="240" w:after="0"/>
        <w:jc w:val="left"/>
        <w:rPr>
          <w:rFonts w:ascii="ARIAL" w:hAnsi="ARIAL"/>
          <w:b/>
          <w:sz w:val="20"/>
        </w:rPr>
      </w:pPr>
      <w:r>
        <w:rPr>
          <w:rFonts w:ascii="ARIAL" w:hAnsi="ARIAL"/>
          <w:b/>
          <w:sz w:val="20"/>
        </w:rPr>
        <w:t xml:space="preserve">Non-Employee Director Share Ownership Guidelines </w:t>
      </w:r>
    </w:p>
    <w:p>
      <w:pPr>
        <w:pStyle w:val="TextBody"/>
        <w:bidi w:val="0"/>
        <w:spacing w:before="120" w:after="0"/>
        <w:jc w:val="both"/>
        <w:rPr>
          <w:rFonts w:ascii="arial" w:hAnsi="arial"/>
          <w:sz w:val="18"/>
        </w:rPr>
      </w:pPr>
      <w:r>
        <w:rPr>
          <w:rFonts w:ascii="arial" w:hAnsi="arial"/>
          <w:sz w:val="18"/>
        </w:rPr>
        <w:t xml:space="preserve">Effective January 1, 2021, the Board adopted revised share ownership guidelines for Non-Employee Directors, requiring each to hold common stock valued at five times the amount of their annual cash retainer, excluding any cash retainer paid for committee service. Each Non-Employee Director has five years from his or her start date to attain compliance. These guidelines further demonstrate alignment of Viatris Directors’ interests with shareholders’ interests for the duration of their Board service. Common stock actually owned by the Non-Employee Director as well as restricted shares and unvested RSUs (including corresponding DEUs) count toward compliance with these requirements.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18"/>
        <w:gridCol w:w="9187"/>
      </w:tblGrid>
      <w:tr>
        <w:trPr/>
        <w:tc>
          <w:tcPr>
            <w:tcW w:w="1018" w:type="dxa"/>
            <w:tcBorders/>
            <w:vAlign w:val="center"/>
          </w:tcPr>
          <w:p>
            <w:pPr>
              <w:pStyle w:val="TableContents"/>
              <w:bidi w:val="0"/>
              <w:spacing w:before="0" w:after="283"/>
              <w:jc w:val="left"/>
              <w:rPr>
                <w:b/>
              </w:rPr>
            </w:pPr>
            <w:bookmarkStart w:id="4" w:name="toc758146_3"/>
            <w:bookmarkEnd w:id="4"/>
            <w:r>
              <w:rPr>
                <w:b/>
              </w:rPr>
              <w:t>ITEM 12.</w:t>
            </w:r>
          </w:p>
        </w:tc>
        <w:tc>
          <w:tcPr>
            <w:tcW w:w="9187" w:type="dxa"/>
            <w:tcBorders/>
            <w:vAlign w:val="center"/>
          </w:tcPr>
          <w:p>
            <w:pPr>
              <w:pStyle w:val="TableContents"/>
              <w:bidi w:val="0"/>
              <w:spacing w:before="0" w:after="0"/>
              <w:jc w:val="left"/>
              <w:rPr>
                <w:rFonts w:ascii="ARIAL" w:hAnsi="ARIAL"/>
                <w:b/>
                <w:sz w:val="20"/>
              </w:rPr>
            </w:pPr>
            <w:r>
              <w:rPr>
                <w:rFonts w:ascii="ARIAL" w:hAnsi="ARIAL"/>
                <w:b/>
                <w:sz w:val="20"/>
              </w:rPr>
              <w:t xml:space="preserve">Security Ownership of Certain Beneficial Owners and Management and Related Stockholder Matters </w:t>
            </w:r>
          </w:p>
        </w:tc>
      </w:tr>
    </w:tbl>
    <w:p>
      <w:pPr>
        <w:pStyle w:val="TextBody"/>
        <w:bidi w:val="0"/>
        <w:spacing w:before="120" w:after="0"/>
        <w:jc w:val="both"/>
        <w:rPr>
          <w:rFonts w:ascii="arial" w:hAnsi="arial"/>
          <w:sz w:val="18"/>
        </w:rPr>
      </w:pPr>
      <w:r>
        <w:rPr>
          <w:rFonts w:ascii="arial" w:hAnsi="arial"/>
          <w:sz w:val="18"/>
        </w:rPr>
        <w:t xml:space="preserve">Certain information concerning securities authorized for issuance under equity compensation plans is contained in the discussion entitled “Equity Compensation Plan Information” in Item 12 of Part III of the Original Filing. </w:t>
      </w:r>
    </w:p>
    <w:p>
      <w:pPr>
        <w:pStyle w:val="TextBody"/>
        <w:bidi w:val="0"/>
        <w:spacing w:before="240" w:after="0"/>
        <w:jc w:val="left"/>
        <w:rPr>
          <w:rFonts w:ascii="ARIAL" w:hAnsi="ARIAL"/>
          <w:b/>
          <w:sz w:val="20"/>
        </w:rPr>
      </w:pPr>
      <w:r>
        <w:rPr>
          <w:rFonts w:ascii="ARIAL" w:hAnsi="ARIAL"/>
          <w:b/>
          <w:sz w:val="20"/>
        </w:rPr>
        <w:t xml:space="preserve">Security Ownership of Directors, NEOs and Executive Officers </w:t>
      </w:r>
    </w:p>
    <w:p>
      <w:pPr>
        <w:pStyle w:val="TextBody"/>
        <w:bidi w:val="0"/>
        <w:spacing w:before="120" w:after="0"/>
        <w:jc w:val="both"/>
        <w:rPr>
          <w:rFonts w:ascii="arial" w:hAnsi="arial"/>
          <w:sz w:val="18"/>
        </w:rPr>
      </w:pPr>
      <w:r>
        <w:rPr>
          <w:rFonts w:ascii="arial" w:hAnsi="arial"/>
          <w:sz w:val="18"/>
        </w:rPr>
        <w:t xml:space="preserve">The following table sets forth information regarding the beneficial ownership of common stock of Viatris Inc. as of April 24, 2024 by (i) each Viatris Director, (ii) each NEO, and (iii) all Directors and executive officers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57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sz w:val="18"/>
        </w:rPr>
        <w:t xml:space="preserve">Viatris Inc. as a group (based on 1,190,662,399 shares of common stock of Viatris Inc. outstanding as of such date). For purposes of this table, and in accordance with the rules of the SEC, shares are considered “beneficially owned” if the person, directly or indirectly, has sole or shared voting or investment power over such shares. A person also is considered to beneficially own shares that he or she has the right to acquire within 60 days of April 24, 2024. To Viatris’ knowledge, the persons in the following table have sole voting and investment power, either directly or through one or more entities controlled by such person, with respect to all the shares shown as beneficially owned by them, unless otherwise indicated in the footnotes below. The address for each beneficial owner listed in the table below is c/o Viatris Inc., 1000 Mylan Boulevard, Canonsburg, PA, 15317. As noted above, each Non-Employee Director has five years from their start date to attain compliance with our Stock Ownership Guidelines. In addition, each of our covered employees has five years to achieve minimum ownership requirements, as discussed in more detail in the Compensation Discussion &amp; Analysis section of this document.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203"/>
        <w:gridCol w:w="120"/>
        <w:gridCol w:w="75"/>
        <w:gridCol w:w="1235"/>
        <w:gridCol w:w="341"/>
        <w:gridCol w:w="60"/>
        <w:gridCol w:w="94"/>
        <w:gridCol w:w="1546"/>
        <w:gridCol w:w="341"/>
        <w:gridCol w:w="60"/>
        <w:gridCol w:w="316"/>
        <w:gridCol w:w="739"/>
        <w:gridCol w:w="75"/>
      </w:tblGrid>
      <w:tr>
        <w:trPr/>
        <w:tc>
          <w:tcPr>
            <w:tcW w:w="52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03" w:type="dxa"/>
            <w:tcBorders>
              <w:bottom w:val="single" w:sz="8" w:space="0" w:color="732282"/>
            </w:tcBorders>
            <w:tcMar>
              <w:bottom w:w="28" w:type="dxa"/>
            </w:tcMar>
            <w:vAlign w:val="center"/>
          </w:tcPr>
          <w:p>
            <w:pPr>
              <w:pStyle w:val="TableContents"/>
              <w:bidi w:val="0"/>
              <w:spacing w:before="0" w:after="0"/>
              <w:jc w:val="left"/>
              <w:rPr>
                <w:rFonts w:ascii="ARIAL" w:hAnsi="ARIAL"/>
                <w:b/>
                <w:color w:val="732282"/>
                <w:sz w:val="18"/>
              </w:rPr>
            </w:pPr>
            <w:r>
              <w:rPr>
                <w:rFonts w:ascii="ARIAL" w:hAnsi="ARIAL"/>
                <w:b/>
                <w:color w:val="732282"/>
                <w:sz w:val="18"/>
              </w:rPr>
              <w:t>Name of Beneficial Owner</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310" w:type="dxa"/>
            <w:gridSpan w:val="2"/>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Amount and</w:t>
              <w:br/>
              <w:t>Nature of</w:t>
              <w:br/>
              <w:t>Beneficial</w:t>
              <w:br/>
              <w:t>Ownership</w:t>
            </w:r>
          </w:p>
        </w:tc>
        <w:tc>
          <w:tcPr>
            <w:tcW w:w="341"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640" w:type="dxa"/>
            <w:gridSpan w:val="2"/>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Options</w:t>
              <w:br/>
              <w:t>Exercisable and</w:t>
              <w:br/>
              <w:t>Restricted</w:t>
              <w:br/>
              <w:t>Shares Vesting</w:t>
              <w:br/>
              <w:t>within 60 days</w:t>
            </w:r>
          </w:p>
        </w:tc>
        <w:tc>
          <w:tcPr>
            <w:tcW w:w="341"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1055" w:type="dxa"/>
            <w:gridSpan w:val="2"/>
            <w:tcBorders>
              <w:bottom w:val="single" w:sz="8" w:space="0" w:color="732282"/>
            </w:tcBorders>
            <w:tcMar>
              <w:bottom w:w="28" w:type="dxa"/>
            </w:tcMar>
            <w:vAlign w:val="center"/>
          </w:tcPr>
          <w:p>
            <w:pPr>
              <w:pStyle w:val="TableContents"/>
              <w:bidi w:val="0"/>
              <w:spacing w:before="0" w:after="283"/>
              <w:jc w:val="center"/>
              <w:rPr>
                <w:b/>
                <w:color w:val="732282"/>
              </w:rPr>
            </w:pPr>
            <w:r>
              <w:rPr>
                <w:b/>
                <w:color w:val="732282"/>
              </w:rPr>
              <w:t>Percent of</w:t>
              <w:br/>
              <w:t>Class</w:t>
            </w:r>
          </w:p>
        </w:tc>
        <w:tc>
          <w:tcPr>
            <w:tcW w:w="75" w:type="dxa"/>
            <w:tcBorders>
              <w:bottom w:val="single" w:sz="8" w:space="0" w:color="732282"/>
            </w:tcBorders>
            <w:tcMar>
              <w:bottom w:w="28" w:type="dxa"/>
            </w:tcMar>
            <w:vAlign w:val="center"/>
          </w:tcPr>
          <w:p>
            <w:pPr>
              <w:pStyle w:val="TableContents"/>
              <w:bidi w:val="0"/>
              <w:spacing w:before="0" w:after="283"/>
              <w:jc w:val="left"/>
              <w:rPr/>
            </w:pPr>
            <w:r>
              <w:rPr/>
              <w:t> </w:t>
            </w:r>
          </w:p>
        </w:tc>
      </w:tr>
      <w:tr>
        <w:trPr/>
        <w:tc>
          <w:tcPr>
            <w:tcW w:w="5203" w:type="dxa"/>
            <w:tcBorders/>
            <w:shd w:fill="E5E5E5" w:val="clear"/>
            <w:vAlign w:val="center"/>
          </w:tcPr>
          <w:p>
            <w:pPr>
              <w:pStyle w:val="TableContents"/>
              <w:bidi w:val="0"/>
              <w:spacing w:before="0" w:after="0"/>
              <w:jc w:val="left"/>
              <w:rPr>
                <w:rFonts w:ascii="ARIAL" w:hAnsi="ARIAL"/>
                <w:sz w:val="20"/>
              </w:rPr>
            </w:pPr>
            <w:r>
              <w:rPr>
                <w:rFonts w:ascii="ARIAL" w:hAnsi="ARIAL"/>
                <w:sz w:val="20"/>
              </w:rPr>
              <w:t>W. Don Cornwell</w:t>
            </w:r>
          </w:p>
        </w:tc>
        <w:tc>
          <w:tcPr>
            <w:tcW w:w="120"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1235" w:type="dxa"/>
            <w:tcBorders/>
            <w:shd w:fill="E5E5E5" w:val="clear"/>
            <w:vAlign w:val="center"/>
          </w:tcPr>
          <w:p>
            <w:pPr>
              <w:pStyle w:val="TableContents"/>
              <w:bidi w:val="0"/>
              <w:spacing w:before="0" w:after="283"/>
              <w:jc w:val="right"/>
              <w:rPr/>
            </w:pPr>
            <w:r>
              <w:rPr/>
              <w:t>61,365</w:t>
            </w:r>
          </w:p>
        </w:tc>
        <w:tc>
          <w:tcPr>
            <w:tcW w:w="341"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546" w:type="dxa"/>
            <w:tcBorders/>
            <w:shd w:fill="E5E5E5" w:val="clear"/>
            <w:vAlign w:val="center"/>
          </w:tcPr>
          <w:p>
            <w:pPr>
              <w:pStyle w:val="TableContents"/>
              <w:bidi w:val="0"/>
              <w:spacing w:before="0" w:after="283"/>
              <w:jc w:val="right"/>
              <w:rPr/>
            </w:pPr>
            <w:r>
              <w:rPr/>
              <w:t>—</w:t>
            </w:r>
          </w:p>
        </w:tc>
        <w:tc>
          <w:tcPr>
            <w:tcW w:w="341"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316" w:type="dxa"/>
            <w:tcBorders/>
            <w:shd w:fill="E5E5E5" w:val="clear"/>
            <w:vAlign w:val="center"/>
          </w:tcPr>
          <w:p>
            <w:pPr>
              <w:pStyle w:val="TableContents"/>
              <w:bidi w:val="0"/>
              <w:spacing w:before="0" w:after="283"/>
              <w:jc w:val="left"/>
              <w:rPr/>
            </w:pPr>
            <w:r>
              <w:rPr/>
              <w:t> </w:t>
            </w:r>
          </w:p>
        </w:tc>
        <w:tc>
          <w:tcPr>
            <w:tcW w:w="739" w:type="dxa"/>
            <w:tcBorders/>
            <w:shd w:fill="E5E5E5" w:val="clear"/>
            <w:vAlign w:val="center"/>
          </w:tcPr>
          <w:p>
            <w:pPr>
              <w:pStyle w:val="TableContents"/>
              <w:bidi w:val="0"/>
              <w:spacing w:before="0" w:after="283"/>
              <w:jc w:val="right"/>
              <w:rPr/>
            </w:pPr>
            <w:r>
              <w:rPr/>
              <w:t>*</w:t>
            </w:r>
          </w:p>
        </w:tc>
        <w:tc>
          <w:tcPr>
            <w:tcW w:w="75" w:type="dxa"/>
            <w:tcBorders/>
            <w:shd w:fill="E5E5E5" w:val="clear"/>
            <w:vAlign w:val="center"/>
          </w:tcPr>
          <w:p>
            <w:pPr>
              <w:pStyle w:val="TableContents"/>
              <w:bidi w:val="0"/>
              <w:spacing w:before="0" w:after="283"/>
              <w:jc w:val="left"/>
              <w:rPr/>
            </w:pPr>
            <w:r>
              <w:rPr/>
              <w:t> </w:t>
            </w:r>
          </w:p>
        </w:tc>
      </w:tr>
      <w:tr>
        <w:trPr/>
        <w:tc>
          <w:tcPr>
            <w:tcW w:w="5203" w:type="dxa"/>
            <w:tcBorders/>
            <w:vAlign w:val="center"/>
          </w:tcPr>
          <w:p>
            <w:pPr>
              <w:pStyle w:val="TableContents"/>
              <w:bidi w:val="0"/>
              <w:spacing w:before="0" w:after="0"/>
              <w:jc w:val="left"/>
              <w:rPr>
                <w:rFonts w:ascii="ARIAL" w:hAnsi="ARIAL"/>
                <w:sz w:val="20"/>
              </w:rPr>
            </w:pPr>
            <w:r>
              <w:rPr>
                <w:rFonts w:ascii="ARIAL" w:hAnsi="ARIAL"/>
                <w:sz w:val="20"/>
              </w:rPr>
              <w:t>Robert J. Coury(1)</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632,447</w:t>
            </w:r>
          </w:p>
        </w:tc>
        <w:tc>
          <w:tcPr>
            <w:tcW w:w="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283"/>
              <w:jc w:val="right"/>
              <w:rPr/>
            </w:pPr>
            <w:r>
              <w:rPr/>
              <w:t>4,307,776</w:t>
            </w:r>
          </w:p>
        </w:tc>
        <w:tc>
          <w:tcPr>
            <w:tcW w:w="341"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203" w:type="dxa"/>
            <w:tcBorders/>
            <w:shd w:fill="E5E5E5" w:val="clear"/>
            <w:vAlign w:val="center"/>
          </w:tcPr>
          <w:p>
            <w:pPr>
              <w:pStyle w:val="TableContents"/>
              <w:bidi w:val="0"/>
              <w:spacing w:before="0" w:after="0"/>
              <w:jc w:val="left"/>
              <w:rPr>
                <w:rFonts w:ascii="ARIAL" w:hAnsi="ARIAL"/>
                <w:sz w:val="20"/>
              </w:rPr>
            </w:pPr>
            <w:r>
              <w:rPr>
                <w:rFonts w:ascii="ARIAL" w:hAnsi="ARIAL"/>
                <w:sz w:val="20"/>
              </w:rPr>
              <w:t>JoEllen Lyons Dillon</w:t>
            </w:r>
          </w:p>
        </w:tc>
        <w:tc>
          <w:tcPr>
            <w:tcW w:w="120"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1235" w:type="dxa"/>
            <w:tcBorders/>
            <w:shd w:fill="E5E5E5" w:val="clear"/>
            <w:vAlign w:val="center"/>
          </w:tcPr>
          <w:p>
            <w:pPr>
              <w:pStyle w:val="TableContents"/>
              <w:bidi w:val="0"/>
              <w:spacing w:before="0" w:after="283"/>
              <w:jc w:val="right"/>
              <w:rPr/>
            </w:pPr>
            <w:r>
              <w:rPr/>
              <w:t>58,732</w:t>
            </w:r>
          </w:p>
        </w:tc>
        <w:tc>
          <w:tcPr>
            <w:tcW w:w="341" w:type="dxa"/>
            <w:tcBorders/>
            <w:shd w:fill="E5E5E5" w:val="clear"/>
            <w:vAlign w:val="center"/>
          </w:tcPr>
          <w:p>
            <w:pPr>
              <w:pStyle w:val="TableContents"/>
              <w:bidi w:val="0"/>
              <w:spacing w:before="0" w:after="283"/>
              <w:jc w:val="left"/>
              <w:rPr/>
            </w:pPr>
            <w:r>
              <w:rPr/>
              <w:t>(3) </w:t>
            </w:r>
          </w:p>
        </w:tc>
        <w:tc>
          <w:tcPr>
            <w:tcW w:w="6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546" w:type="dxa"/>
            <w:tcBorders/>
            <w:shd w:fill="E5E5E5" w:val="clear"/>
            <w:vAlign w:val="center"/>
          </w:tcPr>
          <w:p>
            <w:pPr>
              <w:pStyle w:val="TableContents"/>
              <w:bidi w:val="0"/>
              <w:spacing w:before="0" w:after="283"/>
              <w:jc w:val="right"/>
              <w:rPr/>
            </w:pPr>
            <w:r>
              <w:rPr/>
              <w:t>21,806</w:t>
            </w:r>
          </w:p>
        </w:tc>
        <w:tc>
          <w:tcPr>
            <w:tcW w:w="341"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316" w:type="dxa"/>
            <w:tcBorders/>
            <w:shd w:fill="E5E5E5" w:val="clear"/>
            <w:vAlign w:val="center"/>
          </w:tcPr>
          <w:p>
            <w:pPr>
              <w:pStyle w:val="TableContents"/>
              <w:bidi w:val="0"/>
              <w:spacing w:before="0" w:after="283"/>
              <w:jc w:val="left"/>
              <w:rPr/>
            </w:pPr>
            <w:r>
              <w:rPr/>
              <w:t> </w:t>
            </w:r>
          </w:p>
        </w:tc>
        <w:tc>
          <w:tcPr>
            <w:tcW w:w="739" w:type="dxa"/>
            <w:tcBorders/>
            <w:shd w:fill="E5E5E5" w:val="clear"/>
            <w:vAlign w:val="center"/>
          </w:tcPr>
          <w:p>
            <w:pPr>
              <w:pStyle w:val="TableContents"/>
              <w:bidi w:val="0"/>
              <w:spacing w:before="0" w:after="283"/>
              <w:jc w:val="right"/>
              <w:rPr/>
            </w:pPr>
            <w:r>
              <w:rPr/>
              <w:t>*</w:t>
            </w:r>
          </w:p>
        </w:tc>
        <w:tc>
          <w:tcPr>
            <w:tcW w:w="75" w:type="dxa"/>
            <w:tcBorders/>
            <w:shd w:fill="E5E5E5" w:val="clear"/>
            <w:vAlign w:val="center"/>
          </w:tcPr>
          <w:p>
            <w:pPr>
              <w:pStyle w:val="TableContents"/>
              <w:bidi w:val="0"/>
              <w:spacing w:before="0" w:after="283"/>
              <w:jc w:val="left"/>
              <w:rPr/>
            </w:pPr>
            <w:r>
              <w:rPr/>
              <w:t> </w:t>
            </w:r>
          </w:p>
        </w:tc>
      </w:tr>
      <w:tr>
        <w:trPr/>
        <w:tc>
          <w:tcPr>
            <w:tcW w:w="5203" w:type="dxa"/>
            <w:tcBorders/>
            <w:vAlign w:val="center"/>
          </w:tcPr>
          <w:p>
            <w:pPr>
              <w:pStyle w:val="TableContents"/>
              <w:bidi w:val="0"/>
              <w:spacing w:before="0" w:after="0"/>
              <w:jc w:val="left"/>
              <w:rPr>
                <w:rFonts w:ascii="ARIAL" w:hAnsi="ARIAL"/>
                <w:sz w:val="20"/>
              </w:rPr>
            </w:pPr>
            <w:r>
              <w:rPr>
                <w:rFonts w:ascii="ARIAL" w:hAnsi="ARIAL"/>
                <w:sz w:val="20"/>
              </w:rPr>
              <w:t>Elisha Finney</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18,855</w:t>
            </w:r>
          </w:p>
        </w:tc>
        <w:tc>
          <w:tcPr>
            <w:tcW w:w="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283"/>
              <w:jc w:val="right"/>
              <w:rPr/>
            </w:pPr>
            <w:r>
              <w:rPr/>
              <w:t>—</w:t>
            </w:r>
          </w:p>
        </w:tc>
        <w:tc>
          <w:tcPr>
            <w:tcW w:w="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203" w:type="dxa"/>
            <w:tcBorders/>
            <w:shd w:fill="E5E5E5" w:val="clear"/>
            <w:vAlign w:val="center"/>
          </w:tcPr>
          <w:p>
            <w:pPr>
              <w:pStyle w:val="TableContents"/>
              <w:bidi w:val="0"/>
              <w:spacing w:before="0" w:after="0"/>
              <w:jc w:val="left"/>
              <w:rPr>
                <w:rFonts w:ascii="ARIAL" w:hAnsi="ARIAL"/>
                <w:sz w:val="20"/>
              </w:rPr>
            </w:pPr>
            <w:r>
              <w:rPr>
                <w:rFonts w:ascii="ARIAL" w:hAnsi="ARIAL"/>
                <w:sz w:val="20"/>
              </w:rPr>
              <w:t>Michael Goettler(4)</w:t>
            </w:r>
          </w:p>
        </w:tc>
        <w:tc>
          <w:tcPr>
            <w:tcW w:w="120"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1235" w:type="dxa"/>
            <w:tcBorders/>
            <w:shd w:fill="E5E5E5" w:val="clear"/>
            <w:vAlign w:val="center"/>
          </w:tcPr>
          <w:p>
            <w:pPr>
              <w:pStyle w:val="TableContents"/>
              <w:bidi w:val="0"/>
              <w:spacing w:before="0" w:after="283"/>
              <w:jc w:val="right"/>
              <w:rPr/>
            </w:pPr>
            <w:r>
              <w:rPr/>
              <w:t>321,653</w:t>
            </w:r>
          </w:p>
        </w:tc>
        <w:tc>
          <w:tcPr>
            <w:tcW w:w="341"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546" w:type="dxa"/>
            <w:tcBorders/>
            <w:shd w:fill="E5E5E5" w:val="clear"/>
            <w:vAlign w:val="center"/>
          </w:tcPr>
          <w:p>
            <w:pPr>
              <w:pStyle w:val="TableContents"/>
              <w:bidi w:val="0"/>
              <w:spacing w:before="0" w:after="283"/>
              <w:jc w:val="right"/>
              <w:rPr/>
            </w:pPr>
            <w:r>
              <w:rPr/>
              <w:t>—</w:t>
            </w:r>
          </w:p>
        </w:tc>
        <w:tc>
          <w:tcPr>
            <w:tcW w:w="341"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316" w:type="dxa"/>
            <w:tcBorders/>
            <w:shd w:fill="E5E5E5" w:val="clear"/>
            <w:vAlign w:val="center"/>
          </w:tcPr>
          <w:p>
            <w:pPr>
              <w:pStyle w:val="TableContents"/>
              <w:bidi w:val="0"/>
              <w:spacing w:before="0" w:after="283"/>
              <w:jc w:val="left"/>
              <w:rPr/>
            </w:pPr>
            <w:r>
              <w:rPr/>
              <w:t> </w:t>
            </w:r>
          </w:p>
        </w:tc>
        <w:tc>
          <w:tcPr>
            <w:tcW w:w="739" w:type="dxa"/>
            <w:tcBorders/>
            <w:shd w:fill="E5E5E5" w:val="clear"/>
            <w:vAlign w:val="center"/>
          </w:tcPr>
          <w:p>
            <w:pPr>
              <w:pStyle w:val="TableContents"/>
              <w:bidi w:val="0"/>
              <w:spacing w:before="0" w:after="283"/>
              <w:jc w:val="right"/>
              <w:rPr/>
            </w:pPr>
            <w:r>
              <w:rPr/>
              <w:t>*</w:t>
            </w:r>
          </w:p>
        </w:tc>
        <w:tc>
          <w:tcPr>
            <w:tcW w:w="75" w:type="dxa"/>
            <w:tcBorders/>
            <w:shd w:fill="E5E5E5" w:val="clear"/>
            <w:vAlign w:val="center"/>
          </w:tcPr>
          <w:p>
            <w:pPr>
              <w:pStyle w:val="TableContents"/>
              <w:bidi w:val="0"/>
              <w:spacing w:before="0" w:after="283"/>
              <w:jc w:val="left"/>
              <w:rPr/>
            </w:pPr>
            <w:r>
              <w:rPr/>
              <w:t> </w:t>
            </w:r>
          </w:p>
        </w:tc>
      </w:tr>
      <w:tr>
        <w:trPr/>
        <w:tc>
          <w:tcPr>
            <w:tcW w:w="5203" w:type="dxa"/>
            <w:tcBorders/>
            <w:vAlign w:val="center"/>
          </w:tcPr>
          <w:p>
            <w:pPr>
              <w:pStyle w:val="TableContents"/>
              <w:bidi w:val="0"/>
              <w:spacing w:before="0" w:after="0"/>
              <w:jc w:val="left"/>
              <w:rPr>
                <w:rFonts w:ascii="ARIAL" w:hAnsi="ARIAL"/>
                <w:sz w:val="20"/>
              </w:rPr>
            </w:pPr>
            <w:r>
              <w:rPr>
                <w:rFonts w:ascii="ARIAL" w:hAnsi="ARIAL"/>
                <w:sz w:val="20"/>
              </w:rPr>
              <w:t>Leo Groothuis</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22,146</w:t>
            </w:r>
          </w:p>
        </w:tc>
        <w:tc>
          <w:tcPr>
            <w:tcW w:w="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283"/>
              <w:jc w:val="right"/>
              <w:rPr/>
            </w:pPr>
            <w:r>
              <w:rPr/>
              <w:t>—</w:t>
            </w:r>
          </w:p>
        </w:tc>
        <w:tc>
          <w:tcPr>
            <w:tcW w:w="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203" w:type="dxa"/>
            <w:tcBorders/>
            <w:shd w:fill="E5E5E5" w:val="clear"/>
            <w:vAlign w:val="center"/>
          </w:tcPr>
          <w:p>
            <w:pPr>
              <w:pStyle w:val="TableContents"/>
              <w:bidi w:val="0"/>
              <w:spacing w:before="0" w:after="0"/>
              <w:jc w:val="left"/>
              <w:rPr>
                <w:rFonts w:ascii="ARIAL" w:hAnsi="ARIAL"/>
                <w:sz w:val="20"/>
              </w:rPr>
            </w:pPr>
            <w:r>
              <w:rPr>
                <w:rFonts w:ascii="ARIAL" w:hAnsi="ARIAL"/>
                <w:sz w:val="20"/>
              </w:rPr>
              <w:t>Melina Higgins</w:t>
            </w:r>
          </w:p>
        </w:tc>
        <w:tc>
          <w:tcPr>
            <w:tcW w:w="120"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1235" w:type="dxa"/>
            <w:tcBorders/>
            <w:shd w:fill="E5E5E5" w:val="clear"/>
            <w:vAlign w:val="center"/>
          </w:tcPr>
          <w:p>
            <w:pPr>
              <w:pStyle w:val="TableContents"/>
              <w:bidi w:val="0"/>
              <w:spacing w:before="0" w:after="283"/>
              <w:jc w:val="right"/>
              <w:rPr/>
            </w:pPr>
            <w:r>
              <w:rPr/>
              <w:t>176,236</w:t>
            </w:r>
          </w:p>
        </w:tc>
        <w:tc>
          <w:tcPr>
            <w:tcW w:w="341" w:type="dxa"/>
            <w:tcBorders/>
            <w:shd w:fill="E5E5E5" w:val="clear"/>
            <w:vAlign w:val="center"/>
          </w:tcPr>
          <w:p>
            <w:pPr>
              <w:pStyle w:val="TableContents"/>
              <w:bidi w:val="0"/>
              <w:spacing w:before="0" w:after="283"/>
              <w:jc w:val="left"/>
              <w:rPr/>
            </w:pPr>
            <w:r>
              <w:rPr/>
              <w:t>(5) </w:t>
            </w:r>
          </w:p>
        </w:tc>
        <w:tc>
          <w:tcPr>
            <w:tcW w:w="6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546" w:type="dxa"/>
            <w:tcBorders/>
            <w:shd w:fill="E5E5E5" w:val="clear"/>
            <w:vAlign w:val="center"/>
          </w:tcPr>
          <w:p>
            <w:pPr>
              <w:pStyle w:val="TableContents"/>
              <w:bidi w:val="0"/>
              <w:spacing w:before="0" w:after="283"/>
              <w:jc w:val="right"/>
              <w:rPr/>
            </w:pPr>
            <w:r>
              <w:rPr/>
              <w:t>21,806</w:t>
            </w:r>
          </w:p>
        </w:tc>
        <w:tc>
          <w:tcPr>
            <w:tcW w:w="341"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316" w:type="dxa"/>
            <w:tcBorders/>
            <w:shd w:fill="E5E5E5" w:val="clear"/>
            <w:vAlign w:val="center"/>
          </w:tcPr>
          <w:p>
            <w:pPr>
              <w:pStyle w:val="TableContents"/>
              <w:bidi w:val="0"/>
              <w:spacing w:before="0" w:after="283"/>
              <w:jc w:val="left"/>
              <w:rPr/>
            </w:pPr>
            <w:r>
              <w:rPr/>
              <w:t> </w:t>
            </w:r>
          </w:p>
        </w:tc>
        <w:tc>
          <w:tcPr>
            <w:tcW w:w="739" w:type="dxa"/>
            <w:tcBorders/>
            <w:shd w:fill="E5E5E5" w:val="clear"/>
            <w:vAlign w:val="center"/>
          </w:tcPr>
          <w:p>
            <w:pPr>
              <w:pStyle w:val="TableContents"/>
              <w:bidi w:val="0"/>
              <w:spacing w:before="0" w:after="283"/>
              <w:jc w:val="right"/>
              <w:rPr/>
            </w:pPr>
            <w:r>
              <w:rPr/>
              <w:t>*</w:t>
            </w:r>
          </w:p>
        </w:tc>
        <w:tc>
          <w:tcPr>
            <w:tcW w:w="75" w:type="dxa"/>
            <w:tcBorders/>
            <w:shd w:fill="E5E5E5" w:val="clear"/>
            <w:vAlign w:val="center"/>
          </w:tcPr>
          <w:p>
            <w:pPr>
              <w:pStyle w:val="TableContents"/>
              <w:bidi w:val="0"/>
              <w:spacing w:before="0" w:after="283"/>
              <w:jc w:val="left"/>
              <w:rPr/>
            </w:pPr>
            <w:r>
              <w:rPr/>
              <w:t> </w:t>
            </w:r>
          </w:p>
        </w:tc>
      </w:tr>
      <w:tr>
        <w:trPr/>
        <w:tc>
          <w:tcPr>
            <w:tcW w:w="5203" w:type="dxa"/>
            <w:tcBorders/>
            <w:vAlign w:val="center"/>
          </w:tcPr>
          <w:p>
            <w:pPr>
              <w:pStyle w:val="TableContents"/>
              <w:bidi w:val="0"/>
              <w:spacing w:before="0" w:after="0"/>
              <w:jc w:val="left"/>
              <w:rPr>
                <w:rFonts w:ascii="ARIAL" w:hAnsi="ARIAL"/>
                <w:sz w:val="20"/>
              </w:rPr>
            </w:pPr>
            <w:r>
              <w:rPr>
                <w:rFonts w:ascii="ARIAL" w:hAnsi="ARIAL"/>
                <w:sz w:val="20"/>
              </w:rPr>
              <w:t>James Kilts</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117,445</w:t>
            </w:r>
          </w:p>
        </w:tc>
        <w:tc>
          <w:tcPr>
            <w:tcW w:w="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283"/>
              <w:jc w:val="right"/>
              <w:rPr/>
            </w:pPr>
            <w:r>
              <w:rPr/>
              <w:t>—</w:t>
            </w:r>
          </w:p>
        </w:tc>
        <w:tc>
          <w:tcPr>
            <w:tcW w:w="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203" w:type="dxa"/>
            <w:tcBorders/>
            <w:shd w:fill="E5E5E5" w:val="clear"/>
            <w:vAlign w:val="center"/>
          </w:tcPr>
          <w:p>
            <w:pPr>
              <w:pStyle w:val="TableContents"/>
              <w:bidi w:val="0"/>
              <w:spacing w:before="0" w:after="0"/>
              <w:jc w:val="left"/>
              <w:rPr>
                <w:rFonts w:ascii="ARIAL" w:hAnsi="ARIAL"/>
                <w:sz w:val="20"/>
              </w:rPr>
            </w:pPr>
            <w:r>
              <w:rPr>
                <w:rFonts w:ascii="ARIAL" w:hAnsi="ARIAL"/>
                <w:sz w:val="20"/>
              </w:rPr>
              <w:t>Harry Korman</w:t>
            </w:r>
          </w:p>
        </w:tc>
        <w:tc>
          <w:tcPr>
            <w:tcW w:w="120"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1235" w:type="dxa"/>
            <w:tcBorders/>
            <w:shd w:fill="E5E5E5" w:val="clear"/>
            <w:vAlign w:val="center"/>
          </w:tcPr>
          <w:p>
            <w:pPr>
              <w:pStyle w:val="TableContents"/>
              <w:bidi w:val="0"/>
              <w:spacing w:before="0" w:after="283"/>
              <w:jc w:val="right"/>
              <w:rPr/>
            </w:pPr>
            <w:r>
              <w:rPr/>
              <w:t>89,806</w:t>
            </w:r>
          </w:p>
        </w:tc>
        <w:tc>
          <w:tcPr>
            <w:tcW w:w="341"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546" w:type="dxa"/>
            <w:tcBorders/>
            <w:shd w:fill="E5E5E5" w:val="clear"/>
            <w:vAlign w:val="center"/>
          </w:tcPr>
          <w:p>
            <w:pPr>
              <w:pStyle w:val="TableContents"/>
              <w:bidi w:val="0"/>
              <w:spacing w:before="0" w:after="283"/>
              <w:jc w:val="right"/>
              <w:rPr/>
            </w:pPr>
            <w:r>
              <w:rPr/>
              <w:t>13,949</w:t>
            </w:r>
          </w:p>
        </w:tc>
        <w:tc>
          <w:tcPr>
            <w:tcW w:w="341"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316" w:type="dxa"/>
            <w:tcBorders/>
            <w:shd w:fill="E5E5E5" w:val="clear"/>
            <w:vAlign w:val="center"/>
          </w:tcPr>
          <w:p>
            <w:pPr>
              <w:pStyle w:val="TableContents"/>
              <w:bidi w:val="0"/>
              <w:spacing w:before="0" w:after="283"/>
              <w:jc w:val="left"/>
              <w:rPr/>
            </w:pPr>
            <w:r>
              <w:rPr/>
              <w:t> </w:t>
            </w:r>
          </w:p>
        </w:tc>
        <w:tc>
          <w:tcPr>
            <w:tcW w:w="739" w:type="dxa"/>
            <w:tcBorders/>
            <w:shd w:fill="E5E5E5" w:val="clear"/>
            <w:vAlign w:val="center"/>
          </w:tcPr>
          <w:p>
            <w:pPr>
              <w:pStyle w:val="TableContents"/>
              <w:bidi w:val="0"/>
              <w:spacing w:before="0" w:after="283"/>
              <w:jc w:val="right"/>
              <w:rPr/>
            </w:pPr>
            <w:r>
              <w:rPr/>
              <w:t>*</w:t>
            </w:r>
          </w:p>
        </w:tc>
        <w:tc>
          <w:tcPr>
            <w:tcW w:w="75" w:type="dxa"/>
            <w:tcBorders/>
            <w:shd w:fill="E5E5E5" w:val="clear"/>
            <w:vAlign w:val="center"/>
          </w:tcPr>
          <w:p>
            <w:pPr>
              <w:pStyle w:val="TableContents"/>
              <w:bidi w:val="0"/>
              <w:spacing w:before="0" w:after="283"/>
              <w:jc w:val="left"/>
              <w:rPr/>
            </w:pPr>
            <w:r>
              <w:rPr/>
              <w:t> </w:t>
            </w:r>
          </w:p>
        </w:tc>
      </w:tr>
      <w:tr>
        <w:trPr/>
        <w:tc>
          <w:tcPr>
            <w:tcW w:w="5203" w:type="dxa"/>
            <w:tcBorders/>
            <w:vAlign w:val="center"/>
          </w:tcPr>
          <w:p>
            <w:pPr>
              <w:pStyle w:val="TableContents"/>
              <w:bidi w:val="0"/>
              <w:spacing w:before="0" w:after="0"/>
              <w:jc w:val="left"/>
              <w:rPr>
                <w:rFonts w:ascii="ARIAL" w:hAnsi="ARIAL"/>
                <w:sz w:val="20"/>
              </w:rPr>
            </w:pPr>
            <w:r>
              <w:rPr>
                <w:rFonts w:ascii="ARIAL" w:hAnsi="ARIAL"/>
                <w:sz w:val="20"/>
              </w:rPr>
              <w:t>Rajiv Malik</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1,455,798</w:t>
            </w:r>
          </w:p>
        </w:tc>
        <w:tc>
          <w:tcPr>
            <w:tcW w:w="341"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283"/>
              <w:jc w:val="right"/>
              <w:rPr/>
            </w:pPr>
            <w:r>
              <w:rPr/>
              <w:t>373,903</w:t>
            </w:r>
          </w:p>
        </w:tc>
        <w:tc>
          <w:tcPr>
            <w:tcW w:w="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203" w:type="dxa"/>
            <w:tcBorders/>
            <w:shd w:fill="E5E5E5" w:val="clear"/>
            <w:vAlign w:val="center"/>
          </w:tcPr>
          <w:p>
            <w:pPr>
              <w:pStyle w:val="TableContents"/>
              <w:bidi w:val="0"/>
              <w:spacing w:before="0" w:after="0"/>
              <w:jc w:val="left"/>
              <w:rPr>
                <w:rFonts w:ascii="ARIAL" w:hAnsi="ARIAL"/>
                <w:sz w:val="20"/>
              </w:rPr>
            </w:pPr>
            <w:r>
              <w:rPr>
                <w:rFonts w:ascii="ARIAL" w:hAnsi="ARIAL"/>
                <w:sz w:val="20"/>
              </w:rPr>
              <w:t>Richard Mark</w:t>
            </w:r>
          </w:p>
        </w:tc>
        <w:tc>
          <w:tcPr>
            <w:tcW w:w="120"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1235" w:type="dxa"/>
            <w:tcBorders/>
            <w:shd w:fill="E5E5E5" w:val="clear"/>
            <w:vAlign w:val="center"/>
          </w:tcPr>
          <w:p>
            <w:pPr>
              <w:pStyle w:val="TableContents"/>
              <w:bidi w:val="0"/>
              <w:spacing w:before="0" w:after="283"/>
              <w:jc w:val="right"/>
              <w:rPr/>
            </w:pPr>
            <w:r>
              <w:rPr/>
              <w:t>72,333</w:t>
            </w:r>
          </w:p>
        </w:tc>
        <w:tc>
          <w:tcPr>
            <w:tcW w:w="341"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546" w:type="dxa"/>
            <w:tcBorders/>
            <w:shd w:fill="E5E5E5" w:val="clear"/>
            <w:vAlign w:val="center"/>
          </w:tcPr>
          <w:p>
            <w:pPr>
              <w:pStyle w:val="TableContents"/>
              <w:bidi w:val="0"/>
              <w:spacing w:before="0" w:after="283"/>
              <w:jc w:val="right"/>
              <w:rPr/>
            </w:pPr>
            <w:r>
              <w:rPr/>
              <w:t>12,260</w:t>
            </w:r>
          </w:p>
        </w:tc>
        <w:tc>
          <w:tcPr>
            <w:tcW w:w="341"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316" w:type="dxa"/>
            <w:tcBorders/>
            <w:shd w:fill="E5E5E5" w:val="clear"/>
            <w:vAlign w:val="center"/>
          </w:tcPr>
          <w:p>
            <w:pPr>
              <w:pStyle w:val="TableContents"/>
              <w:bidi w:val="0"/>
              <w:spacing w:before="0" w:after="283"/>
              <w:jc w:val="left"/>
              <w:rPr/>
            </w:pPr>
            <w:r>
              <w:rPr/>
              <w:t> </w:t>
            </w:r>
          </w:p>
        </w:tc>
        <w:tc>
          <w:tcPr>
            <w:tcW w:w="739" w:type="dxa"/>
            <w:tcBorders/>
            <w:shd w:fill="E5E5E5" w:val="clear"/>
            <w:vAlign w:val="center"/>
          </w:tcPr>
          <w:p>
            <w:pPr>
              <w:pStyle w:val="TableContents"/>
              <w:bidi w:val="0"/>
              <w:spacing w:before="0" w:after="283"/>
              <w:jc w:val="right"/>
              <w:rPr/>
            </w:pPr>
            <w:r>
              <w:rPr/>
              <w:t>*</w:t>
            </w:r>
          </w:p>
        </w:tc>
        <w:tc>
          <w:tcPr>
            <w:tcW w:w="75" w:type="dxa"/>
            <w:tcBorders/>
            <w:shd w:fill="E5E5E5" w:val="clear"/>
            <w:vAlign w:val="center"/>
          </w:tcPr>
          <w:p>
            <w:pPr>
              <w:pStyle w:val="TableContents"/>
              <w:bidi w:val="0"/>
              <w:spacing w:before="0" w:after="283"/>
              <w:jc w:val="left"/>
              <w:rPr/>
            </w:pPr>
            <w:r>
              <w:rPr/>
              <w:t> </w:t>
            </w:r>
          </w:p>
        </w:tc>
      </w:tr>
      <w:tr>
        <w:trPr/>
        <w:tc>
          <w:tcPr>
            <w:tcW w:w="5203" w:type="dxa"/>
            <w:tcBorders/>
            <w:vAlign w:val="center"/>
          </w:tcPr>
          <w:p>
            <w:pPr>
              <w:pStyle w:val="TableContents"/>
              <w:bidi w:val="0"/>
              <w:spacing w:before="0" w:after="0"/>
              <w:jc w:val="left"/>
              <w:rPr>
                <w:rFonts w:ascii="ARIAL" w:hAnsi="ARIAL"/>
                <w:sz w:val="20"/>
              </w:rPr>
            </w:pPr>
            <w:r>
              <w:rPr>
                <w:rFonts w:ascii="ARIAL" w:hAnsi="ARIAL"/>
                <w:sz w:val="20"/>
              </w:rPr>
              <w:t>Anthony Mauro(7)</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248,618</w:t>
            </w:r>
          </w:p>
        </w:tc>
        <w:tc>
          <w:tcPr>
            <w:tcW w:w="341"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283"/>
              <w:jc w:val="right"/>
              <w:rPr/>
            </w:pPr>
            <w:r>
              <w:rPr/>
              <w:t>169,899</w:t>
            </w:r>
          </w:p>
        </w:tc>
        <w:tc>
          <w:tcPr>
            <w:tcW w:w="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203" w:type="dxa"/>
            <w:tcBorders/>
            <w:shd w:fill="E5E5E5" w:val="clear"/>
            <w:vAlign w:val="center"/>
          </w:tcPr>
          <w:p>
            <w:pPr>
              <w:pStyle w:val="TableContents"/>
              <w:bidi w:val="0"/>
              <w:spacing w:before="0" w:after="0"/>
              <w:jc w:val="left"/>
              <w:rPr>
                <w:rFonts w:ascii="ARIAL" w:hAnsi="ARIAL"/>
                <w:sz w:val="20"/>
              </w:rPr>
            </w:pPr>
            <w:r>
              <w:rPr>
                <w:rFonts w:ascii="ARIAL" w:hAnsi="ARIAL"/>
                <w:sz w:val="20"/>
              </w:rPr>
              <w:t>Sanjeev Narula(9)</w:t>
            </w:r>
          </w:p>
        </w:tc>
        <w:tc>
          <w:tcPr>
            <w:tcW w:w="120"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1235" w:type="dxa"/>
            <w:tcBorders/>
            <w:shd w:fill="E5E5E5" w:val="clear"/>
            <w:vAlign w:val="center"/>
          </w:tcPr>
          <w:p>
            <w:pPr>
              <w:pStyle w:val="TableContents"/>
              <w:bidi w:val="0"/>
              <w:spacing w:before="0" w:after="283"/>
              <w:jc w:val="right"/>
              <w:rPr/>
            </w:pPr>
            <w:r>
              <w:rPr/>
              <w:t>216,007</w:t>
            </w:r>
          </w:p>
        </w:tc>
        <w:tc>
          <w:tcPr>
            <w:tcW w:w="341"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546" w:type="dxa"/>
            <w:tcBorders/>
            <w:shd w:fill="E5E5E5" w:val="clear"/>
            <w:vAlign w:val="center"/>
          </w:tcPr>
          <w:p>
            <w:pPr>
              <w:pStyle w:val="TableContents"/>
              <w:bidi w:val="0"/>
              <w:spacing w:before="0" w:after="283"/>
              <w:jc w:val="right"/>
              <w:rPr/>
            </w:pPr>
            <w:r>
              <w:rPr/>
              <w:t>—</w:t>
            </w:r>
          </w:p>
        </w:tc>
        <w:tc>
          <w:tcPr>
            <w:tcW w:w="341"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316" w:type="dxa"/>
            <w:tcBorders/>
            <w:shd w:fill="E5E5E5" w:val="clear"/>
            <w:vAlign w:val="center"/>
          </w:tcPr>
          <w:p>
            <w:pPr>
              <w:pStyle w:val="TableContents"/>
              <w:bidi w:val="0"/>
              <w:spacing w:before="0" w:after="283"/>
              <w:jc w:val="left"/>
              <w:rPr/>
            </w:pPr>
            <w:r>
              <w:rPr/>
              <w:t> </w:t>
            </w:r>
          </w:p>
        </w:tc>
        <w:tc>
          <w:tcPr>
            <w:tcW w:w="739" w:type="dxa"/>
            <w:tcBorders/>
            <w:shd w:fill="E5E5E5" w:val="clear"/>
            <w:vAlign w:val="center"/>
          </w:tcPr>
          <w:p>
            <w:pPr>
              <w:pStyle w:val="TableContents"/>
              <w:bidi w:val="0"/>
              <w:spacing w:before="0" w:after="283"/>
              <w:jc w:val="right"/>
              <w:rPr/>
            </w:pPr>
            <w:r>
              <w:rPr/>
              <w:t>*</w:t>
            </w:r>
          </w:p>
        </w:tc>
        <w:tc>
          <w:tcPr>
            <w:tcW w:w="75" w:type="dxa"/>
            <w:tcBorders/>
            <w:shd w:fill="E5E5E5" w:val="clear"/>
            <w:vAlign w:val="center"/>
          </w:tcPr>
          <w:p>
            <w:pPr>
              <w:pStyle w:val="TableContents"/>
              <w:bidi w:val="0"/>
              <w:spacing w:before="0" w:after="283"/>
              <w:jc w:val="left"/>
              <w:rPr/>
            </w:pPr>
            <w:r>
              <w:rPr/>
              <w:t> </w:t>
            </w:r>
          </w:p>
        </w:tc>
      </w:tr>
      <w:tr>
        <w:trPr/>
        <w:tc>
          <w:tcPr>
            <w:tcW w:w="5203" w:type="dxa"/>
            <w:tcBorders/>
            <w:vAlign w:val="center"/>
          </w:tcPr>
          <w:p>
            <w:pPr>
              <w:pStyle w:val="TableContents"/>
              <w:bidi w:val="0"/>
              <w:spacing w:before="0" w:after="0"/>
              <w:jc w:val="left"/>
              <w:rPr>
                <w:rFonts w:ascii="ARIAL" w:hAnsi="ARIAL"/>
                <w:sz w:val="20"/>
              </w:rPr>
            </w:pPr>
            <w:r>
              <w:rPr>
                <w:rFonts w:ascii="ARIAL" w:hAnsi="ARIAL"/>
                <w:sz w:val="20"/>
              </w:rPr>
              <w:t>Mark Parrish</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121,418</w:t>
            </w:r>
          </w:p>
        </w:tc>
        <w:tc>
          <w:tcPr>
            <w:tcW w:w="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283"/>
              <w:jc w:val="right"/>
              <w:rPr/>
            </w:pPr>
            <w:r>
              <w:rPr/>
              <w:t>21,806</w:t>
            </w:r>
          </w:p>
        </w:tc>
        <w:tc>
          <w:tcPr>
            <w:tcW w:w="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203" w:type="dxa"/>
            <w:tcBorders/>
            <w:shd w:fill="E5E5E5" w:val="clear"/>
            <w:vAlign w:val="center"/>
          </w:tcPr>
          <w:p>
            <w:pPr>
              <w:pStyle w:val="TableContents"/>
              <w:bidi w:val="0"/>
              <w:spacing w:before="0" w:after="0"/>
              <w:jc w:val="left"/>
              <w:rPr>
                <w:rFonts w:ascii="ARIAL" w:hAnsi="ARIAL"/>
                <w:sz w:val="20"/>
              </w:rPr>
            </w:pPr>
            <w:r>
              <w:rPr>
                <w:rFonts w:ascii="ARIAL" w:hAnsi="ARIAL"/>
                <w:sz w:val="20"/>
              </w:rPr>
              <w:t>Brian Roman</w:t>
            </w:r>
          </w:p>
        </w:tc>
        <w:tc>
          <w:tcPr>
            <w:tcW w:w="120"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1235" w:type="dxa"/>
            <w:tcBorders/>
            <w:shd w:fill="E5E5E5" w:val="clear"/>
            <w:vAlign w:val="center"/>
          </w:tcPr>
          <w:p>
            <w:pPr>
              <w:pStyle w:val="TableContents"/>
              <w:bidi w:val="0"/>
              <w:spacing w:before="0" w:after="283"/>
              <w:jc w:val="right"/>
              <w:rPr/>
            </w:pPr>
            <w:r>
              <w:rPr/>
              <w:t>157,142</w:t>
            </w:r>
          </w:p>
        </w:tc>
        <w:tc>
          <w:tcPr>
            <w:tcW w:w="341"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546" w:type="dxa"/>
            <w:tcBorders/>
            <w:shd w:fill="E5E5E5" w:val="clear"/>
            <w:vAlign w:val="center"/>
          </w:tcPr>
          <w:p>
            <w:pPr>
              <w:pStyle w:val="TableContents"/>
              <w:bidi w:val="0"/>
              <w:spacing w:before="0" w:after="283"/>
              <w:jc w:val="right"/>
              <w:rPr/>
            </w:pPr>
            <w:r>
              <w:rPr/>
              <w:t>36,806</w:t>
            </w:r>
          </w:p>
        </w:tc>
        <w:tc>
          <w:tcPr>
            <w:tcW w:w="341"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316" w:type="dxa"/>
            <w:tcBorders/>
            <w:shd w:fill="E5E5E5" w:val="clear"/>
            <w:vAlign w:val="center"/>
          </w:tcPr>
          <w:p>
            <w:pPr>
              <w:pStyle w:val="TableContents"/>
              <w:bidi w:val="0"/>
              <w:spacing w:before="0" w:after="283"/>
              <w:jc w:val="left"/>
              <w:rPr>
                <w:sz w:val="4"/>
                <w:szCs w:val="4"/>
              </w:rPr>
            </w:pPr>
            <w:r>
              <w:rPr>
                <w:sz w:val="4"/>
                <w:szCs w:val="4"/>
              </w:rPr>
            </w:r>
          </w:p>
        </w:tc>
        <w:tc>
          <w:tcPr>
            <w:tcW w:w="739" w:type="dxa"/>
            <w:tcBorders/>
            <w:shd w:fill="E5E5E5" w:val="clear"/>
            <w:vAlign w:val="center"/>
          </w:tcPr>
          <w:p>
            <w:pPr>
              <w:pStyle w:val="TableContents"/>
              <w:bidi w:val="0"/>
              <w:spacing w:before="0" w:after="283"/>
              <w:jc w:val="left"/>
              <w:rPr>
                <w:sz w:val="4"/>
                <w:szCs w:val="4"/>
              </w:rPr>
            </w:pPr>
            <w:r>
              <w:rPr>
                <w:sz w:val="4"/>
                <w:szCs w:val="4"/>
              </w:rPr>
            </w:r>
          </w:p>
        </w:tc>
        <w:tc>
          <w:tcPr>
            <w:tcW w:w="75" w:type="dxa"/>
            <w:tcBorders/>
            <w:shd w:fill="E5E5E5" w:val="clear"/>
            <w:vAlign w:val="center"/>
          </w:tcPr>
          <w:p>
            <w:pPr>
              <w:pStyle w:val="TableContents"/>
              <w:bidi w:val="0"/>
              <w:spacing w:before="0" w:after="283"/>
              <w:jc w:val="left"/>
              <w:rPr>
                <w:sz w:val="4"/>
                <w:szCs w:val="4"/>
              </w:rPr>
            </w:pPr>
            <w:r>
              <w:rPr>
                <w:sz w:val="4"/>
                <w:szCs w:val="4"/>
              </w:rPr>
            </w:r>
          </w:p>
        </w:tc>
      </w:tr>
      <w:tr>
        <w:trPr/>
        <w:tc>
          <w:tcPr>
            <w:tcW w:w="5203" w:type="dxa"/>
            <w:tcBorders/>
            <w:vAlign w:val="center"/>
          </w:tcPr>
          <w:p>
            <w:pPr>
              <w:pStyle w:val="TableContents"/>
              <w:bidi w:val="0"/>
              <w:spacing w:before="0" w:after="0"/>
              <w:jc w:val="left"/>
              <w:rPr>
                <w:rFonts w:ascii="ARIAL" w:hAnsi="ARIAL"/>
                <w:sz w:val="20"/>
              </w:rPr>
            </w:pPr>
            <w:r>
              <w:rPr>
                <w:rFonts w:ascii="ARIAL" w:hAnsi="ARIAL"/>
                <w:sz w:val="20"/>
              </w:rPr>
              <w:t>Scott A. Smith</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85,350</w:t>
            </w:r>
          </w:p>
        </w:tc>
        <w:tc>
          <w:tcPr>
            <w:tcW w:w="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283"/>
              <w:jc w:val="right"/>
              <w:rPr/>
            </w:pPr>
            <w:r>
              <w:rPr/>
              <w:t>—</w:t>
            </w:r>
          </w:p>
        </w:tc>
        <w:tc>
          <w:tcPr>
            <w:tcW w:w="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203" w:type="dxa"/>
            <w:tcBorders>
              <w:bottom w:val="single" w:sz="8" w:space="0" w:color="732282"/>
            </w:tcBorders>
            <w:shd w:fill="E5E5E5" w:val="clear"/>
            <w:tcMar>
              <w:bottom w:w="28" w:type="dxa"/>
            </w:tcMar>
            <w:vAlign w:val="center"/>
          </w:tcPr>
          <w:p>
            <w:pPr>
              <w:pStyle w:val="TableContents"/>
              <w:bidi w:val="0"/>
              <w:spacing w:before="0" w:after="0"/>
              <w:jc w:val="left"/>
              <w:rPr>
                <w:rFonts w:ascii="ARIAL" w:hAnsi="ARIAL"/>
                <w:sz w:val="20"/>
              </w:rPr>
            </w:pPr>
            <w:r>
              <w:rPr>
                <w:rFonts w:ascii="ARIAL" w:hAnsi="ARIAL"/>
                <w:sz w:val="20"/>
              </w:rPr>
              <w:t>All directors and executive officers as a group (15 persons)(10)</w:t>
            </w:r>
          </w:p>
        </w:tc>
        <w:tc>
          <w:tcPr>
            <w:tcW w:w="12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75"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235" w:type="dxa"/>
            <w:tcBorders>
              <w:bottom w:val="single" w:sz="8" w:space="0" w:color="732282"/>
            </w:tcBorders>
            <w:shd w:fill="E5E5E5" w:val="clear"/>
            <w:tcMar>
              <w:bottom w:w="28" w:type="dxa"/>
            </w:tcMar>
            <w:vAlign w:val="center"/>
          </w:tcPr>
          <w:p>
            <w:pPr>
              <w:pStyle w:val="TableContents"/>
              <w:bidi w:val="0"/>
              <w:spacing w:before="0" w:after="283"/>
              <w:jc w:val="right"/>
              <w:rPr/>
            </w:pPr>
            <w:r>
              <w:rPr/>
              <w:t>2,590,770</w:t>
            </w:r>
          </w:p>
        </w:tc>
        <w:tc>
          <w:tcPr>
            <w:tcW w:w="341"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94"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546" w:type="dxa"/>
            <w:tcBorders>
              <w:bottom w:val="single" w:sz="8" w:space="0" w:color="732282"/>
            </w:tcBorders>
            <w:shd w:fill="E5E5E5" w:val="clear"/>
            <w:tcMar>
              <w:bottom w:w="28" w:type="dxa"/>
            </w:tcMar>
            <w:vAlign w:val="center"/>
          </w:tcPr>
          <w:p>
            <w:pPr>
              <w:pStyle w:val="TableContents"/>
              <w:bidi w:val="0"/>
              <w:spacing w:before="0" w:after="283"/>
              <w:jc w:val="right"/>
              <w:rPr/>
            </w:pPr>
            <w:r>
              <w:rPr/>
              <w:t>541,118</w:t>
            </w:r>
          </w:p>
        </w:tc>
        <w:tc>
          <w:tcPr>
            <w:tcW w:w="341"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316"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739" w:type="dxa"/>
            <w:tcBorders>
              <w:bottom w:val="single" w:sz="8" w:space="0" w:color="732282"/>
            </w:tcBorders>
            <w:shd w:fill="E5E5E5" w:val="clear"/>
            <w:tcMar>
              <w:bottom w:w="28" w:type="dxa"/>
            </w:tcMar>
            <w:vAlign w:val="center"/>
          </w:tcPr>
          <w:p>
            <w:pPr>
              <w:pStyle w:val="TableContents"/>
              <w:bidi w:val="0"/>
              <w:spacing w:before="0" w:after="283"/>
              <w:jc w:val="right"/>
              <w:rPr/>
            </w:pPr>
            <w:r>
              <w:rPr/>
              <w:t>*</w:t>
            </w:r>
          </w:p>
        </w:tc>
        <w:tc>
          <w:tcPr>
            <w:tcW w:w="75"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390" w:type="dxa"/>
        <w:jc w:val="left"/>
        <w:tblInd w:w="0" w:type="dxa"/>
        <w:tblLayout w:type="fixed"/>
        <w:tblCellMar>
          <w:top w:w="0" w:type="dxa"/>
          <w:left w:w="0" w:type="dxa"/>
          <w:bottom w:w="0" w:type="dxa"/>
          <w:right w:w="0" w:type="dxa"/>
        </w:tblCellMar>
      </w:tblPr>
      <w:tblGrid>
        <w:gridCol w:w="155"/>
        <w:gridCol w:w="1235"/>
      </w:tblGrid>
      <w:tr>
        <w:trPr/>
        <w:tc>
          <w:tcPr>
            <w:tcW w:w="155" w:type="dxa"/>
            <w:tcBorders/>
            <w:vAlign w:val="center"/>
          </w:tcPr>
          <w:p>
            <w:pPr>
              <w:pStyle w:val="TableContents"/>
              <w:bidi w:val="0"/>
              <w:spacing w:before="0" w:after="283"/>
              <w:jc w:val="left"/>
              <w:rPr>
                <w:i/>
              </w:rPr>
            </w:pPr>
            <w:r>
              <w:rPr>
                <w:i/>
              </w:rPr>
              <w:t>*</w:t>
            </w:r>
          </w:p>
        </w:tc>
        <w:tc>
          <w:tcPr>
            <w:tcW w:w="1235" w:type="dxa"/>
            <w:tcBorders/>
            <w:vAlign w:val="center"/>
          </w:tcPr>
          <w:p>
            <w:pPr>
              <w:pStyle w:val="TableContents"/>
              <w:bidi w:val="0"/>
              <w:spacing w:before="0" w:after="0"/>
              <w:jc w:val="both"/>
              <w:rPr>
                <w:rFonts w:ascii="arial" w:hAnsi="arial"/>
                <w:i/>
                <w:sz w:val="18"/>
              </w:rPr>
            </w:pPr>
            <w:r>
              <w:rPr>
                <w:rFonts w:ascii="arial" w:hAnsi="arial"/>
                <w:i/>
                <w:sz w:val="18"/>
              </w:rPr>
              <w:t xml:space="preserve">Less than 1%.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i/>
              </w:rPr>
            </w:pPr>
            <w:r>
              <w:rPr>
                <w:i/>
              </w:rPr>
              <w:t>(1)</w:t>
            </w:r>
          </w:p>
        </w:tc>
        <w:tc>
          <w:tcPr>
            <w:tcW w:w="9929" w:type="dxa"/>
            <w:tcBorders/>
            <w:vAlign w:val="center"/>
          </w:tcPr>
          <w:p>
            <w:pPr>
              <w:pStyle w:val="TableContents"/>
              <w:bidi w:val="0"/>
              <w:spacing w:before="0" w:after="0"/>
              <w:jc w:val="both"/>
              <w:rPr>
                <w:rFonts w:ascii="arial" w:hAnsi="arial"/>
                <w:i/>
                <w:sz w:val="18"/>
              </w:rPr>
            </w:pPr>
            <w:r>
              <w:rPr>
                <w:rFonts w:ascii="arial" w:hAnsi="arial"/>
                <w:i/>
                <w:sz w:val="18"/>
              </w:rPr>
              <w:t xml:space="preserve">As previously disclosed, Mr. Coury ceased to be a director and to serve as an officer and employee of the Company, in each case, effective as of the conclusion of the 2023 Annual Meeting. </w:t>
            </w:r>
          </w:p>
        </w:tc>
      </w:tr>
    </w:tbl>
    <w:tbl>
      <w:tblPr>
        <w:tblW w:w="6595" w:type="dxa"/>
        <w:jc w:val="left"/>
        <w:tblInd w:w="0" w:type="dxa"/>
        <w:tblLayout w:type="fixed"/>
        <w:tblCellMar>
          <w:top w:w="0" w:type="dxa"/>
          <w:left w:w="0" w:type="dxa"/>
          <w:bottom w:w="0" w:type="dxa"/>
          <w:right w:w="0" w:type="dxa"/>
        </w:tblCellMar>
      </w:tblPr>
      <w:tblGrid>
        <w:gridCol w:w="305"/>
        <w:gridCol w:w="6290"/>
      </w:tblGrid>
      <w:tr>
        <w:trPr/>
        <w:tc>
          <w:tcPr>
            <w:tcW w:w="305" w:type="dxa"/>
            <w:tcBorders/>
            <w:vAlign w:val="center"/>
          </w:tcPr>
          <w:p>
            <w:pPr>
              <w:pStyle w:val="TableContents"/>
              <w:bidi w:val="0"/>
              <w:spacing w:before="0" w:after="283"/>
              <w:jc w:val="left"/>
              <w:rPr>
                <w:i/>
              </w:rPr>
            </w:pPr>
            <w:r>
              <w:rPr>
                <w:i/>
              </w:rPr>
              <w:t>(2)</w:t>
            </w:r>
          </w:p>
        </w:tc>
        <w:tc>
          <w:tcPr>
            <w:tcW w:w="6290" w:type="dxa"/>
            <w:tcBorders/>
            <w:vAlign w:val="center"/>
          </w:tcPr>
          <w:p>
            <w:pPr>
              <w:pStyle w:val="TableContents"/>
              <w:bidi w:val="0"/>
              <w:spacing w:before="0" w:after="0"/>
              <w:jc w:val="both"/>
              <w:rPr>
                <w:rFonts w:ascii="arial" w:hAnsi="arial"/>
                <w:i/>
                <w:sz w:val="18"/>
              </w:rPr>
            </w:pPr>
            <w:r>
              <w:rPr>
                <w:rFonts w:ascii="arial" w:hAnsi="arial"/>
                <w:i/>
                <w:sz w:val="18"/>
              </w:rPr>
              <w:t xml:space="preserve">Includes RSUs that are vested and will be settled on or about June 17, 2024. </w:t>
            </w:r>
          </w:p>
        </w:tc>
      </w:tr>
    </w:tbl>
    <w:tbl>
      <w:tblPr>
        <w:tblW w:w="4255" w:type="dxa"/>
        <w:jc w:val="left"/>
        <w:tblInd w:w="0" w:type="dxa"/>
        <w:tblLayout w:type="fixed"/>
        <w:tblCellMar>
          <w:top w:w="0" w:type="dxa"/>
          <w:left w:w="0" w:type="dxa"/>
          <w:bottom w:w="0" w:type="dxa"/>
          <w:right w:w="0" w:type="dxa"/>
        </w:tblCellMar>
      </w:tblPr>
      <w:tblGrid>
        <w:gridCol w:w="305"/>
        <w:gridCol w:w="3950"/>
      </w:tblGrid>
      <w:tr>
        <w:trPr/>
        <w:tc>
          <w:tcPr>
            <w:tcW w:w="305" w:type="dxa"/>
            <w:tcBorders/>
            <w:vAlign w:val="center"/>
          </w:tcPr>
          <w:p>
            <w:pPr>
              <w:pStyle w:val="TableContents"/>
              <w:bidi w:val="0"/>
              <w:spacing w:before="0" w:after="283"/>
              <w:jc w:val="left"/>
              <w:rPr>
                <w:i/>
              </w:rPr>
            </w:pPr>
            <w:r>
              <w:rPr>
                <w:i/>
              </w:rPr>
              <w:t>(3)</w:t>
            </w:r>
          </w:p>
        </w:tc>
        <w:tc>
          <w:tcPr>
            <w:tcW w:w="3950" w:type="dxa"/>
            <w:tcBorders/>
            <w:vAlign w:val="center"/>
          </w:tcPr>
          <w:p>
            <w:pPr>
              <w:pStyle w:val="TableContents"/>
              <w:bidi w:val="0"/>
              <w:spacing w:before="0" w:after="0"/>
              <w:jc w:val="both"/>
              <w:rPr>
                <w:rFonts w:ascii="arial" w:hAnsi="arial"/>
                <w:i/>
                <w:sz w:val="18"/>
              </w:rPr>
            </w:pPr>
            <w:r>
              <w:rPr>
                <w:rFonts w:ascii="arial" w:hAnsi="arial"/>
                <w:i/>
                <w:sz w:val="18"/>
              </w:rPr>
              <w:t xml:space="preserve">Includes 18 shares held by Ms. Dillon’s spouse. </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i/>
              </w:rPr>
            </w:pPr>
            <w:r>
              <w:rPr>
                <w:i/>
              </w:rPr>
              <w:t>(4)</w:t>
            </w:r>
          </w:p>
        </w:tc>
        <w:tc>
          <w:tcPr>
            <w:tcW w:w="9906" w:type="dxa"/>
            <w:tcBorders/>
            <w:vAlign w:val="center"/>
          </w:tcPr>
          <w:p>
            <w:pPr>
              <w:pStyle w:val="TableContents"/>
              <w:bidi w:val="0"/>
              <w:spacing w:before="0" w:after="0"/>
              <w:jc w:val="both"/>
              <w:rPr>
                <w:rFonts w:ascii="arial" w:hAnsi="arial"/>
                <w:i/>
                <w:sz w:val="18"/>
              </w:rPr>
            </w:pPr>
            <w:r>
              <w:rPr>
                <w:rFonts w:ascii="arial" w:hAnsi="arial"/>
                <w:i/>
                <w:sz w:val="18"/>
              </w:rPr>
              <w:t xml:space="preserve">Mr. Goettler ceased to serve as the Company’s CEO and ceased to serve on the Board, in each case, effective as of April 1, 2023. </w:t>
            </w:r>
          </w:p>
        </w:tc>
      </w:tr>
    </w:tbl>
    <w:tbl>
      <w:tblPr>
        <w:tblW w:w="4675" w:type="dxa"/>
        <w:jc w:val="left"/>
        <w:tblInd w:w="0" w:type="dxa"/>
        <w:tblLayout w:type="fixed"/>
        <w:tblCellMar>
          <w:top w:w="0" w:type="dxa"/>
          <w:left w:w="0" w:type="dxa"/>
          <w:bottom w:w="0" w:type="dxa"/>
          <w:right w:w="0" w:type="dxa"/>
        </w:tblCellMar>
      </w:tblPr>
      <w:tblGrid>
        <w:gridCol w:w="305"/>
        <w:gridCol w:w="4370"/>
      </w:tblGrid>
      <w:tr>
        <w:trPr/>
        <w:tc>
          <w:tcPr>
            <w:tcW w:w="305" w:type="dxa"/>
            <w:tcBorders/>
            <w:vAlign w:val="center"/>
          </w:tcPr>
          <w:p>
            <w:pPr>
              <w:pStyle w:val="TableContents"/>
              <w:bidi w:val="0"/>
              <w:spacing w:before="0" w:after="283"/>
              <w:jc w:val="left"/>
              <w:rPr>
                <w:i/>
              </w:rPr>
            </w:pPr>
            <w:r>
              <w:rPr>
                <w:i/>
              </w:rPr>
              <w:t>(5)</w:t>
            </w:r>
          </w:p>
        </w:tc>
        <w:tc>
          <w:tcPr>
            <w:tcW w:w="4370" w:type="dxa"/>
            <w:tcBorders/>
            <w:vAlign w:val="center"/>
          </w:tcPr>
          <w:p>
            <w:pPr>
              <w:pStyle w:val="TableContents"/>
              <w:bidi w:val="0"/>
              <w:spacing w:before="0" w:after="0"/>
              <w:jc w:val="both"/>
              <w:rPr>
                <w:rFonts w:ascii="arial" w:hAnsi="arial"/>
                <w:i/>
                <w:sz w:val="18"/>
              </w:rPr>
            </w:pPr>
            <w:r>
              <w:rPr>
                <w:rFonts w:ascii="arial" w:hAnsi="arial"/>
                <w:i/>
                <w:sz w:val="18"/>
              </w:rPr>
              <w:t xml:space="preserve">Includes 74,000 shares held by Ms. Higgins’ spouse. </w:t>
            </w:r>
          </w:p>
        </w:tc>
      </w:tr>
    </w:tbl>
    <w:tbl>
      <w:tblPr>
        <w:tblW w:w="8620" w:type="dxa"/>
        <w:jc w:val="left"/>
        <w:tblInd w:w="0" w:type="dxa"/>
        <w:tblLayout w:type="fixed"/>
        <w:tblCellMar>
          <w:top w:w="0" w:type="dxa"/>
          <w:left w:w="0" w:type="dxa"/>
          <w:bottom w:w="0" w:type="dxa"/>
          <w:right w:w="0" w:type="dxa"/>
        </w:tblCellMar>
      </w:tblPr>
      <w:tblGrid>
        <w:gridCol w:w="305"/>
        <w:gridCol w:w="8315"/>
      </w:tblGrid>
      <w:tr>
        <w:trPr/>
        <w:tc>
          <w:tcPr>
            <w:tcW w:w="305" w:type="dxa"/>
            <w:tcBorders/>
            <w:vAlign w:val="center"/>
          </w:tcPr>
          <w:p>
            <w:pPr>
              <w:pStyle w:val="TableContents"/>
              <w:bidi w:val="0"/>
              <w:spacing w:before="0" w:after="283"/>
              <w:jc w:val="left"/>
              <w:rPr>
                <w:i/>
              </w:rPr>
            </w:pPr>
            <w:r>
              <w:rPr>
                <w:i/>
              </w:rPr>
              <w:t>(6)</w:t>
            </w:r>
          </w:p>
        </w:tc>
        <w:tc>
          <w:tcPr>
            <w:tcW w:w="8315" w:type="dxa"/>
            <w:tcBorders/>
            <w:vAlign w:val="center"/>
          </w:tcPr>
          <w:p>
            <w:pPr>
              <w:pStyle w:val="TableContents"/>
              <w:bidi w:val="0"/>
              <w:spacing w:before="0" w:after="0"/>
              <w:jc w:val="both"/>
              <w:rPr>
                <w:rFonts w:ascii="arial" w:hAnsi="arial"/>
                <w:i/>
                <w:sz w:val="18"/>
              </w:rPr>
            </w:pPr>
            <w:r>
              <w:rPr>
                <w:rFonts w:ascii="arial" w:hAnsi="arial"/>
                <w:i/>
                <w:sz w:val="18"/>
              </w:rPr>
              <w:t xml:space="preserve">Includes 460,319 shares held in an irrevocable trust for the benefit of Mr. Malik’s spouse and children.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58 </w:t>
      </w:r>
      <w:r>
        <w:br w:type="page"/>
      </w:r>
    </w:p>
    <w:p>
      <w:pPr>
        <w:pStyle w:val="HorizontalLine"/>
        <w:bidi w:val="0"/>
        <w:jc w:val="left"/>
        <w:rPr/>
      </w:pPr>
      <w:r>
        <w:rPr/>
      </w:r>
    </w:p>
    <w:tbl>
      <w:tblPr>
        <w:tblW w:w="5815" w:type="dxa"/>
        <w:jc w:val="left"/>
        <w:tblInd w:w="0" w:type="dxa"/>
        <w:tblLayout w:type="fixed"/>
        <w:tblCellMar>
          <w:top w:w="0" w:type="dxa"/>
          <w:left w:w="0" w:type="dxa"/>
          <w:bottom w:w="0" w:type="dxa"/>
          <w:right w:w="0" w:type="dxa"/>
        </w:tblCellMar>
      </w:tblPr>
      <w:tblGrid>
        <w:gridCol w:w="305"/>
        <w:gridCol w:w="5510"/>
      </w:tblGrid>
      <w:tr>
        <w:trPr/>
        <w:tc>
          <w:tcPr>
            <w:tcW w:w="305" w:type="dxa"/>
            <w:tcBorders/>
            <w:vAlign w:val="center"/>
          </w:tcPr>
          <w:p>
            <w:pPr>
              <w:pStyle w:val="TableContents"/>
              <w:bidi w:val="0"/>
              <w:spacing w:before="0" w:after="283"/>
              <w:jc w:val="left"/>
              <w:rPr>
                <w:i/>
              </w:rPr>
            </w:pPr>
            <w:r>
              <w:rPr>
                <w:i/>
              </w:rPr>
              <w:t>(7)</w:t>
            </w:r>
          </w:p>
        </w:tc>
        <w:tc>
          <w:tcPr>
            <w:tcW w:w="5510" w:type="dxa"/>
            <w:tcBorders/>
            <w:vAlign w:val="center"/>
          </w:tcPr>
          <w:p>
            <w:pPr>
              <w:pStyle w:val="TableContents"/>
              <w:bidi w:val="0"/>
              <w:spacing w:before="0" w:after="0"/>
              <w:jc w:val="both"/>
              <w:rPr>
                <w:rFonts w:ascii="arial" w:hAnsi="arial"/>
                <w:i/>
                <w:sz w:val="18"/>
              </w:rPr>
            </w:pPr>
            <w:r>
              <w:rPr>
                <w:rFonts w:ascii="arial" w:hAnsi="arial"/>
                <w:i/>
                <w:sz w:val="18"/>
              </w:rPr>
              <w:t xml:space="preserve">Mr. Mauro departed from the Company effective as of April 1, 2024. </w:t>
            </w:r>
          </w:p>
        </w:tc>
      </w:tr>
    </w:tbl>
    <w:tbl>
      <w:tblPr>
        <w:tblW w:w="5095" w:type="dxa"/>
        <w:jc w:val="left"/>
        <w:tblInd w:w="0" w:type="dxa"/>
        <w:tblLayout w:type="fixed"/>
        <w:tblCellMar>
          <w:top w:w="0" w:type="dxa"/>
          <w:left w:w="0" w:type="dxa"/>
          <w:bottom w:w="0" w:type="dxa"/>
          <w:right w:w="0" w:type="dxa"/>
        </w:tblCellMar>
      </w:tblPr>
      <w:tblGrid>
        <w:gridCol w:w="305"/>
        <w:gridCol w:w="4790"/>
      </w:tblGrid>
      <w:tr>
        <w:trPr/>
        <w:tc>
          <w:tcPr>
            <w:tcW w:w="305" w:type="dxa"/>
            <w:tcBorders/>
            <w:vAlign w:val="center"/>
          </w:tcPr>
          <w:p>
            <w:pPr>
              <w:pStyle w:val="TableContents"/>
              <w:bidi w:val="0"/>
              <w:spacing w:before="0" w:after="283"/>
              <w:jc w:val="left"/>
              <w:rPr>
                <w:i/>
              </w:rPr>
            </w:pPr>
            <w:r>
              <w:rPr>
                <w:i/>
              </w:rPr>
              <w:t>(8)</w:t>
            </w:r>
          </w:p>
        </w:tc>
        <w:tc>
          <w:tcPr>
            <w:tcW w:w="4790" w:type="dxa"/>
            <w:tcBorders/>
            <w:vAlign w:val="center"/>
          </w:tcPr>
          <w:p>
            <w:pPr>
              <w:pStyle w:val="TableContents"/>
              <w:bidi w:val="0"/>
              <w:spacing w:before="0" w:after="0"/>
              <w:jc w:val="both"/>
              <w:rPr>
                <w:rFonts w:ascii="arial" w:hAnsi="arial"/>
                <w:i/>
                <w:sz w:val="18"/>
              </w:rPr>
            </w:pPr>
            <w:r>
              <w:rPr>
                <w:rFonts w:ascii="arial" w:hAnsi="arial"/>
                <w:i/>
                <w:sz w:val="18"/>
              </w:rPr>
              <w:t xml:space="preserve">Includes 5,574 shares held in Mr. Mauro’s 401(k) account. </w:t>
            </w:r>
          </w:p>
        </w:tc>
      </w:tr>
    </w:tbl>
    <w:tbl>
      <w:tblPr>
        <w:tblW w:w="6925" w:type="dxa"/>
        <w:jc w:val="left"/>
        <w:tblInd w:w="0" w:type="dxa"/>
        <w:tblLayout w:type="fixed"/>
        <w:tblCellMar>
          <w:top w:w="0" w:type="dxa"/>
          <w:left w:w="0" w:type="dxa"/>
          <w:bottom w:w="0" w:type="dxa"/>
          <w:right w:w="0" w:type="dxa"/>
        </w:tblCellMar>
      </w:tblPr>
      <w:tblGrid>
        <w:gridCol w:w="305"/>
        <w:gridCol w:w="6620"/>
      </w:tblGrid>
      <w:tr>
        <w:trPr/>
        <w:tc>
          <w:tcPr>
            <w:tcW w:w="305" w:type="dxa"/>
            <w:tcBorders/>
            <w:vAlign w:val="center"/>
          </w:tcPr>
          <w:p>
            <w:pPr>
              <w:pStyle w:val="TableContents"/>
              <w:bidi w:val="0"/>
              <w:spacing w:before="0" w:after="283"/>
              <w:jc w:val="left"/>
              <w:rPr>
                <w:i/>
              </w:rPr>
            </w:pPr>
            <w:r>
              <w:rPr>
                <w:i/>
              </w:rPr>
              <w:t>(9)</w:t>
            </w:r>
          </w:p>
        </w:tc>
        <w:tc>
          <w:tcPr>
            <w:tcW w:w="6620" w:type="dxa"/>
            <w:tcBorders/>
            <w:vAlign w:val="center"/>
          </w:tcPr>
          <w:p>
            <w:pPr>
              <w:pStyle w:val="TableContents"/>
              <w:bidi w:val="0"/>
              <w:spacing w:before="0" w:after="0"/>
              <w:jc w:val="both"/>
              <w:rPr>
                <w:rFonts w:ascii="arial" w:hAnsi="arial"/>
                <w:i/>
                <w:sz w:val="18"/>
              </w:rPr>
            </w:pPr>
            <w:r>
              <w:rPr>
                <w:rFonts w:ascii="arial" w:hAnsi="arial"/>
                <w:i/>
                <w:sz w:val="18"/>
              </w:rPr>
              <w:t xml:space="preserve">Mr. Narula ceased to serve as the Company’s CFO effective as of March 1, 2024. </w:t>
            </w:r>
          </w:p>
        </w:tc>
      </w:tr>
    </w:tbl>
    <w:tbl>
      <w:tblPr>
        <w:tblW w:w="10205" w:type="dxa"/>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i/>
              </w:rPr>
            </w:pPr>
            <w:r>
              <w:rPr>
                <w:i/>
              </w:rPr>
              <w:t>(10)</w:t>
            </w:r>
          </w:p>
        </w:tc>
        <w:tc>
          <w:tcPr>
            <w:tcW w:w="9798" w:type="dxa"/>
            <w:tcBorders/>
            <w:vAlign w:val="center"/>
          </w:tcPr>
          <w:p>
            <w:pPr>
              <w:pStyle w:val="TableContents"/>
              <w:bidi w:val="0"/>
              <w:spacing w:before="0" w:after="0"/>
              <w:jc w:val="both"/>
              <w:rPr>
                <w:rFonts w:ascii="arial" w:hAnsi="arial"/>
                <w:i/>
                <w:sz w:val="18"/>
              </w:rPr>
            </w:pPr>
            <w:r>
              <w:rPr>
                <w:rFonts w:ascii="arial" w:hAnsi="arial"/>
                <w:i/>
                <w:sz w:val="18"/>
              </w:rPr>
              <w:t xml:space="preserve">Includes the 12 individuals other than Messrs. Coury, Goettler, Mauro and Narula set forth above as well as Mses. Mistras and Le Goff and Mr. Campbell. </w:t>
            </w:r>
          </w:p>
        </w:tc>
      </w:tr>
    </w:tbl>
    <w:p>
      <w:pPr>
        <w:pStyle w:val="TextBody"/>
        <w:bidi w:val="0"/>
        <w:spacing w:before="240" w:after="0"/>
        <w:jc w:val="left"/>
        <w:rPr>
          <w:rFonts w:ascii="ARIAL" w:hAnsi="ARIAL"/>
          <w:b/>
          <w:sz w:val="20"/>
        </w:rPr>
      </w:pPr>
      <w:r>
        <w:rPr>
          <w:rFonts w:ascii="ARIAL" w:hAnsi="ARIAL"/>
          <w:b/>
          <w:sz w:val="20"/>
        </w:rPr>
        <w:t xml:space="preserve">Security Ownership of Certain Beneficial Owners </w:t>
      </w:r>
    </w:p>
    <w:p>
      <w:pPr>
        <w:pStyle w:val="TextBody"/>
        <w:bidi w:val="0"/>
        <w:spacing w:before="120" w:after="0"/>
        <w:jc w:val="both"/>
        <w:rPr>
          <w:rFonts w:ascii="arial" w:hAnsi="arial"/>
          <w:sz w:val="18"/>
        </w:rPr>
      </w:pPr>
      <w:r>
        <w:rPr>
          <w:rFonts w:ascii="arial" w:hAnsi="arial"/>
          <w:sz w:val="18"/>
        </w:rPr>
        <w:t xml:space="preserve">The following table lists the names and addresses of shareholders known to management to own beneficially more than five percent of the shares of common stock of Viatris as of April 24, 2024 (based on 1,190,662,399 shares of common stock of Viatris Inc. outstanding as of such date): </w:t>
      </w:r>
    </w:p>
    <w:p>
      <w:pPr>
        <w:pStyle w:val="TextBody"/>
        <w:bidi w:val="0"/>
        <w:spacing w:before="0" w:after="0"/>
        <w:jc w:val="left"/>
        <w:rPr/>
      </w:pPr>
      <w:r>
        <w:rPr/>
        <w:t> </w:t>
      </w:r>
    </w:p>
    <w:tbl>
      <w:tblPr>
        <w:tblW w:w="9064" w:type="dxa"/>
        <w:jc w:val="left"/>
        <w:tblInd w:w="0" w:type="dxa"/>
        <w:tblLayout w:type="fixed"/>
        <w:tblCellMar>
          <w:top w:w="0" w:type="dxa"/>
          <w:left w:w="0" w:type="dxa"/>
          <w:bottom w:w="0" w:type="dxa"/>
          <w:right w:w="0" w:type="dxa"/>
        </w:tblCellMar>
      </w:tblPr>
      <w:tblGrid>
        <w:gridCol w:w="6035"/>
        <w:gridCol w:w="120"/>
        <w:gridCol w:w="61"/>
        <w:gridCol w:w="1248"/>
        <w:gridCol w:w="350"/>
        <w:gridCol w:w="120"/>
        <w:gridCol w:w="126"/>
        <w:gridCol w:w="929"/>
        <w:gridCol w:w="75"/>
      </w:tblGrid>
      <w:tr>
        <w:trPr/>
        <w:tc>
          <w:tcPr>
            <w:tcW w:w="60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035" w:type="dxa"/>
            <w:tcBorders>
              <w:bottom w:val="single" w:sz="8" w:space="0" w:color="732282"/>
            </w:tcBorders>
            <w:tcMar>
              <w:bottom w:w="28" w:type="dxa"/>
            </w:tcMar>
            <w:vAlign w:val="center"/>
          </w:tcPr>
          <w:p>
            <w:pPr>
              <w:pStyle w:val="TableContents"/>
              <w:bidi w:val="0"/>
              <w:spacing w:before="0" w:after="0"/>
              <w:jc w:val="left"/>
              <w:rPr>
                <w:rFonts w:ascii="ARIAL" w:hAnsi="ARIAL"/>
                <w:b/>
                <w:color w:val="732282"/>
                <w:sz w:val="18"/>
              </w:rPr>
            </w:pPr>
            <w:r>
              <w:rPr>
                <w:rFonts w:ascii="ARIAL" w:hAnsi="ARIAL"/>
                <w:b/>
                <w:color w:val="732282"/>
                <w:sz w:val="18"/>
              </w:rPr>
              <w:t>Name and Address of Beneficial Owner</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309" w:type="dxa"/>
            <w:gridSpan w:val="2"/>
            <w:tcBorders>
              <w:bottom w:val="single" w:sz="8" w:space="0" w:color="732282"/>
            </w:tcBorders>
            <w:tcMar>
              <w:bottom w:w="28" w:type="dxa"/>
            </w:tcMar>
            <w:vAlign w:val="center"/>
          </w:tcPr>
          <w:p>
            <w:pPr>
              <w:pStyle w:val="TableContents"/>
              <w:bidi w:val="0"/>
              <w:spacing w:before="0" w:after="283"/>
              <w:jc w:val="right"/>
              <w:rPr>
                <w:b/>
                <w:color w:val="732282"/>
              </w:rPr>
            </w:pPr>
            <w:r>
              <w:rPr>
                <w:b/>
                <w:color w:val="732282"/>
              </w:rPr>
              <w:t>Amount and</w:t>
              <w:br/>
              <w:t>Nature of</w:t>
              <w:br/>
              <w:t>Beneficial</w:t>
              <w:br/>
              <w:t>Ownership</w:t>
            </w:r>
          </w:p>
        </w:tc>
        <w:tc>
          <w:tcPr>
            <w:tcW w:w="350" w:type="dxa"/>
            <w:tcBorders>
              <w:bottom w:val="single" w:sz="8" w:space="0" w:color="732282"/>
            </w:tcBorders>
            <w:tcMar>
              <w:bottom w:w="28" w:type="dxa"/>
            </w:tcMar>
            <w:vAlign w:val="center"/>
          </w:tcPr>
          <w:p>
            <w:pPr>
              <w:pStyle w:val="TableContents"/>
              <w:bidi w:val="0"/>
              <w:spacing w:before="0" w:after="283"/>
              <w:jc w:val="left"/>
              <w:rPr/>
            </w:pPr>
            <w:r>
              <w:rPr/>
              <w:t> </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055" w:type="dxa"/>
            <w:gridSpan w:val="2"/>
            <w:tcBorders>
              <w:bottom w:val="single" w:sz="8" w:space="0" w:color="732282"/>
            </w:tcBorders>
            <w:tcMar>
              <w:bottom w:w="28" w:type="dxa"/>
            </w:tcMar>
            <w:vAlign w:val="center"/>
          </w:tcPr>
          <w:p>
            <w:pPr>
              <w:pStyle w:val="TableContents"/>
              <w:bidi w:val="0"/>
              <w:spacing w:before="0" w:after="283"/>
              <w:jc w:val="right"/>
              <w:rPr>
                <w:b/>
                <w:color w:val="732282"/>
              </w:rPr>
            </w:pPr>
            <w:r>
              <w:rPr>
                <w:b/>
                <w:color w:val="732282"/>
              </w:rPr>
              <w:t>Percent of</w:t>
              <w:br/>
              <w:t>Class</w:t>
            </w:r>
          </w:p>
        </w:tc>
        <w:tc>
          <w:tcPr>
            <w:tcW w:w="75" w:type="dxa"/>
            <w:tcBorders>
              <w:bottom w:val="single" w:sz="8" w:space="0" w:color="732282"/>
            </w:tcBorders>
            <w:tcMar>
              <w:bottom w:w="28" w:type="dxa"/>
            </w:tcMar>
            <w:vAlign w:val="center"/>
          </w:tcPr>
          <w:p>
            <w:pPr>
              <w:pStyle w:val="TableContents"/>
              <w:bidi w:val="0"/>
              <w:spacing w:before="0" w:after="283"/>
              <w:jc w:val="left"/>
              <w:rPr/>
            </w:pPr>
            <w:r>
              <w:rPr/>
              <w:t> </w:t>
            </w:r>
          </w:p>
        </w:tc>
      </w:tr>
      <w:tr>
        <w:trPr/>
        <w:tc>
          <w:tcPr>
            <w:tcW w:w="6035" w:type="dxa"/>
            <w:tcBorders/>
            <w:shd w:fill="E5E5E5" w:val="clear"/>
            <w:vAlign w:val="center"/>
          </w:tcPr>
          <w:p>
            <w:pPr>
              <w:pStyle w:val="TableContents"/>
              <w:bidi w:val="0"/>
              <w:spacing w:before="0" w:after="0"/>
              <w:jc w:val="left"/>
              <w:rPr>
                <w:rFonts w:ascii="ARIAL" w:hAnsi="ARIAL"/>
                <w:sz w:val="20"/>
              </w:rPr>
            </w:pPr>
            <w:r>
              <w:rPr>
                <w:rFonts w:ascii="ARIAL" w:hAnsi="ARIAL"/>
                <w:sz w:val="20"/>
              </w:rPr>
              <w:t>The Vanguard Group,</w:t>
            </w:r>
          </w:p>
          <w:p>
            <w:pPr>
              <w:pStyle w:val="TableContents"/>
              <w:bidi w:val="0"/>
              <w:spacing w:before="0" w:after="20"/>
              <w:jc w:val="left"/>
              <w:rPr>
                <w:rFonts w:ascii="ARIAL" w:hAnsi="ARIAL"/>
                <w:sz w:val="20"/>
              </w:rPr>
            </w:pPr>
            <w:r>
              <w:rPr>
                <w:rFonts w:ascii="ARIAL" w:hAnsi="ARIAL"/>
                <w:sz w:val="20"/>
              </w:rPr>
              <w:t>100 Vanguard Blvd., Malvern, PA 19355</w:t>
            </w:r>
          </w:p>
        </w:tc>
        <w:tc>
          <w:tcPr>
            <w:tcW w:w="12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1248" w:type="dxa"/>
            <w:tcBorders/>
            <w:shd w:fill="E5E5E5" w:val="clear"/>
            <w:vAlign w:val="center"/>
          </w:tcPr>
          <w:p>
            <w:pPr>
              <w:pStyle w:val="TableContents"/>
              <w:bidi w:val="0"/>
              <w:spacing w:before="0" w:after="283"/>
              <w:jc w:val="right"/>
              <w:rPr/>
            </w:pPr>
            <w:r>
              <w:rPr/>
              <w:t>142,262,690</w:t>
            </w:r>
          </w:p>
        </w:tc>
        <w:tc>
          <w:tcPr>
            <w:tcW w:w="350" w:type="dxa"/>
            <w:tcBorders/>
            <w:shd w:fill="E5E5E5" w:val="clear"/>
            <w:vAlign w:val="center"/>
          </w:tcPr>
          <w:p>
            <w:pPr>
              <w:pStyle w:val="TableContents"/>
              <w:bidi w:val="0"/>
              <w:spacing w:before="0" w:after="283"/>
              <w:jc w:val="left"/>
              <w:rPr/>
            </w:pPr>
            <w:r>
              <w:rPr/>
              <w:t>(1) </w:t>
            </w:r>
          </w:p>
        </w:tc>
        <w:tc>
          <w:tcPr>
            <w:tcW w:w="120" w:type="dxa"/>
            <w:tcBorders/>
            <w:shd w:fill="E5E5E5" w:val="clear"/>
            <w:vAlign w:val="center"/>
          </w:tcPr>
          <w:p>
            <w:pPr>
              <w:pStyle w:val="TableContents"/>
              <w:bidi w:val="0"/>
              <w:spacing w:before="0" w:after="283"/>
              <w:jc w:val="left"/>
              <w:rPr/>
            </w:pPr>
            <w:r>
              <w:rPr/>
              <w:t>  </w:t>
            </w:r>
          </w:p>
        </w:tc>
        <w:tc>
          <w:tcPr>
            <w:tcW w:w="126" w:type="dxa"/>
            <w:tcBorders/>
            <w:shd w:fill="E5E5E5" w:val="clear"/>
            <w:vAlign w:val="center"/>
          </w:tcPr>
          <w:p>
            <w:pPr>
              <w:pStyle w:val="TableContents"/>
              <w:bidi w:val="0"/>
              <w:spacing w:before="0" w:after="283"/>
              <w:jc w:val="left"/>
              <w:rPr/>
            </w:pPr>
            <w:r>
              <w:rPr/>
              <w:t> </w:t>
            </w:r>
          </w:p>
        </w:tc>
        <w:tc>
          <w:tcPr>
            <w:tcW w:w="929" w:type="dxa"/>
            <w:tcBorders/>
            <w:shd w:fill="E5E5E5" w:val="clear"/>
            <w:vAlign w:val="center"/>
          </w:tcPr>
          <w:p>
            <w:pPr>
              <w:pStyle w:val="TableContents"/>
              <w:bidi w:val="0"/>
              <w:spacing w:before="0" w:after="283"/>
              <w:jc w:val="right"/>
              <w:rPr/>
            </w:pPr>
            <w:r>
              <w:rPr/>
              <w:t>11.9%</w:t>
            </w:r>
          </w:p>
        </w:tc>
        <w:tc>
          <w:tcPr>
            <w:tcW w:w="75" w:type="dxa"/>
            <w:tcBorders/>
            <w:shd w:fill="E5E5E5"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0"/>
              <w:jc w:val="left"/>
              <w:rPr>
                <w:rFonts w:ascii="ARIAL" w:hAnsi="ARIAL"/>
                <w:sz w:val="20"/>
              </w:rPr>
            </w:pPr>
            <w:r>
              <w:rPr>
                <w:rFonts w:ascii="ARIAL" w:hAnsi="ARIAL"/>
                <w:sz w:val="20"/>
              </w:rPr>
              <w:t>BlackRock, Inc.,</w:t>
            </w:r>
          </w:p>
          <w:p>
            <w:pPr>
              <w:pStyle w:val="TableContents"/>
              <w:bidi w:val="0"/>
              <w:spacing w:before="0" w:after="20"/>
              <w:jc w:val="left"/>
              <w:rPr>
                <w:rFonts w:ascii="ARIAL" w:hAnsi="ARIAL"/>
                <w:sz w:val="20"/>
              </w:rPr>
            </w:pPr>
            <w:r>
              <w:rPr>
                <w:rFonts w:ascii="ARIAL" w:hAnsi="ARIAL"/>
                <w:sz w:val="20"/>
              </w:rPr>
              <w:t>50 Hudson Yards, New York, NY 10001</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92,337,568</w:t>
            </w:r>
          </w:p>
        </w:tc>
        <w:tc>
          <w:tcPr>
            <w:tcW w:w="350" w:type="dxa"/>
            <w:tcBorders/>
            <w:vAlign w:val="center"/>
          </w:tcPr>
          <w:p>
            <w:pPr>
              <w:pStyle w:val="TableContents"/>
              <w:bidi w:val="0"/>
              <w:spacing w:before="0" w:after="283"/>
              <w:jc w:val="left"/>
              <w:rPr/>
            </w:pPr>
            <w:r>
              <w:rPr/>
              <w:t>(2)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7.8%</w:t>
            </w:r>
          </w:p>
        </w:tc>
        <w:tc>
          <w:tcPr>
            <w:tcW w:w="75" w:type="dxa"/>
            <w:tcBorders/>
            <w:vAlign w:val="center"/>
          </w:tcPr>
          <w:p>
            <w:pPr>
              <w:pStyle w:val="TableContents"/>
              <w:bidi w:val="0"/>
              <w:spacing w:before="0" w:after="283"/>
              <w:jc w:val="left"/>
              <w:rPr/>
            </w:pPr>
            <w:r>
              <w:rPr/>
              <w:t> </w:t>
            </w:r>
          </w:p>
        </w:tc>
      </w:tr>
      <w:tr>
        <w:trPr/>
        <w:tc>
          <w:tcPr>
            <w:tcW w:w="6035" w:type="dxa"/>
            <w:tcBorders/>
            <w:shd w:fill="E5E5E5" w:val="clear"/>
            <w:vAlign w:val="center"/>
          </w:tcPr>
          <w:p>
            <w:pPr>
              <w:pStyle w:val="TableContents"/>
              <w:bidi w:val="0"/>
              <w:spacing w:before="0" w:after="0"/>
              <w:jc w:val="left"/>
              <w:rPr>
                <w:rFonts w:ascii="ARIAL" w:hAnsi="ARIAL"/>
                <w:sz w:val="20"/>
              </w:rPr>
            </w:pPr>
            <w:r>
              <w:rPr>
                <w:rFonts w:ascii="ARIAL" w:hAnsi="ARIAL"/>
                <w:sz w:val="20"/>
              </w:rPr>
              <w:t>Davis Selected Advisers, L.P.</w:t>
            </w:r>
          </w:p>
          <w:p>
            <w:pPr>
              <w:pStyle w:val="TableContents"/>
              <w:bidi w:val="0"/>
              <w:spacing w:before="0" w:after="20"/>
              <w:jc w:val="left"/>
              <w:rPr>
                <w:rFonts w:ascii="ARIAL" w:hAnsi="ARIAL"/>
                <w:sz w:val="20"/>
              </w:rPr>
            </w:pPr>
            <w:r>
              <w:rPr>
                <w:rFonts w:ascii="ARIAL" w:hAnsi="ARIAL"/>
                <w:sz w:val="20"/>
              </w:rPr>
              <w:t>2949 East Elvira Road, Suite 101, Tucson, Arizona 85756</w:t>
            </w:r>
          </w:p>
        </w:tc>
        <w:tc>
          <w:tcPr>
            <w:tcW w:w="12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1248" w:type="dxa"/>
            <w:tcBorders/>
            <w:shd w:fill="E5E5E5" w:val="clear"/>
            <w:vAlign w:val="center"/>
          </w:tcPr>
          <w:p>
            <w:pPr>
              <w:pStyle w:val="TableContents"/>
              <w:bidi w:val="0"/>
              <w:spacing w:before="0" w:after="283"/>
              <w:jc w:val="right"/>
              <w:rPr/>
            </w:pPr>
            <w:r>
              <w:rPr/>
              <w:t>62,661,728</w:t>
            </w:r>
          </w:p>
        </w:tc>
        <w:tc>
          <w:tcPr>
            <w:tcW w:w="350" w:type="dxa"/>
            <w:tcBorders/>
            <w:shd w:fill="E5E5E5" w:val="clear"/>
            <w:vAlign w:val="center"/>
          </w:tcPr>
          <w:p>
            <w:pPr>
              <w:pStyle w:val="TableContents"/>
              <w:bidi w:val="0"/>
              <w:spacing w:before="0" w:after="283"/>
              <w:jc w:val="left"/>
              <w:rPr/>
            </w:pPr>
            <w:r>
              <w:rPr/>
              <w:t>(3) </w:t>
            </w:r>
          </w:p>
        </w:tc>
        <w:tc>
          <w:tcPr>
            <w:tcW w:w="120" w:type="dxa"/>
            <w:tcBorders/>
            <w:shd w:fill="E5E5E5" w:val="clear"/>
            <w:vAlign w:val="center"/>
          </w:tcPr>
          <w:p>
            <w:pPr>
              <w:pStyle w:val="TableContents"/>
              <w:bidi w:val="0"/>
              <w:spacing w:before="0" w:after="283"/>
              <w:jc w:val="left"/>
              <w:rPr/>
            </w:pPr>
            <w:r>
              <w:rPr/>
              <w:t>  </w:t>
            </w:r>
          </w:p>
        </w:tc>
        <w:tc>
          <w:tcPr>
            <w:tcW w:w="126" w:type="dxa"/>
            <w:tcBorders/>
            <w:shd w:fill="E5E5E5" w:val="clear"/>
            <w:vAlign w:val="center"/>
          </w:tcPr>
          <w:p>
            <w:pPr>
              <w:pStyle w:val="TableContents"/>
              <w:bidi w:val="0"/>
              <w:spacing w:before="0" w:after="283"/>
              <w:jc w:val="left"/>
              <w:rPr/>
            </w:pPr>
            <w:r>
              <w:rPr/>
              <w:t> </w:t>
            </w:r>
          </w:p>
        </w:tc>
        <w:tc>
          <w:tcPr>
            <w:tcW w:w="929" w:type="dxa"/>
            <w:tcBorders/>
            <w:shd w:fill="E5E5E5" w:val="clear"/>
            <w:vAlign w:val="center"/>
          </w:tcPr>
          <w:p>
            <w:pPr>
              <w:pStyle w:val="TableContents"/>
              <w:bidi w:val="0"/>
              <w:spacing w:before="0" w:after="283"/>
              <w:jc w:val="right"/>
              <w:rPr/>
            </w:pPr>
            <w:r>
              <w:rPr/>
              <w:t>5.3%</w:t>
            </w:r>
          </w:p>
        </w:tc>
        <w:tc>
          <w:tcPr>
            <w:tcW w:w="75" w:type="dxa"/>
            <w:tcBorders/>
            <w:shd w:fill="E5E5E5" w:val="clear"/>
            <w:vAlign w:val="center"/>
          </w:tcPr>
          <w:p>
            <w:pPr>
              <w:pStyle w:val="TableContents"/>
              <w:bidi w:val="0"/>
              <w:spacing w:before="0" w:after="283"/>
              <w:jc w:val="left"/>
              <w:rPr/>
            </w:pPr>
            <w:r>
              <w:rPr/>
              <w:t> </w:t>
            </w:r>
          </w:p>
        </w:tc>
      </w:tr>
      <w:tr>
        <w:trPr/>
        <w:tc>
          <w:tcPr>
            <w:tcW w:w="6035" w:type="dxa"/>
            <w:tcBorders>
              <w:bottom w:val="single" w:sz="8" w:space="0" w:color="732282"/>
            </w:tcBorders>
            <w:tcMar>
              <w:bottom w:w="28" w:type="dxa"/>
            </w:tcMar>
            <w:vAlign w:val="center"/>
          </w:tcPr>
          <w:p>
            <w:pPr>
              <w:pStyle w:val="TableContents"/>
              <w:bidi w:val="0"/>
              <w:spacing w:before="0" w:after="0"/>
              <w:jc w:val="left"/>
              <w:rPr>
                <w:rFonts w:ascii="ARIAL" w:hAnsi="ARIAL"/>
                <w:sz w:val="20"/>
              </w:rPr>
            </w:pPr>
            <w:r>
              <w:rPr>
                <w:rFonts w:ascii="ARIAL" w:hAnsi="ARIAL"/>
                <w:sz w:val="20"/>
              </w:rPr>
              <w:t>State Street Corporation</w:t>
            </w:r>
          </w:p>
          <w:p>
            <w:pPr>
              <w:pStyle w:val="TableContents"/>
              <w:bidi w:val="0"/>
              <w:spacing w:before="0" w:after="0"/>
              <w:jc w:val="left"/>
              <w:rPr>
                <w:rFonts w:ascii="ARIAL" w:hAnsi="ARIAL"/>
                <w:sz w:val="20"/>
              </w:rPr>
            </w:pPr>
            <w:r>
              <w:rPr>
                <w:rFonts w:ascii="ARIAL" w:hAnsi="ARIAL"/>
                <w:sz w:val="20"/>
              </w:rPr>
              <w:t>State Street Financial Center, One Congress Street, Suite 1, Boston,</w:t>
            </w:r>
          </w:p>
          <w:p>
            <w:pPr>
              <w:pStyle w:val="TableContents"/>
              <w:bidi w:val="0"/>
              <w:spacing w:before="0" w:after="20"/>
              <w:jc w:val="left"/>
              <w:rPr>
                <w:rFonts w:ascii="ARIAL" w:hAnsi="ARIAL"/>
                <w:sz w:val="20"/>
              </w:rPr>
            </w:pPr>
            <w:r>
              <w:rPr>
                <w:rFonts w:ascii="ARIAL" w:hAnsi="ARIAL"/>
                <w:sz w:val="20"/>
              </w:rPr>
              <w:t>MA 02114-2016</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61" w:type="dxa"/>
            <w:tcBorders>
              <w:bottom w:val="single" w:sz="8" w:space="0" w:color="732282"/>
            </w:tcBorders>
            <w:tcMar>
              <w:bottom w:w="28" w:type="dxa"/>
            </w:tcMar>
            <w:vAlign w:val="center"/>
          </w:tcPr>
          <w:p>
            <w:pPr>
              <w:pStyle w:val="TableContents"/>
              <w:bidi w:val="0"/>
              <w:spacing w:before="0" w:after="283"/>
              <w:jc w:val="left"/>
              <w:rPr/>
            </w:pPr>
            <w:r>
              <w:rPr/>
              <w:t> </w:t>
            </w:r>
          </w:p>
        </w:tc>
        <w:tc>
          <w:tcPr>
            <w:tcW w:w="1248" w:type="dxa"/>
            <w:tcBorders>
              <w:bottom w:val="single" w:sz="8" w:space="0" w:color="732282"/>
            </w:tcBorders>
            <w:tcMar>
              <w:bottom w:w="28" w:type="dxa"/>
            </w:tcMar>
            <w:vAlign w:val="center"/>
          </w:tcPr>
          <w:p>
            <w:pPr>
              <w:pStyle w:val="TableContents"/>
              <w:bidi w:val="0"/>
              <w:spacing w:before="0" w:after="283"/>
              <w:jc w:val="right"/>
              <w:rPr/>
            </w:pPr>
            <w:r>
              <w:rPr/>
              <w:t>61,969,119</w:t>
            </w:r>
          </w:p>
        </w:tc>
        <w:tc>
          <w:tcPr>
            <w:tcW w:w="350" w:type="dxa"/>
            <w:tcBorders>
              <w:bottom w:val="single" w:sz="8" w:space="0" w:color="732282"/>
            </w:tcBorders>
            <w:tcMar>
              <w:bottom w:w="28" w:type="dxa"/>
            </w:tcMar>
            <w:vAlign w:val="center"/>
          </w:tcPr>
          <w:p>
            <w:pPr>
              <w:pStyle w:val="TableContents"/>
              <w:bidi w:val="0"/>
              <w:spacing w:before="0" w:after="283"/>
              <w:jc w:val="left"/>
              <w:rPr/>
            </w:pPr>
            <w:r>
              <w:rPr/>
              <w:t>(4) </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26" w:type="dxa"/>
            <w:tcBorders>
              <w:bottom w:val="single" w:sz="8" w:space="0" w:color="732282"/>
            </w:tcBorders>
            <w:tcMar>
              <w:bottom w:w="28" w:type="dxa"/>
            </w:tcMar>
            <w:vAlign w:val="center"/>
          </w:tcPr>
          <w:p>
            <w:pPr>
              <w:pStyle w:val="TableContents"/>
              <w:bidi w:val="0"/>
              <w:spacing w:before="0" w:after="283"/>
              <w:jc w:val="left"/>
              <w:rPr/>
            </w:pPr>
            <w:r>
              <w:rPr/>
              <w:t> </w:t>
            </w:r>
          </w:p>
        </w:tc>
        <w:tc>
          <w:tcPr>
            <w:tcW w:w="929" w:type="dxa"/>
            <w:tcBorders>
              <w:bottom w:val="single" w:sz="8" w:space="0" w:color="732282"/>
            </w:tcBorders>
            <w:tcMar>
              <w:bottom w:w="28" w:type="dxa"/>
            </w:tcMar>
            <w:vAlign w:val="center"/>
          </w:tcPr>
          <w:p>
            <w:pPr>
              <w:pStyle w:val="TableContents"/>
              <w:bidi w:val="0"/>
              <w:spacing w:before="0" w:after="283"/>
              <w:jc w:val="right"/>
              <w:rPr/>
            </w:pPr>
            <w:r>
              <w:rPr/>
              <w:t>5.2%</w:t>
            </w:r>
          </w:p>
        </w:tc>
        <w:tc>
          <w:tcPr>
            <w:tcW w:w="75" w:type="dxa"/>
            <w:tcBorders>
              <w:bottom w:val="single" w:sz="8" w:space="0" w:color="732282"/>
            </w:tcBorders>
            <w:tcMar>
              <w:bottom w:w="28" w:type="dxa"/>
            </w:tcM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i/>
              </w:rPr>
            </w:pPr>
            <w:r>
              <w:rPr>
                <w:i/>
              </w:rPr>
              <w:t>(1)</w:t>
            </w:r>
          </w:p>
        </w:tc>
        <w:tc>
          <w:tcPr>
            <w:tcW w:w="9953" w:type="dxa"/>
            <w:tcBorders/>
            <w:vAlign w:val="center"/>
          </w:tcPr>
          <w:p>
            <w:pPr>
              <w:pStyle w:val="TableContents"/>
              <w:bidi w:val="0"/>
              <w:spacing w:before="0" w:after="0"/>
              <w:jc w:val="both"/>
              <w:rPr>
                <w:rFonts w:ascii="arial" w:hAnsi="arial"/>
                <w:i/>
                <w:sz w:val="18"/>
              </w:rPr>
            </w:pPr>
            <w:r>
              <w:rPr>
                <w:rFonts w:ascii="arial" w:hAnsi="arial"/>
                <w:i/>
                <w:sz w:val="18"/>
              </w:rPr>
              <w:t xml:space="preserve">Based on the Schedule 13G/A filed by The Vanguard Group with the SEC on February 13, 2024, The Vanguard Group has sole voting power over 0 shares of common stock, shared voting power over 1,620,666 shares of common stock, sole dispositive power over 136,880,832 shares of common stock and shared dispositive power over 5,381,858 shares of common stock.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i/>
              </w:rPr>
            </w:pPr>
            <w:r>
              <w:rPr>
                <w:i/>
              </w:rPr>
              <w:t>(2)</w:t>
            </w:r>
          </w:p>
        </w:tc>
        <w:tc>
          <w:tcPr>
            <w:tcW w:w="9951" w:type="dxa"/>
            <w:tcBorders/>
            <w:vAlign w:val="center"/>
          </w:tcPr>
          <w:p>
            <w:pPr>
              <w:pStyle w:val="TableContents"/>
              <w:bidi w:val="0"/>
              <w:spacing w:before="0" w:after="0"/>
              <w:jc w:val="both"/>
              <w:rPr>
                <w:rFonts w:ascii="arial" w:hAnsi="arial"/>
                <w:i/>
                <w:sz w:val="18"/>
              </w:rPr>
            </w:pPr>
            <w:r>
              <w:rPr>
                <w:rFonts w:ascii="arial" w:hAnsi="arial"/>
                <w:i/>
                <w:sz w:val="18"/>
              </w:rPr>
              <w:t xml:space="preserve">Based on the Schedule 13G/A filed by BlackRock, Inc. with the SEC on January 26, 2024, BlackRock, Inc. has sole voting power over 82,732,122 shares of common stock, shared voting power over 0 shares of common stock, sole dispositive power over 92,337,568 shares of common stock and shared dispositive power over 0 shares of common stock.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i/>
              </w:rPr>
            </w:pPr>
            <w:r>
              <w:rPr>
                <w:i/>
              </w:rPr>
              <w:t>(3)</w:t>
            </w:r>
          </w:p>
        </w:tc>
        <w:tc>
          <w:tcPr>
            <w:tcW w:w="9956" w:type="dxa"/>
            <w:tcBorders/>
            <w:vAlign w:val="center"/>
          </w:tcPr>
          <w:p>
            <w:pPr>
              <w:pStyle w:val="TableContents"/>
              <w:bidi w:val="0"/>
              <w:spacing w:before="0" w:after="0"/>
              <w:jc w:val="both"/>
              <w:rPr>
                <w:rFonts w:ascii="arial" w:hAnsi="arial"/>
                <w:i/>
                <w:sz w:val="18"/>
              </w:rPr>
            </w:pPr>
            <w:r>
              <w:rPr>
                <w:rFonts w:ascii="arial" w:hAnsi="arial"/>
                <w:i/>
                <w:sz w:val="18"/>
              </w:rPr>
              <w:t xml:space="preserve">Based on a Schedule 13G filed by Davis Selected Advisers, L.P. with the SEC on February 9, 2024, Davis Selected Advisors, L.P. has sole voting power of 61,054,564 shares of common stock, shared voting power over 0 shares of common stock and no voting power over 1,607,164 shares of common stock, sole dispositive voting power of 62,661,728 shares of common stock and shared dispositive voting power of 0 shares of common stock.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i/>
              </w:rPr>
            </w:pPr>
            <w:r>
              <w:rPr>
                <w:i/>
              </w:rPr>
              <w:t>(4)</w:t>
            </w:r>
          </w:p>
        </w:tc>
        <w:tc>
          <w:tcPr>
            <w:tcW w:w="9952" w:type="dxa"/>
            <w:tcBorders/>
            <w:vAlign w:val="center"/>
          </w:tcPr>
          <w:p>
            <w:pPr>
              <w:pStyle w:val="TableContents"/>
              <w:bidi w:val="0"/>
              <w:spacing w:before="0" w:after="0"/>
              <w:jc w:val="both"/>
              <w:rPr>
                <w:rFonts w:ascii="arial" w:hAnsi="arial"/>
                <w:i/>
                <w:sz w:val="18"/>
              </w:rPr>
            </w:pPr>
            <w:r>
              <w:rPr>
                <w:rFonts w:ascii="arial" w:hAnsi="arial"/>
                <w:i/>
                <w:sz w:val="18"/>
              </w:rPr>
              <w:t xml:space="preserve">Based on the Schedule 13G/A filed by State Street Corporation with the SEC on January 30, 2024, State Street Corporation has sole voting power over 0 shares of common stock, shared voting power over 40,564,300 shares of common stock, sole dispositive power over 0 shares of common stock and shared dispositive power over 61,923,920 shares of common stock. </w:t>
            </w:r>
          </w:p>
        </w:tc>
      </w:tr>
    </w:tbl>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1025"/>
        <w:gridCol w:w="7130"/>
      </w:tblGrid>
      <w:tr>
        <w:trPr/>
        <w:tc>
          <w:tcPr>
            <w:tcW w:w="1025" w:type="dxa"/>
            <w:tcBorders/>
            <w:vAlign w:val="center"/>
          </w:tcPr>
          <w:p>
            <w:pPr>
              <w:pStyle w:val="TableContents"/>
              <w:bidi w:val="0"/>
              <w:spacing w:before="0" w:after="283"/>
              <w:jc w:val="left"/>
              <w:rPr>
                <w:b/>
              </w:rPr>
            </w:pPr>
            <w:bookmarkStart w:id="5" w:name="toc758146_4"/>
            <w:bookmarkEnd w:id="5"/>
            <w:r>
              <w:rPr>
                <w:b/>
              </w:rPr>
              <w:t>ITEM 13.</w:t>
            </w:r>
          </w:p>
        </w:tc>
        <w:tc>
          <w:tcPr>
            <w:tcW w:w="7130" w:type="dxa"/>
            <w:tcBorders/>
            <w:vAlign w:val="center"/>
          </w:tcPr>
          <w:p>
            <w:pPr>
              <w:pStyle w:val="TableContents"/>
              <w:bidi w:val="0"/>
              <w:spacing w:before="0" w:after="0"/>
              <w:jc w:val="left"/>
              <w:rPr>
                <w:rFonts w:ascii="ARIAL" w:hAnsi="ARIAL"/>
                <w:b/>
                <w:sz w:val="20"/>
              </w:rPr>
            </w:pPr>
            <w:r>
              <w:rPr>
                <w:rFonts w:ascii="ARIAL" w:hAnsi="ARIAL"/>
                <w:b/>
                <w:sz w:val="20"/>
              </w:rPr>
              <w:t xml:space="preserve">Certain Relationships and Related Transactions, and Director Independence </w:t>
            </w:r>
          </w:p>
        </w:tc>
      </w:tr>
    </w:tbl>
    <w:p>
      <w:pPr>
        <w:pStyle w:val="TextBody"/>
        <w:bidi w:val="0"/>
        <w:spacing w:before="120" w:after="0"/>
        <w:jc w:val="both"/>
        <w:rPr>
          <w:rFonts w:ascii="arial" w:hAnsi="arial"/>
          <w:sz w:val="18"/>
        </w:rPr>
      </w:pPr>
      <w:r>
        <w:rPr>
          <w:rFonts w:ascii="arial" w:hAnsi="arial"/>
          <w:sz w:val="18"/>
        </w:rPr>
        <w:t xml:space="preserve">Based on a review of any transactions between Viatris and its Directors and executive officers, their immediate family members, and their affiliated entities, Viatris has determined that since the beginning of 2023, it was or is to be a participant in the following transactions in which the amount involved exceeds $120,000 and in which any of Viatris’ Directors, executive officers, or greater than five percent shareholders, or any of their immediate family members, had or will have a direct or indirect material interest: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59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sz w:val="18"/>
        </w:rPr>
        <w:t xml:space="preserve">Since approximately 1995, The Coury Firm LLC (together with its predecessors, “TCF”) and, in the past, other affiliated entities of TCF, has been serving as the broker of record in connection with several of Mylan’s and, since the closing of the Combination, Viatris’ employee benefit programs. TCF is in the business of providing strategic corporate benefits advice and services, among others. TCF provides certain services to Viatris and its subsidiaries pursuant to a contract between Mylan Inc., a subsidiary of Viatris, and TCF. The principals of TCF are brothers and a son of Robert J. Coury, a director and executive officer of the Company until December 15, 2023, and TCF is beneficially owned by brothers and trusts on behalf of brothers and children of Mr. Coury. Commencing on September 1, 2020, the parties extended their agreement through December 31, 2023 on substantially the same terms as their prior arrangement, which included a fixed base fee of $37,500 per month to be paid by Mylan to TCF, corresponding to the term of agreements negotiated with certain benefit plan carriers and capping payments over that time period. However, where required by law, TCF will continue to receive commissions directly from certain other benefit plan carriers, and in 2023 and through April 24, 2024, received payments totaling approximately $60,000 in commissions for these services directly from the insurance carriers (including payments for 2022 business paid in 2023). Commencing on September 1, 2023, the parties further extended this agreement through December 31, 2026 on substantially the same terms. </w:t>
      </w:r>
    </w:p>
    <w:p>
      <w:pPr>
        <w:pStyle w:val="TextBody"/>
        <w:bidi w:val="0"/>
        <w:spacing w:before="120" w:after="0"/>
        <w:jc w:val="both"/>
        <w:rPr>
          <w:rFonts w:ascii="arial" w:hAnsi="arial"/>
          <w:sz w:val="18"/>
        </w:rPr>
      </w:pPr>
      <w:r>
        <w:rPr>
          <w:rFonts w:ascii="arial" w:hAnsi="arial"/>
          <w:sz w:val="18"/>
        </w:rPr>
        <w:t xml:space="preserve">Angela Campbell, Mr. Campbell’s spouse and herself a related person of Viatris, held roles of increasing responsibility at Mylan Inc. since June 2007 and most recently served as Head of Operations Strategic Initiatives until her departure effective December 31, 2022. In 2023, Ms. Campbell received an annual short-term cash incentive bonus of approximately $93,000 and deferred compensation and salary payments of approximately $7,000, in each case related to work performed in 2022, payment of approximately $21,000 for previously accrued but unused vacation days, and standard Company severance payments of approximately $166,000. </w:t>
      </w:r>
    </w:p>
    <w:p>
      <w:pPr>
        <w:pStyle w:val="TextBody"/>
        <w:bidi w:val="0"/>
        <w:spacing w:before="120" w:after="0"/>
        <w:jc w:val="both"/>
        <w:rPr>
          <w:rFonts w:ascii="arial" w:hAnsi="arial"/>
          <w:sz w:val="18"/>
        </w:rPr>
      </w:pPr>
      <w:r>
        <w:rPr>
          <w:rFonts w:ascii="arial" w:hAnsi="arial"/>
          <w:sz w:val="18"/>
        </w:rPr>
        <w:t xml:space="preserve">Mr. Malik, a director and former executive officer of the Company, was party to an employment agreement with Mylan Inc., which contained standard indemnification provisions, and is currently party to a standard indemnification agreement with the Company. The Company has made payments to counsel to Mr. Malik of approximately $470,500 from January 1, 2023 through April 24, 2024 for services provided to Mr. Malik in connection with certain previously disclosed drug pricing matters. The Company anticipates making additional payments of approximately $205,500 in 2024 for ongoing services to be provided to Mr. Malik in connection with such matters. Viatris anticipates additional payment, repayment or advancement of these and other expenses during the pendency of these matters and anticipates that it will make payments for any such claims. </w:t>
      </w:r>
    </w:p>
    <w:p>
      <w:pPr>
        <w:pStyle w:val="TextBody"/>
        <w:bidi w:val="0"/>
        <w:spacing w:before="240" w:after="0"/>
        <w:jc w:val="both"/>
        <w:rPr>
          <w:rFonts w:ascii="arial" w:hAnsi="arial"/>
          <w:sz w:val="18"/>
        </w:rPr>
      </w:pPr>
      <w:r>
        <w:rPr>
          <w:rFonts w:ascii="arial" w:hAnsi="arial"/>
          <w:sz w:val="18"/>
        </w:rPr>
        <w:t xml:space="preserve">Viatris has a written related party transactions policy that establishes guidelines for reviewing and approving, as appropriate, transactions involving any Director, nominee for Director, “officer” (as defined in Rule 16a-1(f) of the Exchange Act), person known by the Company to be the beneficial owner of more than 5% of any class of the Company’s voting securities, or person known by the Company to be an immediate family member of any such person in which (1) the amount involved will or may be expected to exceed $100,000; (2) Viatris or an affiliate of Viatris is or will be a participant; and (3) any related party has or will have a direct or indirect material interest. The Board also annually reviews certain relationships and related party transactions as part of its assessment of each Director’s independence. </w:t>
      </w:r>
    </w:p>
    <w:p>
      <w:pPr>
        <w:pStyle w:val="TextBody"/>
        <w:bidi w:val="0"/>
        <w:spacing w:before="240" w:after="0"/>
        <w:jc w:val="left"/>
        <w:rPr>
          <w:rFonts w:ascii="ARIAL" w:hAnsi="ARIAL"/>
          <w:b/>
          <w:sz w:val="20"/>
        </w:rPr>
      </w:pPr>
      <w:r>
        <w:rPr>
          <w:rFonts w:ascii="ARIAL" w:hAnsi="ARIAL"/>
          <w:b/>
          <w:sz w:val="20"/>
        </w:rPr>
        <w:t xml:space="preserve">Director Independence </w:t>
      </w:r>
    </w:p>
    <w:p>
      <w:pPr>
        <w:pStyle w:val="TextBody"/>
        <w:bidi w:val="0"/>
        <w:spacing w:before="120" w:after="0"/>
        <w:jc w:val="both"/>
        <w:rPr>
          <w:rFonts w:ascii="arial" w:hAnsi="arial"/>
          <w:sz w:val="18"/>
        </w:rPr>
      </w:pPr>
      <w:r>
        <w:rPr>
          <w:rFonts w:ascii="arial" w:hAnsi="arial"/>
          <w:sz w:val="18"/>
        </w:rPr>
        <w:t xml:space="preserve">Viatris’ Board has determined that Mr. Cornwell, Ms. Dillon, Ms. Finney, Mr. Groothuis, Ms. Higgins, Mr. Kilts, Mr. Korman, Mr. Mark, and Mr. Parrish are independent Directors under the applicable NASDAQ listing rules. In making these determinations, the Board considered, with respect to Mr. Cornwell’s independence, that Mr. Cornwell’s son was a partner of PJT Partners (“PJT”) until January 2023 when he became a member of its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60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sz w:val="18"/>
        </w:rPr>
        <w:t xml:space="preserve">board of directors. PJT served as a financial advisor to Viatris in connection with the transaction between Viatris and Biocon Biologics Limited pursuant to which Viatris contributed its biosimilars portfolio to Biocon Biologics Limited. Mr. Cornwell’s son was not involved in PJT’s work related to such transaction. With respect to Mr. Groothuis, the Board considered his prior service to Mylan and the Company at NautaDutilh, an international law firm, where he was a partner until May 2022. The Board determined that any such past arrangements, transactions or relationships would not interfere with the exercise of independent judgment by Messrs. Cornwell or Groothuis in carrying out his respective responsibilities as a Director of Viatris. </w:t>
      </w:r>
    </w:p>
    <w:p>
      <w:pPr>
        <w:pStyle w:val="TextBody"/>
        <w:bidi w:val="0"/>
        <w:spacing w:before="240" w:after="0"/>
        <w:jc w:val="both"/>
        <w:rPr>
          <w:rFonts w:ascii="arial" w:hAnsi="arial"/>
          <w:sz w:val="18"/>
        </w:rPr>
      </w:pPr>
      <w:r>
        <w:rPr>
          <w:rFonts w:ascii="arial" w:hAnsi="arial"/>
          <w:sz w:val="18"/>
        </w:rPr>
        <w:t xml:space="preserve">Messrs. Malik and Smith are not independent Directors under applicable NASDAQ listing rules. </w:t>
      </w:r>
    </w:p>
    <w:p>
      <w:pPr>
        <w:pStyle w:val="TextBody"/>
        <w:bidi w:val="0"/>
        <w:spacing w:before="240" w:after="0"/>
        <w:jc w:val="both"/>
        <w:rPr>
          <w:rFonts w:ascii="arial" w:hAnsi="arial"/>
          <w:sz w:val="18"/>
        </w:rPr>
      </w:pPr>
      <w:r>
        <w:rPr>
          <w:rFonts w:ascii="arial" w:hAnsi="arial"/>
          <w:sz w:val="18"/>
        </w:rPr>
        <w:t xml:space="preserve">The Board had previously determined that Pauline van der Meer Mohr, who served on the Board until December 15, 2023, was independent under the applicable NASDAQ listing rules. Mr. Coury, who served on the Board until December 15, 2023, and Mr. Goettler, who served on the Board until April 1, 2023, were not independent Directors under applicable NASDAQ listing rules. </w:t>
      </w:r>
    </w:p>
    <w:p>
      <w:pPr>
        <w:pStyle w:val="TextBody"/>
        <w:bidi w:val="0"/>
        <w:spacing w:before="0" w:after="0"/>
        <w:jc w:val="left"/>
        <w:rPr/>
      </w:pPr>
      <w:r>
        <w:rPr/>
        <w:t> </w:t>
      </w:r>
    </w:p>
    <w:tbl>
      <w:tblPr>
        <w:tblW w:w="4840" w:type="dxa"/>
        <w:jc w:val="left"/>
        <w:tblInd w:w="0" w:type="dxa"/>
        <w:tblLayout w:type="fixed"/>
        <w:tblCellMar>
          <w:top w:w="0" w:type="dxa"/>
          <w:left w:w="0" w:type="dxa"/>
          <w:bottom w:w="0" w:type="dxa"/>
          <w:right w:w="0" w:type="dxa"/>
        </w:tblCellMar>
      </w:tblPr>
      <w:tblGrid>
        <w:gridCol w:w="1025"/>
        <w:gridCol w:w="3815"/>
      </w:tblGrid>
      <w:tr>
        <w:trPr/>
        <w:tc>
          <w:tcPr>
            <w:tcW w:w="1025" w:type="dxa"/>
            <w:tcBorders/>
            <w:vAlign w:val="center"/>
          </w:tcPr>
          <w:p>
            <w:pPr>
              <w:pStyle w:val="TableContents"/>
              <w:bidi w:val="0"/>
              <w:spacing w:before="0" w:after="283"/>
              <w:jc w:val="left"/>
              <w:rPr>
                <w:b/>
              </w:rPr>
            </w:pPr>
            <w:bookmarkStart w:id="6" w:name="toc758146_5"/>
            <w:bookmarkEnd w:id="6"/>
            <w:r>
              <w:rPr>
                <w:b/>
              </w:rPr>
              <w:t>ITEM 14.</w:t>
            </w:r>
          </w:p>
        </w:tc>
        <w:tc>
          <w:tcPr>
            <w:tcW w:w="3815" w:type="dxa"/>
            <w:tcBorders/>
            <w:vAlign w:val="center"/>
          </w:tcPr>
          <w:p>
            <w:pPr>
              <w:pStyle w:val="TableContents"/>
              <w:bidi w:val="0"/>
              <w:spacing w:before="0" w:after="0"/>
              <w:jc w:val="left"/>
              <w:rPr>
                <w:rFonts w:ascii="ARIAL" w:hAnsi="ARIAL"/>
                <w:b/>
                <w:sz w:val="20"/>
              </w:rPr>
            </w:pPr>
            <w:r>
              <w:rPr>
                <w:rFonts w:ascii="ARIAL" w:hAnsi="ARIAL"/>
                <w:b/>
                <w:sz w:val="20"/>
              </w:rPr>
              <w:t xml:space="preserve">Principal Accounting Fees and Services </w:t>
            </w:r>
          </w:p>
        </w:tc>
      </w:tr>
    </w:tbl>
    <w:p>
      <w:pPr>
        <w:pStyle w:val="TextBody"/>
        <w:bidi w:val="0"/>
        <w:spacing w:before="120" w:after="0"/>
        <w:jc w:val="both"/>
        <w:rPr>
          <w:rFonts w:ascii="arial" w:hAnsi="arial"/>
          <w:sz w:val="18"/>
        </w:rPr>
      </w:pPr>
      <w:r>
        <w:rPr>
          <w:rFonts w:ascii="arial" w:hAnsi="arial"/>
          <w:sz w:val="18"/>
        </w:rPr>
        <w:t xml:space="preserve">Deloitte served as Viatris’ independent registered public accounting firm during 2023 and 2022 and audited Viatris’ financial statements for the fiscal years ended December 31, 2023 and 2022. No relationships exist with Deloitte other than the usual relationship between such a firm and its client. Details about the nature of the services provided by, and fees Viatris paid to, Deloitte and affiliated firms for such services during 2023 and 2022 are set forth below. </w:t>
      </w:r>
    </w:p>
    <w:p>
      <w:pPr>
        <w:pStyle w:val="TextBody"/>
        <w:bidi w:val="0"/>
        <w:spacing w:before="0" w:after="0"/>
        <w:jc w:val="left"/>
        <w:rPr/>
      </w:pPr>
      <w:r>
        <w:rPr/>
        <w:t> </w:t>
      </w:r>
    </w:p>
    <w:tbl>
      <w:tblPr>
        <w:tblW w:w="3595" w:type="dxa"/>
        <w:jc w:val="left"/>
        <w:tblInd w:w="0" w:type="dxa"/>
        <w:tblLayout w:type="fixed"/>
        <w:tblCellMar>
          <w:top w:w="0" w:type="dxa"/>
          <w:left w:w="0" w:type="dxa"/>
          <w:bottom w:w="0" w:type="dxa"/>
          <w:right w:w="0" w:type="dxa"/>
        </w:tblCellMar>
      </w:tblPr>
      <w:tblGrid>
        <w:gridCol w:w="1880"/>
        <w:gridCol w:w="120"/>
        <w:gridCol w:w="125"/>
        <w:gridCol w:w="485"/>
        <w:gridCol w:w="60"/>
        <w:gridCol w:w="240"/>
        <w:gridCol w:w="125"/>
        <w:gridCol w:w="485"/>
        <w:gridCol w:w="75"/>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0" w:type="dxa"/>
            <w:gridSpan w:val="6"/>
            <w:tcBorders/>
            <w:vAlign w:val="center"/>
          </w:tcPr>
          <w:p>
            <w:pPr>
              <w:pStyle w:val="TableContents"/>
              <w:bidi w:val="0"/>
              <w:spacing w:before="0" w:after="283"/>
              <w:jc w:val="right"/>
              <w:rPr>
                <w:b/>
                <w:color w:val="732282"/>
              </w:rPr>
            </w:pPr>
            <w:r>
              <w:rPr>
                <w:b/>
                <w:color w:val="732282"/>
              </w:rPr>
              <w:t>In Millions</w:t>
            </w:r>
          </w:p>
        </w:tc>
        <w:tc>
          <w:tcPr>
            <w:tcW w:w="75" w:type="dxa"/>
            <w:tcBorders/>
            <w:vAlign w:val="center"/>
          </w:tcPr>
          <w:p>
            <w:pPr>
              <w:pStyle w:val="TableContents"/>
              <w:bidi w:val="0"/>
              <w:spacing w:before="0" w:after="283"/>
              <w:jc w:val="left"/>
              <w:rPr/>
            </w:pPr>
            <w:r>
              <w:rPr/>
              <w:t> </w:t>
            </w:r>
          </w:p>
        </w:tc>
      </w:tr>
      <w:tr>
        <w:trPr/>
        <w:tc>
          <w:tcPr>
            <w:tcW w:w="1880" w:type="dxa"/>
            <w:tcBorders>
              <w:bottom w:val="single" w:sz="8" w:space="0" w:color="732282"/>
            </w:tcBorders>
            <w:tcMar>
              <w:bottom w:w="28" w:type="dxa"/>
            </w:tcMar>
            <w:vAlign w:val="center"/>
          </w:tcPr>
          <w:p>
            <w:pPr>
              <w:pStyle w:val="TableContents"/>
              <w:bidi w:val="0"/>
              <w:spacing w:before="0" w:after="283"/>
              <w:jc w:val="left"/>
              <w:rPr/>
            </w:pPr>
            <w:r>
              <w:rPr/>
              <w:t>  </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610" w:type="dxa"/>
            <w:gridSpan w:val="2"/>
            <w:tcBorders>
              <w:bottom w:val="single" w:sz="8" w:space="0" w:color="732282"/>
            </w:tcBorders>
            <w:tcMar>
              <w:bottom w:w="28" w:type="dxa"/>
            </w:tcMar>
            <w:vAlign w:val="center"/>
          </w:tcPr>
          <w:p>
            <w:pPr>
              <w:pStyle w:val="TableContents"/>
              <w:bidi w:val="0"/>
              <w:spacing w:before="0" w:after="283"/>
              <w:jc w:val="right"/>
              <w:rPr>
                <w:b/>
                <w:color w:val="732282"/>
              </w:rPr>
            </w:pPr>
            <w:r>
              <w:rPr>
                <w:b/>
                <w:color w:val="732282"/>
              </w:rPr>
              <w:t>2023</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240" w:type="dxa"/>
            <w:tcBorders>
              <w:bottom w:val="single" w:sz="8" w:space="0" w:color="732282"/>
            </w:tcBorders>
            <w:tcMar>
              <w:bottom w:w="28" w:type="dxa"/>
            </w:tcMar>
            <w:vAlign w:val="center"/>
          </w:tcPr>
          <w:p>
            <w:pPr>
              <w:pStyle w:val="TableContents"/>
              <w:bidi w:val="0"/>
              <w:spacing w:before="0" w:after="283"/>
              <w:jc w:val="left"/>
              <w:rPr/>
            </w:pPr>
            <w:r>
              <w:rPr/>
              <w:t>    </w:t>
            </w:r>
          </w:p>
        </w:tc>
        <w:tc>
          <w:tcPr>
            <w:tcW w:w="610" w:type="dxa"/>
            <w:gridSpan w:val="2"/>
            <w:tcBorders>
              <w:bottom w:val="single" w:sz="8" w:space="0" w:color="732282"/>
            </w:tcBorders>
            <w:tcMar>
              <w:bottom w:w="28" w:type="dxa"/>
            </w:tcMar>
            <w:vAlign w:val="center"/>
          </w:tcPr>
          <w:p>
            <w:pPr>
              <w:pStyle w:val="TableContents"/>
              <w:bidi w:val="0"/>
              <w:spacing w:before="0" w:after="283"/>
              <w:jc w:val="right"/>
              <w:rPr>
                <w:b/>
                <w:color w:val="732282"/>
              </w:rPr>
            </w:pPr>
            <w:r>
              <w:rPr>
                <w:b/>
                <w:color w:val="732282"/>
              </w:rPr>
              <w:t>2022</w:t>
            </w:r>
          </w:p>
        </w:tc>
        <w:tc>
          <w:tcPr>
            <w:tcW w:w="75" w:type="dxa"/>
            <w:tcBorders>
              <w:bottom w:val="single" w:sz="8" w:space="0" w:color="732282"/>
            </w:tcBorders>
            <w:tcMar>
              <w:bottom w:w="28" w:type="dxa"/>
            </w:tcMar>
            <w:vAlign w:val="center"/>
          </w:tcPr>
          <w:p>
            <w:pPr>
              <w:pStyle w:val="TableContents"/>
              <w:bidi w:val="0"/>
              <w:spacing w:before="0" w:after="283"/>
              <w:jc w:val="left"/>
              <w:rPr/>
            </w:pPr>
            <w:r>
              <w:rPr/>
              <w:t> </w:t>
            </w:r>
          </w:p>
        </w:tc>
      </w:tr>
      <w:tr>
        <w:trPr/>
        <w:tc>
          <w:tcPr>
            <w:tcW w:w="1880" w:type="dxa"/>
            <w:tcBorders/>
            <w:shd w:fill="E5E5E5" w:val="clear"/>
            <w:vAlign w:val="center"/>
          </w:tcPr>
          <w:p>
            <w:pPr>
              <w:pStyle w:val="TableContents"/>
              <w:bidi w:val="0"/>
              <w:spacing w:lineRule="atLeast" w:line="240" w:before="0" w:after="0"/>
              <w:jc w:val="left"/>
              <w:rPr>
                <w:rFonts w:ascii="ARIAL" w:hAnsi="ARIAL"/>
                <w:sz w:val="18"/>
              </w:rPr>
            </w:pPr>
            <w:r>
              <w:rPr>
                <w:rFonts w:ascii="ARIAL" w:hAnsi="ARIAL"/>
                <w:sz w:val="18"/>
              </w:rPr>
              <w:t>Audit Fees(1)</w:t>
            </w:r>
          </w:p>
        </w:tc>
        <w:tc>
          <w:tcPr>
            <w:tcW w:w="120" w:type="dxa"/>
            <w:tcBorders/>
            <w:shd w:fill="E5E5E5" w:val="clear"/>
            <w:vAlign w:val="center"/>
          </w:tcPr>
          <w:p>
            <w:pPr>
              <w:pStyle w:val="TableContents"/>
              <w:bidi w:val="0"/>
              <w:spacing w:before="0" w:after="283"/>
              <w:jc w:val="left"/>
              <w:rPr/>
            </w:pPr>
            <w:r>
              <w:rPr/>
              <w:t>  </w:t>
            </w:r>
          </w:p>
        </w:tc>
        <w:tc>
          <w:tcPr>
            <w:tcW w:w="125" w:type="dxa"/>
            <w:tcBorders/>
            <w:shd w:fill="E5E5E5" w:val="clear"/>
            <w:vAlign w:val="center"/>
          </w:tcPr>
          <w:p>
            <w:pPr>
              <w:pStyle w:val="TableContents"/>
              <w:bidi w:val="0"/>
              <w:spacing w:lineRule="atLeast" w:line="300" w:before="0" w:after="0"/>
              <w:jc w:val="left"/>
              <w:rPr>
                <w:rFonts w:ascii="ARIAL" w:hAnsi="ARIAL"/>
                <w:sz w:val="18"/>
              </w:rPr>
            </w:pPr>
            <w:r>
              <w:rPr>
                <w:rFonts w:ascii="ARIAL" w:hAnsi="ARIAL"/>
                <w:sz w:val="18"/>
              </w:rPr>
              <w:t>$</w:t>
            </w:r>
          </w:p>
        </w:tc>
        <w:tc>
          <w:tcPr>
            <w:tcW w:w="485" w:type="dxa"/>
            <w:tcBorders/>
            <w:shd w:fill="E5E5E5" w:val="clear"/>
            <w:vAlign w:val="center"/>
          </w:tcPr>
          <w:p>
            <w:pPr>
              <w:pStyle w:val="TableContents"/>
              <w:bidi w:val="0"/>
              <w:spacing w:lineRule="atLeast" w:line="300" w:before="0" w:after="0"/>
              <w:jc w:val="right"/>
              <w:rPr>
                <w:rFonts w:ascii="ARIAL" w:hAnsi="ARIAL"/>
                <w:sz w:val="18"/>
              </w:rPr>
            </w:pPr>
            <w:r>
              <w:rPr>
                <w:rFonts w:ascii="ARIAL" w:hAnsi="ARIAL"/>
                <w:sz w:val="18"/>
              </w:rPr>
              <w:t>18.03</w:t>
            </w:r>
          </w:p>
        </w:tc>
        <w:tc>
          <w:tcPr>
            <w:tcW w:w="60" w:type="dxa"/>
            <w:tcBorders/>
            <w:shd w:fill="E5E5E5" w:val="clear"/>
            <w:vAlign w:val="center"/>
          </w:tcPr>
          <w:p>
            <w:pPr>
              <w:pStyle w:val="TableContents"/>
              <w:bidi w:val="0"/>
              <w:spacing w:lineRule="atLeast" w:line="300" w:before="0" w:after="0"/>
              <w:jc w:val="left"/>
              <w:rPr/>
            </w:pPr>
            <w:r>
              <w:rPr/>
              <w:t> </w:t>
            </w:r>
          </w:p>
        </w:tc>
        <w:tc>
          <w:tcPr>
            <w:tcW w:w="240" w:type="dxa"/>
            <w:tcBorders/>
            <w:shd w:fill="E5E5E5" w:val="clear"/>
            <w:vAlign w:val="center"/>
          </w:tcPr>
          <w:p>
            <w:pPr>
              <w:pStyle w:val="TableContents"/>
              <w:bidi w:val="0"/>
              <w:spacing w:before="0" w:after="283"/>
              <w:jc w:val="left"/>
              <w:rPr/>
            </w:pPr>
            <w:r>
              <w:rPr/>
              <w:t>    </w:t>
            </w:r>
          </w:p>
        </w:tc>
        <w:tc>
          <w:tcPr>
            <w:tcW w:w="125" w:type="dxa"/>
            <w:tcBorders/>
            <w:shd w:fill="E5E5E5" w:val="clear"/>
            <w:vAlign w:val="center"/>
          </w:tcPr>
          <w:p>
            <w:pPr>
              <w:pStyle w:val="TableContents"/>
              <w:bidi w:val="0"/>
              <w:spacing w:lineRule="atLeast" w:line="300" w:before="0" w:after="0"/>
              <w:jc w:val="left"/>
              <w:rPr>
                <w:rFonts w:ascii="ARIAL" w:hAnsi="ARIAL"/>
                <w:sz w:val="18"/>
              </w:rPr>
            </w:pPr>
            <w:r>
              <w:rPr>
                <w:rFonts w:ascii="ARIAL" w:hAnsi="ARIAL"/>
                <w:sz w:val="18"/>
              </w:rPr>
              <w:t>$</w:t>
            </w:r>
          </w:p>
        </w:tc>
        <w:tc>
          <w:tcPr>
            <w:tcW w:w="485" w:type="dxa"/>
            <w:tcBorders/>
            <w:shd w:fill="E5E5E5" w:val="clear"/>
            <w:vAlign w:val="center"/>
          </w:tcPr>
          <w:p>
            <w:pPr>
              <w:pStyle w:val="TableContents"/>
              <w:bidi w:val="0"/>
              <w:spacing w:lineRule="atLeast" w:line="300" w:before="0" w:after="0"/>
              <w:jc w:val="right"/>
              <w:rPr>
                <w:rFonts w:ascii="ARIAL" w:hAnsi="ARIAL"/>
                <w:sz w:val="18"/>
              </w:rPr>
            </w:pPr>
            <w:r>
              <w:rPr>
                <w:rFonts w:ascii="ARIAL" w:hAnsi="ARIAL"/>
                <w:sz w:val="18"/>
              </w:rPr>
              <w:t>15.41</w:t>
            </w:r>
          </w:p>
        </w:tc>
        <w:tc>
          <w:tcPr>
            <w:tcW w:w="75" w:type="dxa"/>
            <w:tcBorders/>
            <w:shd w:fill="E5E5E5" w:val="clear"/>
            <w:vAlign w:val="center"/>
          </w:tcPr>
          <w:p>
            <w:pPr>
              <w:pStyle w:val="TableContents"/>
              <w:bidi w:val="0"/>
              <w:spacing w:lineRule="atLeast" w:line="300" w:before="0" w:after="0"/>
              <w:jc w:val="left"/>
              <w:rPr/>
            </w:pPr>
            <w:r>
              <w:rPr/>
              <w:t> </w:t>
            </w:r>
          </w:p>
        </w:tc>
      </w:tr>
      <w:tr>
        <w:trPr/>
        <w:tc>
          <w:tcPr>
            <w:tcW w:w="1880" w:type="dxa"/>
            <w:tcBorders/>
            <w:vAlign w:val="center"/>
          </w:tcPr>
          <w:p>
            <w:pPr>
              <w:pStyle w:val="TableContents"/>
              <w:bidi w:val="0"/>
              <w:spacing w:lineRule="atLeast" w:line="240" w:before="0" w:after="0"/>
              <w:jc w:val="left"/>
              <w:rPr>
                <w:rFonts w:ascii="ARIAL" w:hAnsi="ARIAL"/>
                <w:sz w:val="18"/>
              </w:rPr>
            </w:pPr>
            <w:r>
              <w:rPr>
                <w:rFonts w:ascii="ARIAL" w:hAnsi="ARIAL"/>
                <w:sz w:val="18"/>
              </w:rPr>
              <w:t>Audit–Related Fees(2)</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tLeast" w:line="300" w:before="0" w:after="0"/>
              <w:jc w:val="left"/>
              <w:rPr/>
            </w:pPr>
            <w:r>
              <w:rPr/>
              <w:t> </w:t>
            </w:r>
          </w:p>
        </w:tc>
        <w:tc>
          <w:tcPr>
            <w:tcW w:w="485" w:type="dxa"/>
            <w:tcBorders/>
            <w:vAlign w:val="center"/>
          </w:tcPr>
          <w:p>
            <w:pPr>
              <w:pStyle w:val="TableContents"/>
              <w:bidi w:val="0"/>
              <w:spacing w:lineRule="atLeast" w:line="300" w:before="0" w:after="0"/>
              <w:jc w:val="right"/>
              <w:rPr>
                <w:rFonts w:ascii="ARIAL" w:hAnsi="ARIAL"/>
                <w:sz w:val="18"/>
              </w:rPr>
            </w:pPr>
            <w:r>
              <w:rPr>
                <w:rFonts w:ascii="ARIAL" w:hAnsi="ARIAL"/>
                <w:sz w:val="18"/>
              </w:rPr>
              <w:t>0.28</w:t>
            </w:r>
          </w:p>
        </w:tc>
        <w:tc>
          <w:tcPr>
            <w:tcW w:w="60" w:type="dxa"/>
            <w:tcBorders/>
            <w:vAlign w:val="center"/>
          </w:tcPr>
          <w:p>
            <w:pPr>
              <w:pStyle w:val="TableContents"/>
              <w:bidi w:val="0"/>
              <w:spacing w:lineRule="atLeast" w:line="300" w:before="0" w:after="0"/>
              <w:jc w:val="left"/>
              <w:rPr/>
            </w:pPr>
            <w:r>
              <w:rPr/>
              <w:t> </w:t>
            </w:r>
          </w:p>
        </w:tc>
        <w:tc>
          <w:tcPr>
            <w:tcW w:w="24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tLeast" w:line="300" w:before="0" w:after="0"/>
              <w:jc w:val="left"/>
              <w:rPr/>
            </w:pPr>
            <w:r>
              <w:rPr/>
              <w:t> </w:t>
            </w:r>
          </w:p>
        </w:tc>
        <w:tc>
          <w:tcPr>
            <w:tcW w:w="485" w:type="dxa"/>
            <w:tcBorders/>
            <w:vAlign w:val="center"/>
          </w:tcPr>
          <w:p>
            <w:pPr>
              <w:pStyle w:val="TableContents"/>
              <w:bidi w:val="0"/>
              <w:spacing w:lineRule="atLeast" w:line="300" w:before="0" w:after="0"/>
              <w:jc w:val="right"/>
              <w:rPr>
                <w:rFonts w:ascii="ARIAL" w:hAnsi="ARIAL"/>
                <w:sz w:val="18"/>
              </w:rPr>
            </w:pPr>
            <w:r>
              <w:rPr>
                <w:rFonts w:ascii="ARIAL" w:hAnsi="ARIAL"/>
                <w:sz w:val="18"/>
              </w:rPr>
              <w:t>0.35</w:t>
            </w:r>
          </w:p>
        </w:tc>
        <w:tc>
          <w:tcPr>
            <w:tcW w:w="75" w:type="dxa"/>
            <w:tcBorders/>
            <w:vAlign w:val="center"/>
          </w:tcPr>
          <w:p>
            <w:pPr>
              <w:pStyle w:val="TableContents"/>
              <w:bidi w:val="0"/>
              <w:spacing w:lineRule="atLeast" w:line="300" w:before="0" w:after="0"/>
              <w:jc w:val="left"/>
              <w:rPr/>
            </w:pPr>
            <w:r>
              <w:rPr/>
              <w:t> </w:t>
            </w:r>
          </w:p>
        </w:tc>
      </w:tr>
      <w:tr>
        <w:trPr/>
        <w:tc>
          <w:tcPr>
            <w:tcW w:w="1880" w:type="dxa"/>
            <w:tcBorders/>
            <w:shd w:fill="E5E5E5" w:val="clear"/>
            <w:vAlign w:val="center"/>
          </w:tcPr>
          <w:p>
            <w:pPr>
              <w:pStyle w:val="TableContents"/>
              <w:bidi w:val="0"/>
              <w:spacing w:lineRule="atLeast" w:line="240" w:before="0" w:after="0"/>
              <w:jc w:val="left"/>
              <w:rPr>
                <w:rFonts w:ascii="ARIAL" w:hAnsi="ARIAL"/>
                <w:sz w:val="18"/>
              </w:rPr>
            </w:pPr>
            <w:r>
              <w:rPr>
                <w:rFonts w:ascii="ARIAL" w:hAnsi="ARIAL"/>
                <w:sz w:val="18"/>
              </w:rPr>
              <w:t>Tax Fees(3)</w:t>
            </w:r>
          </w:p>
        </w:tc>
        <w:tc>
          <w:tcPr>
            <w:tcW w:w="120" w:type="dxa"/>
            <w:tcBorders/>
            <w:shd w:fill="E5E5E5" w:val="clear"/>
            <w:vAlign w:val="center"/>
          </w:tcPr>
          <w:p>
            <w:pPr>
              <w:pStyle w:val="TableContents"/>
              <w:bidi w:val="0"/>
              <w:spacing w:before="0" w:after="283"/>
              <w:jc w:val="left"/>
              <w:rPr/>
            </w:pPr>
            <w:r>
              <w:rPr/>
              <w:t>  </w:t>
            </w:r>
          </w:p>
        </w:tc>
        <w:tc>
          <w:tcPr>
            <w:tcW w:w="125" w:type="dxa"/>
            <w:tcBorders/>
            <w:shd w:fill="E5E5E5" w:val="clear"/>
            <w:vAlign w:val="center"/>
          </w:tcPr>
          <w:p>
            <w:pPr>
              <w:pStyle w:val="TableContents"/>
              <w:bidi w:val="0"/>
              <w:spacing w:lineRule="atLeast" w:line="300" w:before="0" w:after="0"/>
              <w:jc w:val="left"/>
              <w:rPr/>
            </w:pPr>
            <w:r>
              <w:rPr/>
              <w:t> </w:t>
            </w:r>
          </w:p>
        </w:tc>
        <w:tc>
          <w:tcPr>
            <w:tcW w:w="485" w:type="dxa"/>
            <w:tcBorders/>
            <w:shd w:fill="E5E5E5" w:val="clear"/>
            <w:vAlign w:val="center"/>
          </w:tcPr>
          <w:p>
            <w:pPr>
              <w:pStyle w:val="TableContents"/>
              <w:bidi w:val="0"/>
              <w:spacing w:lineRule="atLeast" w:line="300" w:before="0" w:after="0"/>
              <w:jc w:val="right"/>
              <w:rPr>
                <w:rFonts w:ascii="ARIAL" w:hAnsi="ARIAL"/>
                <w:sz w:val="18"/>
              </w:rPr>
            </w:pPr>
            <w:r>
              <w:rPr>
                <w:rFonts w:ascii="ARIAL" w:hAnsi="ARIAL"/>
                <w:sz w:val="18"/>
              </w:rPr>
              <w:t>1.82</w:t>
            </w:r>
          </w:p>
        </w:tc>
        <w:tc>
          <w:tcPr>
            <w:tcW w:w="60" w:type="dxa"/>
            <w:tcBorders/>
            <w:shd w:fill="E5E5E5" w:val="clear"/>
            <w:vAlign w:val="center"/>
          </w:tcPr>
          <w:p>
            <w:pPr>
              <w:pStyle w:val="TableContents"/>
              <w:bidi w:val="0"/>
              <w:spacing w:lineRule="atLeast" w:line="300" w:before="0" w:after="0"/>
              <w:jc w:val="left"/>
              <w:rPr/>
            </w:pPr>
            <w:r>
              <w:rPr/>
              <w:t> </w:t>
            </w:r>
          </w:p>
        </w:tc>
        <w:tc>
          <w:tcPr>
            <w:tcW w:w="240" w:type="dxa"/>
            <w:tcBorders/>
            <w:shd w:fill="E5E5E5" w:val="clear"/>
            <w:vAlign w:val="center"/>
          </w:tcPr>
          <w:p>
            <w:pPr>
              <w:pStyle w:val="TableContents"/>
              <w:bidi w:val="0"/>
              <w:spacing w:before="0" w:after="283"/>
              <w:jc w:val="left"/>
              <w:rPr/>
            </w:pPr>
            <w:r>
              <w:rPr/>
              <w:t>    </w:t>
            </w:r>
          </w:p>
        </w:tc>
        <w:tc>
          <w:tcPr>
            <w:tcW w:w="125" w:type="dxa"/>
            <w:tcBorders/>
            <w:shd w:fill="E5E5E5" w:val="clear"/>
            <w:vAlign w:val="center"/>
          </w:tcPr>
          <w:p>
            <w:pPr>
              <w:pStyle w:val="TableContents"/>
              <w:bidi w:val="0"/>
              <w:spacing w:lineRule="atLeast" w:line="300" w:before="0" w:after="0"/>
              <w:jc w:val="left"/>
              <w:rPr/>
            </w:pPr>
            <w:r>
              <w:rPr/>
              <w:t> </w:t>
            </w:r>
          </w:p>
        </w:tc>
        <w:tc>
          <w:tcPr>
            <w:tcW w:w="485" w:type="dxa"/>
            <w:tcBorders/>
            <w:shd w:fill="E5E5E5" w:val="clear"/>
            <w:vAlign w:val="center"/>
          </w:tcPr>
          <w:p>
            <w:pPr>
              <w:pStyle w:val="TableContents"/>
              <w:bidi w:val="0"/>
              <w:spacing w:lineRule="atLeast" w:line="300" w:before="0" w:after="0"/>
              <w:jc w:val="right"/>
              <w:rPr>
                <w:rFonts w:ascii="ARIAL" w:hAnsi="ARIAL"/>
                <w:sz w:val="18"/>
              </w:rPr>
            </w:pPr>
            <w:r>
              <w:rPr>
                <w:rFonts w:ascii="ARIAL" w:hAnsi="ARIAL"/>
                <w:sz w:val="18"/>
              </w:rPr>
              <w:t>0.15</w:t>
            </w:r>
          </w:p>
        </w:tc>
        <w:tc>
          <w:tcPr>
            <w:tcW w:w="75" w:type="dxa"/>
            <w:tcBorders/>
            <w:shd w:fill="E5E5E5" w:val="clear"/>
            <w:vAlign w:val="center"/>
          </w:tcPr>
          <w:p>
            <w:pPr>
              <w:pStyle w:val="TableContents"/>
              <w:bidi w:val="0"/>
              <w:spacing w:lineRule="atLeast" w:line="300" w:before="0" w:after="0"/>
              <w:jc w:val="left"/>
              <w:rPr/>
            </w:pPr>
            <w:r>
              <w:rPr/>
              <w:t> </w:t>
            </w:r>
          </w:p>
        </w:tc>
      </w:tr>
      <w:tr>
        <w:trPr/>
        <w:tc>
          <w:tcPr>
            <w:tcW w:w="1880" w:type="dxa"/>
            <w:tcBorders/>
            <w:vAlign w:val="center"/>
          </w:tcPr>
          <w:p>
            <w:pPr>
              <w:pStyle w:val="TableContents"/>
              <w:bidi w:val="0"/>
              <w:spacing w:lineRule="atLeast" w:line="300" w:before="0" w:after="0"/>
              <w:jc w:val="left"/>
              <w:rPr>
                <w:rFonts w:ascii="ARIAL" w:hAnsi="ARIAL"/>
                <w:sz w:val="18"/>
              </w:rPr>
            </w:pPr>
            <w:r>
              <w:rPr>
                <w:rFonts w:ascii="ARIAL" w:hAnsi="ARIAL"/>
                <w:sz w:val="18"/>
              </w:rPr>
              <w:t>All Other Fees</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tLeast" w:line="300" w:before="0" w:after="0"/>
              <w:jc w:val="left"/>
              <w:rPr/>
            </w:pPr>
            <w:r>
              <w:rPr/>
              <w:t> </w:t>
            </w:r>
          </w:p>
        </w:tc>
        <w:tc>
          <w:tcPr>
            <w:tcW w:w="485" w:type="dxa"/>
            <w:tcBorders/>
            <w:vAlign w:val="center"/>
          </w:tcPr>
          <w:p>
            <w:pPr>
              <w:pStyle w:val="TableContents"/>
              <w:bidi w:val="0"/>
              <w:spacing w:lineRule="atLeast" w:line="300" w:before="0" w:after="0"/>
              <w:jc w:val="right"/>
              <w:rPr/>
            </w:pPr>
            <w:r>
              <w:rPr/>
              <w:t>—</w:t>
            </w:r>
          </w:p>
        </w:tc>
        <w:tc>
          <w:tcPr>
            <w:tcW w:w="60" w:type="dxa"/>
            <w:tcBorders/>
            <w:vAlign w:val="center"/>
          </w:tcPr>
          <w:p>
            <w:pPr>
              <w:pStyle w:val="TableContents"/>
              <w:bidi w:val="0"/>
              <w:spacing w:lineRule="atLeast" w:line="300" w:before="0" w:after="0"/>
              <w:jc w:val="left"/>
              <w:rPr/>
            </w:pPr>
            <w:r>
              <w:rPr/>
              <w:t> </w:t>
            </w:r>
          </w:p>
        </w:tc>
        <w:tc>
          <w:tcPr>
            <w:tcW w:w="24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tLeast" w:line="300" w:before="0" w:after="0"/>
              <w:jc w:val="left"/>
              <w:rPr/>
            </w:pPr>
            <w:r>
              <w:rPr/>
              <w:t> </w:t>
            </w:r>
          </w:p>
        </w:tc>
        <w:tc>
          <w:tcPr>
            <w:tcW w:w="485" w:type="dxa"/>
            <w:tcBorders/>
            <w:vAlign w:val="center"/>
          </w:tcPr>
          <w:p>
            <w:pPr>
              <w:pStyle w:val="TableContents"/>
              <w:bidi w:val="0"/>
              <w:spacing w:lineRule="atLeast" w:line="300" w:before="0" w:after="0"/>
              <w:jc w:val="right"/>
              <w:rPr/>
            </w:pPr>
            <w:r>
              <w:rPr/>
              <w:t>—</w:t>
            </w:r>
          </w:p>
        </w:tc>
        <w:tc>
          <w:tcPr>
            <w:tcW w:w="75" w:type="dxa"/>
            <w:tcBorders/>
            <w:vAlign w:val="center"/>
          </w:tcPr>
          <w:p>
            <w:pPr>
              <w:pStyle w:val="TableContents"/>
              <w:bidi w:val="0"/>
              <w:spacing w:lineRule="atLeast" w:line="300" w:before="0" w:after="0"/>
              <w:jc w:val="left"/>
              <w:rPr/>
            </w:pPr>
            <w:r>
              <w:rPr/>
              <w:t> </w:t>
            </w:r>
          </w:p>
        </w:tc>
      </w:tr>
      <w:tr>
        <w:trPr/>
        <w:tc>
          <w:tcPr>
            <w:tcW w:w="1880" w:type="dxa"/>
            <w:tcBorders>
              <w:bottom w:val="single" w:sz="8" w:space="0" w:color="732282"/>
            </w:tcBorders>
            <w:shd w:fill="E5E5E5" w:val="clear"/>
            <w:tcMar>
              <w:bottom w:w="28" w:type="dxa"/>
            </w:tcMar>
            <w:vAlign w:val="center"/>
          </w:tcPr>
          <w:p>
            <w:pPr>
              <w:pStyle w:val="TableContents"/>
              <w:bidi w:val="0"/>
              <w:spacing w:lineRule="atLeast" w:line="300" w:before="0" w:after="0"/>
              <w:jc w:val="left"/>
              <w:rPr>
                <w:rFonts w:ascii="ARIAL" w:hAnsi="ARIAL"/>
                <w:b/>
                <w:sz w:val="18"/>
              </w:rPr>
            </w:pPr>
            <w:r>
              <w:rPr>
                <w:rFonts w:ascii="ARIAL" w:hAnsi="ARIAL"/>
                <w:b/>
                <w:sz w:val="18"/>
              </w:rPr>
              <w:t>Total Fees</w:t>
            </w:r>
          </w:p>
        </w:tc>
        <w:tc>
          <w:tcPr>
            <w:tcW w:w="12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25" w:type="dxa"/>
            <w:tcBorders>
              <w:bottom w:val="single" w:sz="8" w:space="0" w:color="732282"/>
            </w:tcBorders>
            <w:shd w:fill="E5E5E5" w:val="clear"/>
            <w:tcMar>
              <w:bottom w:w="28" w:type="dxa"/>
            </w:tcMar>
            <w:vAlign w:val="center"/>
          </w:tcPr>
          <w:p>
            <w:pPr>
              <w:pStyle w:val="TableContents"/>
              <w:bidi w:val="0"/>
              <w:spacing w:lineRule="atLeast" w:line="300" w:before="0" w:after="0"/>
              <w:jc w:val="left"/>
              <w:rPr>
                <w:rFonts w:ascii="ARIAL" w:hAnsi="ARIAL"/>
                <w:b/>
                <w:sz w:val="18"/>
              </w:rPr>
            </w:pPr>
            <w:r>
              <w:rPr>
                <w:rFonts w:ascii="ARIAL" w:hAnsi="ARIAL"/>
                <w:b/>
                <w:sz w:val="18"/>
              </w:rPr>
              <w:t>$</w:t>
            </w:r>
          </w:p>
        </w:tc>
        <w:tc>
          <w:tcPr>
            <w:tcW w:w="485" w:type="dxa"/>
            <w:tcBorders>
              <w:bottom w:val="single" w:sz="8" w:space="0" w:color="732282"/>
            </w:tcBorders>
            <w:shd w:fill="E5E5E5" w:val="clear"/>
            <w:tcMar>
              <w:bottom w:w="28" w:type="dxa"/>
            </w:tcMar>
            <w:vAlign w:val="center"/>
          </w:tcPr>
          <w:p>
            <w:pPr>
              <w:pStyle w:val="TableContents"/>
              <w:bidi w:val="0"/>
              <w:spacing w:lineRule="atLeast" w:line="300" w:before="0" w:after="0"/>
              <w:jc w:val="right"/>
              <w:rPr>
                <w:rFonts w:ascii="ARIAL" w:hAnsi="ARIAL"/>
                <w:b/>
                <w:sz w:val="18"/>
              </w:rPr>
            </w:pPr>
            <w:r>
              <w:rPr>
                <w:rFonts w:ascii="ARIAL" w:hAnsi="ARIAL"/>
                <w:b/>
                <w:sz w:val="18"/>
              </w:rPr>
              <w:t>20.13</w:t>
            </w:r>
          </w:p>
        </w:tc>
        <w:tc>
          <w:tcPr>
            <w:tcW w:w="60" w:type="dxa"/>
            <w:tcBorders>
              <w:bottom w:val="single" w:sz="8" w:space="0" w:color="732282"/>
            </w:tcBorders>
            <w:shd w:fill="E5E5E5" w:val="clear"/>
            <w:tcMar>
              <w:bottom w:w="28" w:type="dxa"/>
            </w:tcMar>
            <w:vAlign w:val="center"/>
          </w:tcPr>
          <w:p>
            <w:pPr>
              <w:pStyle w:val="TableContents"/>
              <w:bidi w:val="0"/>
              <w:spacing w:lineRule="atLeast" w:line="300" w:before="0" w:after="0"/>
              <w:jc w:val="left"/>
              <w:rPr/>
            </w:pPr>
            <w:r>
              <w:rPr/>
              <w:t> </w:t>
            </w:r>
          </w:p>
        </w:tc>
        <w:tc>
          <w:tcPr>
            <w:tcW w:w="24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25" w:type="dxa"/>
            <w:tcBorders>
              <w:bottom w:val="single" w:sz="8" w:space="0" w:color="732282"/>
            </w:tcBorders>
            <w:shd w:fill="E5E5E5" w:val="clear"/>
            <w:tcMar>
              <w:bottom w:w="28" w:type="dxa"/>
            </w:tcMar>
            <w:vAlign w:val="center"/>
          </w:tcPr>
          <w:p>
            <w:pPr>
              <w:pStyle w:val="TableContents"/>
              <w:bidi w:val="0"/>
              <w:spacing w:lineRule="atLeast" w:line="300" w:before="0" w:after="0"/>
              <w:jc w:val="left"/>
              <w:rPr>
                <w:rFonts w:ascii="ARIAL" w:hAnsi="ARIAL"/>
                <w:b/>
                <w:sz w:val="18"/>
              </w:rPr>
            </w:pPr>
            <w:r>
              <w:rPr>
                <w:rFonts w:ascii="ARIAL" w:hAnsi="ARIAL"/>
                <w:b/>
                <w:sz w:val="18"/>
              </w:rPr>
              <w:t>$</w:t>
            </w:r>
          </w:p>
        </w:tc>
        <w:tc>
          <w:tcPr>
            <w:tcW w:w="485" w:type="dxa"/>
            <w:tcBorders>
              <w:bottom w:val="single" w:sz="8" w:space="0" w:color="732282"/>
            </w:tcBorders>
            <w:shd w:fill="E5E5E5" w:val="clear"/>
            <w:tcMar>
              <w:bottom w:w="28" w:type="dxa"/>
            </w:tcMar>
            <w:vAlign w:val="center"/>
          </w:tcPr>
          <w:p>
            <w:pPr>
              <w:pStyle w:val="TableContents"/>
              <w:bidi w:val="0"/>
              <w:spacing w:lineRule="atLeast" w:line="300" w:before="0" w:after="0"/>
              <w:jc w:val="right"/>
              <w:rPr>
                <w:rFonts w:ascii="ARIAL" w:hAnsi="ARIAL"/>
                <w:b/>
                <w:sz w:val="18"/>
              </w:rPr>
            </w:pPr>
            <w:r>
              <w:rPr>
                <w:rFonts w:ascii="ARIAL" w:hAnsi="ARIAL"/>
                <w:b/>
                <w:sz w:val="18"/>
              </w:rPr>
              <w:t>15.91</w:t>
            </w:r>
          </w:p>
        </w:tc>
        <w:tc>
          <w:tcPr>
            <w:tcW w:w="75" w:type="dxa"/>
            <w:tcBorders>
              <w:bottom w:val="single" w:sz="8" w:space="0" w:color="732282"/>
            </w:tcBorders>
            <w:shd w:fill="E5E5E5" w:val="clear"/>
            <w:tcMar>
              <w:bottom w:w="28" w:type="dxa"/>
            </w:tcMar>
            <w:vAlign w:val="center"/>
          </w:tcPr>
          <w:p>
            <w:pPr>
              <w:pStyle w:val="TableContents"/>
              <w:bidi w:val="0"/>
              <w:spacing w:lineRule="atLeast" w:line="300" w:before="0" w:after="0"/>
              <w:jc w:val="left"/>
              <w:rPr/>
            </w:pPr>
            <w:r>
              <w:rPr/>
              <w:t> </w:t>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i/>
              </w:rPr>
            </w:pPr>
            <w:r>
              <w:rPr>
                <w:i/>
              </w:rPr>
              <w:t>(1)</w:t>
            </w:r>
          </w:p>
        </w:tc>
        <w:tc>
          <w:tcPr>
            <w:tcW w:w="9958" w:type="dxa"/>
            <w:tcBorders/>
            <w:vAlign w:val="center"/>
          </w:tcPr>
          <w:p>
            <w:pPr>
              <w:pStyle w:val="TableContents"/>
              <w:bidi w:val="0"/>
              <w:spacing w:before="0" w:after="0"/>
              <w:jc w:val="both"/>
              <w:rPr>
                <w:rFonts w:ascii="arial" w:hAnsi="arial"/>
                <w:i/>
                <w:sz w:val="18"/>
              </w:rPr>
            </w:pPr>
            <w:r>
              <w:rPr>
                <w:rFonts w:ascii="arial" w:hAnsi="arial"/>
                <w:i/>
                <w:sz w:val="18"/>
              </w:rPr>
              <w:t xml:space="preserve">Represents fees for professional services provided for the audit of the Company’s annual consolidated financial statements, the audit of the Company’s internal control over financial reporting, as required by Section 404 of the Sarbanes-Oxley Act of 2002, reviews of the Company’s quarterly condensed consolidated financial statements, audit services provided in connection with other statutory or regulatory filings, and accounting, reporting and disclosure matters.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i/>
              </w:rPr>
            </w:pPr>
            <w:r>
              <w:rPr>
                <w:i/>
              </w:rPr>
              <w:t>(2)</w:t>
            </w:r>
          </w:p>
        </w:tc>
        <w:tc>
          <w:tcPr>
            <w:tcW w:w="9941" w:type="dxa"/>
            <w:tcBorders/>
            <w:vAlign w:val="center"/>
          </w:tcPr>
          <w:p>
            <w:pPr>
              <w:pStyle w:val="TableContents"/>
              <w:bidi w:val="0"/>
              <w:spacing w:before="0" w:after="0"/>
              <w:jc w:val="both"/>
              <w:rPr>
                <w:rFonts w:ascii="arial" w:hAnsi="arial"/>
                <w:i/>
                <w:sz w:val="18"/>
              </w:rPr>
            </w:pPr>
            <w:r>
              <w:rPr>
                <w:rFonts w:ascii="arial" w:hAnsi="arial"/>
                <w:i/>
                <w:sz w:val="18"/>
              </w:rPr>
              <w:t xml:space="preserve">Represents fees for assurance services related to the audit of the Company’s annual consolidated financial statements, including audits of certain of the Company’s subsidiaries, comfort letters, certain SEC filings and other agreed-upon procedures.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i/>
              </w:rPr>
            </w:pPr>
            <w:r>
              <w:rPr>
                <w:i/>
              </w:rPr>
              <w:t>(3)</w:t>
            </w:r>
          </w:p>
        </w:tc>
        <w:tc>
          <w:tcPr>
            <w:tcW w:w="9930" w:type="dxa"/>
            <w:tcBorders/>
            <w:vAlign w:val="center"/>
          </w:tcPr>
          <w:p>
            <w:pPr>
              <w:pStyle w:val="TableContents"/>
              <w:bidi w:val="0"/>
              <w:spacing w:before="0" w:after="0"/>
              <w:jc w:val="both"/>
              <w:rPr>
                <w:rFonts w:ascii="arial" w:hAnsi="arial"/>
                <w:i/>
                <w:sz w:val="18"/>
              </w:rPr>
            </w:pPr>
            <w:r>
              <w:rPr>
                <w:rFonts w:ascii="arial" w:hAnsi="arial"/>
                <w:i/>
                <w:sz w:val="18"/>
              </w:rPr>
              <w:t xml:space="preserve">Represents fees primarily related to tax return preparation, tax planning and tax compliance support services, as well as fees related to tax advice provided in connection with the Combination. </w:t>
            </w:r>
          </w:p>
        </w:tc>
      </w:tr>
    </w:tbl>
    <w:p>
      <w:pPr>
        <w:pStyle w:val="TextBody"/>
        <w:bidi w:val="0"/>
        <w:spacing w:before="240" w:after="0"/>
        <w:jc w:val="left"/>
        <w:rPr>
          <w:rFonts w:ascii="ARIAL" w:hAnsi="ARIAL"/>
          <w:b/>
          <w:sz w:val="20"/>
        </w:rPr>
      </w:pPr>
      <w:r>
        <w:rPr>
          <w:rFonts w:ascii="ARIAL" w:hAnsi="ARIAL"/>
          <w:b/>
          <w:sz w:val="20"/>
        </w:rPr>
        <w:t xml:space="preserve">Audit Committee Pre-Approval Policy </w:t>
      </w:r>
    </w:p>
    <w:p>
      <w:pPr>
        <w:pStyle w:val="TextBody"/>
        <w:bidi w:val="0"/>
        <w:spacing w:before="120" w:after="0"/>
        <w:jc w:val="both"/>
        <w:rPr>
          <w:rFonts w:ascii="arial" w:hAnsi="arial"/>
          <w:sz w:val="18"/>
        </w:rPr>
      </w:pPr>
      <w:r>
        <w:rPr>
          <w:rFonts w:ascii="arial" w:hAnsi="arial"/>
          <w:sz w:val="18"/>
        </w:rPr>
        <w:t xml:space="preserve">The Audit Committee has a policy regarding pre-approval of audit, audit-related, tax and other services that the independent registered public accounting firm may perform for Viatris. Under the policy, the Committee must review and pre-approve on an individual basis any requests for audit, audit-related, tax and other services not covered by certain services pre-approved by the Committee up to certain amounts. All services performed by Deloitte during 2023 and 2022 were pre-approved by the Audit Committee in accordance with its pre-approval policy.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61 </w:t>
      </w:r>
      <w:r>
        <w:br w:type="page"/>
      </w:r>
    </w:p>
    <w:p>
      <w:pPr>
        <w:pStyle w:val="HorizontalLine"/>
        <w:bidi w:val="0"/>
        <w:jc w:val="left"/>
        <w:rPr/>
      </w:pPr>
      <w:r>
        <w:rPr/>
      </w:r>
    </w:p>
    <w:p>
      <w:pPr>
        <w:pStyle w:val="TextBody"/>
        <w:bidi w:val="0"/>
        <w:spacing w:before="0" w:after="0"/>
        <w:jc w:val="center"/>
        <w:rPr>
          <w:rFonts w:ascii="ARIAL" w:hAnsi="ARIAL"/>
          <w:b/>
          <w:sz w:val="20"/>
        </w:rPr>
      </w:pPr>
      <w:r>
        <w:rPr>
          <w:rFonts w:ascii="ARIAL" w:hAnsi="ARIAL"/>
          <w:b/>
          <w:sz w:val="20"/>
        </w:rPr>
        <w:t xml:space="preserve">PART IV </w:t>
      </w:r>
    </w:p>
    <w:p>
      <w:pPr>
        <w:pStyle w:val="TextBody"/>
        <w:bidi w:val="0"/>
        <w:spacing w:before="0" w:after="0"/>
        <w:jc w:val="left"/>
        <w:rPr/>
      </w:pPr>
      <w:r>
        <w:rPr/>
        <w:t> </w:t>
      </w:r>
    </w:p>
    <w:tbl>
      <w:tblPr>
        <w:tblW w:w="1885" w:type="dxa"/>
        <w:jc w:val="left"/>
        <w:tblInd w:w="0" w:type="dxa"/>
        <w:tblLayout w:type="fixed"/>
        <w:tblCellMar>
          <w:top w:w="0" w:type="dxa"/>
          <w:left w:w="0" w:type="dxa"/>
          <w:bottom w:w="0" w:type="dxa"/>
          <w:right w:w="0" w:type="dxa"/>
        </w:tblCellMar>
      </w:tblPr>
      <w:tblGrid>
        <w:gridCol w:w="1025"/>
        <w:gridCol w:w="860"/>
      </w:tblGrid>
      <w:tr>
        <w:trPr/>
        <w:tc>
          <w:tcPr>
            <w:tcW w:w="1025" w:type="dxa"/>
            <w:tcBorders/>
            <w:vAlign w:val="center"/>
          </w:tcPr>
          <w:p>
            <w:pPr>
              <w:pStyle w:val="TableContents"/>
              <w:bidi w:val="0"/>
              <w:spacing w:before="0" w:after="283"/>
              <w:jc w:val="left"/>
              <w:rPr>
                <w:b/>
              </w:rPr>
            </w:pPr>
            <w:bookmarkStart w:id="7" w:name="toc758146_6"/>
            <w:bookmarkEnd w:id="7"/>
            <w:r>
              <w:rPr>
                <w:b/>
              </w:rPr>
              <w:t>ITEM 15.</w:t>
            </w:r>
          </w:p>
        </w:tc>
        <w:tc>
          <w:tcPr>
            <w:tcW w:w="860" w:type="dxa"/>
            <w:tcBorders/>
            <w:vAlign w:val="center"/>
          </w:tcPr>
          <w:p>
            <w:pPr>
              <w:pStyle w:val="TableContents"/>
              <w:bidi w:val="0"/>
              <w:spacing w:before="0" w:after="0"/>
              <w:jc w:val="both"/>
              <w:rPr>
                <w:rFonts w:ascii="ARIAL" w:hAnsi="ARIAL"/>
                <w:b/>
                <w:sz w:val="20"/>
              </w:rPr>
            </w:pPr>
            <w:r>
              <w:rPr>
                <w:rFonts w:ascii="ARIAL" w:hAnsi="ARIAL"/>
                <w:b/>
                <w:sz w:val="20"/>
              </w:rPr>
              <w:t xml:space="preserve">Exhibits </w:t>
            </w:r>
          </w:p>
        </w:tc>
      </w:tr>
    </w:tbl>
    <w:p>
      <w:pPr>
        <w:pStyle w:val="TextBody"/>
        <w:bidi w:val="0"/>
        <w:spacing w:before="120" w:after="0"/>
        <w:jc w:val="left"/>
        <w:rPr>
          <w:rFonts w:ascii="ARIAL" w:hAnsi="ARIAL"/>
          <w:b/>
          <w:sz w:val="20"/>
          <w:u w:val="single"/>
        </w:rPr>
      </w:pPr>
      <w:r>
        <w:rPr>
          <w:rFonts w:ascii="ARIAL" w:hAnsi="ARIAL"/>
          <w:b/>
          <w:sz w:val="20"/>
          <w:u w:val="single"/>
        </w:rPr>
        <w:t xml:space="preserve">Exhibit Index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31.1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758146dex311.htm">
              <w:r>
                <w:rPr>
                  <w:rStyle w:val="InternetLink"/>
                </w:rPr>
                <w:t>Certification of Principal Executive Officer pursuant to Section 302 of the Sarbanes-Oxley Act of 2002.</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31.2</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758146dex312.htm">
              <w:r>
                <w:rPr>
                  <w:rStyle w:val="InternetLink"/>
                </w:rPr>
                <w:t xml:space="preserve">Certification of Principal Financial Officer pursuant to Section 302 of the Sarbanes-Oxley Act of 2002.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File—the cover page interactive data file does not appear in the Interactive Data File because its XBRL tags are embedded within the Inline XBRL document (included in Exhibit 101).</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62 </w:t>
      </w:r>
      <w:r>
        <w:br w:type="page"/>
      </w:r>
    </w:p>
    <w:p>
      <w:pPr>
        <w:pStyle w:val="HorizontalLine"/>
        <w:bidi w:val="0"/>
        <w:jc w:val="left"/>
        <w:rPr/>
      </w:pPr>
      <w:r>
        <w:rPr/>
      </w:r>
    </w:p>
    <w:p>
      <w:pPr>
        <w:pStyle w:val="TextBody"/>
        <w:bidi w:val="0"/>
        <w:spacing w:before="0" w:after="0"/>
        <w:jc w:val="center"/>
        <w:rPr>
          <w:rFonts w:ascii="ARIAL" w:hAnsi="ARIAL"/>
          <w:b/>
          <w:sz w:val="20"/>
        </w:rPr>
      </w:pPr>
      <w:bookmarkStart w:id="8" w:name="toc758146_7"/>
      <w:bookmarkEnd w:id="8"/>
      <w:r>
        <w:rPr>
          <w:rFonts w:ascii="ARIAL" w:hAnsi="ARIAL"/>
          <w:b/>
          <w:sz w:val="20"/>
        </w:rPr>
        <w:t xml:space="preserve">SIGNATURE </w:t>
      </w:r>
    </w:p>
    <w:p>
      <w:pPr>
        <w:pStyle w:val="TextBody"/>
        <w:bidi w:val="0"/>
        <w:spacing w:before="240" w:after="0"/>
        <w:jc w:val="both"/>
        <w:rPr>
          <w:rFonts w:ascii="arial" w:hAnsi="arial"/>
          <w:sz w:val="18"/>
        </w:rPr>
      </w:pPr>
      <w:r>
        <w:rPr>
          <w:rFonts w:ascii="arial" w:hAnsi="arial"/>
          <w:sz w:val="18"/>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4290" w:type="dxa"/>
        <w:jc w:val="left"/>
        <w:tblInd w:w="0" w:type="dxa"/>
        <w:tblLayout w:type="fixed"/>
        <w:tblCellMar>
          <w:top w:w="0" w:type="dxa"/>
          <w:left w:w="0" w:type="dxa"/>
          <w:bottom w:w="0" w:type="dxa"/>
          <w:right w:w="0" w:type="dxa"/>
        </w:tblCellMar>
      </w:tblPr>
      <w:tblGrid>
        <w:gridCol w:w="1655"/>
        <w:gridCol w:w="60"/>
        <w:gridCol w:w="275"/>
        <w:gridCol w:w="60"/>
        <w:gridCol w:w="2240"/>
      </w:tblGrid>
      <w:tr>
        <w:trPr/>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ARIAL" w:hAnsi="ARIAL"/>
                <w:sz w:val="18"/>
              </w:rPr>
            </w:pPr>
            <w:r>
              <w:rPr>
                <w:rFonts w:ascii="ARIAL" w:hAnsi="ARIAL"/>
                <w:sz w:val="18"/>
              </w:rPr>
              <w:t>Date: April 26, 2024</w:t>
            </w:r>
          </w:p>
        </w:tc>
        <w:tc>
          <w:tcPr>
            <w:tcW w:w="60" w:type="dxa"/>
            <w:tcBorders/>
            <w:vAlign w:val="center"/>
          </w:tcPr>
          <w:p>
            <w:pPr>
              <w:pStyle w:val="TableContents"/>
              <w:bidi w:val="0"/>
              <w:spacing w:before="0" w:after="283"/>
              <w:jc w:val="left"/>
              <w:rPr/>
            </w:pPr>
            <w:r>
              <w:rPr/>
              <w:t> </w:t>
            </w:r>
          </w:p>
        </w:tc>
        <w:tc>
          <w:tcPr>
            <w:tcW w:w="2575" w:type="dxa"/>
            <w:gridSpan w:val="3"/>
            <w:tcBorders/>
            <w:vAlign w:val="center"/>
          </w:tcPr>
          <w:p>
            <w:pPr>
              <w:pStyle w:val="TableContents"/>
              <w:bidi w:val="0"/>
              <w:spacing w:before="0" w:after="0"/>
              <w:jc w:val="both"/>
              <w:rPr>
                <w:rFonts w:ascii="arial" w:hAnsi="arial"/>
                <w:sz w:val="18"/>
              </w:rPr>
            </w:pPr>
            <w:r>
              <w:rPr>
                <w:rFonts w:ascii="arial" w:hAnsi="arial"/>
                <w:sz w:val="18"/>
              </w:rPr>
              <w:t>VIATRIS INC.</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c>
          <w:tcPr>
            <w:tcW w:w="230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rFonts w:ascii="arial" w:hAnsi="arial"/>
                <w:sz w:val="18"/>
              </w:rPr>
            </w:pPr>
            <w:r>
              <w:rPr>
                <w:rFonts w:ascii="arial" w:hAnsi="arial"/>
                <w:sz w:val="18"/>
              </w:rPr>
              <w:t>By:</w:t>
            </w:r>
          </w:p>
        </w:tc>
        <w:tc>
          <w:tcPr>
            <w:tcW w:w="60" w:type="dxa"/>
            <w:tcBorders/>
            <w:vAlign w:val="center"/>
          </w:tcPr>
          <w:p>
            <w:pPr>
              <w:pStyle w:val="TableContents"/>
              <w:bidi w:val="0"/>
              <w:spacing w:before="0" w:after="283"/>
              <w:jc w:val="left"/>
              <w:rPr/>
            </w:pPr>
            <w:r>
              <w:rPr/>
              <w:t> </w:t>
            </w:r>
          </w:p>
        </w:tc>
        <w:tc>
          <w:tcPr>
            <w:tcW w:w="2240" w:type="dxa"/>
            <w:tcBorders/>
            <w:vAlign w:val="center"/>
          </w:tcPr>
          <w:p>
            <w:pPr>
              <w:pStyle w:val="TableContents"/>
              <w:pBdr>
                <w:bottom w:val="single" w:sz="2" w:space="1" w:color="000000"/>
              </w:pBdr>
              <w:bidi w:val="0"/>
              <w:spacing w:before="0" w:after="20"/>
              <w:jc w:val="both"/>
              <w:rPr>
                <w:rFonts w:ascii="arial" w:hAnsi="arial"/>
                <w:sz w:val="18"/>
              </w:rPr>
            </w:pPr>
            <w:r>
              <w:rPr>
                <w:rFonts w:ascii="arial" w:hAnsi="arial"/>
                <w:sz w:val="18"/>
              </w:rPr>
              <w:t>/s/ Theodora Mistras</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both"/>
              <w:rPr>
                <w:rFonts w:ascii="arial" w:hAnsi="arial"/>
                <w:sz w:val="18"/>
              </w:rPr>
            </w:pPr>
            <w:r>
              <w:rPr>
                <w:rFonts w:ascii="arial" w:hAnsi="arial"/>
                <w:sz w:val="18"/>
              </w:rPr>
              <w:t>Theodora Mistras</w:t>
            </w:r>
          </w:p>
          <w:p>
            <w:pPr>
              <w:pStyle w:val="TableContents"/>
              <w:bidi w:val="0"/>
              <w:spacing w:before="0" w:after="0"/>
              <w:jc w:val="both"/>
              <w:rPr>
                <w:rFonts w:ascii="arial" w:hAnsi="arial"/>
                <w:sz w:val="18"/>
              </w:rPr>
            </w:pPr>
            <w:r>
              <w:rPr>
                <w:rFonts w:ascii="arial" w:hAnsi="arial"/>
                <w:sz w:val="18"/>
              </w:rPr>
              <w:t>Chief Financial Officer</w:t>
            </w:r>
          </w:p>
          <w:p>
            <w:pPr>
              <w:pStyle w:val="TableContents"/>
              <w:bidi w:val="0"/>
              <w:spacing w:before="0" w:after="20"/>
              <w:jc w:val="both"/>
              <w:rPr>
                <w:rFonts w:ascii="arial" w:hAnsi="arial"/>
                <w:i/>
                <w:sz w:val="18"/>
              </w:rPr>
            </w:pPr>
            <w:r>
              <w:rPr>
                <w:rFonts w:ascii="arial" w:hAnsi="arial"/>
                <w:i/>
                <w:sz w:val="18"/>
              </w:rPr>
              <w:t>(Principal Financial Officer)</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63 </w:t>
      </w:r>
      <w:r>
        <w:br w:type="page"/>
      </w:r>
    </w:p>
    <w:p>
      <w:pPr>
        <w:pStyle w:val="HorizontalLine"/>
        <w:bidi w:val="0"/>
        <w:jc w:val="left"/>
        <w:rPr/>
      </w:pPr>
      <w:r>
        <w:rPr/>
      </w:r>
    </w:p>
    <w:p>
      <w:pPr>
        <w:pStyle w:val="TextBody"/>
        <w:bidi w:val="0"/>
        <w:spacing w:before="0" w:after="0"/>
        <w:jc w:val="center"/>
        <w:rPr>
          <w:rFonts w:ascii="ARIAL" w:hAnsi="ARIAL"/>
          <w:b/>
          <w:sz w:val="20"/>
        </w:rPr>
      </w:pPr>
      <w:bookmarkStart w:id="9" w:name="toc758146_8"/>
      <w:bookmarkEnd w:id="9"/>
      <w:r>
        <w:rPr>
          <w:rFonts w:ascii="ARIAL" w:hAnsi="ARIAL"/>
          <w:b/>
          <w:sz w:val="20"/>
        </w:rPr>
        <w:t xml:space="preserve">Appendix A </w:t>
      </w:r>
    </w:p>
    <w:p>
      <w:pPr>
        <w:pStyle w:val="TextBody"/>
        <w:bidi w:val="0"/>
        <w:spacing w:before="0" w:after="0"/>
        <w:jc w:val="center"/>
        <w:rPr>
          <w:rFonts w:ascii="ARIAL" w:hAnsi="ARIAL"/>
          <w:b/>
          <w:sz w:val="20"/>
        </w:rPr>
      </w:pPr>
      <w:r>
        <w:rPr>
          <w:rFonts w:ascii="ARIAL" w:hAnsi="ARIAL"/>
          <w:b/>
          <w:sz w:val="20"/>
        </w:rPr>
        <w:t xml:space="preserve">Reconciliations of Non-GAAP Financial Measures (Unaudited) </w:t>
      </w:r>
    </w:p>
    <w:p>
      <w:pPr>
        <w:pStyle w:val="TextBody"/>
        <w:bidi w:val="0"/>
        <w:spacing w:before="240" w:after="0"/>
        <w:jc w:val="both"/>
        <w:rPr>
          <w:rFonts w:ascii="ARIAL" w:hAnsi="ARIAL"/>
          <w:b/>
          <w:i/>
          <w:sz w:val="20"/>
        </w:rPr>
      </w:pPr>
      <w:r>
        <w:rPr>
          <w:rFonts w:ascii="ARIAL" w:hAnsi="ARIAL"/>
          <w:b/>
          <w:i/>
          <w:sz w:val="20"/>
        </w:rPr>
        <w:t xml:space="preserve">Adjusted EBITDA </w:t>
      </w:r>
    </w:p>
    <w:p>
      <w:pPr>
        <w:pStyle w:val="TextBody"/>
        <w:bidi w:val="0"/>
        <w:spacing w:before="120" w:after="0"/>
        <w:jc w:val="both"/>
        <w:rPr>
          <w:rFonts w:ascii="arial" w:hAnsi="arial"/>
          <w:sz w:val="18"/>
        </w:rPr>
      </w:pPr>
      <w:r>
        <w:rPr>
          <w:rFonts w:ascii="arial" w:hAnsi="arial"/>
          <w:sz w:val="18"/>
        </w:rPr>
        <w:t xml:space="preserve">Adjusted EBITDA for purposes of the 2023 annual compensation awards is derived from Viatris’ financial statements in the same manner as Viatris’ publicly reported adjusted EBITDA for 2023 (“as reported”), except that the calculation for the 2023 annual incentive program (“for 2023 annual incentive compensation”) utilized 2023 budgeted foreign exchange rates (“currency impact”) and further adjusts for acquired IPR&amp;D costs and the impact of divestitures. </w:t>
      </w:r>
    </w:p>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6125"/>
        <w:gridCol w:w="120"/>
        <w:gridCol w:w="283"/>
        <w:gridCol w:w="1132"/>
        <w:gridCol w:w="75"/>
      </w:tblGrid>
      <w:tr>
        <w:trPr/>
        <w:tc>
          <w:tcPr>
            <w:tcW w:w="6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125" w:type="dxa"/>
            <w:tcBorders>
              <w:bottom w:val="single" w:sz="8" w:space="0" w:color="732282"/>
            </w:tcBorders>
            <w:tcMar>
              <w:bottom w:w="28" w:type="dxa"/>
            </w:tcMar>
            <w:vAlign w:val="center"/>
          </w:tcPr>
          <w:p>
            <w:pPr>
              <w:pStyle w:val="TableContents"/>
              <w:bidi w:val="0"/>
              <w:spacing w:before="0" w:after="0"/>
              <w:jc w:val="left"/>
              <w:rPr>
                <w:rFonts w:ascii="ARIAL" w:hAnsi="ARIAL"/>
                <w:b/>
                <w:color w:val="732282"/>
                <w:sz w:val="18"/>
              </w:rPr>
            </w:pPr>
            <w:r>
              <w:rPr>
                <w:rFonts w:ascii="ARIAL" w:hAnsi="ARIAL"/>
                <w:b/>
                <w:color w:val="732282"/>
                <w:sz w:val="18"/>
              </w:rPr>
              <w:t>(in millions)</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415" w:type="dxa"/>
            <w:gridSpan w:val="2"/>
            <w:tcBorders>
              <w:bottom w:val="single" w:sz="8" w:space="0" w:color="732282"/>
            </w:tcBorders>
            <w:tcMar>
              <w:bottom w:w="28" w:type="dxa"/>
            </w:tcMar>
            <w:vAlign w:val="center"/>
          </w:tcPr>
          <w:p>
            <w:pPr>
              <w:pStyle w:val="TableContents"/>
              <w:bidi w:val="0"/>
              <w:spacing w:before="0" w:after="283"/>
              <w:jc w:val="right"/>
              <w:rPr>
                <w:b/>
                <w:color w:val="732282"/>
              </w:rPr>
            </w:pPr>
            <w:r>
              <w:rPr>
                <w:b/>
                <w:color w:val="732282"/>
              </w:rPr>
              <w:t>Year ended</w:t>
              <w:br/>
              <w:t>December 31,</w:t>
              <w:br/>
              <w:t>2023</w:t>
            </w:r>
          </w:p>
        </w:tc>
        <w:tc>
          <w:tcPr>
            <w:tcW w:w="75" w:type="dxa"/>
            <w:tcBorders>
              <w:bottom w:val="single" w:sz="8" w:space="0" w:color="732282"/>
            </w:tcBorders>
            <w:tcMar>
              <w:bottom w:w="28" w:type="dxa"/>
            </w:tcMar>
            <w:vAlign w:val="center"/>
          </w:tcPr>
          <w:p>
            <w:pPr>
              <w:pStyle w:val="TableContents"/>
              <w:bidi w:val="0"/>
              <w:spacing w:before="0" w:after="283"/>
              <w:jc w:val="left"/>
              <w:rPr/>
            </w:pPr>
            <w:r>
              <w:rPr/>
              <w:t> </w:t>
            </w:r>
          </w:p>
        </w:tc>
      </w:tr>
      <w:tr>
        <w:trPr/>
        <w:tc>
          <w:tcPr>
            <w:tcW w:w="6125" w:type="dxa"/>
            <w:tcBorders/>
            <w:shd w:fill="EAEAEA" w:val="clear"/>
            <w:vAlign w:val="center"/>
          </w:tcPr>
          <w:p>
            <w:pPr>
              <w:pStyle w:val="TableContents"/>
              <w:bidi w:val="0"/>
              <w:spacing w:before="0" w:after="283"/>
              <w:jc w:val="left"/>
              <w:rPr>
                <w:sz w:val="4"/>
                <w:szCs w:val="4"/>
              </w:rPr>
            </w:pPr>
            <w:r>
              <w:rPr>
                <w:sz w:val="4"/>
                <w:szCs w:val="4"/>
              </w:rPr>
            </w:r>
          </w:p>
        </w:tc>
        <w:tc>
          <w:tcPr>
            <w:tcW w:w="1610" w:type="dxa"/>
            <w:gridSpan w:val="4"/>
            <w:tcBorders/>
            <w:shd w:fill="EAEAEA" w:val="clear"/>
            <w:vAlign w:val="center"/>
          </w:tcPr>
          <w:p>
            <w:pPr>
              <w:pStyle w:val="TableContents"/>
              <w:bidi w:val="0"/>
              <w:spacing w:before="0" w:after="283"/>
              <w:jc w:val="left"/>
              <w:rPr>
                <w:sz w:val="4"/>
                <w:szCs w:val="4"/>
              </w:rPr>
            </w:pPr>
            <w:r>
              <w:rPr>
                <w:sz w:val="4"/>
                <w:szCs w:val="4"/>
              </w:rPr>
            </w:r>
          </w:p>
        </w:tc>
      </w:tr>
      <w:tr>
        <w:trPr/>
        <w:tc>
          <w:tcPr>
            <w:tcW w:w="6125" w:type="dxa"/>
            <w:tcBorders/>
            <w:shd w:fill="EAEAEA" w:val="clear"/>
            <w:vAlign w:val="center"/>
          </w:tcPr>
          <w:p>
            <w:pPr>
              <w:pStyle w:val="TableContents"/>
              <w:bidi w:val="0"/>
              <w:spacing w:before="0" w:after="0"/>
              <w:jc w:val="left"/>
              <w:rPr>
                <w:rFonts w:ascii="ARIAL" w:hAnsi="ARIAL"/>
                <w:sz w:val="18"/>
              </w:rPr>
            </w:pPr>
            <w:r>
              <w:rPr>
                <w:rFonts w:ascii="ARIAL" w:hAnsi="ARIAL"/>
                <w:sz w:val="18"/>
              </w:rPr>
              <w:t>U.S. GAAP net earnings</w:t>
            </w:r>
          </w:p>
        </w:tc>
        <w:tc>
          <w:tcPr>
            <w:tcW w:w="120" w:type="dxa"/>
            <w:tcBorders/>
            <w:shd w:fill="EAEAEA" w:val="clear"/>
            <w:vAlign w:val="center"/>
          </w:tcPr>
          <w:p>
            <w:pPr>
              <w:pStyle w:val="TableContents"/>
              <w:bidi w:val="0"/>
              <w:spacing w:before="0" w:after="283"/>
              <w:jc w:val="left"/>
              <w:rPr/>
            </w:pPr>
            <w:r>
              <w:rPr/>
              <w:t>  </w:t>
            </w:r>
          </w:p>
        </w:tc>
        <w:tc>
          <w:tcPr>
            <w:tcW w:w="283" w:type="dxa"/>
            <w:tcBorders/>
            <w:shd w:fill="EAEAEA" w:val="clear"/>
            <w:vAlign w:val="center"/>
          </w:tcPr>
          <w:p>
            <w:pPr>
              <w:pStyle w:val="TableContents"/>
              <w:bidi w:val="0"/>
              <w:spacing w:before="0" w:after="283"/>
              <w:jc w:val="left"/>
              <w:rPr/>
            </w:pPr>
            <w:r>
              <w:rPr/>
              <w:t> </w:t>
            </w:r>
          </w:p>
        </w:tc>
        <w:tc>
          <w:tcPr>
            <w:tcW w:w="1132" w:type="dxa"/>
            <w:tcBorders/>
            <w:shd w:fill="EAEAEA" w:val="clear"/>
            <w:vAlign w:val="center"/>
          </w:tcPr>
          <w:p>
            <w:pPr>
              <w:pStyle w:val="TableContents"/>
              <w:bidi w:val="0"/>
              <w:spacing w:before="0" w:after="283"/>
              <w:jc w:val="right"/>
              <w:rPr/>
            </w:pPr>
            <w:r>
              <w:rPr/>
              <w:t>$55</w:t>
            </w:r>
          </w:p>
        </w:tc>
        <w:tc>
          <w:tcPr>
            <w:tcW w:w="75" w:type="dxa"/>
            <w:tcBorders/>
            <w:shd w:fill="EAEAEA" w:val="clear"/>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125" w:type="dxa"/>
            <w:tcBorders/>
            <w:vAlign w:val="center"/>
          </w:tcPr>
          <w:p>
            <w:pPr>
              <w:pStyle w:val="TableContents"/>
              <w:bidi w:val="0"/>
              <w:spacing w:before="0" w:after="0"/>
              <w:jc w:val="left"/>
              <w:rPr>
                <w:rFonts w:ascii="ARIAL" w:hAnsi="ARIAL"/>
                <w:sz w:val="18"/>
              </w:rPr>
            </w:pPr>
            <w:r>
              <w:rPr>
                <w:rFonts w:ascii="ARIAL" w:hAnsi="ARIAL"/>
                <w:sz w:val="18"/>
              </w:rPr>
              <w:t>Add adjustments:</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125" w:type="dxa"/>
            <w:tcBorders/>
            <w:shd w:fill="EAEAEA" w:val="clear"/>
            <w:vAlign w:val="center"/>
          </w:tcPr>
          <w:p>
            <w:pPr>
              <w:pStyle w:val="TableContents"/>
              <w:bidi w:val="0"/>
              <w:spacing w:before="0" w:after="283"/>
              <w:jc w:val="left"/>
              <w:rPr>
                <w:sz w:val="4"/>
                <w:szCs w:val="4"/>
              </w:rPr>
            </w:pPr>
            <w:r>
              <w:rPr>
                <w:sz w:val="4"/>
                <w:szCs w:val="4"/>
              </w:rPr>
            </w:r>
          </w:p>
        </w:tc>
        <w:tc>
          <w:tcPr>
            <w:tcW w:w="1610" w:type="dxa"/>
            <w:gridSpan w:val="4"/>
            <w:tcBorders/>
            <w:shd w:fill="EAEAEA" w:val="clear"/>
            <w:vAlign w:val="center"/>
          </w:tcPr>
          <w:p>
            <w:pPr>
              <w:pStyle w:val="TableContents"/>
              <w:bidi w:val="0"/>
              <w:spacing w:before="0" w:after="283"/>
              <w:jc w:val="left"/>
              <w:rPr>
                <w:sz w:val="4"/>
                <w:szCs w:val="4"/>
              </w:rPr>
            </w:pPr>
            <w:r>
              <w:rPr>
                <w:sz w:val="4"/>
                <w:szCs w:val="4"/>
              </w:rPr>
            </w:r>
          </w:p>
        </w:tc>
      </w:tr>
      <w:tr>
        <w:trPr/>
        <w:tc>
          <w:tcPr>
            <w:tcW w:w="6125" w:type="dxa"/>
            <w:tcBorders/>
            <w:shd w:fill="EAEAEA" w:val="clear"/>
            <w:vAlign w:val="center"/>
          </w:tcPr>
          <w:p>
            <w:pPr>
              <w:pStyle w:val="TableContents"/>
              <w:bidi w:val="0"/>
              <w:spacing w:before="0" w:after="0"/>
              <w:jc w:val="left"/>
              <w:rPr>
                <w:rFonts w:ascii="ARIAL" w:hAnsi="ARIAL"/>
                <w:sz w:val="18"/>
              </w:rPr>
            </w:pPr>
            <w:r>
              <w:rPr>
                <w:rFonts w:ascii="ARIAL" w:hAnsi="ARIAL"/>
                <w:sz w:val="18"/>
              </w:rPr>
              <w:t>Income tax provision</w:t>
            </w:r>
          </w:p>
        </w:tc>
        <w:tc>
          <w:tcPr>
            <w:tcW w:w="120" w:type="dxa"/>
            <w:tcBorders/>
            <w:shd w:fill="EAEAEA" w:val="clear"/>
            <w:vAlign w:val="center"/>
          </w:tcPr>
          <w:p>
            <w:pPr>
              <w:pStyle w:val="TableContents"/>
              <w:bidi w:val="0"/>
              <w:spacing w:before="0" w:after="283"/>
              <w:jc w:val="left"/>
              <w:rPr/>
            </w:pPr>
            <w:r>
              <w:rPr/>
              <w:t>  </w:t>
            </w:r>
          </w:p>
        </w:tc>
        <w:tc>
          <w:tcPr>
            <w:tcW w:w="283" w:type="dxa"/>
            <w:tcBorders/>
            <w:shd w:fill="EAEAEA" w:val="clear"/>
            <w:vAlign w:val="center"/>
          </w:tcPr>
          <w:p>
            <w:pPr>
              <w:pStyle w:val="TableContents"/>
              <w:bidi w:val="0"/>
              <w:spacing w:before="0" w:after="283"/>
              <w:jc w:val="left"/>
              <w:rPr/>
            </w:pPr>
            <w:r>
              <w:rPr/>
              <w:t> </w:t>
            </w:r>
          </w:p>
        </w:tc>
        <w:tc>
          <w:tcPr>
            <w:tcW w:w="1132" w:type="dxa"/>
            <w:tcBorders/>
            <w:shd w:fill="EAEAEA" w:val="clear"/>
            <w:vAlign w:val="center"/>
          </w:tcPr>
          <w:p>
            <w:pPr>
              <w:pStyle w:val="TableContents"/>
              <w:bidi w:val="0"/>
              <w:spacing w:before="0" w:after="283"/>
              <w:jc w:val="right"/>
              <w:rPr/>
            </w:pPr>
            <w:r>
              <w:rPr/>
              <w:t>148</w:t>
            </w:r>
          </w:p>
        </w:tc>
        <w:tc>
          <w:tcPr>
            <w:tcW w:w="75" w:type="dxa"/>
            <w:tcBorders/>
            <w:shd w:fill="EAEAEA" w:val="clear"/>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125" w:type="dxa"/>
            <w:tcBorders/>
            <w:vAlign w:val="center"/>
          </w:tcPr>
          <w:p>
            <w:pPr>
              <w:pStyle w:val="TableContents"/>
              <w:bidi w:val="0"/>
              <w:spacing w:before="0" w:after="0"/>
              <w:jc w:val="left"/>
              <w:rPr>
                <w:rFonts w:ascii="ARIAL" w:hAnsi="ARIAL"/>
                <w:sz w:val="18"/>
              </w:rPr>
            </w:pPr>
            <w:r>
              <w:rPr>
                <w:rFonts w:ascii="ARIAL" w:hAnsi="ARIAL"/>
                <w:sz w:val="18"/>
              </w:rPr>
              <w:t>Interest expense(a)</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573</w:t>
            </w:r>
          </w:p>
        </w:tc>
        <w:tc>
          <w:tcPr>
            <w:tcW w:w="75" w:type="dxa"/>
            <w:tcBorders/>
            <w:vAlign w:val="center"/>
          </w:tcPr>
          <w:p>
            <w:pPr>
              <w:pStyle w:val="TableContents"/>
              <w:bidi w:val="0"/>
              <w:spacing w:before="0" w:after="283"/>
              <w:jc w:val="left"/>
              <w:rPr/>
            </w:pPr>
            <w:r>
              <w:rPr/>
              <w:t> </w:t>
            </w:r>
          </w:p>
        </w:tc>
      </w:tr>
      <w:tr>
        <w:trPr/>
        <w:tc>
          <w:tcPr>
            <w:tcW w:w="6125" w:type="dxa"/>
            <w:tcBorders/>
            <w:shd w:fill="EAEAEA" w:val="clear"/>
            <w:vAlign w:val="center"/>
          </w:tcPr>
          <w:p>
            <w:pPr>
              <w:pStyle w:val="TableContents"/>
              <w:bidi w:val="0"/>
              <w:spacing w:before="0" w:after="283"/>
              <w:jc w:val="left"/>
              <w:rPr>
                <w:sz w:val="4"/>
                <w:szCs w:val="4"/>
              </w:rPr>
            </w:pPr>
            <w:r>
              <w:rPr>
                <w:sz w:val="4"/>
                <w:szCs w:val="4"/>
              </w:rPr>
            </w:r>
          </w:p>
        </w:tc>
        <w:tc>
          <w:tcPr>
            <w:tcW w:w="1610" w:type="dxa"/>
            <w:gridSpan w:val="4"/>
            <w:tcBorders/>
            <w:shd w:fill="EAEAEA" w:val="clear"/>
            <w:vAlign w:val="center"/>
          </w:tcPr>
          <w:p>
            <w:pPr>
              <w:pStyle w:val="TableContents"/>
              <w:bidi w:val="0"/>
              <w:spacing w:before="0" w:after="283"/>
              <w:jc w:val="left"/>
              <w:rPr>
                <w:sz w:val="4"/>
                <w:szCs w:val="4"/>
              </w:rPr>
            </w:pPr>
            <w:r>
              <w:rPr>
                <w:sz w:val="4"/>
                <w:szCs w:val="4"/>
              </w:rPr>
            </w:r>
          </w:p>
        </w:tc>
      </w:tr>
      <w:tr>
        <w:trPr/>
        <w:tc>
          <w:tcPr>
            <w:tcW w:w="6125" w:type="dxa"/>
            <w:tcBorders/>
            <w:shd w:fill="EAEAEA" w:val="clear"/>
            <w:vAlign w:val="center"/>
          </w:tcPr>
          <w:p>
            <w:pPr>
              <w:pStyle w:val="TableContents"/>
              <w:bidi w:val="0"/>
              <w:spacing w:before="0" w:after="0"/>
              <w:jc w:val="left"/>
              <w:rPr>
                <w:rFonts w:ascii="ARIAL" w:hAnsi="ARIAL"/>
                <w:sz w:val="18"/>
              </w:rPr>
            </w:pPr>
            <w:r>
              <w:rPr>
                <w:rFonts w:ascii="ARIAL" w:hAnsi="ARIAL"/>
                <w:sz w:val="18"/>
              </w:rPr>
              <w:t>Depreciation and amortization(b)</w:t>
            </w:r>
          </w:p>
        </w:tc>
        <w:tc>
          <w:tcPr>
            <w:tcW w:w="120" w:type="dxa"/>
            <w:tcBorders/>
            <w:shd w:fill="EAEAEA" w:val="clear"/>
            <w:vAlign w:val="center"/>
          </w:tcPr>
          <w:p>
            <w:pPr>
              <w:pStyle w:val="TableContents"/>
              <w:bidi w:val="0"/>
              <w:spacing w:before="0" w:after="283"/>
              <w:jc w:val="left"/>
              <w:rPr/>
            </w:pPr>
            <w:r>
              <w:rPr/>
              <w:t>  </w:t>
            </w:r>
          </w:p>
        </w:tc>
        <w:tc>
          <w:tcPr>
            <w:tcW w:w="283" w:type="dxa"/>
            <w:tcBorders/>
            <w:shd w:fill="EAEAEA" w:val="clear"/>
            <w:vAlign w:val="center"/>
          </w:tcPr>
          <w:p>
            <w:pPr>
              <w:pStyle w:val="TableContents"/>
              <w:bidi w:val="0"/>
              <w:spacing w:before="0" w:after="283"/>
              <w:jc w:val="left"/>
              <w:rPr/>
            </w:pPr>
            <w:r>
              <w:rPr/>
              <w:t> </w:t>
            </w:r>
          </w:p>
        </w:tc>
        <w:tc>
          <w:tcPr>
            <w:tcW w:w="1132" w:type="dxa"/>
            <w:tcBorders/>
            <w:shd w:fill="EAEAEA" w:val="clear"/>
            <w:vAlign w:val="center"/>
          </w:tcPr>
          <w:p>
            <w:pPr>
              <w:pStyle w:val="TableContents"/>
              <w:bidi w:val="0"/>
              <w:spacing w:before="0" w:after="283"/>
              <w:jc w:val="right"/>
              <w:rPr/>
            </w:pPr>
            <w:r>
              <w:rPr/>
              <w:t>2,741</w:t>
            </w:r>
          </w:p>
        </w:tc>
        <w:tc>
          <w:tcPr>
            <w:tcW w:w="75" w:type="dxa"/>
            <w:tcBorders/>
            <w:shd w:fill="EAEAEA" w:val="clear"/>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125" w:type="dxa"/>
            <w:tcBorders/>
            <w:vAlign w:val="center"/>
          </w:tcPr>
          <w:p>
            <w:pPr>
              <w:pStyle w:val="TableContents"/>
              <w:bidi w:val="0"/>
              <w:spacing w:before="0" w:after="0"/>
              <w:jc w:val="left"/>
              <w:rPr>
                <w:rFonts w:ascii="ARIAL" w:hAnsi="ARIAL"/>
                <w:sz w:val="18"/>
              </w:rPr>
            </w:pPr>
            <w:r>
              <w:rPr>
                <w:rFonts w:ascii="ARIAL" w:hAnsi="ARIAL"/>
                <w:sz w:val="18"/>
              </w:rPr>
              <w:t>EBITDA</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3,517</w:t>
            </w:r>
          </w:p>
        </w:tc>
        <w:tc>
          <w:tcPr>
            <w:tcW w:w="75" w:type="dxa"/>
            <w:tcBorders/>
            <w:vAlign w:val="center"/>
          </w:tcPr>
          <w:p>
            <w:pPr>
              <w:pStyle w:val="TableContents"/>
              <w:bidi w:val="0"/>
              <w:spacing w:before="0" w:after="283"/>
              <w:jc w:val="left"/>
              <w:rPr/>
            </w:pPr>
            <w:r>
              <w:rPr/>
              <w:t> </w:t>
            </w:r>
          </w:p>
        </w:tc>
      </w:tr>
      <w:tr>
        <w:trPr/>
        <w:tc>
          <w:tcPr>
            <w:tcW w:w="6125" w:type="dxa"/>
            <w:tcBorders/>
            <w:shd w:fill="EAEAEA" w:val="clear"/>
            <w:vAlign w:val="center"/>
          </w:tcPr>
          <w:p>
            <w:pPr>
              <w:pStyle w:val="TableContents"/>
              <w:bidi w:val="0"/>
              <w:spacing w:before="0" w:after="283"/>
              <w:jc w:val="left"/>
              <w:rPr>
                <w:sz w:val="4"/>
                <w:szCs w:val="4"/>
              </w:rPr>
            </w:pPr>
            <w:r>
              <w:rPr>
                <w:sz w:val="4"/>
                <w:szCs w:val="4"/>
              </w:rPr>
            </w:r>
          </w:p>
        </w:tc>
        <w:tc>
          <w:tcPr>
            <w:tcW w:w="1610" w:type="dxa"/>
            <w:gridSpan w:val="4"/>
            <w:tcBorders/>
            <w:shd w:fill="EAEAEA" w:val="clear"/>
            <w:vAlign w:val="center"/>
          </w:tcPr>
          <w:p>
            <w:pPr>
              <w:pStyle w:val="TableContents"/>
              <w:bidi w:val="0"/>
              <w:spacing w:before="0" w:after="283"/>
              <w:jc w:val="left"/>
              <w:rPr>
                <w:sz w:val="4"/>
                <w:szCs w:val="4"/>
              </w:rPr>
            </w:pPr>
            <w:r>
              <w:rPr>
                <w:sz w:val="4"/>
                <w:szCs w:val="4"/>
              </w:rPr>
            </w:r>
          </w:p>
        </w:tc>
      </w:tr>
      <w:tr>
        <w:trPr/>
        <w:tc>
          <w:tcPr>
            <w:tcW w:w="6125" w:type="dxa"/>
            <w:tcBorders/>
            <w:shd w:fill="EAEAEA" w:val="clear"/>
            <w:vAlign w:val="center"/>
          </w:tcPr>
          <w:p>
            <w:pPr>
              <w:pStyle w:val="TableContents"/>
              <w:bidi w:val="0"/>
              <w:spacing w:before="0" w:after="0"/>
              <w:jc w:val="left"/>
              <w:rPr>
                <w:rFonts w:ascii="ARIAL" w:hAnsi="ARIAL"/>
                <w:sz w:val="18"/>
              </w:rPr>
            </w:pPr>
            <w:r>
              <w:rPr>
                <w:rFonts w:ascii="ARIAL" w:hAnsi="ARIAL"/>
                <w:sz w:val="18"/>
              </w:rPr>
              <w:t>Add adjustments:</w:t>
            </w:r>
          </w:p>
        </w:tc>
        <w:tc>
          <w:tcPr>
            <w:tcW w:w="120" w:type="dxa"/>
            <w:tcBorders/>
            <w:shd w:fill="EAEAEA" w:val="clear"/>
            <w:vAlign w:val="center"/>
          </w:tcPr>
          <w:p>
            <w:pPr>
              <w:pStyle w:val="TableContents"/>
              <w:bidi w:val="0"/>
              <w:spacing w:before="0" w:after="283"/>
              <w:jc w:val="left"/>
              <w:rPr/>
            </w:pPr>
            <w:r>
              <w:rPr/>
              <w:t>  </w:t>
            </w:r>
          </w:p>
        </w:tc>
        <w:tc>
          <w:tcPr>
            <w:tcW w:w="283" w:type="dxa"/>
            <w:tcBorders/>
            <w:shd w:fill="EAEAEA" w:val="clear"/>
            <w:vAlign w:val="center"/>
          </w:tcPr>
          <w:p>
            <w:pPr>
              <w:pStyle w:val="TableContents"/>
              <w:bidi w:val="0"/>
              <w:spacing w:before="0" w:after="283"/>
              <w:jc w:val="left"/>
              <w:rPr>
                <w:sz w:val="4"/>
                <w:szCs w:val="4"/>
              </w:rPr>
            </w:pPr>
            <w:r>
              <w:rPr>
                <w:sz w:val="4"/>
                <w:szCs w:val="4"/>
              </w:rPr>
            </w:r>
          </w:p>
        </w:tc>
        <w:tc>
          <w:tcPr>
            <w:tcW w:w="1132" w:type="dxa"/>
            <w:tcBorders/>
            <w:shd w:fill="EAEAEA" w:val="clear"/>
            <w:vAlign w:val="center"/>
          </w:tcPr>
          <w:p>
            <w:pPr>
              <w:pStyle w:val="TableContents"/>
              <w:bidi w:val="0"/>
              <w:spacing w:before="0" w:after="283"/>
              <w:jc w:val="left"/>
              <w:rPr>
                <w:sz w:val="4"/>
                <w:szCs w:val="4"/>
              </w:rPr>
            </w:pPr>
            <w:r>
              <w:rPr>
                <w:sz w:val="4"/>
                <w:szCs w:val="4"/>
              </w:rPr>
            </w:r>
          </w:p>
        </w:tc>
        <w:tc>
          <w:tcPr>
            <w:tcW w:w="75" w:type="dxa"/>
            <w:tcBorders/>
            <w:shd w:fill="EAEAEA" w:val="clear"/>
            <w:vAlign w:val="center"/>
          </w:tcPr>
          <w:p>
            <w:pPr>
              <w:pStyle w:val="TableContents"/>
              <w:bidi w:val="0"/>
              <w:spacing w:before="0" w:after="283"/>
              <w:jc w:val="left"/>
              <w:rPr>
                <w:sz w:val="4"/>
                <w:szCs w:val="4"/>
              </w:rPr>
            </w:pPr>
            <w:r>
              <w:rPr>
                <w:sz w:val="4"/>
                <w:szCs w:val="4"/>
              </w:rPr>
            </w:r>
          </w:p>
        </w:tc>
      </w:tr>
      <w:tr>
        <w:trPr/>
        <w:tc>
          <w:tcPr>
            <w:tcW w:w="61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125" w:type="dxa"/>
            <w:tcBorders/>
            <w:vAlign w:val="center"/>
          </w:tcPr>
          <w:p>
            <w:pPr>
              <w:pStyle w:val="TableContents"/>
              <w:bidi w:val="0"/>
              <w:spacing w:before="0" w:after="0"/>
              <w:jc w:val="left"/>
              <w:rPr>
                <w:rFonts w:ascii="ARIAL" w:hAnsi="ARIAL"/>
                <w:sz w:val="18"/>
              </w:rPr>
            </w:pPr>
            <w:r>
              <w:rPr>
                <w:rFonts w:ascii="ARIAL" w:hAnsi="ARIAL"/>
                <w:sz w:val="18"/>
              </w:rPr>
              <w:t>Share-based compensation expense</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181</w:t>
            </w:r>
          </w:p>
        </w:tc>
        <w:tc>
          <w:tcPr>
            <w:tcW w:w="75" w:type="dxa"/>
            <w:tcBorders/>
            <w:vAlign w:val="center"/>
          </w:tcPr>
          <w:p>
            <w:pPr>
              <w:pStyle w:val="TableContents"/>
              <w:bidi w:val="0"/>
              <w:spacing w:before="0" w:after="283"/>
              <w:jc w:val="left"/>
              <w:rPr/>
            </w:pPr>
            <w:r>
              <w:rPr/>
              <w:t> </w:t>
            </w:r>
          </w:p>
        </w:tc>
      </w:tr>
      <w:tr>
        <w:trPr/>
        <w:tc>
          <w:tcPr>
            <w:tcW w:w="6125" w:type="dxa"/>
            <w:tcBorders/>
            <w:shd w:fill="EAEAEA" w:val="clear"/>
            <w:vAlign w:val="center"/>
          </w:tcPr>
          <w:p>
            <w:pPr>
              <w:pStyle w:val="TableContents"/>
              <w:bidi w:val="0"/>
              <w:spacing w:before="0" w:after="283"/>
              <w:jc w:val="left"/>
              <w:rPr>
                <w:sz w:val="4"/>
                <w:szCs w:val="4"/>
              </w:rPr>
            </w:pPr>
            <w:r>
              <w:rPr>
                <w:sz w:val="4"/>
                <w:szCs w:val="4"/>
              </w:rPr>
            </w:r>
          </w:p>
        </w:tc>
        <w:tc>
          <w:tcPr>
            <w:tcW w:w="1610" w:type="dxa"/>
            <w:gridSpan w:val="4"/>
            <w:tcBorders/>
            <w:shd w:fill="EAEAEA" w:val="clear"/>
            <w:vAlign w:val="center"/>
          </w:tcPr>
          <w:p>
            <w:pPr>
              <w:pStyle w:val="TableContents"/>
              <w:bidi w:val="0"/>
              <w:spacing w:before="0" w:after="283"/>
              <w:jc w:val="left"/>
              <w:rPr>
                <w:sz w:val="4"/>
                <w:szCs w:val="4"/>
              </w:rPr>
            </w:pPr>
            <w:r>
              <w:rPr>
                <w:sz w:val="4"/>
                <w:szCs w:val="4"/>
              </w:rPr>
            </w:r>
          </w:p>
        </w:tc>
      </w:tr>
      <w:tr>
        <w:trPr/>
        <w:tc>
          <w:tcPr>
            <w:tcW w:w="6125" w:type="dxa"/>
            <w:tcBorders/>
            <w:shd w:fill="EAEAEA" w:val="clear"/>
            <w:vAlign w:val="center"/>
          </w:tcPr>
          <w:p>
            <w:pPr>
              <w:pStyle w:val="TableContents"/>
              <w:bidi w:val="0"/>
              <w:spacing w:before="0" w:after="0"/>
              <w:jc w:val="left"/>
              <w:rPr>
                <w:rFonts w:ascii="ARIAL" w:hAnsi="ARIAL"/>
                <w:sz w:val="18"/>
              </w:rPr>
            </w:pPr>
            <w:r>
              <w:rPr>
                <w:rFonts w:ascii="ARIAL" w:hAnsi="ARIAL"/>
                <w:sz w:val="18"/>
              </w:rPr>
              <w:t>Litigation settlements and other contingencies, net</w:t>
            </w:r>
          </w:p>
        </w:tc>
        <w:tc>
          <w:tcPr>
            <w:tcW w:w="120" w:type="dxa"/>
            <w:tcBorders/>
            <w:shd w:fill="EAEAEA" w:val="clear"/>
            <w:vAlign w:val="center"/>
          </w:tcPr>
          <w:p>
            <w:pPr>
              <w:pStyle w:val="TableContents"/>
              <w:bidi w:val="0"/>
              <w:spacing w:before="0" w:after="283"/>
              <w:jc w:val="left"/>
              <w:rPr/>
            </w:pPr>
            <w:r>
              <w:rPr/>
              <w:t>  </w:t>
            </w:r>
          </w:p>
        </w:tc>
        <w:tc>
          <w:tcPr>
            <w:tcW w:w="283" w:type="dxa"/>
            <w:tcBorders/>
            <w:shd w:fill="EAEAEA" w:val="clear"/>
            <w:vAlign w:val="center"/>
          </w:tcPr>
          <w:p>
            <w:pPr>
              <w:pStyle w:val="TableContents"/>
              <w:bidi w:val="0"/>
              <w:spacing w:before="0" w:after="283"/>
              <w:jc w:val="left"/>
              <w:rPr/>
            </w:pPr>
            <w:r>
              <w:rPr/>
              <w:t> </w:t>
            </w:r>
          </w:p>
        </w:tc>
        <w:tc>
          <w:tcPr>
            <w:tcW w:w="1132" w:type="dxa"/>
            <w:tcBorders/>
            <w:shd w:fill="EAEAEA" w:val="clear"/>
            <w:vAlign w:val="center"/>
          </w:tcPr>
          <w:p>
            <w:pPr>
              <w:pStyle w:val="TableContents"/>
              <w:bidi w:val="0"/>
              <w:spacing w:before="0" w:after="283"/>
              <w:jc w:val="right"/>
              <w:rPr/>
            </w:pPr>
            <w:r>
              <w:rPr/>
              <w:t>111</w:t>
            </w:r>
          </w:p>
        </w:tc>
        <w:tc>
          <w:tcPr>
            <w:tcW w:w="75" w:type="dxa"/>
            <w:tcBorders/>
            <w:shd w:fill="EAEAEA" w:val="clear"/>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125" w:type="dxa"/>
            <w:tcBorders/>
            <w:vAlign w:val="center"/>
          </w:tcPr>
          <w:p>
            <w:pPr>
              <w:pStyle w:val="TableContents"/>
              <w:bidi w:val="0"/>
              <w:spacing w:before="0" w:after="0"/>
              <w:jc w:val="left"/>
              <w:rPr>
                <w:rFonts w:ascii="ARIAL" w:hAnsi="ARIAL"/>
                <w:sz w:val="18"/>
              </w:rPr>
            </w:pPr>
            <w:r>
              <w:rPr>
                <w:rFonts w:ascii="ARIAL" w:hAnsi="ARIAL"/>
                <w:sz w:val="18"/>
              </w:rPr>
              <w:t>Loss on divestitures of businesses</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240</w:t>
            </w:r>
          </w:p>
        </w:tc>
        <w:tc>
          <w:tcPr>
            <w:tcW w:w="75" w:type="dxa"/>
            <w:tcBorders/>
            <w:vAlign w:val="center"/>
          </w:tcPr>
          <w:p>
            <w:pPr>
              <w:pStyle w:val="TableContents"/>
              <w:bidi w:val="0"/>
              <w:spacing w:before="0" w:after="283"/>
              <w:jc w:val="left"/>
              <w:rPr/>
            </w:pPr>
            <w:r>
              <w:rPr/>
              <w:t> </w:t>
            </w:r>
          </w:p>
        </w:tc>
      </w:tr>
      <w:tr>
        <w:trPr/>
        <w:tc>
          <w:tcPr>
            <w:tcW w:w="6125" w:type="dxa"/>
            <w:tcBorders/>
            <w:shd w:fill="EAEAEA" w:val="clear"/>
            <w:vAlign w:val="center"/>
          </w:tcPr>
          <w:p>
            <w:pPr>
              <w:pStyle w:val="TableContents"/>
              <w:bidi w:val="0"/>
              <w:spacing w:before="0" w:after="283"/>
              <w:jc w:val="left"/>
              <w:rPr>
                <w:sz w:val="4"/>
                <w:szCs w:val="4"/>
              </w:rPr>
            </w:pPr>
            <w:r>
              <w:rPr>
                <w:sz w:val="4"/>
                <w:szCs w:val="4"/>
              </w:rPr>
            </w:r>
          </w:p>
        </w:tc>
        <w:tc>
          <w:tcPr>
            <w:tcW w:w="1610" w:type="dxa"/>
            <w:gridSpan w:val="4"/>
            <w:tcBorders/>
            <w:shd w:fill="EAEAEA" w:val="clear"/>
            <w:vAlign w:val="center"/>
          </w:tcPr>
          <w:p>
            <w:pPr>
              <w:pStyle w:val="TableContents"/>
              <w:bidi w:val="0"/>
              <w:spacing w:before="0" w:after="283"/>
              <w:jc w:val="left"/>
              <w:rPr>
                <w:sz w:val="4"/>
                <w:szCs w:val="4"/>
              </w:rPr>
            </w:pPr>
            <w:r>
              <w:rPr>
                <w:sz w:val="4"/>
                <w:szCs w:val="4"/>
              </w:rPr>
            </w:r>
          </w:p>
        </w:tc>
      </w:tr>
      <w:tr>
        <w:trPr/>
        <w:tc>
          <w:tcPr>
            <w:tcW w:w="6125" w:type="dxa"/>
            <w:tcBorders/>
            <w:shd w:fill="EAEAEA" w:val="clear"/>
            <w:vAlign w:val="center"/>
          </w:tcPr>
          <w:p>
            <w:pPr>
              <w:pStyle w:val="TableContents"/>
              <w:bidi w:val="0"/>
              <w:spacing w:before="0" w:after="0"/>
              <w:jc w:val="left"/>
              <w:rPr>
                <w:rFonts w:ascii="ARIAL" w:hAnsi="ARIAL"/>
                <w:sz w:val="18"/>
              </w:rPr>
            </w:pPr>
            <w:r>
              <w:rPr>
                <w:rFonts w:ascii="ARIAL" w:hAnsi="ARIAL"/>
                <w:sz w:val="18"/>
              </w:rPr>
              <w:t>Impairment of goodwill related to assets held for sale</w:t>
            </w:r>
          </w:p>
        </w:tc>
        <w:tc>
          <w:tcPr>
            <w:tcW w:w="120" w:type="dxa"/>
            <w:tcBorders/>
            <w:shd w:fill="EAEAEA" w:val="clear"/>
            <w:vAlign w:val="center"/>
          </w:tcPr>
          <w:p>
            <w:pPr>
              <w:pStyle w:val="TableContents"/>
              <w:bidi w:val="0"/>
              <w:spacing w:before="0" w:after="283"/>
              <w:jc w:val="left"/>
              <w:rPr/>
            </w:pPr>
            <w:r>
              <w:rPr/>
              <w:t>  </w:t>
            </w:r>
          </w:p>
        </w:tc>
        <w:tc>
          <w:tcPr>
            <w:tcW w:w="283" w:type="dxa"/>
            <w:tcBorders/>
            <w:shd w:fill="EAEAEA" w:val="clear"/>
            <w:vAlign w:val="center"/>
          </w:tcPr>
          <w:p>
            <w:pPr>
              <w:pStyle w:val="TableContents"/>
              <w:bidi w:val="0"/>
              <w:spacing w:before="0" w:after="283"/>
              <w:jc w:val="left"/>
              <w:rPr/>
            </w:pPr>
            <w:r>
              <w:rPr/>
              <w:t> </w:t>
            </w:r>
          </w:p>
        </w:tc>
        <w:tc>
          <w:tcPr>
            <w:tcW w:w="1132" w:type="dxa"/>
            <w:tcBorders/>
            <w:shd w:fill="EAEAEA" w:val="clear"/>
            <w:vAlign w:val="center"/>
          </w:tcPr>
          <w:p>
            <w:pPr>
              <w:pStyle w:val="TableContents"/>
              <w:bidi w:val="0"/>
              <w:spacing w:before="0" w:after="283"/>
              <w:jc w:val="right"/>
              <w:rPr/>
            </w:pPr>
            <w:r>
              <w:rPr/>
              <w:t>580</w:t>
            </w:r>
          </w:p>
        </w:tc>
        <w:tc>
          <w:tcPr>
            <w:tcW w:w="75" w:type="dxa"/>
            <w:tcBorders/>
            <w:shd w:fill="EAEAEA" w:val="clear"/>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125" w:type="dxa"/>
            <w:tcBorders/>
            <w:vAlign w:val="center"/>
          </w:tcPr>
          <w:p>
            <w:pPr>
              <w:pStyle w:val="TableContents"/>
              <w:bidi w:val="0"/>
              <w:spacing w:before="0" w:after="0"/>
              <w:jc w:val="left"/>
              <w:rPr>
                <w:rFonts w:ascii="ARIAL" w:hAnsi="ARIAL"/>
                <w:sz w:val="18"/>
              </w:rPr>
            </w:pPr>
            <w:r>
              <w:rPr>
                <w:rFonts w:ascii="ARIAL" w:hAnsi="ARIAL"/>
                <w:sz w:val="18"/>
              </w:rPr>
              <w:t>Restructuring, acquisition and divestiture-related and other special items(c)</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495</w:t>
            </w:r>
          </w:p>
        </w:tc>
        <w:tc>
          <w:tcPr>
            <w:tcW w:w="75"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6125" w:type="dxa"/>
            <w:tcBorders/>
            <w:shd w:fill="EAEAEA" w:val="clear"/>
            <w:vAlign w:val="center"/>
          </w:tcPr>
          <w:p>
            <w:pPr>
              <w:pStyle w:val="TableContents"/>
              <w:bidi w:val="0"/>
              <w:spacing w:before="0" w:after="283"/>
              <w:jc w:val="left"/>
              <w:rPr>
                <w:sz w:val="4"/>
                <w:szCs w:val="4"/>
              </w:rPr>
            </w:pPr>
            <w:r>
              <w:rPr>
                <w:sz w:val="4"/>
                <w:szCs w:val="4"/>
              </w:rPr>
            </w:r>
          </w:p>
        </w:tc>
        <w:tc>
          <w:tcPr>
            <w:tcW w:w="1610" w:type="dxa"/>
            <w:gridSpan w:val="4"/>
            <w:tcBorders/>
            <w:shd w:fill="EAEAEA" w:val="clear"/>
            <w:vAlign w:val="center"/>
          </w:tcPr>
          <w:p>
            <w:pPr>
              <w:pStyle w:val="TableContents"/>
              <w:bidi w:val="0"/>
              <w:spacing w:before="0" w:after="283"/>
              <w:jc w:val="left"/>
              <w:rPr>
                <w:sz w:val="4"/>
                <w:szCs w:val="4"/>
              </w:rPr>
            </w:pPr>
            <w:r>
              <w:rPr>
                <w:sz w:val="4"/>
                <w:szCs w:val="4"/>
              </w:rPr>
            </w:r>
          </w:p>
        </w:tc>
      </w:tr>
      <w:tr>
        <w:trPr/>
        <w:tc>
          <w:tcPr>
            <w:tcW w:w="6125" w:type="dxa"/>
            <w:tcBorders/>
            <w:shd w:fill="EAEAEA" w:val="clear"/>
            <w:vAlign w:val="center"/>
          </w:tcPr>
          <w:p>
            <w:pPr>
              <w:pStyle w:val="TableContents"/>
              <w:bidi w:val="0"/>
              <w:spacing w:before="0" w:after="0"/>
              <w:jc w:val="left"/>
              <w:rPr>
                <w:rFonts w:ascii="ARIAL" w:hAnsi="ARIAL"/>
                <w:sz w:val="18"/>
              </w:rPr>
            </w:pPr>
            <w:r>
              <w:rPr>
                <w:rFonts w:ascii="ARIAL" w:hAnsi="ARIAL"/>
                <w:sz w:val="18"/>
              </w:rPr>
              <w:t>Adjusted EBITDA (as reported)</w:t>
            </w:r>
          </w:p>
        </w:tc>
        <w:tc>
          <w:tcPr>
            <w:tcW w:w="120" w:type="dxa"/>
            <w:tcBorders/>
            <w:shd w:fill="EAEAEA" w:val="clear"/>
            <w:vAlign w:val="center"/>
          </w:tcPr>
          <w:p>
            <w:pPr>
              <w:pStyle w:val="TableContents"/>
              <w:bidi w:val="0"/>
              <w:spacing w:before="0" w:after="283"/>
              <w:jc w:val="left"/>
              <w:rPr/>
            </w:pPr>
            <w:r>
              <w:rPr/>
              <w:t>  </w:t>
            </w:r>
          </w:p>
        </w:tc>
        <w:tc>
          <w:tcPr>
            <w:tcW w:w="283" w:type="dxa"/>
            <w:tcBorders/>
            <w:shd w:fill="EAEAEA" w:val="clear"/>
            <w:vAlign w:val="center"/>
          </w:tcPr>
          <w:p>
            <w:pPr>
              <w:pStyle w:val="TableContents"/>
              <w:bidi w:val="0"/>
              <w:spacing w:before="0" w:after="283"/>
              <w:jc w:val="left"/>
              <w:rPr/>
            </w:pPr>
            <w:r>
              <w:rPr/>
              <w:t>$</w:t>
            </w:r>
          </w:p>
        </w:tc>
        <w:tc>
          <w:tcPr>
            <w:tcW w:w="1132" w:type="dxa"/>
            <w:tcBorders/>
            <w:shd w:fill="EAEAEA" w:val="clear"/>
            <w:vAlign w:val="center"/>
          </w:tcPr>
          <w:p>
            <w:pPr>
              <w:pStyle w:val="TableContents"/>
              <w:bidi w:val="0"/>
              <w:spacing w:before="0" w:after="283"/>
              <w:jc w:val="right"/>
              <w:rPr/>
            </w:pPr>
            <w:r>
              <w:rPr/>
              <w:t>5,124</w:t>
            </w:r>
          </w:p>
        </w:tc>
        <w:tc>
          <w:tcPr>
            <w:tcW w:w="75" w:type="dxa"/>
            <w:tcBorders/>
            <w:shd w:fill="EAEAEA" w:val="clear"/>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double" w:sz="6" w:space="1" w:color="000000"/>
              </w:pBdr>
              <w:bidi w:val="0"/>
              <w:spacing w:before="0" w:after="0"/>
              <w:jc w:val="left"/>
              <w:rPr/>
            </w:pPr>
            <w:r>
              <w:rPr/>
              <w:t> </w:t>
            </w:r>
          </w:p>
        </w:tc>
        <w:tc>
          <w:tcPr>
            <w:tcW w:w="1132"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125" w:type="dxa"/>
            <w:tcBorders/>
            <w:vAlign w:val="center"/>
          </w:tcPr>
          <w:p>
            <w:pPr>
              <w:pStyle w:val="TableContents"/>
              <w:bidi w:val="0"/>
              <w:spacing w:before="0" w:after="0"/>
              <w:jc w:val="left"/>
              <w:rPr>
                <w:rFonts w:ascii="ARIAL" w:hAnsi="ARIAL"/>
                <w:sz w:val="18"/>
              </w:rPr>
            </w:pPr>
            <w:r>
              <w:rPr>
                <w:rFonts w:ascii="ARIAL" w:hAnsi="ARIAL"/>
                <w:sz w:val="18"/>
              </w:rPr>
              <w:t>Impact of divestitures</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6125" w:type="dxa"/>
            <w:tcBorders/>
            <w:shd w:fill="EAEAEA" w:val="clear"/>
            <w:vAlign w:val="center"/>
          </w:tcPr>
          <w:p>
            <w:pPr>
              <w:pStyle w:val="TableContents"/>
              <w:bidi w:val="0"/>
              <w:spacing w:before="0" w:after="283"/>
              <w:jc w:val="left"/>
              <w:rPr>
                <w:sz w:val="4"/>
                <w:szCs w:val="4"/>
              </w:rPr>
            </w:pPr>
            <w:r>
              <w:rPr>
                <w:sz w:val="4"/>
                <w:szCs w:val="4"/>
              </w:rPr>
            </w:r>
          </w:p>
        </w:tc>
        <w:tc>
          <w:tcPr>
            <w:tcW w:w="1610" w:type="dxa"/>
            <w:gridSpan w:val="4"/>
            <w:tcBorders/>
            <w:shd w:fill="EAEAEA" w:val="clear"/>
            <w:vAlign w:val="center"/>
          </w:tcPr>
          <w:p>
            <w:pPr>
              <w:pStyle w:val="TableContents"/>
              <w:bidi w:val="0"/>
              <w:spacing w:before="0" w:after="283"/>
              <w:jc w:val="left"/>
              <w:rPr>
                <w:sz w:val="4"/>
                <w:szCs w:val="4"/>
              </w:rPr>
            </w:pPr>
            <w:r>
              <w:rPr>
                <w:sz w:val="4"/>
                <w:szCs w:val="4"/>
              </w:rPr>
            </w:r>
          </w:p>
        </w:tc>
      </w:tr>
      <w:tr>
        <w:trPr/>
        <w:tc>
          <w:tcPr>
            <w:tcW w:w="6125" w:type="dxa"/>
            <w:tcBorders/>
            <w:shd w:fill="EAEAEA" w:val="clear"/>
            <w:vAlign w:val="center"/>
          </w:tcPr>
          <w:p>
            <w:pPr>
              <w:pStyle w:val="TableContents"/>
              <w:bidi w:val="0"/>
              <w:spacing w:before="0" w:after="0"/>
              <w:jc w:val="left"/>
              <w:rPr>
                <w:rFonts w:ascii="ARIAL" w:hAnsi="ARIAL"/>
                <w:sz w:val="18"/>
              </w:rPr>
            </w:pPr>
            <w:r>
              <w:rPr>
                <w:rFonts w:ascii="ARIAL" w:hAnsi="ARIAL"/>
                <w:sz w:val="18"/>
              </w:rPr>
              <w:t>Acquired IPR&amp;D costs</w:t>
            </w:r>
          </w:p>
        </w:tc>
        <w:tc>
          <w:tcPr>
            <w:tcW w:w="120" w:type="dxa"/>
            <w:tcBorders/>
            <w:shd w:fill="EAEAEA" w:val="clear"/>
            <w:vAlign w:val="center"/>
          </w:tcPr>
          <w:p>
            <w:pPr>
              <w:pStyle w:val="TableContents"/>
              <w:bidi w:val="0"/>
              <w:spacing w:before="0" w:after="283"/>
              <w:jc w:val="left"/>
              <w:rPr/>
            </w:pPr>
            <w:r>
              <w:rPr/>
              <w:t>  </w:t>
            </w:r>
          </w:p>
        </w:tc>
        <w:tc>
          <w:tcPr>
            <w:tcW w:w="283" w:type="dxa"/>
            <w:tcBorders/>
            <w:shd w:fill="EAEAEA" w:val="clear"/>
            <w:vAlign w:val="center"/>
          </w:tcPr>
          <w:p>
            <w:pPr>
              <w:pStyle w:val="TableContents"/>
              <w:bidi w:val="0"/>
              <w:spacing w:before="0" w:after="283"/>
              <w:jc w:val="left"/>
              <w:rPr/>
            </w:pPr>
            <w:r>
              <w:rPr/>
              <w:t> </w:t>
            </w:r>
          </w:p>
        </w:tc>
        <w:tc>
          <w:tcPr>
            <w:tcW w:w="1132" w:type="dxa"/>
            <w:tcBorders/>
            <w:shd w:fill="EAEAEA" w:val="clear"/>
            <w:vAlign w:val="center"/>
          </w:tcPr>
          <w:p>
            <w:pPr>
              <w:pStyle w:val="TableContents"/>
              <w:bidi w:val="0"/>
              <w:spacing w:before="0" w:after="283"/>
              <w:jc w:val="right"/>
              <w:rPr/>
            </w:pPr>
            <w:r>
              <w:rPr/>
              <w:t>105</w:t>
            </w:r>
          </w:p>
        </w:tc>
        <w:tc>
          <w:tcPr>
            <w:tcW w:w="75" w:type="dxa"/>
            <w:tcBorders/>
            <w:shd w:fill="EAEAEA" w:val="clear"/>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125" w:type="dxa"/>
            <w:tcBorders/>
            <w:vAlign w:val="center"/>
          </w:tcPr>
          <w:p>
            <w:pPr>
              <w:pStyle w:val="TableContents"/>
              <w:bidi w:val="0"/>
              <w:spacing w:before="0" w:after="0"/>
              <w:jc w:val="left"/>
              <w:rPr>
                <w:rFonts w:ascii="ARIAL" w:hAnsi="ARIAL"/>
                <w:sz w:val="18"/>
              </w:rPr>
            </w:pPr>
            <w:r>
              <w:rPr>
                <w:rFonts w:ascii="ARIAL" w:hAnsi="ARIAL"/>
                <w:sz w:val="18"/>
              </w:rPr>
              <w:t>Currency impact</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118</w:t>
            </w:r>
          </w:p>
        </w:tc>
        <w:tc>
          <w:tcPr>
            <w:tcW w:w="75"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6125" w:type="dxa"/>
            <w:tcBorders>
              <w:bottom w:val="single" w:sz="8" w:space="0" w:color="732282"/>
            </w:tcBorders>
            <w:shd w:fill="EAEAEA" w:val="clear"/>
            <w:tcMar>
              <w:bottom w:w="28" w:type="dxa"/>
            </w:tcMar>
            <w:vAlign w:val="center"/>
          </w:tcPr>
          <w:p>
            <w:pPr>
              <w:pStyle w:val="TableContents"/>
              <w:bidi w:val="0"/>
              <w:spacing w:before="0" w:after="0"/>
              <w:jc w:val="left"/>
              <w:rPr>
                <w:rFonts w:ascii="ARIAL" w:hAnsi="ARIAL"/>
                <w:sz w:val="18"/>
              </w:rPr>
            </w:pPr>
            <w:r>
              <w:rPr>
                <w:rFonts w:ascii="ARIAL" w:hAnsi="ARIAL"/>
                <w:sz w:val="18"/>
              </w:rPr>
              <w:t>Adjusted EBITDA (for 2023 annual incentive compensation)</w:t>
            </w:r>
          </w:p>
        </w:tc>
        <w:tc>
          <w:tcPr>
            <w:tcW w:w="120" w:type="dxa"/>
            <w:tcBorders>
              <w:bottom w:val="single" w:sz="8" w:space="0" w:color="732282"/>
            </w:tcBorders>
            <w:shd w:fill="EAEAEA" w:val="clear"/>
            <w:tcMar>
              <w:bottom w:w="28" w:type="dxa"/>
            </w:tcMar>
            <w:vAlign w:val="center"/>
          </w:tcPr>
          <w:p>
            <w:pPr>
              <w:pStyle w:val="TableContents"/>
              <w:bidi w:val="0"/>
              <w:spacing w:before="0" w:after="283"/>
              <w:jc w:val="left"/>
              <w:rPr/>
            </w:pPr>
            <w:r>
              <w:rPr/>
              <w:t>  </w:t>
            </w:r>
          </w:p>
        </w:tc>
        <w:tc>
          <w:tcPr>
            <w:tcW w:w="283" w:type="dxa"/>
            <w:tcBorders>
              <w:bottom w:val="single" w:sz="8" w:space="0" w:color="732282"/>
            </w:tcBorders>
            <w:shd w:fill="EAEAEA" w:val="clear"/>
            <w:tcMar>
              <w:bottom w:w="28" w:type="dxa"/>
            </w:tcMar>
            <w:vAlign w:val="center"/>
          </w:tcPr>
          <w:p>
            <w:pPr>
              <w:pStyle w:val="TableContents"/>
              <w:bidi w:val="0"/>
              <w:spacing w:before="0" w:after="283"/>
              <w:jc w:val="left"/>
              <w:rPr/>
            </w:pPr>
            <w:r>
              <w:rPr/>
              <w:t>$</w:t>
            </w:r>
          </w:p>
        </w:tc>
        <w:tc>
          <w:tcPr>
            <w:tcW w:w="1132" w:type="dxa"/>
            <w:tcBorders>
              <w:bottom w:val="single" w:sz="8" w:space="0" w:color="732282"/>
            </w:tcBorders>
            <w:shd w:fill="EAEAEA" w:val="clear"/>
            <w:tcMar>
              <w:bottom w:w="28" w:type="dxa"/>
            </w:tcMar>
            <w:vAlign w:val="center"/>
          </w:tcPr>
          <w:p>
            <w:pPr>
              <w:pStyle w:val="TableContents"/>
              <w:bidi w:val="0"/>
              <w:spacing w:before="0" w:after="283"/>
              <w:jc w:val="right"/>
              <w:rPr/>
            </w:pPr>
            <w:r>
              <w:rPr/>
              <w:t>5,367</w:t>
            </w:r>
          </w:p>
        </w:tc>
        <w:tc>
          <w:tcPr>
            <w:tcW w:w="75" w:type="dxa"/>
            <w:tcBorders>
              <w:bottom w:val="single" w:sz="8" w:space="0" w:color="732282"/>
            </w:tcBorders>
            <w:shd w:fill="EAEAEA" w:val="clear"/>
            <w:tcMar>
              <w:bottom w:w="28" w:type="dxa"/>
            </w:tcMar>
            <w:vAlign w:val="center"/>
          </w:tcPr>
          <w:p>
            <w:pPr>
              <w:pStyle w:val="TableContents"/>
              <w:bidi w:val="0"/>
              <w:spacing w:before="0" w:after="283"/>
              <w:jc w:val="left"/>
              <w:rPr/>
            </w:pPr>
            <w:r>
              <w:rPr/>
              <w:t> </w:t>
            </w:r>
          </w:p>
        </w:tc>
      </w:tr>
    </w:tbl>
    <w:tbl>
      <w:tblPr>
        <w:tblW w:w="5875" w:type="dxa"/>
        <w:jc w:val="left"/>
        <w:tblInd w:w="0" w:type="dxa"/>
        <w:tblLayout w:type="fixed"/>
        <w:tblCellMar>
          <w:top w:w="0" w:type="dxa"/>
          <w:left w:w="0" w:type="dxa"/>
          <w:bottom w:w="0" w:type="dxa"/>
          <w:right w:w="0" w:type="dxa"/>
        </w:tblCellMar>
      </w:tblPr>
      <w:tblGrid>
        <w:gridCol w:w="290"/>
        <w:gridCol w:w="5585"/>
      </w:tblGrid>
      <w:tr>
        <w:trPr/>
        <w:tc>
          <w:tcPr>
            <w:tcW w:w="290" w:type="dxa"/>
            <w:tcBorders/>
            <w:vAlign w:val="center"/>
          </w:tcPr>
          <w:p>
            <w:pPr>
              <w:pStyle w:val="TableContents"/>
              <w:bidi w:val="0"/>
              <w:spacing w:before="0" w:after="283"/>
              <w:jc w:val="left"/>
              <w:rPr/>
            </w:pPr>
            <w:r>
              <w:rPr/>
              <w:t>(a)</w:t>
            </w:r>
          </w:p>
        </w:tc>
        <w:tc>
          <w:tcPr>
            <w:tcW w:w="5585" w:type="dxa"/>
            <w:tcBorders/>
            <w:vAlign w:val="center"/>
          </w:tcPr>
          <w:p>
            <w:pPr>
              <w:pStyle w:val="TableContents"/>
              <w:bidi w:val="0"/>
              <w:spacing w:before="0" w:after="0"/>
              <w:jc w:val="both"/>
              <w:rPr>
                <w:rFonts w:ascii="arial" w:hAnsi="arial"/>
                <w:sz w:val="18"/>
              </w:rPr>
            </w:pPr>
            <w:r>
              <w:rPr>
                <w:rFonts w:ascii="arial" w:hAnsi="arial"/>
                <w:sz w:val="18"/>
              </w:rPr>
              <w:t xml:space="preserve">Includes amortization of premiums and discounts on long-term debt. </w:t>
            </w:r>
          </w:p>
        </w:tc>
      </w:tr>
    </w:tbl>
    <w:tbl>
      <w:tblPr>
        <w:tblW w:w="4540" w:type="dxa"/>
        <w:jc w:val="left"/>
        <w:tblInd w:w="0" w:type="dxa"/>
        <w:tblLayout w:type="fixed"/>
        <w:tblCellMar>
          <w:top w:w="0" w:type="dxa"/>
          <w:left w:w="0" w:type="dxa"/>
          <w:bottom w:w="0" w:type="dxa"/>
          <w:right w:w="0" w:type="dxa"/>
        </w:tblCellMar>
      </w:tblPr>
      <w:tblGrid>
        <w:gridCol w:w="305"/>
        <w:gridCol w:w="4235"/>
      </w:tblGrid>
      <w:tr>
        <w:trPr/>
        <w:tc>
          <w:tcPr>
            <w:tcW w:w="305" w:type="dxa"/>
            <w:tcBorders/>
            <w:vAlign w:val="center"/>
          </w:tcPr>
          <w:p>
            <w:pPr>
              <w:pStyle w:val="TableContents"/>
              <w:bidi w:val="0"/>
              <w:spacing w:before="0" w:after="283"/>
              <w:jc w:val="left"/>
              <w:rPr/>
            </w:pPr>
            <w:r>
              <w:rPr/>
              <w:t>(b)</w:t>
            </w:r>
          </w:p>
        </w:tc>
        <w:tc>
          <w:tcPr>
            <w:tcW w:w="4235" w:type="dxa"/>
            <w:tcBorders/>
            <w:vAlign w:val="center"/>
          </w:tcPr>
          <w:p>
            <w:pPr>
              <w:pStyle w:val="TableContents"/>
              <w:bidi w:val="0"/>
              <w:spacing w:before="0" w:after="0"/>
              <w:jc w:val="both"/>
              <w:rPr>
                <w:rFonts w:ascii="arial" w:hAnsi="arial"/>
                <w:sz w:val="18"/>
              </w:rPr>
            </w:pPr>
            <w:r>
              <w:rPr>
                <w:rFonts w:ascii="arial" w:hAnsi="arial"/>
                <w:sz w:val="18"/>
              </w:rPr>
              <w:t xml:space="preserve">Includes purchase accounting related amortization.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(c)</w:t>
            </w:r>
          </w:p>
        </w:tc>
        <w:tc>
          <w:tcPr>
            <w:tcW w:w="9959" w:type="dxa"/>
            <w:tcBorders/>
            <w:vAlign w:val="center"/>
          </w:tcPr>
          <w:p>
            <w:pPr>
              <w:pStyle w:val="TableContents"/>
              <w:bidi w:val="0"/>
              <w:spacing w:before="0" w:after="0"/>
              <w:jc w:val="both"/>
              <w:rPr>
                <w:rFonts w:ascii="arial" w:hAnsi="arial"/>
                <w:sz w:val="18"/>
              </w:rPr>
            </w:pPr>
            <w:r>
              <w:rPr>
                <w:rFonts w:ascii="arial" w:hAnsi="arial"/>
                <w:sz w:val="18"/>
              </w:rPr>
              <w:t xml:space="preserve">Includes restructuring related costs, acquisition and divestiture related costs (primarily included in selling, general and administrative expenses) and other special items included in cost of sales, R&amp;D expense, selling, general and administrative expense, and other expense. </w:t>
            </w:r>
          </w:p>
        </w:tc>
      </w:tr>
    </w:tbl>
    <w:p>
      <w:pPr>
        <w:pStyle w:val="TextBody"/>
        <w:bidi w:val="0"/>
        <w:spacing w:before="240" w:after="0"/>
        <w:jc w:val="both"/>
        <w:rPr>
          <w:rFonts w:ascii="ARIAL" w:hAnsi="ARIAL"/>
          <w:b/>
          <w:i/>
          <w:sz w:val="20"/>
        </w:rPr>
      </w:pPr>
      <w:r>
        <w:rPr>
          <w:rFonts w:ascii="ARIAL" w:hAnsi="ARIAL"/>
          <w:b/>
          <w:i/>
          <w:sz w:val="20"/>
        </w:rPr>
        <w:t xml:space="preserve">Free Cash Flow </w:t>
      </w:r>
    </w:p>
    <w:p>
      <w:pPr>
        <w:pStyle w:val="TextBody"/>
        <w:bidi w:val="0"/>
        <w:spacing w:before="120" w:after="0"/>
        <w:jc w:val="left"/>
        <w:rPr>
          <w:rFonts w:ascii="ARIAL" w:hAnsi="ARIAL"/>
          <w:i/>
          <w:sz w:val="20"/>
          <w:u w:val="single"/>
        </w:rPr>
      </w:pPr>
      <w:r>
        <w:rPr>
          <w:rFonts w:ascii="ARIAL" w:hAnsi="ARIAL"/>
          <w:i/>
          <w:sz w:val="20"/>
          <w:u w:val="single"/>
        </w:rPr>
        <w:t xml:space="preserve">2023 Annual Incentive Program </w:t>
      </w:r>
    </w:p>
    <w:p>
      <w:pPr>
        <w:pStyle w:val="TextBody"/>
        <w:bidi w:val="0"/>
        <w:spacing w:before="120" w:after="0"/>
        <w:jc w:val="both"/>
        <w:rPr>
          <w:rFonts w:ascii="arial" w:hAnsi="arial"/>
          <w:sz w:val="18"/>
        </w:rPr>
      </w:pPr>
      <w:r>
        <w:rPr>
          <w:rFonts w:ascii="arial" w:hAnsi="arial"/>
          <w:sz w:val="18"/>
        </w:rPr>
        <w:t xml:space="preserve">Free cash flow is derived from Viatris’ audited financial statements in the same manner as Viatris’ publicly reported free cash flow for 2023 (U.S. GAAP net cash provided by operating activities, less capital expenditures) (“as reported”), except that the calculation for the 2023 annual incentive program (“for 2023 annual incentive compensation”) utilized 2023 budgeted foreign exchange rates (“currency impact”) and further adjusts for transaction costs and taxes related to the acquisitions of Oyster Point and Famy Life Sciences as well as any incremental transaction costs and taxes related to other select assets sales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A-1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sz w:val="18"/>
        </w:rPr>
        <w:t xml:space="preserve">reshaping initiatives and other impacts of divestitures (“transaction costs”), acquired IPR&amp;D costs, and proceeds from the sale of property, plant and equipment. </w:t>
      </w:r>
    </w:p>
    <w:p>
      <w:pPr>
        <w:pStyle w:val="TextBody"/>
        <w:bidi w:val="0"/>
        <w:spacing w:before="0" w:after="0"/>
        <w:jc w:val="left"/>
        <w:rPr/>
      </w:pPr>
      <w:r>
        <w:rPr/>
        <w:t> </w:t>
      </w:r>
    </w:p>
    <w:tbl>
      <w:tblPr>
        <w:tblW w:w="6900" w:type="dxa"/>
        <w:jc w:val="left"/>
        <w:tblInd w:w="0" w:type="dxa"/>
        <w:tblLayout w:type="fixed"/>
        <w:tblCellMar>
          <w:top w:w="0" w:type="dxa"/>
          <w:left w:w="0" w:type="dxa"/>
          <w:bottom w:w="0" w:type="dxa"/>
          <w:right w:w="0" w:type="dxa"/>
        </w:tblCellMar>
      </w:tblPr>
      <w:tblGrid>
        <w:gridCol w:w="5195"/>
        <w:gridCol w:w="120"/>
        <w:gridCol w:w="114"/>
        <w:gridCol w:w="1301"/>
        <w:gridCol w:w="170"/>
      </w:tblGrid>
      <w:tr>
        <w:trPr/>
        <w:tc>
          <w:tcPr>
            <w:tcW w:w="5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8" w:space="0" w:color="732282"/>
            </w:tcBorders>
            <w:tcMar>
              <w:bottom w:w="28" w:type="dxa"/>
            </w:tcMar>
            <w:vAlign w:val="center"/>
          </w:tcPr>
          <w:p>
            <w:pPr>
              <w:pStyle w:val="TableContents"/>
              <w:bidi w:val="0"/>
              <w:spacing w:before="0" w:after="0"/>
              <w:jc w:val="left"/>
              <w:rPr>
                <w:rFonts w:ascii="ARIAL" w:hAnsi="ARIAL"/>
                <w:b/>
                <w:color w:val="732282"/>
                <w:sz w:val="18"/>
              </w:rPr>
            </w:pPr>
            <w:r>
              <w:rPr>
                <w:rFonts w:ascii="ARIAL" w:hAnsi="ARIAL"/>
                <w:b/>
                <w:color w:val="732282"/>
                <w:sz w:val="18"/>
              </w:rPr>
              <w:t>(in millions)</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415" w:type="dxa"/>
            <w:gridSpan w:val="2"/>
            <w:tcBorders>
              <w:bottom w:val="single" w:sz="8" w:space="0" w:color="732282"/>
            </w:tcBorders>
            <w:tcMar>
              <w:bottom w:w="28" w:type="dxa"/>
            </w:tcMar>
            <w:vAlign w:val="center"/>
          </w:tcPr>
          <w:p>
            <w:pPr>
              <w:pStyle w:val="TableContents"/>
              <w:bidi w:val="0"/>
              <w:spacing w:before="0" w:after="283"/>
              <w:jc w:val="right"/>
              <w:rPr>
                <w:b/>
                <w:color w:val="732282"/>
              </w:rPr>
            </w:pPr>
            <w:r>
              <w:rPr>
                <w:b/>
                <w:color w:val="732282"/>
              </w:rPr>
              <w:t>Year Ended</w:t>
              <w:br/>
              <w:t>December 31,</w:t>
              <w:br/>
              <w:t>2023</w:t>
            </w:r>
          </w:p>
        </w:tc>
        <w:tc>
          <w:tcPr>
            <w:tcW w:w="170" w:type="dxa"/>
            <w:tcBorders>
              <w:bottom w:val="single" w:sz="8" w:space="0" w:color="732282"/>
            </w:tcBorders>
            <w:tcMar>
              <w:bottom w:w="28" w:type="dxa"/>
            </w:tcMar>
            <w:vAlign w:val="center"/>
          </w:tcPr>
          <w:p>
            <w:pPr>
              <w:pStyle w:val="TableContents"/>
              <w:bidi w:val="0"/>
              <w:spacing w:before="0" w:after="283"/>
              <w:jc w:val="left"/>
              <w:rPr/>
            </w:pPr>
            <w:r>
              <w:rPr/>
              <w:t> </w:t>
            </w:r>
          </w:p>
        </w:tc>
      </w:tr>
      <w:tr>
        <w:trPr/>
        <w:tc>
          <w:tcPr>
            <w:tcW w:w="5195" w:type="dxa"/>
            <w:tcBorders/>
            <w:shd w:fill="E5E5E5" w:val="clear"/>
            <w:vAlign w:val="center"/>
          </w:tcPr>
          <w:p>
            <w:pPr>
              <w:pStyle w:val="TableContents"/>
              <w:bidi w:val="0"/>
              <w:spacing w:before="0" w:after="283"/>
              <w:jc w:val="left"/>
              <w:rPr>
                <w:sz w:val="4"/>
                <w:szCs w:val="4"/>
              </w:rPr>
            </w:pPr>
            <w:r>
              <w:rPr>
                <w:sz w:val="4"/>
                <w:szCs w:val="4"/>
              </w:rPr>
            </w:r>
          </w:p>
        </w:tc>
        <w:tc>
          <w:tcPr>
            <w:tcW w:w="170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5195" w:type="dxa"/>
            <w:tcBorders/>
            <w:shd w:fill="E5E5E5" w:val="clear"/>
            <w:vAlign w:val="center"/>
          </w:tcPr>
          <w:p>
            <w:pPr>
              <w:pStyle w:val="TableContents"/>
              <w:bidi w:val="0"/>
              <w:spacing w:before="0" w:after="0"/>
              <w:jc w:val="left"/>
              <w:rPr>
                <w:rFonts w:ascii="ARIAL" w:hAnsi="ARIAL"/>
                <w:sz w:val="18"/>
              </w:rPr>
            </w:pPr>
            <w:r>
              <w:rPr>
                <w:rFonts w:ascii="ARIAL" w:hAnsi="ARIAL"/>
                <w:sz w:val="18"/>
              </w:rPr>
              <w:t>U.S. GAAP net cash provided by operating activities</w:t>
            </w:r>
          </w:p>
        </w:tc>
        <w:tc>
          <w:tcPr>
            <w:tcW w:w="120" w:type="dxa"/>
            <w:tcBorders/>
            <w:shd w:fill="E5E5E5" w:val="clear"/>
            <w:vAlign w:val="center"/>
          </w:tcPr>
          <w:p>
            <w:pPr>
              <w:pStyle w:val="TableContents"/>
              <w:bidi w:val="0"/>
              <w:spacing w:before="0" w:after="283"/>
              <w:jc w:val="left"/>
              <w:rPr/>
            </w:pPr>
            <w:r>
              <w:rPr/>
              <w:t>  </w:t>
            </w:r>
          </w:p>
        </w:tc>
        <w:tc>
          <w:tcPr>
            <w:tcW w:w="114" w:type="dxa"/>
            <w:tcBorders/>
            <w:shd w:fill="E5E5E5" w:val="clear"/>
            <w:vAlign w:val="center"/>
          </w:tcPr>
          <w:p>
            <w:pPr>
              <w:pStyle w:val="TableContents"/>
              <w:bidi w:val="0"/>
              <w:spacing w:before="0" w:after="283"/>
              <w:jc w:val="left"/>
              <w:rPr/>
            </w:pPr>
            <w:r>
              <w:rPr/>
              <w:t> </w:t>
            </w:r>
          </w:p>
        </w:tc>
        <w:tc>
          <w:tcPr>
            <w:tcW w:w="1301" w:type="dxa"/>
            <w:tcBorders/>
            <w:shd w:fill="E5E5E5" w:val="clear"/>
            <w:vAlign w:val="center"/>
          </w:tcPr>
          <w:p>
            <w:pPr>
              <w:pStyle w:val="TableContents"/>
              <w:bidi w:val="0"/>
              <w:spacing w:before="0" w:after="283"/>
              <w:jc w:val="right"/>
              <w:rPr/>
            </w:pPr>
            <w:r>
              <w:rPr/>
              <w:t>$2,800</w:t>
            </w:r>
          </w:p>
        </w:tc>
        <w:tc>
          <w:tcPr>
            <w:tcW w:w="170" w:type="dxa"/>
            <w:tcBorders/>
            <w:shd w:fill="E5E5E5" w:val="cle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vAlign w:val="center"/>
          </w:tcPr>
          <w:p>
            <w:pPr>
              <w:pStyle w:val="TableContents"/>
              <w:bidi w:val="0"/>
              <w:spacing w:before="0" w:after="0"/>
              <w:jc w:val="left"/>
              <w:rPr>
                <w:rFonts w:ascii="ARIAL" w:hAnsi="ARIAL"/>
                <w:sz w:val="18"/>
              </w:rPr>
            </w:pPr>
            <w:r>
              <w:rPr>
                <w:rFonts w:ascii="ARIAL" w:hAnsi="ARIAL"/>
                <w:sz w:val="18"/>
              </w:rPr>
              <w:t>Add/(deduct):</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195" w:type="dxa"/>
            <w:tcBorders/>
            <w:shd w:fill="E5E5E5" w:val="clear"/>
            <w:vAlign w:val="center"/>
          </w:tcPr>
          <w:p>
            <w:pPr>
              <w:pStyle w:val="TableContents"/>
              <w:bidi w:val="0"/>
              <w:spacing w:before="0" w:after="283"/>
              <w:jc w:val="left"/>
              <w:rPr>
                <w:sz w:val="4"/>
                <w:szCs w:val="4"/>
              </w:rPr>
            </w:pPr>
            <w:r>
              <w:rPr>
                <w:sz w:val="4"/>
                <w:szCs w:val="4"/>
              </w:rPr>
            </w:r>
          </w:p>
        </w:tc>
        <w:tc>
          <w:tcPr>
            <w:tcW w:w="170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5195" w:type="dxa"/>
            <w:tcBorders/>
            <w:shd w:fill="E5E5E5" w:val="clear"/>
            <w:vAlign w:val="center"/>
          </w:tcPr>
          <w:p>
            <w:pPr>
              <w:pStyle w:val="TableContents"/>
              <w:bidi w:val="0"/>
              <w:spacing w:before="0" w:after="0"/>
              <w:jc w:val="left"/>
              <w:rPr>
                <w:rFonts w:ascii="ARIAL" w:hAnsi="ARIAL"/>
                <w:sz w:val="18"/>
              </w:rPr>
            </w:pPr>
            <w:r>
              <w:rPr>
                <w:rFonts w:ascii="ARIAL" w:hAnsi="ARIAL"/>
                <w:sz w:val="18"/>
              </w:rPr>
              <w:t>Capital expenditures</w:t>
            </w:r>
          </w:p>
        </w:tc>
        <w:tc>
          <w:tcPr>
            <w:tcW w:w="120" w:type="dxa"/>
            <w:tcBorders/>
            <w:shd w:fill="E5E5E5" w:val="clear"/>
            <w:vAlign w:val="center"/>
          </w:tcPr>
          <w:p>
            <w:pPr>
              <w:pStyle w:val="TableContents"/>
              <w:bidi w:val="0"/>
              <w:spacing w:before="0" w:after="283"/>
              <w:jc w:val="left"/>
              <w:rPr/>
            </w:pPr>
            <w:r>
              <w:rPr/>
              <w:t>  </w:t>
            </w:r>
          </w:p>
        </w:tc>
        <w:tc>
          <w:tcPr>
            <w:tcW w:w="114" w:type="dxa"/>
            <w:tcBorders/>
            <w:shd w:fill="E5E5E5" w:val="clear"/>
            <w:vAlign w:val="center"/>
          </w:tcPr>
          <w:p>
            <w:pPr>
              <w:pStyle w:val="TableContents"/>
              <w:bidi w:val="0"/>
              <w:spacing w:before="0" w:after="283"/>
              <w:jc w:val="left"/>
              <w:rPr/>
            </w:pPr>
            <w:r>
              <w:rPr/>
              <w:t> </w:t>
            </w:r>
          </w:p>
        </w:tc>
        <w:tc>
          <w:tcPr>
            <w:tcW w:w="1301" w:type="dxa"/>
            <w:tcBorders/>
            <w:shd w:fill="E5E5E5" w:val="clear"/>
            <w:vAlign w:val="center"/>
          </w:tcPr>
          <w:p>
            <w:pPr>
              <w:pStyle w:val="TableContents"/>
              <w:bidi w:val="0"/>
              <w:spacing w:before="0" w:after="283"/>
              <w:jc w:val="right"/>
              <w:rPr/>
            </w:pPr>
            <w:r>
              <w:rPr/>
              <w:t>(377</w:t>
            </w:r>
          </w:p>
        </w:tc>
        <w:tc>
          <w:tcPr>
            <w:tcW w:w="170" w:type="dxa"/>
            <w:tcBorders/>
            <w:shd w:fill="E5E5E5" w:val="cle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pBdr>
                <w:top w:val="single" w:sz="2" w:space="1" w:color="000000"/>
              </w:pBdr>
              <w:bidi w:val="0"/>
              <w:spacing w:before="0" w:after="0"/>
              <w:jc w:val="left"/>
              <w:rPr/>
            </w:pPr>
            <w:r>
              <w:rPr/>
              <w:t> </w:t>
            </w:r>
          </w:p>
        </w:tc>
        <w:tc>
          <w:tcPr>
            <w:tcW w:w="1301"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vAlign w:val="center"/>
          </w:tcPr>
          <w:p>
            <w:pPr>
              <w:pStyle w:val="TableContents"/>
              <w:bidi w:val="0"/>
              <w:spacing w:before="0" w:after="0"/>
              <w:jc w:val="left"/>
              <w:rPr>
                <w:rFonts w:ascii="ARIAL" w:hAnsi="ARIAL"/>
                <w:sz w:val="18"/>
              </w:rPr>
            </w:pPr>
            <w:r>
              <w:rPr>
                <w:rFonts w:ascii="ARIAL" w:hAnsi="ARIAL"/>
                <w:sz w:val="18"/>
              </w:rPr>
              <w:t>Free cash flow (as reported)</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right"/>
              <w:rPr/>
            </w:pPr>
            <w:r>
              <w:rPr/>
              <w:t>2,423</w:t>
            </w:r>
          </w:p>
        </w:tc>
        <w:tc>
          <w:tcPr>
            <w:tcW w:w="170"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pBdr>
                <w:top w:val="double" w:sz="6" w:space="1" w:color="000000"/>
              </w:pBdr>
              <w:bidi w:val="0"/>
              <w:spacing w:before="0" w:after="0"/>
              <w:jc w:val="left"/>
              <w:rPr/>
            </w:pPr>
            <w:r>
              <w:rPr/>
              <w:t> </w:t>
            </w:r>
          </w:p>
        </w:tc>
        <w:tc>
          <w:tcPr>
            <w:tcW w:w="1301"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195" w:type="dxa"/>
            <w:tcBorders/>
            <w:shd w:fill="E5E5E5" w:val="clear"/>
            <w:vAlign w:val="center"/>
          </w:tcPr>
          <w:p>
            <w:pPr>
              <w:pStyle w:val="TableContents"/>
              <w:bidi w:val="0"/>
              <w:spacing w:before="0" w:after="283"/>
              <w:jc w:val="left"/>
              <w:rPr>
                <w:sz w:val="4"/>
                <w:szCs w:val="4"/>
              </w:rPr>
            </w:pPr>
            <w:r>
              <w:rPr>
                <w:sz w:val="4"/>
                <w:szCs w:val="4"/>
              </w:rPr>
            </w:r>
          </w:p>
        </w:tc>
        <w:tc>
          <w:tcPr>
            <w:tcW w:w="170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5195" w:type="dxa"/>
            <w:tcBorders/>
            <w:shd w:fill="E5E5E5" w:val="clear"/>
            <w:vAlign w:val="center"/>
          </w:tcPr>
          <w:p>
            <w:pPr>
              <w:pStyle w:val="TableContents"/>
              <w:bidi w:val="0"/>
              <w:spacing w:before="0" w:after="0"/>
              <w:jc w:val="left"/>
              <w:rPr>
                <w:rFonts w:ascii="ARIAL" w:hAnsi="ARIAL"/>
                <w:sz w:val="18"/>
              </w:rPr>
            </w:pPr>
            <w:r>
              <w:rPr>
                <w:rFonts w:ascii="ARIAL" w:hAnsi="ARIAL"/>
                <w:sz w:val="18"/>
              </w:rPr>
              <w:t>Transaction costs</w:t>
            </w:r>
          </w:p>
        </w:tc>
        <w:tc>
          <w:tcPr>
            <w:tcW w:w="120" w:type="dxa"/>
            <w:tcBorders/>
            <w:shd w:fill="E5E5E5" w:val="clear"/>
            <w:vAlign w:val="center"/>
          </w:tcPr>
          <w:p>
            <w:pPr>
              <w:pStyle w:val="TableContents"/>
              <w:bidi w:val="0"/>
              <w:spacing w:before="0" w:after="283"/>
              <w:jc w:val="left"/>
              <w:rPr/>
            </w:pPr>
            <w:r>
              <w:rPr/>
              <w:t>  </w:t>
            </w:r>
          </w:p>
        </w:tc>
        <w:tc>
          <w:tcPr>
            <w:tcW w:w="114" w:type="dxa"/>
            <w:tcBorders/>
            <w:shd w:fill="E5E5E5" w:val="clear"/>
            <w:vAlign w:val="center"/>
          </w:tcPr>
          <w:p>
            <w:pPr>
              <w:pStyle w:val="TableContents"/>
              <w:bidi w:val="0"/>
              <w:spacing w:before="0" w:after="283"/>
              <w:jc w:val="left"/>
              <w:rPr/>
            </w:pPr>
            <w:r>
              <w:rPr/>
              <w:t> </w:t>
            </w:r>
          </w:p>
        </w:tc>
        <w:tc>
          <w:tcPr>
            <w:tcW w:w="1301" w:type="dxa"/>
            <w:tcBorders/>
            <w:shd w:fill="E5E5E5" w:val="clear"/>
            <w:vAlign w:val="center"/>
          </w:tcPr>
          <w:p>
            <w:pPr>
              <w:pStyle w:val="TableContents"/>
              <w:bidi w:val="0"/>
              <w:spacing w:before="0" w:after="283"/>
              <w:jc w:val="right"/>
              <w:rPr/>
            </w:pPr>
            <w:r>
              <w:rPr/>
              <w:t>235</w:t>
            </w:r>
          </w:p>
        </w:tc>
        <w:tc>
          <w:tcPr>
            <w:tcW w:w="170" w:type="dxa"/>
            <w:tcBorders/>
            <w:shd w:fill="E5E5E5" w:val="cle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vAlign w:val="center"/>
          </w:tcPr>
          <w:p>
            <w:pPr>
              <w:pStyle w:val="TableContents"/>
              <w:bidi w:val="0"/>
              <w:spacing w:before="0" w:after="0"/>
              <w:jc w:val="left"/>
              <w:rPr>
                <w:rFonts w:ascii="ARIAL" w:hAnsi="ARIAL"/>
                <w:sz w:val="18"/>
              </w:rPr>
            </w:pPr>
            <w:r>
              <w:rPr>
                <w:rFonts w:ascii="ARIAL" w:hAnsi="ARIAL"/>
                <w:sz w:val="18"/>
              </w:rPr>
              <w:t>Acquired IPR&amp;D costs</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right"/>
              <w:rPr/>
            </w:pPr>
            <w:r>
              <w:rPr/>
              <w:t>100</w:t>
            </w:r>
          </w:p>
        </w:tc>
        <w:tc>
          <w:tcPr>
            <w:tcW w:w="170" w:type="dxa"/>
            <w:tcBorders/>
            <w:vAlign w:val="center"/>
          </w:tcPr>
          <w:p>
            <w:pPr>
              <w:pStyle w:val="TableContents"/>
              <w:bidi w:val="0"/>
              <w:spacing w:before="0" w:after="283"/>
              <w:jc w:val="left"/>
              <w:rPr/>
            </w:pPr>
            <w:r>
              <w:rPr/>
              <w:t> </w:t>
            </w:r>
          </w:p>
        </w:tc>
      </w:tr>
      <w:tr>
        <w:trPr/>
        <w:tc>
          <w:tcPr>
            <w:tcW w:w="5195" w:type="dxa"/>
            <w:tcBorders/>
            <w:shd w:fill="E5E5E5" w:val="clear"/>
            <w:vAlign w:val="center"/>
          </w:tcPr>
          <w:p>
            <w:pPr>
              <w:pStyle w:val="TableContents"/>
              <w:bidi w:val="0"/>
              <w:spacing w:before="0" w:after="283"/>
              <w:jc w:val="left"/>
              <w:rPr>
                <w:sz w:val="4"/>
                <w:szCs w:val="4"/>
              </w:rPr>
            </w:pPr>
            <w:r>
              <w:rPr>
                <w:sz w:val="4"/>
                <w:szCs w:val="4"/>
              </w:rPr>
            </w:r>
          </w:p>
        </w:tc>
        <w:tc>
          <w:tcPr>
            <w:tcW w:w="170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5195" w:type="dxa"/>
            <w:tcBorders/>
            <w:shd w:fill="E5E5E5" w:val="clear"/>
            <w:vAlign w:val="center"/>
          </w:tcPr>
          <w:p>
            <w:pPr>
              <w:pStyle w:val="TableContents"/>
              <w:bidi w:val="0"/>
              <w:spacing w:before="0" w:after="0"/>
              <w:jc w:val="left"/>
              <w:rPr>
                <w:rFonts w:ascii="ARIAL" w:hAnsi="ARIAL"/>
                <w:sz w:val="18"/>
              </w:rPr>
            </w:pPr>
            <w:r>
              <w:rPr>
                <w:rFonts w:ascii="ARIAL" w:hAnsi="ARIAL"/>
                <w:sz w:val="18"/>
              </w:rPr>
              <w:t>Proceeds from the sale of certain property, plant and equipment</w:t>
            </w:r>
          </w:p>
        </w:tc>
        <w:tc>
          <w:tcPr>
            <w:tcW w:w="120" w:type="dxa"/>
            <w:tcBorders/>
            <w:shd w:fill="E5E5E5" w:val="clear"/>
            <w:vAlign w:val="center"/>
          </w:tcPr>
          <w:p>
            <w:pPr>
              <w:pStyle w:val="TableContents"/>
              <w:bidi w:val="0"/>
              <w:spacing w:before="0" w:after="283"/>
              <w:jc w:val="left"/>
              <w:rPr/>
            </w:pPr>
            <w:r>
              <w:rPr/>
              <w:t>  </w:t>
            </w:r>
          </w:p>
        </w:tc>
        <w:tc>
          <w:tcPr>
            <w:tcW w:w="114" w:type="dxa"/>
            <w:tcBorders/>
            <w:shd w:fill="E5E5E5" w:val="clear"/>
            <w:vAlign w:val="center"/>
          </w:tcPr>
          <w:p>
            <w:pPr>
              <w:pStyle w:val="TableContents"/>
              <w:bidi w:val="0"/>
              <w:spacing w:before="0" w:after="283"/>
              <w:jc w:val="left"/>
              <w:rPr/>
            </w:pPr>
            <w:r>
              <w:rPr/>
              <w:t> </w:t>
            </w:r>
          </w:p>
        </w:tc>
        <w:tc>
          <w:tcPr>
            <w:tcW w:w="1301" w:type="dxa"/>
            <w:tcBorders/>
            <w:shd w:fill="E5E5E5" w:val="clear"/>
            <w:vAlign w:val="center"/>
          </w:tcPr>
          <w:p>
            <w:pPr>
              <w:pStyle w:val="TableContents"/>
              <w:bidi w:val="0"/>
              <w:spacing w:before="0" w:after="283"/>
              <w:jc w:val="right"/>
              <w:rPr/>
            </w:pPr>
            <w:r>
              <w:rPr/>
              <w:t>13</w:t>
            </w:r>
          </w:p>
        </w:tc>
        <w:tc>
          <w:tcPr>
            <w:tcW w:w="170" w:type="dxa"/>
            <w:tcBorders/>
            <w:shd w:fill="E5E5E5" w:val="cle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vAlign w:val="center"/>
          </w:tcPr>
          <w:p>
            <w:pPr>
              <w:pStyle w:val="TableContents"/>
              <w:bidi w:val="0"/>
              <w:spacing w:before="0" w:after="0"/>
              <w:jc w:val="left"/>
              <w:rPr>
                <w:rFonts w:ascii="ARIAL" w:hAnsi="ARIAL"/>
                <w:sz w:val="18"/>
              </w:rPr>
            </w:pPr>
            <w:r>
              <w:rPr>
                <w:rFonts w:ascii="ARIAL" w:hAnsi="ARIAL"/>
                <w:sz w:val="18"/>
              </w:rPr>
              <w:t>Currency impact</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right"/>
              <w:rPr/>
            </w:pPr>
            <w:r>
              <w:rPr/>
              <w:t>145</w:t>
            </w:r>
          </w:p>
        </w:tc>
        <w:tc>
          <w:tcPr>
            <w:tcW w:w="170"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pBdr>
                <w:top w:val="single" w:sz="2" w:space="1" w:color="000000"/>
              </w:pBdr>
              <w:bidi w:val="0"/>
              <w:spacing w:before="0" w:after="0"/>
              <w:jc w:val="left"/>
              <w:rPr/>
            </w:pPr>
            <w:r>
              <w:rPr/>
              <w:t> </w:t>
            </w:r>
          </w:p>
        </w:tc>
        <w:tc>
          <w:tcPr>
            <w:tcW w:w="1301"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195" w:type="dxa"/>
            <w:tcBorders/>
            <w:shd w:fill="E5E5E5" w:val="clear"/>
            <w:vAlign w:val="center"/>
          </w:tcPr>
          <w:p>
            <w:pPr>
              <w:pStyle w:val="TableContents"/>
              <w:bidi w:val="0"/>
              <w:spacing w:before="0" w:after="283"/>
              <w:jc w:val="left"/>
              <w:rPr>
                <w:sz w:val="4"/>
                <w:szCs w:val="4"/>
              </w:rPr>
            </w:pPr>
            <w:r>
              <w:rPr>
                <w:sz w:val="4"/>
                <w:szCs w:val="4"/>
              </w:rPr>
            </w:r>
          </w:p>
        </w:tc>
        <w:tc>
          <w:tcPr>
            <w:tcW w:w="170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5195" w:type="dxa"/>
            <w:tcBorders>
              <w:bottom w:val="single" w:sz="8" w:space="0" w:color="732282"/>
            </w:tcBorders>
            <w:shd w:fill="E5E5E5" w:val="clear"/>
            <w:tcMar>
              <w:bottom w:w="80" w:type="dxa"/>
            </w:tcMar>
            <w:vAlign w:val="center"/>
          </w:tcPr>
          <w:p>
            <w:pPr>
              <w:pStyle w:val="TableContents"/>
              <w:bidi w:val="0"/>
              <w:spacing w:before="0" w:after="0"/>
              <w:jc w:val="left"/>
              <w:rPr>
                <w:rFonts w:ascii="ARIAL" w:hAnsi="ARIAL"/>
                <w:sz w:val="18"/>
              </w:rPr>
            </w:pPr>
            <w:r>
              <w:rPr>
                <w:rFonts w:ascii="ARIAL" w:hAnsi="ARIAL"/>
                <w:sz w:val="18"/>
              </w:rPr>
              <w:t>Free cash flow (for 2023 annual incentive compensation)</w:t>
            </w:r>
          </w:p>
        </w:tc>
        <w:tc>
          <w:tcPr>
            <w:tcW w:w="12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114" w:type="dxa"/>
            <w:tcBorders>
              <w:bottom w:val="single" w:sz="8" w:space="0" w:color="732282"/>
            </w:tcBorders>
            <w:shd w:fill="E5E5E5" w:val="clear"/>
            <w:tcMar>
              <w:bottom w:w="80" w:type="dxa"/>
            </w:tcMar>
            <w:vAlign w:val="center"/>
          </w:tcPr>
          <w:p>
            <w:pPr>
              <w:pStyle w:val="TableContents"/>
              <w:bidi w:val="0"/>
              <w:spacing w:before="0" w:after="283"/>
              <w:jc w:val="left"/>
              <w:rPr/>
            </w:pPr>
            <w:r>
              <w:rPr/>
              <w:t> </w:t>
            </w:r>
          </w:p>
        </w:tc>
        <w:tc>
          <w:tcPr>
            <w:tcW w:w="1301" w:type="dxa"/>
            <w:tcBorders>
              <w:bottom w:val="single" w:sz="8" w:space="0" w:color="732282"/>
            </w:tcBorders>
            <w:shd w:fill="E5E5E5" w:val="clear"/>
            <w:tcMar>
              <w:bottom w:w="80" w:type="dxa"/>
            </w:tcMar>
            <w:vAlign w:val="center"/>
          </w:tcPr>
          <w:p>
            <w:pPr>
              <w:pStyle w:val="TableContents"/>
              <w:bidi w:val="0"/>
              <w:spacing w:before="0" w:after="283"/>
              <w:jc w:val="right"/>
              <w:rPr/>
            </w:pPr>
            <w:r>
              <w:rPr/>
              <w:t>$2,916</w:t>
            </w:r>
          </w:p>
        </w:tc>
        <w:tc>
          <w:tcPr>
            <w:tcW w:w="170" w:type="dxa"/>
            <w:tcBorders>
              <w:bottom w:val="single" w:sz="8" w:space="0" w:color="732282"/>
            </w:tcBorders>
            <w:shd w:fill="E5E5E5" w:val="clear"/>
            <w:tcMar>
              <w:bottom w:w="80"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i/>
          <w:sz w:val="20"/>
        </w:rPr>
      </w:pPr>
      <w:r>
        <w:rPr>
          <w:rFonts w:ascii="ARIAL" w:hAnsi="ARIAL"/>
          <w:i/>
          <w:sz w:val="20"/>
        </w:rPr>
        <w:t xml:space="preserve">2023 PRSUs </w:t>
      </w:r>
    </w:p>
    <w:p>
      <w:pPr>
        <w:pStyle w:val="TextBody"/>
        <w:bidi w:val="0"/>
        <w:spacing w:before="120" w:after="0"/>
        <w:jc w:val="both"/>
        <w:rPr>
          <w:rFonts w:ascii="arial" w:hAnsi="arial"/>
          <w:sz w:val="18"/>
        </w:rPr>
      </w:pPr>
      <w:r>
        <w:rPr>
          <w:rFonts w:ascii="arial" w:hAnsi="arial"/>
          <w:sz w:val="18"/>
        </w:rPr>
        <w:t xml:space="preserve">Free cash flow is derived from Viatris’ audited financial statements in the same manner as the calculation for Viatris’ 2023 annual incentive program, except that the calculation for the 2023 PRSUs further adjusts for any of the following, as applicable: transaction costs and taxes related to certain acquisitions and divestitures as well as any incremental transaction costs and taxes related to other select asset sales or reshaping initiatives and other impacts of divestitures, unbudgeted restructuring costs, unbudgeted R&amp;D expense, material unplanned litigation gains or losses equal to or greater than $25 million in the aggregate, changes in tax laws, and all impacts of material acquisition activities. Free cash flow for the 2023 PRSUs will be the sum of such free cash flow measure for each of the years ended December 31, 2023, 2024 and 2025 and will utilize budgeted foreign exchange rates for the relevant year. </w:t>
      </w:r>
    </w:p>
    <w:p>
      <w:pPr>
        <w:pStyle w:val="TextBody"/>
        <w:bidi w:val="0"/>
        <w:spacing w:before="240" w:after="0"/>
        <w:jc w:val="left"/>
        <w:rPr>
          <w:rFonts w:ascii="ARIAL" w:hAnsi="ARIAL"/>
          <w:i/>
          <w:sz w:val="20"/>
        </w:rPr>
      </w:pPr>
      <w:r>
        <w:rPr>
          <w:rFonts w:ascii="ARIAL" w:hAnsi="ARIAL"/>
          <w:i/>
          <w:sz w:val="20"/>
        </w:rPr>
        <w:t xml:space="preserve">2021-2023 Three-Year PRSUs </w:t>
      </w:r>
    </w:p>
    <w:p>
      <w:pPr>
        <w:pStyle w:val="TextBody"/>
        <w:bidi w:val="0"/>
        <w:spacing w:before="120" w:after="0"/>
        <w:jc w:val="both"/>
        <w:rPr>
          <w:rFonts w:ascii="arial" w:hAnsi="arial"/>
          <w:sz w:val="18"/>
        </w:rPr>
      </w:pPr>
      <w:r>
        <w:rPr>
          <w:rFonts w:ascii="arial" w:hAnsi="arial"/>
          <w:sz w:val="18"/>
        </w:rPr>
        <w:t xml:space="preserve">Free cash flow is derived from Viatris’ audited financial statements in the same manner as Viatris’ free cash flow (as reported), except that the calculation for the 2021-2023 three-year PRSUs (“for 2021-2023 three-year PRSUs”) utilized budgeted foreign exchange rates for the relevant year (“currency impact”) and further adjusts for the following, as applicable: transaction costs and taxes related to the acquisitions of Oyster Point and Famy Life Sciences as well as any incremental transaction costs and taxes related to other select assets sales or reshaping initiatives and other impact of divestitures (“transaction costs”), acquired IPR&amp;D costs, proceeds from the sale of property, plant and equipment, material unplanned litigation gains or losses equal to or greater than $25 million in the aggregate, all impacts of the Biocon Biologics Transaction following its consummation including results after closing and transaction-related costs, and sales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A-2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sz w:val="18"/>
        </w:rPr>
        <w:t xml:space="preserve">intellectual property up to $750 million annually in the aggregate. Free cash flow for the 2021-2023 three-year PRSUs is the sum of such free cash flow measure for each of the years ended December 31, 2021, 2022 and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405"/>
        <w:gridCol w:w="120"/>
        <w:gridCol w:w="60"/>
        <w:gridCol w:w="680"/>
        <w:gridCol w:w="155"/>
        <w:gridCol w:w="60"/>
        <w:gridCol w:w="60"/>
        <w:gridCol w:w="680"/>
        <w:gridCol w:w="155"/>
        <w:gridCol w:w="60"/>
        <w:gridCol w:w="60"/>
        <w:gridCol w:w="680"/>
        <w:gridCol w:w="155"/>
        <w:gridCol w:w="60"/>
        <w:gridCol w:w="60"/>
        <w:gridCol w:w="680"/>
        <w:gridCol w:w="75"/>
      </w:tblGrid>
      <w:tr>
        <w:trPr/>
        <w:tc>
          <w:tcPr>
            <w:tcW w:w="6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405" w:type="dxa"/>
            <w:tcBorders>
              <w:bottom w:val="single" w:sz="8" w:space="0" w:color="732282"/>
            </w:tcBorders>
            <w:tcMar>
              <w:bottom w:w="28" w:type="dxa"/>
            </w:tcMar>
            <w:vAlign w:val="center"/>
          </w:tcPr>
          <w:p>
            <w:pPr>
              <w:pStyle w:val="TableContents"/>
              <w:bidi w:val="0"/>
              <w:spacing w:before="0" w:after="283"/>
              <w:jc w:val="left"/>
              <w:rPr/>
            </w:pPr>
            <w:r>
              <w:rPr/>
              <w:t>  </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2650" w:type="dxa"/>
            <w:gridSpan w:val="10"/>
            <w:tcBorders>
              <w:bottom w:val="single" w:sz="8" w:space="0" w:color="732282"/>
            </w:tcBorders>
            <w:tcMar>
              <w:bottom w:w="28" w:type="dxa"/>
            </w:tcMar>
            <w:vAlign w:val="center"/>
          </w:tcPr>
          <w:p>
            <w:pPr>
              <w:pStyle w:val="TableContents"/>
              <w:bidi w:val="0"/>
              <w:spacing w:before="0" w:after="283"/>
              <w:jc w:val="right"/>
              <w:rPr>
                <w:color w:val="732282"/>
              </w:rPr>
            </w:pPr>
            <w:r>
              <w:rPr>
                <w:color w:val="732282"/>
              </w:rPr>
              <w:t>Year Ended December 31</w:t>
            </w:r>
          </w:p>
        </w:tc>
        <w:tc>
          <w:tcPr>
            <w:tcW w:w="155"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740" w:type="dxa"/>
            <w:gridSpan w:val="2"/>
            <w:tcBorders>
              <w:bottom w:val="single" w:sz="8" w:space="0" w:color="732282"/>
            </w:tcBorders>
            <w:tcMar>
              <w:bottom w:w="28" w:type="dxa"/>
            </w:tcMar>
            <w:vAlign w:val="center"/>
          </w:tcPr>
          <w:p>
            <w:pPr>
              <w:pStyle w:val="TableContents"/>
              <w:bidi w:val="0"/>
              <w:spacing w:before="0" w:after="283"/>
              <w:jc w:val="left"/>
              <w:rPr/>
            </w:pPr>
            <w:r>
              <w:rPr/>
              <w:t>  </w:t>
            </w:r>
          </w:p>
        </w:tc>
        <w:tc>
          <w:tcPr>
            <w:tcW w:w="75" w:type="dxa"/>
            <w:tcBorders>
              <w:bottom w:val="single" w:sz="8" w:space="0" w:color="732282"/>
            </w:tcBorders>
            <w:tcMar>
              <w:bottom w:w="28" w:type="dxa"/>
            </w:tcMar>
            <w:vAlign w:val="center"/>
          </w:tcPr>
          <w:p>
            <w:pPr>
              <w:pStyle w:val="TableContents"/>
              <w:bidi w:val="0"/>
              <w:spacing w:before="0" w:after="283"/>
              <w:jc w:val="left"/>
              <w:rPr/>
            </w:pPr>
            <w:r>
              <w:rPr/>
              <w:t> </w:t>
            </w:r>
          </w:p>
        </w:tc>
      </w:tr>
      <w:tr>
        <w:trPr/>
        <w:tc>
          <w:tcPr>
            <w:tcW w:w="6405" w:type="dxa"/>
            <w:tcBorders>
              <w:bottom w:val="single" w:sz="8" w:space="0" w:color="732282"/>
            </w:tcBorders>
            <w:tcMar>
              <w:bottom w:w="28" w:type="dxa"/>
            </w:tcMar>
            <w:vAlign w:val="center"/>
          </w:tcPr>
          <w:p>
            <w:pPr>
              <w:pStyle w:val="TableContents"/>
              <w:bidi w:val="0"/>
              <w:spacing w:before="0" w:after="0"/>
              <w:jc w:val="left"/>
              <w:rPr>
                <w:rFonts w:ascii="ARIAL" w:hAnsi="ARIAL"/>
                <w:color w:val="732282"/>
                <w:sz w:val="18"/>
              </w:rPr>
            </w:pPr>
            <w:r>
              <w:rPr>
                <w:rFonts w:ascii="ARIAL" w:hAnsi="ARIAL"/>
                <w:color w:val="732282"/>
                <w:sz w:val="18"/>
              </w:rPr>
              <w:t>(in millions)</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740" w:type="dxa"/>
            <w:gridSpan w:val="2"/>
            <w:tcBorders>
              <w:bottom w:val="single" w:sz="8" w:space="0" w:color="732282"/>
            </w:tcBorders>
            <w:tcMar>
              <w:bottom w:w="28" w:type="dxa"/>
            </w:tcMar>
            <w:vAlign w:val="center"/>
          </w:tcPr>
          <w:p>
            <w:pPr>
              <w:pStyle w:val="TableContents"/>
              <w:bidi w:val="0"/>
              <w:spacing w:before="0" w:after="283"/>
              <w:jc w:val="right"/>
              <w:rPr>
                <w:color w:val="732282"/>
              </w:rPr>
            </w:pPr>
            <w:r>
              <w:rPr>
                <w:color w:val="732282"/>
              </w:rPr>
              <w:t>2021</w:t>
            </w:r>
          </w:p>
        </w:tc>
        <w:tc>
          <w:tcPr>
            <w:tcW w:w="155"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740" w:type="dxa"/>
            <w:gridSpan w:val="2"/>
            <w:tcBorders>
              <w:bottom w:val="single" w:sz="8" w:space="0" w:color="732282"/>
            </w:tcBorders>
            <w:tcMar>
              <w:bottom w:w="28" w:type="dxa"/>
            </w:tcMar>
            <w:vAlign w:val="center"/>
          </w:tcPr>
          <w:p>
            <w:pPr>
              <w:pStyle w:val="TableContents"/>
              <w:bidi w:val="0"/>
              <w:spacing w:before="0" w:after="283"/>
              <w:jc w:val="right"/>
              <w:rPr>
                <w:color w:val="732282"/>
              </w:rPr>
            </w:pPr>
            <w:r>
              <w:rPr>
                <w:color w:val="732282"/>
              </w:rPr>
              <w:t>2022</w:t>
            </w:r>
          </w:p>
        </w:tc>
        <w:tc>
          <w:tcPr>
            <w:tcW w:w="155"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740" w:type="dxa"/>
            <w:gridSpan w:val="2"/>
            <w:tcBorders>
              <w:bottom w:val="single" w:sz="8" w:space="0" w:color="732282"/>
            </w:tcBorders>
            <w:tcMar>
              <w:bottom w:w="28" w:type="dxa"/>
            </w:tcMar>
            <w:vAlign w:val="center"/>
          </w:tcPr>
          <w:p>
            <w:pPr>
              <w:pStyle w:val="TableContents"/>
              <w:bidi w:val="0"/>
              <w:spacing w:before="0" w:after="283"/>
              <w:jc w:val="right"/>
              <w:rPr>
                <w:color w:val="732282"/>
              </w:rPr>
            </w:pPr>
            <w:r>
              <w:rPr>
                <w:color w:val="732282"/>
              </w:rPr>
              <w:t>2023</w:t>
            </w:r>
          </w:p>
        </w:tc>
        <w:tc>
          <w:tcPr>
            <w:tcW w:w="155"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740" w:type="dxa"/>
            <w:gridSpan w:val="2"/>
            <w:tcBorders>
              <w:bottom w:val="single" w:sz="8" w:space="0" w:color="732282"/>
            </w:tcBorders>
            <w:tcMar>
              <w:bottom w:w="28" w:type="dxa"/>
            </w:tcMar>
            <w:vAlign w:val="center"/>
          </w:tcPr>
          <w:p>
            <w:pPr>
              <w:pStyle w:val="TableContents"/>
              <w:bidi w:val="0"/>
              <w:spacing w:before="0" w:after="283"/>
              <w:jc w:val="right"/>
              <w:rPr>
                <w:color w:val="732282"/>
              </w:rPr>
            </w:pPr>
            <w:r>
              <w:rPr>
                <w:color w:val="732282"/>
              </w:rPr>
              <w:t>Total</w:t>
            </w:r>
          </w:p>
        </w:tc>
        <w:tc>
          <w:tcPr>
            <w:tcW w:w="75" w:type="dxa"/>
            <w:tcBorders>
              <w:bottom w:val="single" w:sz="8" w:space="0" w:color="732282"/>
            </w:tcBorders>
            <w:tcMar>
              <w:bottom w:w="28" w:type="dxa"/>
            </w:tcMar>
            <w:vAlign w:val="center"/>
          </w:tcPr>
          <w:p>
            <w:pPr>
              <w:pStyle w:val="TableContents"/>
              <w:bidi w:val="0"/>
              <w:spacing w:before="0" w:after="283"/>
              <w:jc w:val="left"/>
              <w:rPr/>
            </w:pPr>
            <w:r>
              <w:rPr/>
              <w:t> </w:t>
            </w:r>
          </w:p>
        </w:tc>
      </w:tr>
      <w:tr>
        <w:trPr/>
        <w:tc>
          <w:tcPr>
            <w:tcW w:w="6405" w:type="dxa"/>
            <w:tcBorders/>
            <w:shd w:fill="E5E5E5" w:val="clear"/>
            <w:vAlign w:val="center"/>
          </w:tcPr>
          <w:p>
            <w:pPr>
              <w:pStyle w:val="TableContents"/>
              <w:bidi w:val="0"/>
              <w:spacing w:before="0" w:after="283"/>
              <w:jc w:val="left"/>
              <w:rPr>
                <w:sz w:val="4"/>
                <w:szCs w:val="4"/>
              </w:rPr>
            </w:pPr>
            <w:r>
              <w:rPr>
                <w:sz w:val="4"/>
                <w:szCs w:val="4"/>
              </w:rPr>
            </w:r>
          </w:p>
        </w:tc>
        <w:tc>
          <w:tcPr>
            <w:tcW w:w="1015" w:type="dxa"/>
            <w:gridSpan w:val="4"/>
            <w:tcBorders/>
            <w:shd w:fill="E5E5E5" w:val="clear"/>
            <w:vAlign w:val="center"/>
          </w:tcPr>
          <w:p>
            <w:pPr>
              <w:pStyle w:val="TableContents"/>
              <w:bidi w:val="0"/>
              <w:spacing w:before="0" w:after="283"/>
              <w:jc w:val="left"/>
              <w:rPr>
                <w:sz w:val="4"/>
                <w:szCs w:val="4"/>
              </w:rPr>
            </w:pPr>
            <w:r>
              <w:rPr>
                <w:sz w:val="4"/>
                <w:szCs w:val="4"/>
              </w:rPr>
            </w:r>
          </w:p>
        </w:tc>
        <w:tc>
          <w:tcPr>
            <w:tcW w:w="955" w:type="dxa"/>
            <w:gridSpan w:val="4"/>
            <w:tcBorders/>
            <w:shd w:fill="E5E5E5" w:val="clear"/>
            <w:vAlign w:val="center"/>
          </w:tcPr>
          <w:p>
            <w:pPr>
              <w:pStyle w:val="TableContents"/>
              <w:bidi w:val="0"/>
              <w:spacing w:before="0" w:after="283"/>
              <w:jc w:val="left"/>
              <w:rPr>
                <w:sz w:val="4"/>
                <w:szCs w:val="4"/>
              </w:rPr>
            </w:pPr>
            <w:r>
              <w:rPr>
                <w:sz w:val="4"/>
                <w:szCs w:val="4"/>
              </w:rPr>
            </w:r>
          </w:p>
        </w:tc>
        <w:tc>
          <w:tcPr>
            <w:tcW w:w="955" w:type="dxa"/>
            <w:gridSpan w:val="4"/>
            <w:tcBorders/>
            <w:shd w:fill="E5E5E5" w:val="clear"/>
            <w:vAlign w:val="center"/>
          </w:tcPr>
          <w:p>
            <w:pPr>
              <w:pStyle w:val="TableContents"/>
              <w:bidi w:val="0"/>
              <w:spacing w:before="0" w:after="283"/>
              <w:jc w:val="left"/>
              <w:rPr>
                <w:sz w:val="4"/>
                <w:szCs w:val="4"/>
              </w:rPr>
            </w:pPr>
            <w:r>
              <w:rPr>
                <w:sz w:val="4"/>
                <w:szCs w:val="4"/>
              </w:rPr>
            </w:r>
          </w:p>
        </w:tc>
        <w:tc>
          <w:tcPr>
            <w:tcW w:w="87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6405" w:type="dxa"/>
            <w:tcBorders/>
            <w:shd w:fill="E5E5E5" w:val="clear"/>
            <w:vAlign w:val="center"/>
          </w:tcPr>
          <w:p>
            <w:pPr>
              <w:pStyle w:val="TableContents"/>
              <w:bidi w:val="0"/>
              <w:spacing w:before="0" w:after="0"/>
              <w:jc w:val="left"/>
              <w:rPr>
                <w:rFonts w:ascii="ARIAL" w:hAnsi="ARIAL"/>
                <w:sz w:val="18"/>
              </w:rPr>
            </w:pPr>
            <w:r>
              <w:rPr>
                <w:rFonts w:ascii="ARIAL" w:hAnsi="ARIAL"/>
                <w:sz w:val="18"/>
              </w:rPr>
              <w:t>U.S. GAAP net cash provided by operating activities</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80" w:type="dxa"/>
            <w:tcBorders/>
            <w:shd w:fill="E5E5E5" w:val="clear"/>
            <w:vAlign w:val="center"/>
          </w:tcPr>
          <w:p>
            <w:pPr>
              <w:pStyle w:val="TableContents"/>
              <w:bidi w:val="0"/>
              <w:spacing w:before="0" w:after="283"/>
              <w:jc w:val="right"/>
              <w:rPr/>
            </w:pPr>
            <w:r>
              <w:rPr/>
              <w:t>$3,017</w:t>
            </w:r>
          </w:p>
        </w:tc>
        <w:tc>
          <w:tcPr>
            <w:tcW w:w="155"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80" w:type="dxa"/>
            <w:tcBorders/>
            <w:shd w:fill="E5E5E5" w:val="clear"/>
            <w:vAlign w:val="center"/>
          </w:tcPr>
          <w:p>
            <w:pPr>
              <w:pStyle w:val="TableContents"/>
              <w:bidi w:val="0"/>
              <w:spacing w:before="0" w:after="283"/>
              <w:jc w:val="right"/>
              <w:rPr/>
            </w:pPr>
            <w:r>
              <w:rPr/>
              <w:t>$2,953</w:t>
            </w:r>
          </w:p>
        </w:tc>
        <w:tc>
          <w:tcPr>
            <w:tcW w:w="155"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80" w:type="dxa"/>
            <w:tcBorders/>
            <w:shd w:fill="E5E5E5" w:val="clear"/>
            <w:vAlign w:val="center"/>
          </w:tcPr>
          <w:p>
            <w:pPr>
              <w:pStyle w:val="TableContents"/>
              <w:bidi w:val="0"/>
              <w:spacing w:before="0" w:after="283"/>
              <w:jc w:val="right"/>
              <w:rPr/>
            </w:pPr>
            <w:r>
              <w:rPr/>
              <w:t>$2,800</w:t>
            </w:r>
          </w:p>
        </w:tc>
        <w:tc>
          <w:tcPr>
            <w:tcW w:w="155"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80" w:type="dxa"/>
            <w:tcBorders/>
            <w:shd w:fill="E5E5E5" w:val="clear"/>
            <w:vAlign w:val="center"/>
          </w:tcPr>
          <w:p>
            <w:pPr>
              <w:pStyle w:val="TableContents"/>
              <w:bidi w:val="0"/>
              <w:spacing w:before="0" w:after="283"/>
              <w:jc w:val="left"/>
              <w:rPr>
                <w:sz w:val="4"/>
                <w:szCs w:val="4"/>
              </w:rPr>
            </w:pPr>
            <w:r>
              <w:rPr>
                <w:sz w:val="4"/>
                <w:szCs w:val="4"/>
              </w:rPr>
            </w:r>
          </w:p>
        </w:tc>
        <w:tc>
          <w:tcPr>
            <w:tcW w:w="75" w:type="dxa"/>
            <w:tcBorders/>
            <w:shd w:fill="E5E5E5" w:val="clear"/>
            <w:vAlign w:val="center"/>
          </w:tcPr>
          <w:p>
            <w:pPr>
              <w:pStyle w:val="TableContents"/>
              <w:bidi w:val="0"/>
              <w:spacing w:before="0" w:after="283"/>
              <w:jc w:val="left"/>
              <w:rPr>
                <w:sz w:val="4"/>
                <w:szCs w:val="4"/>
              </w:rPr>
            </w:pPr>
            <w:r>
              <w:rPr>
                <w:sz w:val="4"/>
                <w:szCs w:val="4"/>
              </w:rPr>
            </w:r>
          </w:p>
        </w:tc>
      </w:tr>
      <w:tr>
        <w:trPr/>
        <w:tc>
          <w:tcPr>
            <w:tcW w:w="6405" w:type="dxa"/>
            <w:tcBorders/>
            <w:vAlign w:val="center"/>
          </w:tcPr>
          <w:p>
            <w:pPr>
              <w:pStyle w:val="TableContents"/>
              <w:bidi w:val="0"/>
              <w:spacing w:before="0" w:after="283"/>
              <w:jc w:val="left"/>
              <w:rPr>
                <w:sz w:val="4"/>
                <w:szCs w:val="4"/>
              </w:rPr>
            </w:pPr>
            <w:r>
              <w:rPr>
                <w:sz w:val="4"/>
                <w:szCs w:val="4"/>
              </w:rPr>
            </w:r>
          </w:p>
        </w:tc>
        <w:tc>
          <w:tcPr>
            <w:tcW w:w="1015"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6405" w:type="dxa"/>
            <w:tcBorders/>
            <w:vAlign w:val="center"/>
          </w:tcPr>
          <w:p>
            <w:pPr>
              <w:pStyle w:val="TableContents"/>
              <w:bidi w:val="0"/>
              <w:spacing w:before="0" w:after="0"/>
              <w:jc w:val="left"/>
              <w:rPr>
                <w:rFonts w:ascii="ARIAL" w:hAnsi="ARIAL"/>
                <w:sz w:val="18"/>
              </w:rPr>
            </w:pPr>
            <w:r>
              <w:rPr>
                <w:rFonts w:ascii="ARIAL" w:hAnsi="ARIAL"/>
                <w:sz w:val="18"/>
              </w:rPr>
              <w:t>Add / (deduct):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405" w:type="dxa"/>
            <w:tcBorders/>
            <w:shd w:fill="E5E5E5" w:val="clear"/>
            <w:vAlign w:val="center"/>
          </w:tcPr>
          <w:p>
            <w:pPr>
              <w:pStyle w:val="TableContents"/>
              <w:bidi w:val="0"/>
              <w:spacing w:before="0" w:after="283"/>
              <w:jc w:val="left"/>
              <w:rPr>
                <w:sz w:val="4"/>
                <w:szCs w:val="4"/>
              </w:rPr>
            </w:pPr>
            <w:r>
              <w:rPr>
                <w:sz w:val="4"/>
                <w:szCs w:val="4"/>
              </w:rPr>
            </w:r>
          </w:p>
        </w:tc>
        <w:tc>
          <w:tcPr>
            <w:tcW w:w="1015" w:type="dxa"/>
            <w:gridSpan w:val="4"/>
            <w:tcBorders/>
            <w:shd w:fill="E5E5E5" w:val="clear"/>
            <w:vAlign w:val="center"/>
          </w:tcPr>
          <w:p>
            <w:pPr>
              <w:pStyle w:val="TableContents"/>
              <w:bidi w:val="0"/>
              <w:spacing w:before="0" w:after="283"/>
              <w:jc w:val="left"/>
              <w:rPr>
                <w:sz w:val="4"/>
                <w:szCs w:val="4"/>
              </w:rPr>
            </w:pPr>
            <w:r>
              <w:rPr>
                <w:sz w:val="4"/>
                <w:szCs w:val="4"/>
              </w:rPr>
            </w:r>
          </w:p>
        </w:tc>
        <w:tc>
          <w:tcPr>
            <w:tcW w:w="955" w:type="dxa"/>
            <w:gridSpan w:val="4"/>
            <w:tcBorders/>
            <w:shd w:fill="E5E5E5" w:val="clear"/>
            <w:vAlign w:val="center"/>
          </w:tcPr>
          <w:p>
            <w:pPr>
              <w:pStyle w:val="TableContents"/>
              <w:bidi w:val="0"/>
              <w:spacing w:before="0" w:after="283"/>
              <w:jc w:val="left"/>
              <w:rPr>
                <w:sz w:val="4"/>
                <w:szCs w:val="4"/>
              </w:rPr>
            </w:pPr>
            <w:r>
              <w:rPr>
                <w:sz w:val="4"/>
                <w:szCs w:val="4"/>
              </w:rPr>
            </w:r>
          </w:p>
        </w:tc>
        <w:tc>
          <w:tcPr>
            <w:tcW w:w="955" w:type="dxa"/>
            <w:gridSpan w:val="4"/>
            <w:tcBorders/>
            <w:shd w:fill="E5E5E5" w:val="clear"/>
            <w:vAlign w:val="center"/>
          </w:tcPr>
          <w:p>
            <w:pPr>
              <w:pStyle w:val="TableContents"/>
              <w:bidi w:val="0"/>
              <w:spacing w:before="0" w:after="283"/>
              <w:jc w:val="left"/>
              <w:rPr>
                <w:sz w:val="4"/>
                <w:szCs w:val="4"/>
              </w:rPr>
            </w:pPr>
            <w:r>
              <w:rPr>
                <w:sz w:val="4"/>
                <w:szCs w:val="4"/>
              </w:rPr>
            </w:r>
          </w:p>
        </w:tc>
        <w:tc>
          <w:tcPr>
            <w:tcW w:w="87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6405" w:type="dxa"/>
            <w:tcBorders/>
            <w:shd w:fill="E5E5E5" w:val="clear"/>
            <w:vAlign w:val="center"/>
          </w:tcPr>
          <w:p>
            <w:pPr>
              <w:pStyle w:val="TableContents"/>
              <w:bidi w:val="0"/>
              <w:spacing w:before="0" w:after="0"/>
              <w:jc w:val="left"/>
              <w:rPr>
                <w:rFonts w:ascii="ARIAL" w:hAnsi="ARIAL"/>
                <w:sz w:val="18"/>
              </w:rPr>
            </w:pPr>
            <w:r>
              <w:rPr>
                <w:rFonts w:ascii="ARIAL" w:hAnsi="ARIAL"/>
                <w:sz w:val="18"/>
              </w:rPr>
              <w:t>Capital expenditures</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80" w:type="dxa"/>
            <w:tcBorders/>
            <w:shd w:fill="E5E5E5" w:val="clear"/>
            <w:vAlign w:val="center"/>
          </w:tcPr>
          <w:p>
            <w:pPr>
              <w:pStyle w:val="TableContents"/>
              <w:bidi w:val="0"/>
              <w:spacing w:before="0" w:after="283"/>
              <w:jc w:val="right"/>
              <w:rPr/>
            </w:pPr>
            <w:r>
              <w:rPr/>
              <w:t>(457</w:t>
            </w:r>
          </w:p>
        </w:tc>
        <w:tc>
          <w:tcPr>
            <w:tcW w:w="155"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80" w:type="dxa"/>
            <w:tcBorders/>
            <w:shd w:fill="E5E5E5" w:val="clear"/>
            <w:vAlign w:val="center"/>
          </w:tcPr>
          <w:p>
            <w:pPr>
              <w:pStyle w:val="TableContents"/>
              <w:bidi w:val="0"/>
              <w:spacing w:before="0" w:after="283"/>
              <w:jc w:val="right"/>
              <w:rPr/>
            </w:pPr>
            <w:r>
              <w:rPr/>
              <w:t>(406</w:t>
            </w:r>
          </w:p>
        </w:tc>
        <w:tc>
          <w:tcPr>
            <w:tcW w:w="155"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80" w:type="dxa"/>
            <w:tcBorders/>
            <w:shd w:fill="E5E5E5" w:val="clear"/>
            <w:vAlign w:val="center"/>
          </w:tcPr>
          <w:p>
            <w:pPr>
              <w:pStyle w:val="TableContents"/>
              <w:bidi w:val="0"/>
              <w:spacing w:before="0" w:after="283"/>
              <w:jc w:val="right"/>
              <w:rPr/>
            </w:pPr>
            <w:r>
              <w:rPr/>
              <w:t>(377</w:t>
            </w:r>
          </w:p>
        </w:tc>
        <w:tc>
          <w:tcPr>
            <w:tcW w:w="155"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80" w:type="dxa"/>
            <w:tcBorders/>
            <w:shd w:fill="E5E5E5" w:val="clear"/>
            <w:vAlign w:val="center"/>
          </w:tcPr>
          <w:p>
            <w:pPr>
              <w:pStyle w:val="TableContents"/>
              <w:bidi w:val="0"/>
              <w:spacing w:before="0" w:after="283"/>
              <w:jc w:val="left"/>
              <w:rPr>
                <w:sz w:val="4"/>
                <w:szCs w:val="4"/>
              </w:rPr>
            </w:pPr>
            <w:r>
              <w:rPr>
                <w:sz w:val="4"/>
                <w:szCs w:val="4"/>
              </w:rPr>
            </w:r>
          </w:p>
        </w:tc>
        <w:tc>
          <w:tcPr>
            <w:tcW w:w="75" w:type="dxa"/>
            <w:tcBorders/>
            <w:shd w:fill="E5E5E5" w:val="clear"/>
            <w:vAlign w:val="center"/>
          </w:tcPr>
          <w:p>
            <w:pPr>
              <w:pStyle w:val="TableContents"/>
              <w:bidi w:val="0"/>
              <w:spacing w:before="0" w:after="283"/>
              <w:jc w:val="left"/>
              <w:rPr>
                <w:sz w:val="4"/>
                <w:szCs w:val="4"/>
              </w:rPr>
            </w:pPr>
            <w:r>
              <w:rPr>
                <w:sz w:val="4"/>
                <w:szCs w:val="4"/>
              </w:rPr>
            </w:r>
          </w:p>
        </w:tc>
      </w:tr>
      <w:tr>
        <w:trPr/>
        <w:tc>
          <w:tcPr>
            <w:tcW w:w="6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405" w:type="dxa"/>
            <w:tcBorders/>
            <w:vAlign w:val="center"/>
          </w:tcPr>
          <w:p>
            <w:pPr>
              <w:pStyle w:val="TableContents"/>
              <w:bidi w:val="0"/>
              <w:spacing w:before="0" w:after="283"/>
              <w:jc w:val="left"/>
              <w:rPr>
                <w:sz w:val="4"/>
                <w:szCs w:val="4"/>
              </w:rPr>
            </w:pPr>
            <w:r>
              <w:rPr>
                <w:sz w:val="4"/>
                <w:szCs w:val="4"/>
              </w:rPr>
            </w:r>
          </w:p>
        </w:tc>
        <w:tc>
          <w:tcPr>
            <w:tcW w:w="1015"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6405" w:type="dxa"/>
            <w:tcBorders/>
            <w:vAlign w:val="center"/>
          </w:tcPr>
          <w:p>
            <w:pPr>
              <w:pStyle w:val="TableContents"/>
              <w:bidi w:val="0"/>
              <w:spacing w:before="0" w:after="0"/>
              <w:jc w:val="left"/>
              <w:rPr>
                <w:rFonts w:ascii="ARIAL" w:hAnsi="ARIAL"/>
                <w:sz w:val="18"/>
              </w:rPr>
            </w:pPr>
            <w:r>
              <w:rPr>
                <w:rFonts w:ascii="ARIAL" w:hAnsi="ARIAL"/>
                <w:sz w:val="18"/>
              </w:rPr>
              <w:t>Free cash flow (as reported)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2,560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2,547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405" w:type="dxa"/>
            <w:tcBorders/>
            <w:shd w:fill="E5E5E5" w:val="clear"/>
            <w:vAlign w:val="center"/>
          </w:tcPr>
          <w:p>
            <w:pPr>
              <w:pStyle w:val="TableContents"/>
              <w:bidi w:val="0"/>
              <w:spacing w:before="0" w:after="283"/>
              <w:jc w:val="left"/>
              <w:rPr>
                <w:sz w:val="4"/>
                <w:szCs w:val="4"/>
              </w:rPr>
            </w:pPr>
            <w:r>
              <w:rPr>
                <w:sz w:val="4"/>
                <w:szCs w:val="4"/>
              </w:rPr>
            </w:r>
          </w:p>
        </w:tc>
        <w:tc>
          <w:tcPr>
            <w:tcW w:w="1015" w:type="dxa"/>
            <w:gridSpan w:val="4"/>
            <w:tcBorders/>
            <w:shd w:fill="E5E5E5" w:val="clear"/>
            <w:vAlign w:val="center"/>
          </w:tcPr>
          <w:p>
            <w:pPr>
              <w:pStyle w:val="TableContents"/>
              <w:bidi w:val="0"/>
              <w:spacing w:before="0" w:after="283"/>
              <w:jc w:val="left"/>
              <w:rPr>
                <w:sz w:val="4"/>
                <w:szCs w:val="4"/>
              </w:rPr>
            </w:pPr>
            <w:r>
              <w:rPr>
                <w:sz w:val="4"/>
                <w:szCs w:val="4"/>
              </w:rPr>
            </w:r>
          </w:p>
        </w:tc>
        <w:tc>
          <w:tcPr>
            <w:tcW w:w="955" w:type="dxa"/>
            <w:gridSpan w:val="4"/>
            <w:tcBorders/>
            <w:shd w:fill="E5E5E5" w:val="clear"/>
            <w:vAlign w:val="center"/>
          </w:tcPr>
          <w:p>
            <w:pPr>
              <w:pStyle w:val="TableContents"/>
              <w:bidi w:val="0"/>
              <w:spacing w:before="0" w:after="283"/>
              <w:jc w:val="left"/>
              <w:rPr>
                <w:sz w:val="4"/>
                <w:szCs w:val="4"/>
              </w:rPr>
            </w:pPr>
            <w:r>
              <w:rPr>
                <w:sz w:val="4"/>
                <w:szCs w:val="4"/>
              </w:rPr>
            </w:r>
          </w:p>
        </w:tc>
        <w:tc>
          <w:tcPr>
            <w:tcW w:w="955" w:type="dxa"/>
            <w:gridSpan w:val="4"/>
            <w:tcBorders/>
            <w:shd w:fill="E5E5E5" w:val="clear"/>
            <w:vAlign w:val="center"/>
          </w:tcPr>
          <w:p>
            <w:pPr>
              <w:pStyle w:val="TableContents"/>
              <w:bidi w:val="0"/>
              <w:spacing w:before="0" w:after="283"/>
              <w:jc w:val="left"/>
              <w:rPr>
                <w:sz w:val="4"/>
                <w:szCs w:val="4"/>
              </w:rPr>
            </w:pPr>
            <w:r>
              <w:rPr>
                <w:sz w:val="4"/>
                <w:szCs w:val="4"/>
              </w:rPr>
            </w:r>
          </w:p>
        </w:tc>
        <w:tc>
          <w:tcPr>
            <w:tcW w:w="87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6405" w:type="dxa"/>
            <w:tcBorders/>
            <w:shd w:fill="E5E5E5" w:val="clear"/>
            <w:vAlign w:val="center"/>
          </w:tcPr>
          <w:p>
            <w:pPr>
              <w:pStyle w:val="TableContents"/>
              <w:bidi w:val="0"/>
              <w:spacing w:before="0" w:after="0"/>
              <w:jc w:val="left"/>
              <w:rPr>
                <w:rFonts w:ascii="ARIAL" w:hAnsi="ARIAL"/>
                <w:sz w:val="18"/>
              </w:rPr>
            </w:pPr>
            <w:r>
              <w:rPr>
                <w:rFonts w:ascii="ARIAL" w:hAnsi="ARIAL"/>
                <w:sz w:val="18"/>
              </w:rPr>
              <w:t>Transaction costs</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80" w:type="dxa"/>
            <w:tcBorders/>
            <w:shd w:fill="E5E5E5" w:val="clear"/>
            <w:vAlign w:val="center"/>
          </w:tcPr>
          <w:p>
            <w:pPr>
              <w:pStyle w:val="TableContents"/>
              <w:bidi w:val="0"/>
              <w:spacing w:before="0" w:after="283"/>
              <w:jc w:val="right"/>
              <w:rPr/>
            </w:pPr>
            <w:r>
              <w:rPr/>
              <w:t>—</w:t>
            </w:r>
          </w:p>
        </w:tc>
        <w:tc>
          <w:tcPr>
            <w:tcW w:w="155"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80" w:type="dxa"/>
            <w:tcBorders/>
            <w:shd w:fill="E5E5E5" w:val="clear"/>
            <w:vAlign w:val="center"/>
          </w:tcPr>
          <w:p>
            <w:pPr>
              <w:pStyle w:val="TableContents"/>
              <w:bidi w:val="0"/>
              <w:spacing w:before="0" w:after="283"/>
              <w:jc w:val="right"/>
              <w:rPr/>
            </w:pPr>
            <w:r>
              <w:rPr/>
              <w:t>—</w:t>
            </w:r>
          </w:p>
        </w:tc>
        <w:tc>
          <w:tcPr>
            <w:tcW w:w="155"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80" w:type="dxa"/>
            <w:tcBorders/>
            <w:shd w:fill="E5E5E5" w:val="clear"/>
            <w:vAlign w:val="center"/>
          </w:tcPr>
          <w:p>
            <w:pPr>
              <w:pStyle w:val="TableContents"/>
              <w:bidi w:val="0"/>
              <w:spacing w:before="0" w:after="283"/>
              <w:jc w:val="right"/>
              <w:rPr/>
            </w:pPr>
            <w:r>
              <w:rPr/>
              <w:t>235</w:t>
            </w:r>
          </w:p>
        </w:tc>
        <w:tc>
          <w:tcPr>
            <w:tcW w:w="155"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80" w:type="dxa"/>
            <w:tcBorders/>
            <w:shd w:fill="E5E5E5" w:val="clear"/>
            <w:vAlign w:val="center"/>
          </w:tcPr>
          <w:p>
            <w:pPr>
              <w:pStyle w:val="TableContents"/>
              <w:bidi w:val="0"/>
              <w:spacing w:before="0" w:after="283"/>
              <w:jc w:val="left"/>
              <w:rPr>
                <w:sz w:val="4"/>
                <w:szCs w:val="4"/>
              </w:rPr>
            </w:pPr>
            <w:r>
              <w:rPr>
                <w:sz w:val="4"/>
                <w:szCs w:val="4"/>
              </w:rPr>
            </w:r>
          </w:p>
        </w:tc>
        <w:tc>
          <w:tcPr>
            <w:tcW w:w="75" w:type="dxa"/>
            <w:tcBorders/>
            <w:shd w:fill="E5E5E5" w:val="clear"/>
            <w:vAlign w:val="center"/>
          </w:tcPr>
          <w:p>
            <w:pPr>
              <w:pStyle w:val="TableContents"/>
              <w:bidi w:val="0"/>
              <w:spacing w:before="0" w:after="283"/>
              <w:jc w:val="left"/>
              <w:rPr>
                <w:sz w:val="4"/>
                <w:szCs w:val="4"/>
              </w:rPr>
            </w:pPr>
            <w:r>
              <w:rPr>
                <w:sz w:val="4"/>
                <w:szCs w:val="4"/>
              </w:rPr>
            </w:r>
          </w:p>
        </w:tc>
      </w:tr>
      <w:tr>
        <w:trPr/>
        <w:tc>
          <w:tcPr>
            <w:tcW w:w="6405" w:type="dxa"/>
            <w:tcBorders/>
            <w:vAlign w:val="center"/>
          </w:tcPr>
          <w:p>
            <w:pPr>
              <w:pStyle w:val="TableContents"/>
              <w:bidi w:val="0"/>
              <w:spacing w:before="0" w:after="283"/>
              <w:jc w:val="left"/>
              <w:rPr>
                <w:sz w:val="4"/>
                <w:szCs w:val="4"/>
              </w:rPr>
            </w:pPr>
            <w:r>
              <w:rPr>
                <w:sz w:val="4"/>
                <w:szCs w:val="4"/>
              </w:rPr>
            </w:r>
          </w:p>
        </w:tc>
        <w:tc>
          <w:tcPr>
            <w:tcW w:w="1015"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6405" w:type="dxa"/>
            <w:tcBorders/>
            <w:vAlign w:val="center"/>
          </w:tcPr>
          <w:p>
            <w:pPr>
              <w:pStyle w:val="TableContents"/>
              <w:bidi w:val="0"/>
              <w:spacing w:before="0" w:after="0"/>
              <w:jc w:val="left"/>
              <w:rPr>
                <w:rFonts w:ascii="ARIAL" w:hAnsi="ARIAL"/>
                <w:sz w:val="18"/>
              </w:rPr>
            </w:pPr>
            <w:r>
              <w:rPr>
                <w:rFonts w:ascii="ARIAL" w:hAnsi="ARIAL"/>
                <w:sz w:val="18"/>
              </w:rPr>
              <w:t>Biocon Biologics Transaction related taxes and transaction costs and results of the divested biosimilars business from the closing of the transaction on November 29, 2022 through December 31, 2022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405" w:type="dxa"/>
            <w:tcBorders/>
            <w:shd w:fill="E5E5E5" w:val="clear"/>
            <w:vAlign w:val="center"/>
          </w:tcPr>
          <w:p>
            <w:pPr>
              <w:pStyle w:val="TableContents"/>
              <w:bidi w:val="0"/>
              <w:spacing w:before="0" w:after="283"/>
              <w:jc w:val="left"/>
              <w:rPr>
                <w:sz w:val="4"/>
                <w:szCs w:val="4"/>
              </w:rPr>
            </w:pPr>
            <w:r>
              <w:rPr>
                <w:sz w:val="4"/>
                <w:szCs w:val="4"/>
              </w:rPr>
            </w:r>
          </w:p>
        </w:tc>
        <w:tc>
          <w:tcPr>
            <w:tcW w:w="1015" w:type="dxa"/>
            <w:gridSpan w:val="4"/>
            <w:tcBorders/>
            <w:shd w:fill="E5E5E5" w:val="clear"/>
            <w:vAlign w:val="center"/>
          </w:tcPr>
          <w:p>
            <w:pPr>
              <w:pStyle w:val="TableContents"/>
              <w:bidi w:val="0"/>
              <w:spacing w:before="0" w:after="283"/>
              <w:jc w:val="left"/>
              <w:rPr>
                <w:sz w:val="4"/>
                <w:szCs w:val="4"/>
              </w:rPr>
            </w:pPr>
            <w:r>
              <w:rPr>
                <w:sz w:val="4"/>
                <w:szCs w:val="4"/>
              </w:rPr>
            </w:r>
          </w:p>
        </w:tc>
        <w:tc>
          <w:tcPr>
            <w:tcW w:w="955" w:type="dxa"/>
            <w:gridSpan w:val="4"/>
            <w:tcBorders/>
            <w:shd w:fill="E5E5E5" w:val="clear"/>
            <w:vAlign w:val="center"/>
          </w:tcPr>
          <w:p>
            <w:pPr>
              <w:pStyle w:val="TableContents"/>
              <w:bidi w:val="0"/>
              <w:spacing w:before="0" w:after="283"/>
              <w:jc w:val="left"/>
              <w:rPr>
                <w:sz w:val="4"/>
                <w:szCs w:val="4"/>
              </w:rPr>
            </w:pPr>
            <w:r>
              <w:rPr>
                <w:sz w:val="4"/>
                <w:szCs w:val="4"/>
              </w:rPr>
            </w:r>
          </w:p>
        </w:tc>
        <w:tc>
          <w:tcPr>
            <w:tcW w:w="955" w:type="dxa"/>
            <w:gridSpan w:val="4"/>
            <w:tcBorders/>
            <w:shd w:fill="E5E5E5" w:val="clear"/>
            <w:vAlign w:val="center"/>
          </w:tcPr>
          <w:p>
            <w:pPr>
              <w:pStyle w:val="TableContents"/>
              <w:bidi w:val="0"/>
              <w:spacing w:before="0" w:after="283"/>
              <w:jc w:val="left"/>
              <w:rPr>
                <w:sz w:val="4"/>
                <w:szCs w:val="4"/>
              </w:rPr>
            </w:pPr>
            <w:r>
              <w:rPr>
                <w:sz w:val="4"/>
                <w:szCs w:val="4"/>
              </w:rPr>
            </w:r>
          </w:p>
        </w:tc>
        <w:tc>
          <w:tcPr>
            <w:tcW w:w="87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6405" w:type="dxa"/>
            <w:tcBorders/>
            <w:shd w:fill="E5E5E5" w:val="clear"/>
            <w:vAlign w:val="center"/>
          </w:tcPr>
          <w:p>
            <w:pPr>
              <w:pStyle w:val="TableContents"/>
              <w:bidi w:val="0"/>
              <w:spacing w:before="0" w:after="0"/>
              <w:jc w:val="left"/>
              <w:rPr>
                <w:rFonts w:ascii="ARIAL" w:hAnsi="ARIAL"/>
                <w:sz w:val="18"/>
              </w:rPr>
            </w:pPr>
            <w:r>
              <w:rPr>
                <w:rFonts w:ascii="ARIAL" w:hAnsi="ARIAL"/>
                <w:sz w:val="18"/>
              </w:rPr>
              <w:t>Unplanned litigation – Lyrica settlement</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80" w:type="dxa"/>
            <w:tcBorders/>
            <w:shd w:fill="E5E5E5" w:val="clear"/>
            <w:vAlign w:val="center"/>
          </w:tcPr>
          <w:p>
            <w:pPr>
              <w:pStyle w:val="TableContents"/>
              <w:bidi w:val="0"/>
              <w:spacing w:before="0" w:after="283"/>
              <w:jc w:val="right"/>
              <w:rPr/>
            </w:pPr>
            <w:r>
              <w:rPr/>
              <w:t>—</w:t>
            </w:r>
          </w:p>
        </w:tc>
        <w:tc>
          <w:tcPr>
            <w:tcW w:w="155"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80" w:type="dxa"/>
            <w:tcBorders/>
            <w:shd w:fill="E5E5E5" w:val="clear"/>
            <w:vAlign w:val="center"/>
          </w:tcPr>
          <w:p>
            <w:pPr>
              <w:pStyle w:val="TableContents"/>
              <w:bidi w:val="0"/>
              <w:spacing w:before="0" w:after="283"/>
              <w:jc w:val="right"/>
              <w:rPr/>
            </w:pPr>
            <w:r>
              <w:rPr/>
              <w:t>86</w:t>
            </w:r>
          </w:p>
        </w:tc>
        <w:tc>
          <w:tcPr>
            <w:tcW w:w="155"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80" w:type="dxa"/>
            <w:tcBorders/>
            <w:shd w:fill="E5E5E5" w:val="clear"/>
            <w:vAlign w:val="center"/>
          </w:tcPr>
          <w:p>
            <w:pPr>
              <w:pStyle w:val="TableContents"/>
              <w:bidi w:val="0"/>
              <w:spacing w:before="0" w:after="283"/>
              <w:jc w:val="right"/>
              <w:rPr/>
            </w:pPr>
            <w:r>
              <w:rPr/>
              <w:t>—</w:t>
            </w:r>
          </w:p>
        </w:tc>
        <w:tc>
          <w:tcPr>
            <w:tcW w:w="155"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80" w:type="dxa"/>
            <w:tcBorders/>
            <w:shd w:fill="E5E5E5" w:val="clear"/>
            <w:vAlign w:val="center"/>
          </w:tcPr>
          <w:p>
            <w:pPr>
              <w:pStyle w:val="TableContents"/>
              <w:bidi w:val="0"/>
              <w:spacing w:before="0" w:after="283"/>
              <w:jc w:val="left"/>
              <w:rPr>
                <w:sz w:val="4"/>
                <w:szCs w:val="4"/>
              </w:rPr>
            </w:pPr>
            <w:r>
              <w:rPr>
                <w:sz w:val="4"/>
                <w:szCs w:val="4"/>
              </w:rPr>
            </w:r>
          </w:p>
        </w:tc>
        <w:tc>
          <w:tcPr>
            <w:tcW w:w="75" w:type="dxa"/>
            <w:tcBorders/>
            <w:shd w:fill="E5E5E5" w:val="clear"/>
            <w:vAlign w:val="center"/>
          </w:tcPr>
          <w:p>
            <w:pPr>
              <w:pStyle w:val="TableContents"/>
              <w:bidi w:val="0"/>
              <w:spacing w:before="0" w:after="283"/>
              <w:jc w:val="left"/>
              <w:rPr>
                <w:sz w:val="4"/>
                <w:szCs w:val="4"/>
              </w:rPr>
            </w:pPr>
            <w:r>
              <w:rPr>
                <w:sz w:val="4"/>
                <w:szCs w:val="4"/>
              </w:rPr>
            </w:r>
          </w:p>
        </w:tc>
      </w:tr>
      <w:tr>
        <w:trPr/>
        <w:tc>
          <w:tcPr>
            <w:tcW w:w="6405" w:type="dxa"/>
            <w:tcBorders/>
            <w:vAlign w:val="center"/>
          </w:tcPr>
          <w:p>
            <w:pPr>
              <w:pStyle w:val="TableContents"/>
              <w:bidi w:val="0"/>
              <w:spacing w:before="0" w:after="283"/>
              <w:jc w:val="left"/>
              <w:rPr>
                <w:sz w:val="4"/>
                <w:szCs w:val="4"/>
              </w:rPr>
            </w:pPr>
            <w:r>
              <w:rPr>
                <w:sz w:val="4"/>
                <w:szCs w:val="4"/>
              </w:rPr>
            </w:r>
          </w:p>
        </w:tc>
        <w:tc>
          <w:tcPr>
            <w:tcW w:w="1015"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6405" w:type="dxa"/>
            <w:tcBorders/>
            <w:vAlign w:val="center"/>
          </w:tcPr>
          <w:p>
            <w:pPr>
              <w:pStyle w:val="TableContents"/>
              <w:bidi w:val="0"/>
              <w:spacing w:before="0" w:after="0"/>
              <w:jc w:val="left"/>
              <w:rPr>
                <w:rFonts w:ascii="ARIAL" w:hAnsi="ARIAL"/>
                <w:sz w:val="18"/>
              </w:rPr>
            </w:pPr>
            <w:r>
              <w:rPr>
                <w:rFonts w:ascii="ARIAL" w:hAnsi="ARIAL"/>
                <w:sz w:val="18"/>
              </w:rPr>
              <w:t>Sales of intellectual property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405" w:type="dxa"/>
            <w:tcBorders/>
            <w:shd w:fill="E5E5E5" w:val="clear"/>
            <w:vAlign w:val="center"/>
          </w:tcPr>
          <w:p>
            <w:pPr>
              <w:pStyle w:val="TableContents"/>
              <w:bidi w:val="0"/>
              <w:spacing w:before="0" w:after="283"/>
              <w:jc w:val="left"/>
              <w:rPr>
                <w:sz w:val="4"/>
                <w:szCs w:val="4"/>
              </w:rPr>
            </w:pPr>
            <w:r>
              <w:rPr>
                <w:sz w:val="4"/>
                <w:szCs w:val="4"/>
              </w:rPr>
            </w:r>
          </w:p>
        </w:tc>
        <w:tc>
          <w:tcPr>
            <w:tcW w:w="1015" w:type="dxa"/>
            <w:gridSpan w:val="4"/>
            <w:tcBorders/>
            <w:shd w:fill="E5E5E5" w:val="clear"/>
            <w:vAlign w:val="center"/>
          </w:tcPr>
          <w:p>
            <w:pPr>
              <w:pStyle w:val="TableContents"/>
              <w:bidi w:val="0"/>
              <w:spacing w:before="0" w:after="283"/>
              <w:jc w:val="left"/>
              <w:rPr>
                <w:sz w:val="4"/>
                <w:szCs w:val="4"/>
              </w:rPr>
            </w:pPr>
            <w:r>
              <w:rPr>
                <w:sz w:val="4"/>
                <w:szCs w:val="4"/>
              </w:rPr>
            </w:r>
          </w:p>
        </w:tc>
        <w:tc>
          <w:tcPr>
            <w:tcW w:w="955" w:type="dxa"/>
            <w:gridSpan w:val="4"/>
            <w:tcBorders/>
            <w:shd w:fill="E5E5E5" w:val="clear"/>
            <w:vAlign w:val="center"/>
          </w:tcPr>
          <w:p>
            <w:pPr>
              <w:pStyle w:val="TableContents"/>
              <w:bidi w:val="0"/>
              <w:spacing w:before="0" w:after="283"/>
              <w:jc w:val="left"/>
              <w:rPr>
                <w:sz w:val="4"/>
                <w:szCs w:val="4"/>
              </w:rPr>
            </w:pPr>
            <w:r>
              <w:rPr>
                <w:sz w:val="4"/>
                <w:szCs w:val="4"/>
              </w:rPr>
            </w:r>
          </w:p>
        </w:tc>
        <w:tc>
          <w:tcPr>
            <w:tcW w:w="955" w:type="dxa"/>
            <w:gridSpan w:val="4"/>
            <w:tcBorders/>
            <w:shd w:fill="E5E5E5" w:val="clear"/>
            <w:vAlign w:val="center"/>
          </w:tcPr>
          <w:p>
            <w:pPr>
              <w:pStyle w:val="TableContents"/>
              <w:bidi w:val="0"/>
              <w:spacing w:before="0" w:after="283"/>
              <w:jc w:val="left"/>
              <w:rPr>
                <w:sz w:val="4"/>
                <w:szCs w:val="4"/>
              </w:rPr>
            </w:pPr>
            <w:r>
              <w:rPr>
                <w:sz w:val="4"/>
                <w:szCs w:val="4"/>
              </w:rPr>
            </w:r>
          </w:p>
        </w:tc>
        <w:tc>
          <w:tcPr>
            <w:tcW w:w="87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6405" w:type="dxa"/>
            <w:tcBorders/>
            <w:shd w:fill="E5E5E5" w:val="clear"/>
            <w:vAlign w:val="center"/>
          </w:tcPr>
          <w:p>
            <w:pPr>
              <w:pStyle w:val="TableContents"/>
              <w:bidi w:val="0"/>
              <w:spacing w:before="0" w:after="0"/>
              <w:jc w:val="left"/>
              <w:rPr>
                <w:rFonts w:ascii="ARIAL" w:hAnsi="ARIAL"/>
                <w:sz w:val="18"/>
              </w:rPr>
            </w:pPr>
            <w:r>
              <w:rPr>
                <w:rFonts w:ascii="ARIAL" w:hAnsi="ARIAL"/>
                <w:sz w:val="18"/>
              </w:rPr>
              <w:t>Proceeds from the sale of certain property, plant and equipment</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80" w:type="dxa"/>
            <w:tcBorders/>
            <w:shd w:fill="E5E5E5" w:val="clear"/>
            <w:vAlign w:val="center"/>
          </w:tcPr>
          <w:p>
            <w:pPr>
              <w:pStyle w:val="TableContents"/>
              <w:bidi w:val="0"/>
              <w:spacing w:before="0" w:after="283"/>
              <w:jc w:val="right"/>
              <w:rPr/>
            </w:pPr>
            <w:r>
              <w:rPr/>
              <w:t>18</w:t>
            </w:r>
          </w:p>
        </w:tc>
        <w:tc>
          <w:tcPr>
            <w:tcW w:w="155"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80" w:type="dxa"/>
            <w:tcBorders/>
            <w:shd w:fill="E5E5E5" w:val="clear"/>
            <w:vAlign w:val="center"/>
          </w:tcPr>
          <w:p>
            <w:pPr>
              <w:pStyle w:val="TableContents"/>
              <w:bidi w:val="0"/>
              <w:spacing w:before="0" w:after="283"/>
              <w:jc w:val="right"/>
              <w:rPr/>
            </w:pPr>
            <w:r>
              <w:rPr/>
              <w:t>14</w:t>
            </w:r>
          </w:p>
        </w:tc>
        <w:tc>
          <w:tcPr>
            <w:tcW w:w="155"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80" w:type="dxa"/>
            <w:tcBorders/>
            <w:shd w:fill="E5E5E5" w:val="clear"/>
            <w:vAlign w:val="center"/>
          </w:tcPr>
          <w:p>
            <w:pPr>
              <w:pStyle w:val="TableContents"/>
              <w:bidi w:val="0"/>
              <w:spacing w:before="0" w:after="283"/>
              <w:jc w:val="right"/>
              <w:rPr/>
            </w:pPr>
            <w:r>
              <w:rPr/>
              <w:t>13</w:t>
            </w:r>
          </w:p>
        </w:tc>
        <w:tc>
          <w:tcPr>
            <w:tcW w:w="155"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80" w:type="dxa"/>
            <w:tcBorders/>
            <w:shd w:fill="E5E5E5" w:val="clear"/>
            <w:vAlign w:val="center"/>
          </w:tcPr>
          <w:p>
            <w:pPr>
              <w:pStyle w:val="TableContents"/>
              <w:bidi w:val="0"/>
              <w:spacing w:before="0" w:after="283"/>
              <w:jc w:val="left"/>
              <w:rPr>
                <w:sz w:val="4"/>
                <w:szCs w:val="4"/>
              </w:rPr>
            </w:pPr>
            <w:r>
              <w:rPr>
                <w:sz w:val="4"/>
                <w:szCs w:val="4"/>
              </w:rPr>
            </w:r>
          </w:p>
        </w:tc>
        <w:tc>
          <w:tcPr>
            <w:tcW w:w="75" w:type="dxa"/>
            <w:tcBorders/>
            <w:shd w:fill="E5E5E5" w:val="clear"/>
            <w:vAlign w:val="center"/>
          </w:tcPr>
          <w:p>
            <w:pPr>
              <w:pStyle w:val="TableContents"/>
              <w:bidi w:val="0"/>
              <w:spacing w:before="0" w:after="283"/>
              <w:jc w:val="left"/>
              <w:rPr>
                <w:sz w:val="4"/>
                <w:szCs w:val="4"/>
              </w:rPr>
            </w:pPr>
            <w:r>
              <w:rPr>
                <w:sz w:val="4"/>
                <w:szCs w:val="4"/>
              </w:rPr>
            </w:r>
          </w:p>
        </w:tc>
      </w:tr>
      <w:tr>
        <w:trPr/>
        <w:tc>
          <w:tcPr>
            <w:tcW w:w="6405" w:type="dxa"/>
            <w:tcBorders/>
            <w:vAlign w:val="center"/>
          </w:tcPr>
          <w:p>
            <w:pPr>
              <w:pStyle w:val="TableContents"/>
              <w:bidi w:val="0"/>
              <w:spacing w:before="0" w:after="283"/>
              <w:jc w:val="left"/>
              <w:rPr>
                <w:sz w:val="4"/>
                <w:szCs w:val="4"/>
              </w:rPr>
            </w:pPr>
            <w:r>
              <w:rPr>
                <w:sz w:val="4"/>
                <w:szCs w:val="4"/>
              </w:rPr>
            </w:r>
          </w:p>
        </w:tc>
        <w:tc>
          <w:tcPr>
            <w:tcW w:w="1015"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6405" w:type="dxa"/>
            <w:tcBorders/>
            <w:vAlign w:val="center"/>
          </w:tcPr>
          <w:p>
            <w:pPr>
              <w:pStyle w:val="TableContents"/>
              <w:bidi w:val="0"/>
              <w:spacing w:before="0" w:after="0"/>
              <w:jc w:val="left"/>
              <w:rPr>
                <w:rFonts w:ascii="ARIAL" w:hAnsi="ARIAL"/>
                <w:sz w:val="18"/>
              </w:rPr>
            </w:pPr>
            <w:r>
              <w:rPr>
                <w:rFonts w:ascii="ARIAL" w:hAnsi="ARIAL"/>
                <w:sz w:val="18"/>
              </w:rPr>
              <w:t>Acquired IPR&amp;D costs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405" w:type="dxa"/>
            <w:tcBorders/>
            <w:shd w:fill="E5E5E5" w:val="clear"/>
            <w:vAlign w:val="center"/>
          </w:tcPr>
          <w:p>
            <w:pPr>
              <w:pStyle w:val="TableContents"/>
              <w:bidi w:val="0"/>
              <w:spacing w:before="0" w:after="283"/>
              <w:jc w:val="left"/>
              <w:rPr>
                <w:sz w:val="4"/>
                <w:szCs w:val="4"/>
              </w:rPr>
            </w:pPr>
            <w:r>
              <w:rPr>
                <w:sz w:val="4"/>
                <w:szCs w:val="4"/>
              </w:rPr>
            </w:r>
          </w:p>
        </w:tc>
        <w:tc>
          <w:tcPr>
            <w:tcW w:w="1015" w:type="dxa"/>
            <w:gridSpan w:val="4"/>
            <w:tcBorders/>
            <w:shd w:fill="E5E5E5" w:val="clear"/>
            <w:vAlign w:val="center"/>
          </w:tcPr>
          <w:p>
            <w:pPr>
              <w:pStyle w:val="TableContents"/>
              <w:bidi w:val="0"/>
              <w:spacing w:before="0" w:after="283"/>
              <w:jc w:val="left"/>
              <w:rPr>
                <w:sz w:val="4"/>
                <w:szCs w:val="4"/>
              </w:rPr>
            </w:pPr>
            <w:r>
              <w:rPr>
                <w:sz w:val="4"/>
                <w:szCs w:val="4"/>
              </w:rPr>
            </w:r>
          </w:p>
        </w:tc>
        <w:tc>
          <w:tcPr>
            <w:tcW w:w="955" w:type="dxa"/>
            <w:gridSpan w:val="4"/>
            <w:tcBorders/>
            <w:shd w:fill="E5E5E5" w:val="clear"/>
            <w:vAlign w:val="center"/>
          </w:tcPr>
          <w:p>
            <w:pPr>
              <w:pStyle w:val="TableContents"/>
              <w:bidi w:val="0"/>
              <w:spacing w:before="0" w:after="283"/>
              <w:jc w:val="left"/>
              <w:rPr>
                <w:sz w:val="4"/>
                <w:szCs w:val="4"/>
              </w:rPr>
            </w:pPr>
            <w:r>
              <w:rPr>
                <w:sz w:val="4"/>
                <w:szCs w:val="4"/>
              </w:rPr>
            </w:r>
          </w:p>
        </w:tc>
        <w:tc>
          <w:tcPr>
            <w:tcW w:w="955" w:type="dxa"/>
            <w:gridSpan w:val="4"/>
            <w:tcBorders/>
            <w:shd w:fill="E5E5E5" w:val="clear"/>
            <w:vAlign w:val="center"/>
          </w:tcPr>
          <w:p>
            <w:pPr>
              <w:pStyle w:val="TableContents"/>
              <w:bidi w:val="0"/>
              <w:spacing w:before="0" w:after="283"/>
              <w:jc w:val="left"/>
              <w:rPr>
                <w:sz w:val="4"/>
                <w:szCs w:val="4"/>
              </w:rPr>
            </w:pPr>
            <w:r>
              <w:rPr>
                <w:sz w:val="4"/>
                <w:szCs w:val="4"/>
              </w:rPr>
            </w:r>
          </w:p>
        </w:tc>
        <w:tc>
          <w:tcPr>
            <w:tcW w:w="87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6405" w:type="dxa"/>
            <w:tcBorders/>
            <w:shd w:fill="E5E5E5" w:val="clear"/>
            <w:vAlign w:val="center"/>
          </w:tcPr>
          <w:p>
            <w:pPr>
              <w:pStyle w:val="TableContents"/>
              <w:bidi w:val="0"/>
              <w:spacing w:before="0" w:after="0"/>
              <w:jc w:val="left"/>
              <w:rPr>
                <w:rFonts w:ascii="ARIAL" w:hAnsi="ARIAL"/>
                <w:sz w:val="18"/>
              </w:rPr>
            </w:pPr>
            <w:r>
              <w:rPr>
                <w:rFonts w:ascii="ARIAL" w:hAnsi="ARIAL"/>
                <w:sz w:val="18"/>
              </w:rPr>
              <w:t>Currency impact</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80" w:type="dxa"/>
            <w:tcBorders/>
            <w:shd w:fill="E5E5E5" w:val="clear"/>
            <w:vAlign w:val="center"/>
          </w:tcPr>
          <w:p>
            <w:pPr>
              <w:pStyle w:val="TableContents"/>
              <w:bidi w:val="0"/>
              <w:spacing w:before="0" w:after="283"/>
              <w:jc w:val="right"/>
              <w:rPr/>
            </w:pPr>
            <w:r>
              <w:rPr/>
              <w:t>—</w:t>
            </w:r>
          </w:p>
        </w:tc>
        <w:tc>
          <w:tcPr>
            <w:tcW w:w="155"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80" w:type="dxa"/>
            <w:tcBorders/>
            <w:shd w:fill="E5E5E5" w:val="clear"/>
            <w:vAlign w:val="center"/>
          </w:tcPr>
          <w:p>
            <w:pPr>
              <w:pStyle w:val="TableContents"/>
              <w:bidi w:val="0"/>
              <w:spacing w:before="0" w:after="283"/>
              <w:jc w:val="right"/>
              <w:rPr/>
            </w:pPr>
            <w:r>
              <w:rPr/>
              <w:t>213</w:t>
            </w:r>
          </w:p>
        </w:tc>
        <w:tc>
          <w:tcPr>
            <w:tcW w:w="155"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80" w:type="dxa"/>
            <w:tcBorders/>
            <w:shd w:fill="E5E5E5" w:val="clear"/>
            <w:vAlign w:val="center"/>
          </w:tcPr>
          <w:p>
            <w:pPr>
              <w:pStyle w:val="TableContents"/>
              <w:bidi w:val="0"/>
              <w:spacing w:before="0" w:after="283"/>
              <w:jc w:val="right"/>
              <w:rPr/>
            </w:pPr>
            <w:r>
              <w:rPr/>
              <w:t>145</w:t>
            </w:r>
          </w:p>
        </w:tc>
        <w:tc>
          <w:tcPr>
            <w:tcW w:w="155"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80" w:type="dxa"/>
            <w:tcBorders/>
            <w:shd w:fill="E5E5E5" w:val="clear"/>
            <w:vAlign w:val="center"/>
          </w:tcPr>
          <w:p>
            <w:pPr>
              <w:pStyle w:val="TableContents"/>
              <w:bidi w:val="0"/>
              <w:spacing w:before="0" w:after="283"/>
              <w:jc w:val="left"/>
              <w:rPr>
                <w:sz w:val="4"/>
                <w:szCs w:val="4"/>
              </w:rPr>
            </w:pPr>
            <w:r>
              <w:rPr>
                <w:sz w:val="4"/>
                <w:szCs w:val="4"/>
              </w:rPr>
            </w:r>
          </w:p>
        </w:tc>
        <w:tc>
          <w:tcPr>
            <w:tcW w:w="75" w:type="dxa"/>
            <w:tcBorders/>
            <w:shd w:fill="E5E5E5" w:val="clear"/>
            <w:vAlign w:val="center"/>
          </w:tcPr>
          <w:p>
            <w:pPr>
              <w:pStyle w:val="TableContents"/>
              <w:bidi w:val="0"/>
              <w:spacing w:before="0" w:after="283"/>
              <w:jc w:val="left"/>
              <w:rPr>
                <w:sz w:val="4"/>
                <w:szCs w:val="4"/>
              </w:rPr>
            </w:pPr>
            <w:r>
              <w:rPr>
                <w:sz w:val="4"/>
                <w:szCs w:val="4"/>
              </w:rPr>
            </w:r>
          </w:p>
        </w:tc>
      </w:tr>
      <w:tr>
        <w:trPr/>
        <w:tc>
          <w:tcPr>
            <w:tcW w:w="6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6405" w:type="dxa"/>
            <w:tcBorders/>
            <w:vAlign w:val="center"/>
          </w:tcPr>
          <w:p>
            <w:pPr>
              <w:pStyle w:val="TableContents"/>
              <w:bidi w:val="0"/>
              <w:spacing w:before="0" w:after="283"/>
              <w:jc w:val="left"/>
              <w:rPr>
                <w:sz w:val="4"/>
                <w:szCs w:val="4"/>
              </w:rPr>
            </w:pPr>
            <w:r>
              <w:rPr>
                <w:sz w:val="4"/>
                <w:szCs w:val="4"/>
              </w:rPr>
            </w:r>
          </w:p>
        </w:tc>
        <w:tc>
          <w:tcPr>
            <w:tcW w:w="1015"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6405" w:type="dxa"/>
            <w:tcBorders>
              <w:bottom w:val="single" w:sz="8" w:space="0" w:color="732282"/>
            </w:tcBorders>
            <w:tcMar>
              <w:bottom w:w="80" w:type="dxa"/>
            </w:tcMar>
            <w:vAlign w:val="center"/>
          </w:tcPr>
          <w:p>
            <w:pPr>
              <w:pStyle w:val="TableContents"/>
              <w:bidi w:val="0"/>
              <w:spacing w:before="0" w:after="0"/>
              <w:jc w:val="left"/>
              <w:rPr>
                <w:rFonts w:ascii="ARIAL" w:hAnsi="ARIAL"/>
                <w:sz w:val="18"/>
              </w:rPr>
            </w:pPr>
            <w:r>
              <w:rPr>
                <w:rFonts w:ascii="ARIAL" w:hAnsi="ARIAL"/>
                <w:sz w:val="18"/>
              </w:rPr>
              <w:t>Free cash flow (for 2021-2023 three-year PRSUs)</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80" w:type="dxa"/>
            </w:tcMar>
            <w:vAlign w:val="center"/>
          </w:tcPr>
          <w:p>
            <w:pPr>
              <w:pStyle w:val="TableContents"/>
              <w:bidi w:val="0"/>
              <w:spacing w:before="0" w:after="283"/>
              <w:jc w:val="left"/>
              <w:rPr/>
            </w:pPr>
            <w:r>
              <w:rPr/>
              <w:t> </w:t>
            </w:r>
          </w:p>
        </w:tc>
        <w:tc>
          <w:tcPr>
            <w:tcW w:w="680" w:type="dxa"/>
            <w:tcBorders>
              <w:bottom w:val="single" w:sz="8" w:space="0" w:color="732282"/>
            </w:tcBorders>
            <w:tcMar>
              <w:bottom w:w="80" w:type="dxa"/>
            </w:tcMar>
            <w:vAlign w:val="center"/>
          </w:tcPr>
          <w:p>
            <w:pPr>
              <w:pStyle w:val="TableContents"/>
              <w:bidi w:val="0"/>
              <w:spacing w:before="0" w:after="283"/>
              <w:jc w:val="right"/>
              <w:rPr/>
            </w:pPr>
            <w:r>
              <w:rPr/>
              <w:t>$2,675</w:t>
            </w:r>
          </w:p>
        </w:tc>
        <w:tc>
          <w:tcPr>
            <w:tcW w:w="155" w:type="dxa"/>
            <w:tcBorders>
              <w:bottom w:val="single" w:sz="8" w:space="0" w:color="732282"/>
            </w:tcBorders>
            <w:tcMar>
              <w:bottom w:w="80"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80" w:type="dxa"/>
            </w:tcMar>
            <w:vAlign w:val="center"/>
          </w:tcPr>
          <w:p>
            <w:pPr>
              <w:pStyle w:val="TableContents"/>
              <w:bidi w:val="0"/>
              <w:spacing w:before="0" w:after="283"/>
              <w:jc w:val="left"/>
              <w:rPr/>
            </w:pPr>
            <w:r>
              <w:rPr/>
              <w:t> </w:t>
            </w:r>
          </w:p>
        </w:tc>
        <w:tc>
          <w:tcPr>
            <w:tcW w:w="680" w:type="dxa"/>
            <w:tcBorders>
              <w:bottom w:val="single" w:sz="8" w:space="0" w:color="732282"/>
            </w:tcBorders>
            <w:tcMar>
              <w:bottom w:w="80" w:type="dxa"/>
            </w:tcMar>
            <w:vAlign w:val="center"/>
          </w:tcPr>
          <w:p>
            <w:pPr>
              <w:pStyle w:val="TableContents"/>
              <w:bidi w:val="0"/>
              <w:spacing w:before="0" w:after="283"/>
              <w:jc w:val="right"/>
              <w:rPr/>
            </w:pPr>
            <w:r>
              <w:rPr/>
              <w:t>$3,918</w:t>
            </w:r>
          </w:p>
        </w:tc>
        <w:tc>
          <w:tcPr>
            <w:tcW w:w="155" w:type="dxa"/>
            <w:tcBorders>
              <w:bottom w:val="single" w:sz="8" w:space="0" w:color="732282"/>
            </w:tcBorders>
            <w:tcMar>
              <w:bottom w:w="80"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80" w:type="dxa"/>
            </w:tcMar>
            <w:vAlign w:val="center"/>
          </w:tcPr>
          <w:p>
            <w:pPr>
              <w:pStyle w:val="TableContents"/>
              <w:bidi w:val="0"/>
              <w:spacing w:before="0" w:after="283"/>
              <w:jc w:val="left"/>
              <w:rPr/>
            </w:pPr>
            <w:r>
              <w:rPr/>
              <w:t> </w:t>
            </w:r>
          </w:p>
        </w:tc>
        <w:tc>
          <w:tcPr>
            <w:tcW w:w="680" w:type="dxa"/>
            <w:tcBorders>
              <w:bottom w:val="single" w:sz="8" w:space="0" w:color="732282"/>
            </w:tcBorders>
            <w:tcMar>
              <w:bottom w:w="80" w:type="dxa"/>
            </w:tcMar>
            <w:vAlign w:val="center"/>
          </w:tcPr>
          <w:p>
            <w:pPr>
              <w:pStyle w:val="TableContents"/>
              <w:bidi w:val="0"/>
              <w:spacing w:before="0" w:after="283"/>
              <w:jc w:val="right"/>
              <w:rPr/>
            </w:pPr>
            <w:r>
              <w:rPr/>
              <w:t>$2,916</w:t>
            </w:r>
          </w:p>
        </w:tc>
        <w:tc>
          <w:tcPr>
            <w:tcW w:w="155" w:type="dxa"/>
            <w:tcBorders>
              <w:bottom w:val="single" w:sz="8" w:space="0" w:color="732282"/>
            </w:tcBorders>
            <w:tcMar>
              <w:bottom w:w="80" w:type="dxa"/>
            </w:tcMar>
            <w:vAlign w:val="center"/>
          </w:tcPr>
          <w:p>
            <w:pPr>
              <w:pStyle w:val="TableContents"/>
              <w:bidi w:val="0"/>
              <w:spacing w:before="0" w:after="283"/>
              <w:jc w:val="left"/>
              <w:rPr/>
            </w:pPr>
            <w:r>
              <w:rPr/>
              <w:t> </w:t>
            </w:r>
          </w:p>
        </w:tc>
        <w:tc>
          <w:tcPr>
            <w:tcW w:w="60" w:type="dxa"/>
            <w:tcBorders>
              <w:bottom w:val="single" w:sz="8" w:space="0" w:color="732282"/>
            </w:tcBorders>
            <w:tcMar>
              <w:bottom w:w="28" w:type="dxa"/>
            </w:tcMar>
            <w:vAlign w:val="center"/>
          </w:tcPr>
          <w:p>
            <w:pPr>
              <w:pStyle w:val="TableContents"/>
              <w:bidi w:val="0"/>
              <w:spacing w:before="0" w:after="283"/>
              <w:jc w:val="left"/>
              <w:rPr/>
            </w:pPr>
            <w:r>
              <w:rPr/>
              <w:t> </w:t>
            </w:r>
          </w:p>
        </w:tc>
        <w:tc>
          <w:tcPr>
            <w:tcW w:w="60" w:type="dxa"/>
            <w:tcBorders>
              <w:bottom w:val="single" w:sz="8" w:space="0" w:color="732282"/>
            </w:tcBorders>
            <w:tcMar>
              <w:bottom w:w="80" w:type="dxa"/>
            </w:tcMar>
            <w:vAlign w:val="center"/>
          </w:tcPr>
          <w:p>
            <w:pPr>
              <w:pStyle w:val="TableContents"/>
              <w:bidi w:val="0"/>
              <w:spacing w:before="0" w:after="283"/>
              <w:jc w:val="left"/>
              <w:rPr/>
            </w:pPr>
            <w:r>
              <w:rPr/>
              <w:t> </w:t>
            </w:r>
          </w:p>
        </w:tc>
        <w:tc>
          <w:tcPr>
            <w:tcW w:w="680" w:type="dxa"/>
            <w:tcBorders>
              <w:bottom w:val="single" w:sz="8" w:space="0" w:color="732282"/>
            </w:tcBorders>
            <w:tcMar>
              <w:bottom w:w="80" w:type="dxa"/>
            </w:tcMar>
            <w:vAlign w:val="center"/>
          </w:tcPr>
          <w:p>
            <w:pPr>
              <w:pStyle w:val="TableContents"/>
              <w:bidi w:val="0"/>
              <w:spacing w:before="0" w:after="283"/>
              <w:jc w:val="right"/>
              <w:rPr/>
            </w:pPr>
            <w:r>
              <w:rPr/>
              <w:t>$9,509</w:t>
            </w:r>
          </w:p>
        </w:tc>
        <w:tc>
          <w:tcPr>
            <w:tcW w:w="75" w:type="dxa"/>
            <w:tcBorders>
              <w:bottom w:val="single" w:sz="8" w:space="0" w:color="732282"/>
            </w:tcBorders>
            <w:tcMar>
              <w:bottom w:w="80" w:type="dxa"/>
            </w:tcMar>
            <w:vAlign w:val="center"/>
          </w:tcPr>
          <w:p>
            <w:pPr>
              <w:pStyle w:val="TableContents"/>
              <w:bidi w:val="0"/>
              <w:spacing w:before="0" w:after="283"/>
              <w:jc w:val="left"/>
              <w:rPr/>
            </w:pPr>
            <w:r>
              <w:rPr/>
              <w:t> </w:t>
            </w:r>
          </w:p>
        </w:tc>
      </w:tr>
    </w:tbl>
    <w:p>
      <w:pPr>
        <w:pStyle w:val="TextBody"/>
        <w:bidi w:val="0"/>
        <w:spacing w:before="360" w:after="0"/>
        <w:jc w:val="both"/>
        <w:rPr>
          <w:rFonts w:ascii="ARIAL" w:hAnsi="ARIAL"/>
          <w:b/>
          <w:i/>
          <w:sz w:val="20"/>
        </w:rPr>
      </w:pPr>
      <w:r>
        <w:rPr>
          <w:rFonts w:ascii="ARIAL" w:hAnsi="ARIAL"/>
          <w:b/>
          <w:i/>
          <w:sz w:val="20"/>
        </w:rPr>
        <w:t xml:space="preserve">Gross Leverage Ratio </w:t>
      </w:r>
    </w:p>
    <w:p>
      <w:pPr>
        <w:pStyle w:val="TextBody"/>
        <w:bidi w:val="0"/>
        <w:spacing w:before="120" w:after="0"/>
        <w:jc w:val="left"/>
        <w:rPr>
          <w:rFonts w:ascii="ARIAL" w:hAnsi="ARIAL"/>
          <w:i/>
          <w:sz w:val="20"/>
        </w:rPr>
      </w:pPr>
      <w:r>
        <w:rPr>
          <w:rFonts w:ascii="ARIAL" w:hAnsi="ARIAL"/>
          <w:i/>
          <w:sz w:val="20"/>
        </w:rPr>
        <w:t xml:space="preserve">2021-2023 Three-Year PRSUs </w:t>
      </w:r>
    </w:p>
    <w:p>
      <w:pPr>
        <w:pStyle w:val="TextBody"/>
        <w:bidi w:val="0"/>
        <w:spacing w:before="120" w:after="0"/>
        <w:jc w:val="both"/>
        <w:rPr>
          <w:rFonts w:ascii="arial" w:hAnsi="arial"/>
          <w:sz w:val="18"/>
        </w:rPr>
      </w:pPr>
      <w:r>
        <w:rPr>
          <w:rFonts w:ascii="arial" w:hAnsi="arial"/>
          <w:sz w:val="18"/>
        </w:rPr>
        <w:t xml:space="preserve">Viatris’ publicly reported gross leverage ratio (“as reported”) compares Adjusted EBITDA (as reported) to total debt at notional amounts (as reported). </w:t>
      </w:r>
    </w:p>
    <w:p>
      <w:pPr>
        <w:pStyle w:val="TextBody"/>
        <w:bidi w:val="0"/>
        <w:spacing w:before="240" w:after="0"/>
        <w:jc w:val="both"/>
        <w:rPr>
          <w:rFonts w:ascii="arial" w:hAnsi="arial"/>
          <w:sz w:val="18"/>
        </w:rPr>
      </w:pPr>
      <w:r>
        <w:rPr>
          <w:rFonts w:ascii="arial" w:hAnsi="arial"/>
          <w:sz w:val="18"/>
        </w:rPr>
        <w:t xml:space="preserve">For purposes of the 2021-2023 three-year PRSUs, gross leverage ratio is calculated as 2023 Adjusted EBITDA compared to total debt at notional amounts as of December 31, 2023 (each calculated for purposes of the 2021-2023 three-year PRSUs as described herein). For purposes of the 2021-2023 three-year PRSUs, Adjusted EBITDA is derived from Viatris’ audited financial statements in the same manner as the calculation of Adjusted EBITDA (as reported) for 2023 described above, except that the calculation of Adjusted EBITDA for the 2021-2023 three-year PRSUs (“for 2021-2023 three-year PRSUs”) utilized budgeted foreign exchange rates for the relevant year (“currency impact”) and further adjusts for the following: the acquisitions of Oyster Point and Famy Life Sciences (“acquisitions”), acquired IPR&amp;D costs, and the contribution of divestitures closed in 2023 to Adjusted EBITDA (as reported) for the year (“Adjusted EBITDA contribution from closed divestitures”). </w:t>
      </w:r>
    </w:p>
    <w:p>
      <w:pPr>
        <w:pStyle w:val="TextBody"/>
        <w:bidi w:val="0"/>
        <w:spacing w:before="240" w:after="0"/>
        <w:jc w:val="both"/>
        <w:rPr>
          <w:rFonts w:ascii="arial" w:hAnsi="arial"/>
          <w:sz w:val="18"/>
        </w:rPr>
      </w:pPr>
      <w:r>
        <w:rPr>
          <w:rFonts w:ascii="arial" w:hAnsi="arial"/>
          <w:sz w:val="18"/>
        </w:rPr>
        <w:t xml:space="preserve">For purposes of the 2021-2023 three-year PRSUs, total debt at notional amounts is derived from Viatris’ audited financial statements in the same manner as Viatris’ publicly reported total debt at notional amounts at December 31, 2023 (Viatris’ publicly reported debt balances adjusted for net premiums on various debt issuances and deferred financing fees) (“as reported”), except that the calculation of total debt at notional amounts for the 2021-2023 three-year PRSUs (“for 2021-2023 three-year PRSUs”) utilized budgeted foreign exchange rates for the relevant year (“currency impact”) and further adjusted for the following: cash disbursed for the Oyster Point and Famy Life Sciences acquisitions, acquired IPR&amp;D costs, share repurchase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A-3 </w:t>
      </w:r>
      <w:r>
        <w:br w:type="page"/>
      </w:r>
    </w:p>
    <w:p>
      <w:pPr>
        <w:pStyle w:val="HorizontalLine"/>
        <w:bidi w:val="0"/>
        <w:jc w:val="left"/>
        <w:rPr/>
      </w:pPr>
      <w:r>
        <w:rPr/>
      </w:r>
    </w:p>
    <w:p>
      <w:pPr>
        <w:pStyle w:val="TextBody"/>
        <w:bidi w:val="0"/>
        <w:spacing w:before="0" w:after="0"/>
        <w:jc w:val="both"/>
        <w:rPr>
          <w:rFonts w:ascii="arial" w:hAnsi="arial"/>
          <w:sz w:val="18"/>
        </w:rPr>
      </w:pPr>
      <w:r>
        <w:rPr>
          <w:rFonts w:ascii="arial" w:hAnsi="arial"/>
          <w:sz w:val="18"/>
        </w:rPr>
        <w:t xml:space="preserve">costs in 2023, transaction-related one-time costs and taxes, excess balance sheet cash above the $500 million target minimum and Oyster Point net operating cash outflows. </w:t>
      </w:r>
    </w:p>
    <w:p>
      <w:pPr>
        <w:pStyle w:val="TextBody"/>
        <w:bidi w:val="0"/>
        <w:spacing w:before="0" w:after="0"/>
        <w:jc w:val="left"/>
        <w:rPr/>
      </w:pPr>
      <w:r>
        <w:rPr/>
        <w:t> </w:t>
      </w:r>
    </w:p>
    <w:tbl>
      <w:tblPr>
        <w:tblW w:w="6315" w:type="dxa"/>
        <w:jc w:val="left"/>
        <w:tblInd w:w="0" w:type="dxa"/>
        <w:tblLayout w:type="fixed"/>
        <w:tblCellMar>
          <w:top w:w="0" w:type="dxa"/>
          <w:left w:w="0" w:type="dxa"/>
          <w:bottom w:w="0" w:type="dxa"/>
          <w:right w:w="0" w:type="dxa"/>
        </w:tblCellMar>
      </w:tblPr>
      <w:tblGrid>
        <w:gridCol w:w="4610"/>
        <w:gridCol w:w="120"/>
        <w:gridCol w:w="98"/>
        <w:gridCol w:w="1317"/>
        <w:gridCol w:w="170"/>
      </w:tblGrid>
      <w:tr>
        <w:trPr/>
        <w:tc>
          <w:tcPr>
            <w:tcW w:w="4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10" w:type="dxa"/>
            <w:tcBorders>
              <w:bottom w:val="single" w:sz="8" w:space="0" w:color="732282"/>
            </w:tcBorders>
            <w:tcMar>
              <w:bottom w:w="28" w:type="dxa"/>
            </w:tcMar>
            <w:vAlign w:val="center"/>
          </w:tcPr>
          <w:p>
            <w:pPr>
              <w:pStyle w:val="TableContents"/>
              <w:bidi w:val="0"/>
              <w:spacing w:before="0" w:after="0"/>
              <w:jc w:val="left"/>
              <w:rPr>
                <w:rFonts w:ascii="ARIAL" w:hAnsi="ARIAL"/>
                <w:b/>
                <w:color w:val="732282"/>
                <w:sz w:val="18"/>
              </w:rPr>
            </w:pPr>
            <w:r>
              <w:rPr>
                <w:rFonts w:ascii="ARIAL" w:hAnsi="ARIAL"/>
                <w:b/>
                <w:color w:val="732282"/>
                <w:sz w:val="18"/>
              </w:rPr>
              <w:t>(in millions)</w:t>
            </w:r>
          </w:p>
        </w:tc>
        <w:tc>
          <w:tcPr>
            <w:tcW w:w="120" w:type="dxa"/>
            <w:tcBorders>
              <w:bottom w:val="single" w:sz="8" w:space="0" w:color="732282"/>
            </w:tcBorders>
            <w:tcMar>
              <w:bottom w:w="28" w:type="dxa"/>
            </w:tcMar>
            <w:vAlign w:val="center"/>
          </w:tcPr>
          <w:p>
            <w:pPr>
              <w:pStyle w:val="TableContents"/>
              <w:bidi w:val="0"/>
              <w:spacing w:before="0" w:after="283"/>
              <w:jc w:val="left"/>
              <w:rPr/>
            </w:pPr>
            <w:r>
              <w:rPr/>
              <w:t>  </w:t>
            </w:r>
          </w:p>
        </w:tc>
        <w:tc>
          <w:tcPr>
            <w:tcW w:w="1415" w:type="dxa"/>
            <w:gridSpan w:val="2"/>
            <w:tcBorders>
              <w:bottom w:val="single" w:sz="8" w:space="0" w:color="732282"/>
            </w:tcBorders>
            <w:tcMar>
              <w:bottom w:w="28" w:type="dxa"/>
            </w:tcMar>
            <w:vAlign w:val="center"/>
          </w:tcPr>
          <w:p>
            <w:pPr>
              <w:pStyle w:val="TableContents"/>
              <w:bidi w:val="0"/>
              <w:spacing w:before="0" w:after="283"/>
              <w:jc w:val="right"/>
              <w:rPr>
                <w:b/>
                <w:color w:val="732282"/>
              </w:rPr>
            </w:pPr>
            <w:r>
              <w:rPr>
                <w:b/>
                <w:color w:val="732282"/>
              </w:rPr>
              <w:t>Year ended</w:t>
              <w:br/>
              <w:t>December 31,</w:t>
              <w:br/>
              <w:t>2023</w:t>
            </w:r>
          </w:p>
        </w:tc>
        <w:tc>
          <w:tcPr>
            <w:tcW w:w="170" w:type="dxa"/>
            <w:tcBorders>
              <w:bottom w:val="single" w:sz="8" w:space="0" w:color="732282"/>
            </w:tcBorders>
            <w:tcMar>
              <w:bottom w:w="28" w:type="dxa"/>
            </w:tcMar>
            <w:vAlign w:val="center"/>
          </w:tcPr>
          <w:p>
            <w:pPr>
              <w:pStyle w:val="TableContents"/>
              <w:bidi w:val="0"/>
              <w:spacing w:before="0" w:after="283"/>
              <w:jc w:val="left"/>
              <w:rPr/>
            </w:pPr>
            <w:r>
              <w:rPr/>
              <w:t> </w:t>
            </w:r>
          </w:p>
        </w:tc>
      </w:tr>
      <w:tr>
        <w:trPr/>
        <w:tc>
          <w:tcPr>
            <w:tcW w:w="4610" w:type="dxa"/>
            <w:tcBorders/>
            <w:shd w:fill="E5E5E5" w:val="clear"/>
            <w:vAlign w:val="center"/>
          </w:tcPr>
          <w:p>
            <w:pPr>
              <w:pStyle w:val="TableContents"/>
              <w:bidi w:val="0"/>
              <w:spacing w:before="0" w:after="283"/>
              <w:jc w:val="left"/>
              <w:rPr>
                <w:sz w:val="4"/>
                <w:szCs w:val="4"/>
              </w:rPr>
            </w:pPr>
            <w:r>
              <w:rPr>
                <w:sz w:val="4"/>
                <w:szCs w:val="4"/>
              </w:rPr>
            </w:r>
          </w:p>
        </w:tc>
        <w:tc>
          <w:tcPr>
            <w:tcW w:w="170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4610" w:type="dxa"/>
            <w:tcBorders/>
            <w:shd w:fill="E5E5E5" w:val="clear"/>
            <w:vAlign w:val="center"/>
          </w:tcPr>
          <w:p>
            <w:pPr>
              <w:pStyle w:val="TableContents"/>
              <w:bidi w:val="0"/>
              <w:spacing w:before="0" w:after="0"/>
              <w:jc w:val="left"/>
              <w:rPr>
                <w:rFonts w:ascii="ARIAL" w:hAnsi="ARIAL"/>
                <w:sz w:val="18"/>
              </w:rPr>
            </w:pPr>
            <w:r>
              <w:rPr>
                <w:rFonts w:ascii="ARIAL" w:hAnsi="ARIAL"/>
                <w:sz w:val="18"/>
              </w:rPr>
              <w:t>Adjusted EBITDA (as reported)</w:t>
            </w:r>
          </w:p>
        </w:tc>
        <w:tc>
          <w:tcPr>
            <w:tcW w:w="120" w:type="dxa"/>
            <w:tcBorders/>
            <w:shd w:fill="E5E5E5" w:val="clear"/>
            <w:vAlign w:val="center"/>
          </w:tcPr>
          <w:p>
            <w:pPr>
              <w:pStyle w:val="TableContents"/>
              <w:bidi w:val="0"/>
              <w:spacing w:before="0" w:after="283"/>
              <w:jc w:val="left"/>
              <w:rPr/>
            </w:pPr>
            <w:r>
              <w:rPr/>
              <w:t>  </w:t>
            </w:r>
          </w:p>
        </w:tc>
        <w:tc>
          <w:tcPr>
            <w:tcW w:w="98" w:type="dxa"/>
            <w:tcBorders/>
            <w:shd w:fill="E5E5E5" w:val="clear"/>
            <w:vAlign w:val="center"/>
          </w:tcPr>
          <w:p>
            <w:pPr>
              <w:pStyle w:val="TableContents"/>
              <w:bidi w:val="0"/>
              <w:spacing w:before="0" w:after="283"/>
              <w:jc w:val="left"/>
              <w:rPr/>
            </w:pPr>
            <w:r>
              <w:rPr/>
              <w:t> </w:t>
            </w:r>
          </w:p>
        </w:tc>
        <w:tc>
          <w:tcPr>
            <w:tcW w:w="1317" w:type="dxa"/>
            <w:tcBorders/>
            <w:shd w:fill="E5E5E5" w:val="clear"/>
            <w:vAlign w:val="center"/>
          </w:tcPr>
          <w:p>
            <w:pPr>
              <w:pStyle w:val="TableContents"/>
              <w:bidi w:val="0"/>
              <w:spacing w:before="0" w:after="283"/>
              <w:jc w:val="right"/>
              <w:rPr/>
            </w:pPr>
            <w:r>
              <w:rPr/>
              <w:t>$5,124</w:t>
            </w:r>
          </w:p>
        </w:tc>
        <w:tc>
          <w:tcPr>
            <w:tcW w:w="170" w:type="dxa"/>
            <w:tcBorders/>
            <w:shd w:fill="E5E5E5"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r>
      <w:tr>
        <w:trPr/>
        <w:tc>
          <w:tcPr>
            <w:tcW w:w="4610" w:type="dxa"/>
            <w:tcBorders/>
            <w:vAlign w:val="center"/>
          </w:tcPr>
          <w:p>
            <w:pPr>
              <w:pStyle w:val="TableContents"/>
              <w:bidi w:val="0"/>
              <w:spacing w:before="0" w:after="0"/>
              <w:jc w:val="left"/>
              <w:rPr>
                <w:rFonts w:ascii="ARIAL" w:hAnsi="ARIAL"/>
                <w:sz w:val="18"/>
              </w:rPr>
            </w:pPr>
            <w:r>
              <w:rPr>
                <w:rFonts w:ascii="ARIAL" w:hAnsi="ARIAL"/>
                <w:sz w:val="18"/>
              </w:rPr>
              <w:t>Currency impact</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490</w:t>
            </w:r>
          </w:p>
        </w:tc>
        <w:tc>
          <w:tcPr>
            <w:tcW w:w="170" w:type="dxa"/>
            <w:tcBorders/>
            <w:vAlign w:val="center"/>
          </w:tcPr>
          <w:p>
            <w:pPr>
              <w:pStyle w:val="TableContents"/>
              <w:bidi w:val="0"/>
              <w:spacing w:before="0" w:after="283"/>
              <w:jc w:val="left"/>
              <w:rPr/>
            </w:pPr>
            <w:r>
              <w:rPr/>
              <w:t> </w:t>
            </w:r>
          </w:p>
        </w:tc>
      </w:tr>
      <w:tr>
        <w:trPr/>
        <w:tc>
          <w:tcPr>
            <w:tcW w:w="4610" w:type="dxa"/>
            <w:tcBorders/>
            <w:shd w:fill="E5E5E5" w:val="clear"/>
            <w:vAlign w:val="center"/>
          </w:tcPr>
          <w:p>
            <w:pPr>
              <w:pStyle w:val="TableContents"/>
              <w:bidi w:val="0"/>
              <w:spacing w:before="0" w:after="283"/>
              <w:jc w:val="left"/>
              <w:rPr>
                <w:sz w:val="4"/>
                <w:szCs w:val="4"/>
              </w:rPr>
            </w:pPr>
            <w:r>
              <w:rPr>
                <w:sz w:val="4"/>
                <w:szCs w:val="4"/>
              </w:rPr>
            </w:r>
          </w:p>
        </w:tc>
        <w:tc>
          <w:tcPr>
            <w:tcW w:w="170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4610" w:type="dxa"/>
            <w:tcBorders/>
            <w:shd w:fill="E5E5E5" w:val="clear"/>
            <w:vAlign w:val="center"/>
          </w:tcPr>
          <w:p>
            <w:pPr>
              <w:pStyle w:val="TableContents"/>
              <w:bidi w:val="0"/>
              <w:spacing w:before="0" w:after="0"/>
              <w:jc w:val="left"/>
              <w:rPr>
                <w:rFonts w:ascii="ARIAL" w:hAnsi="ARIAL"/>
                <w:sz w:val="18"/>
              </w:rPr>
            </w:pPr>
            <w:r>
              <w:rPr>
                <w:rFonts w:ascii="ARIAL" w:hAnsi="ARIAL"/>
                <w:sz w:val="18"/>
              </w:rPr>
              <w:t>Acquisitions</w:t>
            </w:r>
          </w:p>
        </w:tc>
        <w:tc>
          <w:tcPr>
            <w:tcW w:w="120" w:type="dxa"/>
            <w:tcBorders/>
            <w:shd w:fill="E5E5E5" w:val="clear"/>
            <w:vAlign w:val="center"/>
          </w:tcPr>
          <w:p>
            <w:pPr>
              <w:pStyle w:val="TableContents"/>
              <w:bidi w:val="0"/>
              <w:spacing w:before="0" w:after="283"/>
              <w:jc w:val="left"/>
              <w:rPr/>
            </w:pPr>
            <w:r>
              <w:rPr/>
              <w:t>  </w:t>
            </w:r>
          </w:p>
        </w:tc>
        <w:tc>
          <w:tcPr>
            <w:tcW w:w="98" w:type="dxa"/>
            <w:tcBorders/>
            <w:shd w:fill="E5E5E5" w:val="clear"/>
            <w:vAlign w:val="center"/>
          </w:tcPr>
          <w:p>
            <w:pPr>
              <w:pStyle w:val="TableContents"/>
              <w:bidi w:val="0"/>
              <w:spacing w:before="0" w:after="283"/>
              <w:jc w:val="left"/>
              <w:rPr/>
            </w:pPr>
            <w:r>
              <w:rPr/>
              <w:t> </w:t>
            </w:r>
          </w:p>
        </w:tc>
        <w:tc>
          <w:tcPr>
            <w:tcW w:w="1317" w:type="dxa"/>
            <w:tcBorders/>
            <w:shd w:fill="E5E5E5" w:val="clear"/>
            <w:vAlign w:val="center"/>
          </w:tcPr>
          <w:p>
            <w:pPr>
              <w:pStyle w:val="TableContents"/>
              <w:bidi w:val="0"/>
              <w:spacing w:before="0" w:after="283"/>
              <w:jc w:val="right"/>
              <w:rPr/>
            </w:pPr>
            <w:r>
              <w:rPr/>
              <w:t>159</w:t>
            </w:r>
          </w:p>
        </w:tc>
        <w:tc>
          <w:tcPr>
            <w:tcW w:w="170" w:type="dxa"/>
            <w:tcBorders/>
            <w:shd w:fill="E5E5E5"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r>
      <w:tr>
        <w:trPr/>
        <w:tc>
          <w:tcPr>
            <w:tcW w:w="4610" w:type="dxa"/>
            <w:tcBorders/>
            <w:vAlign w:val="center"/>
          </w:tcPr>
          <w:p>
            <w:pPr>
              <w:pStyle w:val="TableContents"/>
              <w:bidi w:val="0"/>
              <w:spacing w:before="0" w:after="0"/>
              <w:jc w:val="left"/>
              <w:rPr>
                <w:rFonts w:ascii="ARIAL" w:hAnsi="ARIAL"/>
                <w:sz w:val="18"/>
              </w:rPr>
            </w:pPr>
            <w:r>
              <w:rPr>
                <w:rFonts w:ascii="ARIAL" w:hAnsi="ARIAL"/>
                <w:sz w:val="18"/>
              </w:rPr>
              <w:t>Acquired IPR&amp;D costs</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105</w:t>
            </w:r>
          </w:p>
        </w:tc>
        <w:tc>
          <w:tcPr>
            <w:tcW w:w="170" w:type="dxa"/>
            <w:tcBorders/>
            <w:vAlign w:val="center"/>
          </w:tcPr>
          <w:p>
            <w:pPr>
              <w:pStyle w:val="TableContents"/>
              <w:bidi w:val="0"/>
              <w:spacing w:before="0" w:after="283"/>
              <w:jc w:val="left"/>
              <w:rPr/>
            </w:pPr>
            <w:r>
              <w:rPr/>
              <w:t> </w:t>
            </w:r>
          </w:p>
        </w:tc>
      </w:tr>
      <w:tr>
        <w:trPr/>
        <w:tc>
          <w:tcPr>
            <w:tcW w:w="4610" w:type="dxa"/>
            <w:tcBorders/>
            <w:shd w:fill="E5E5E5" w:val="clear"/>
            <w:vAlign w:val="center"/>
          </w:tcPr>
          <w:p>
            <w:pPr>
              <w:pStyle w:val="TableContents"/>
              <w:bidi w:val="0"/>
              <w:spacing w:before="0" w:after="283"/>
              <w:jc w:val="left"/>
              <w:rPr>
                <w:sz w:val="4"/>
                <w:szCs w:val="4"/>
              </w:rPr>
            </w:pPr>
            <w:r>
              <w:rPr>
                <w:sz w:val="4"/>
                <w:szCs w:val="4"/>
              </w:rPr>
            </w:r>
          </w:p>
        </w:tc>
        <w:tc>
          <w:tcPr>
            <w:tcW w:w="170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4610" w:type="dxa"/>
            <w:tcBorders/>
            <w:shd w:fill="E5E5E5" w:val="clear"/>
            <w:vAlign w:val="center"/>
          </w:tcPr>
          <w:p>
            <w:pPr>
              <w:pStyle w:val="TableContents"/>
              <w:bidi w:val="0"/>
              <w:spacing w:before="0" w:after="0"/>
              <w:jc w:val="left"/>
              <w:rPr>
                <w:rFonts w:ascii="ARIAL" w:hAnsi="ARIAL"/>
                <w:sz w:val="18"/>
              </w:rPr>
            </w:pPr>
            <w:r>
              <w:rPr>
                <w:rFonts w:ascii="ARIAL" w:hAnsi="ARIAL"/>
                <w:sz w:val="18"/>
              </w:rPr>
              <w:t>Adjusted EBITDA contribution from closed divestitures</w:t>
            </w:r>
          </w:p>
        </w:tc>
        <w:tc>
          <w:tcPr>
            <w:tcW w:w="120" w:type="dxa"/>
            <w:tcBorders/>
            <w:shd w:fill="E5E5E5" w:val="clear"/>
            <w:vAlign w:val="center"/>
          </w:tcPr>
          <w:p>
            <w:pPr>
              <w:pStyle w:val="TableContents"/>
              <w:bidi w:val="0"/>
              <w:spacing w:before="0" w:after="283"/>
              <w:jc w:val="left"/>
              <w:rPr/>
            </w:pPr>
            <w:r>
              <w:rPr/>
              <w:t>  </w:t>
            </w:r>
          </w:p>
        </w:tc>
        <w:tc>
          <w:tcPr>
            <w:tcW w:w="98" w:type="dxa"/>
            <w:tcBorders/>
            <w:shd w:fill="E5E5E5" w:val="clear"/>
            <w:vAlign w:val="center"/>
          </w:tcPr>
          <w:p>
            <w:pPr>
              <w:pStyle w:val="TableContents"/>
              <w:bidi w:val="0"/>
              <w:spacing w:before="0" w:after="283"/>
              <w:jc w:val="left"/>
              <w:rPr/>
            </w:pPr>
            <w:r>
              <w:rPr/>
              <w:t> </w:t>
            </w:r>
          </w:p>
        </w:tc>
        <w:tc>
          <w:tcPr>
            <w:tcW w:w="1317" w:type="dxa"/>
            <w:tcBorders/>
            <w:shd w:fill="E5E5E5" w:val="clear"/>
            <w:vAlign w:val="center"/>
          </w:tcPr>
          <w:p>
            <w:pPr>
              <w:pStyle w:val="TableContents"/>
              <w:bidi w:val="0"/>
              <w:spacing w:before="0" w:after="283"/>
              <w:jc w:val="right"/>
              <w:rPr/>
            </w:pPr>
            <w:r>
              <w:rPr/>
              <w:t>(94</w:t>
            </w:r>
          </w:p>
        </w:tc>
        <w:tc>
          <w:tcPr>
            <w:tcW w:w="170" w:type="dxa"/>
            <w:tcBorders/>
            <w:shd w:fill="E5E5E5"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pBdr>
                <w:top w:val="single" w:sz="2" w:space="1" w:color="000000"/>
              </w:pBdr>
              <w:bidi w:val="0"/>
              <w:spacing w:before="0" w:after="0"/>
              <w:jc w:val="left"/>
              <w:rPr/>
            </w:pPr>
            <w:r>
              <w:rPr/>
              <w:t> </w:t>
            </w:r>
          </w:p>
        </w:tc>
        <w:tc>
          <w:tcPr>
            <w:tcW w:w="131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r>
      <w:tr>
        <w:trPr/>
        <w:tc>
          <w:tcPr>
            <w:tcW w:w="4610" w:type="dxa"/>
            <w:tcBorders/>
            <w:vAlign w:val="center"/>
          </w:tcPr>
          <w:p>
            <w:pPr>
              <w:pStyle w:val="TableContents"/>
              <w:bidi w:val="0"/>
              <w:spacing w:before="0" w:after="0"/>
              <w:jc w:val="left"/>
              <w:rPr>
                <w:rFonts w:ascii="ARIAL" w:hAnsi="ARIAL"/>
                <w:sz w:val="18"/>
              </w:rPr>
            </w:pPr>
            <w:r>
              <w:rPr>
                <w:rFonts w:ascii="ARIAL" w:hAnsi="ARIAL"/>
                <w:sz w:val="18"/>
              </w:rPr>
              <w:t>Adjusted EBITDA (for 2021-2023 three-year PRSUs)</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$5,784</w:t>
            </w:r>
          </w:p>
        </w:tc>
        <w:tc>
          <w:tcPr>
            <w:tcW w:w="17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pBdr>
                <w:top w:val="double" w:sz="6" w:space="1" w:color="000000"/>
              </w:pBdr>
              <w:bidi w:val="0"/>
              <w:spacing w:before="0" w:after="0"/>
              <w:jc w:val="left"/>
              <w:rPr/>
            </w:pPr>
            <w:r>
              <w:rPr/>
              <w:t> </w:t>
            </w:r>
          </w:p>
        </w:tc>
        <w:tc>
          <w:tcPr>
            <w:tcW w:w="1317"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61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8" w:type="dxa"/>
            <w:tcBorders/>
            <w:shd w:fill="E5E5E5" w:val="clear"/>
            <w:vAlign w:val="center"/>
          </w:tcPr>
          <w:p>
            <w:pPr>
              <w:pStyle w:val="TableContents"/>
              <w:bidi w:val="0"/>
              <w:spacing w:before="0" w:after="283"/>
              <w:jc w:val="left"/>
              <w:rPr>
                <w:sz w:val="4"/>
                <w:szCs w:val="4"/>
              </w:rPr>
            </w:pPr>
            <w:r>
              <w:rPr>
                <w:sz w:val="4"/>
                <w:szCs w:val="4"/>
              </w:rPr>
            </w:r>
          </w:p>
        </w:tc>
        <w:tc>
          <w:tcPr>
            <w:tcW w:w="1317" w:type="dxa"/>
            <w:tcBorders/>
            <w:shd w:fill="E5E5E5" w:val="clear"/>
            <w:vAlign w:val="center"/>
          </w:tcPr>
          <w:p>
            <w:pPr>
              <w:pStyle w:val="TableContents"/>
              <w:bidi w:val="0"/>
              <w:spacing w:before="0" w:after="283"/>
              <w:jc w:val="left"/>
              <w:rPr>
                <w:sz w:val="4"/>
                <w:szCs w:val="4"/>
              </w:rPr>
            </w:pPr>
            <w:r>
              <w:rPr>
                <w:sz w:val="4"/>
                <w:szCs w:val="4"/>
              </w:rPr>
            </w:r>
          </w:p>
        </w:tc>
        <w:tc>
          <w:tcPr>
            <w:tcW w:w="170" w:type="dxa"/>
            <w:tcBorders/>
            <w:shd w:fill="E5E5E5" w:val="clear"/>
            <w:vAlign w:val="center"/>
          </w:tcPr>
          <w:p>
            <w:pPr>
              <w:pStyle w:val="TableContents"/>
              <w:bidi w:val="0"/>
              <w:spacing w:before="0" w:after="283"/>
              <w:jc w:val="left"/>
              <w:rPr>
                <w:sz w:val="4"/>
                <w:szCs w:val="4"/>
              </w:rPr>
            </w:pPr>
            <w:r>
              <w:rPr>
                <w:sz w:val="4"/>
                <w:szCs w:val="4"/>
              </w:rPr>
            </w:r>
          </w:p>
        </w:tc>
      </w:tr>
      <w:tr>
        <w:trPr/>
        <w:tc>
          <w:tcPr>
            <w:tcW w:w="4610" w:type="dxa"/>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r>
      <w:tr>
        <w:trPr/>
        <w:tc>
          <w:tcPr>
            <w:tcW w:w="4610" w:type="dxa"/>
            <w:tcBorders/>
            <w:vAlign w:val="center"/>
          </w:tcPr>
          <w:p>
            <w:pPr>
              <w:pStyle w:val="TableContents"/>
              <w:bidi w:val="0"/>
              <w:spacing w:before="0" w:after="0"/>
              <w:jc w:val="left"/>
              <w:rPr>
                <w:rFonts w:ascii="ARIAL" w:hAnsi="ARIAL"/>
                <w:sz w:val="18"/>
              </w:rPr>
            </w:pPr>
            <w:r>
              <w:rPr>
                <w:rFonts w:ascii="ARIAL" w:hAnsi="ARIAL"/>
                <w:sz w:val="18"/>
              </w:rPr>
              <w:t>Reported Debt Balances:</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10" w:type="dxa"/>
            <w:tcBorders/>
            <w:shd w:fill="E5E5E5" w:val="clear"/>
            <w:vAlign w:val="center"/>
          </w:tcPr>
          <w:p>
            <w:pPr>
              <w:pStyle w:val="TableContents"/>
              <w:bidi w:val="0"/>
              <w:spacing w:before="0" w:after="283"/>
              <w:jc w:val="left"/>
              <w:rPr>
                <w:sz w:val="4"/>
                <w:szCs w:val="4"/>
              </w:rPr>
            </w:pPr>
            <w:r>
              <w:rPr>
                <w:sz w:val="4"/>
                <w:szCs w:val="4"/>
              </w:rPr>
            </w:r>
          </w:p>
        </w:tc>
        <w:tc>
          <w:tcPr>
            <w:tcW w:w="170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4610" w:type="dxa"/>
            <w:tcBorders/>
            <w:shd w:fill="E5E5E5" w:val="clear"/>
            <w:vAlign w:val="center"/>
          </w:tcPr>
          <w:p>
            <w:pPr>
              <w:pStyle w:val="TableContents"/>
              <w:bidi w:val="0"/>
              <w:spacing w:before="0" w:after="0"/>
              <w:jc w:val="left"/>
              <w:rPr>
                <w:rFonts w:ascii="ARIAL" w:hAnsi="ARIAL"/>
                <w:sz w:val="18"/>
              </w:rPr>
            </w:pPr>
            <w:r>
              <w:rPr>
                <w:rFonts w:ascii="ARIAL" w:hAnsi="ARIAL"/>
                <w:sz w:val="18"/>
              </w:rPr>
              <w:t>Long-term debt, including current portion</w:t>
            </w:r>
          </w:p>
        </w:tc>
        <w:tc>
          <w:tcPr>
            <w:tcW w:w="120" w:type="dxa"/>
            <w:tcBorders/>
            <w:shd w:fill="E5E5E5" w:val="clear"/>
            <w:vAlign w:val="center"/>
          </w:tcPr>
          <w:p>
            <w:pPr>
              <w:pStyle w:val="TableContents"/>
              <w:bidi w:val="0"/>
              <w:spacing w:before="0" w:after="283"/>
              <w:jc w:val="left"/>
              <w:rPr/>
            </w:pPr>
            <w:r>
              <w:rPr/>
              <w:t>  </w:t>
            </w:r>
          </w:p>
        </w:tc>
        <w:tc>
          <w:tcPr>
            <w:tcW w:w="98" w:type="dxa"/>
            <w:tcBorders/>
            <w:shd w:fill="E5E5E5" w:val="clear"/>
            <w:vAlign w:val="center"/>
          </w:tcPr>
          <w:p>
            <w:pPr>
              <w:pStyle w:val="TableContents"/>
              <w:bidi w:val="0"/>
              <w:spacing w:before="0" w:after="283"/>
              <w:jc w:val="left"/>
              <w:rPr/>
            </w:pPr>
            <w:r>
              <w:rPr/>
              <w:t> </w:t>
            </w:r>
          </w:p>
        </w:tc>
        <w:tc>
          <w:tcPr>
            <w:tcW w:w="1317" w:type="dxa"/>
            <w:tcBorders/>
            <w:shd w:fill="E5E5E5" w:val="clear"/>
            <w:vAlign w:val="center"/>
          </w:tcPr>
          <w:p>
            <w:pPr>
              <w:pStyle w:val="TableContents"/>
              <w:bidi w:val="0"/>
              <w:spacing w:before="0" w:after="283"/>
              <w:jc w:val="right"/>
              <w:rPr/>
            </w:pPr>
            <w:r>
              <w:rPr/>
              <w:t>18,123</w:t>
            </w:r>
          </w:p>
        </w:tc>
        <w:tc>
          <w:tcPr>
            <w:tcW w:w="170" w:type="dxa"/>
            <w:tcBorders/>
            <w:shd w:fill="E5E5E5"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r>
      <w:tr>
        <w:trPr/>
        <w:tc>
          <w:tcPr>
            <w:tcW w:w="4610" w:type="dxa"/>
            <w:tcBorders/>
            <w:vAlign w:val="center"/>
          </w:tcPr>
          <w:p>
            <w:pPr>
              <w:pStyle w:val="TableContents"/>
              <w:bidi w:val="0"/>
              <w:spacing w:before="0" w:after="0"/>
              <w:jc w:val="left"/>
              <w:rPr>
                <w:rFonts w:ascii="ARIAL" w:hAnsi="ARIAL"/>
                <w:sz w:val="18"/>
              </w:rPr>
            </w:pPr>
            <w:r>
              <w:rPr>
                <w:rFonts w:ascii="ARIAL" w:hAnsi="ARIAL"/>
                <w:sz w:val="18"/>
              </w:rPr>
              <w:t>Short term borrowings and other current obligations</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4610" w:type="dxa"/>
            <w:tcBorders/>
            <w:shd w:fill="E5E5E5" w:val="clear"/>
            <w:vAlign w:val="center"/>
          </w:tcPr>
          <w:p>
            <w:pPr>
              <w:pStyle w:val="TableContents"/>
              <w:bidi w:val="0"/>
              <w:spacing w:before="0" w:after="283"/>
              <w:jc w:val="left"/>
              <w:rPr>
                <w:sz w:val="4"/>
                <w:szCs w:val="4"/>
              </w:rPr>
            </w:pPr>
            <w:r>
              <w:rPr>
                <w:sz w:val="4"/>
                <w:szCs w:val="4"/>
              </w:rPr>
            </w:r>
          </w:p>
        </w:tc>
        <w:tc>
          <w:tcPr>
            <w:tcW w:w="170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4610" w:type="dxa"/>
            <w:tcBorders/>
            <w:shd w:fill="E5E5E5" w:val="clear"/>
            <w:vAlign w:val="center"/>
          </w:tcPr>
          <w:p>
            <w:pPr>
              <w:pStyle w:val="TableContents"/>
              <w:bidi w:val="0"/>
              <w:spacing w:before="0" w:after="0"/>
              <w:jc w:val="left"/>
              <w:rPr>
                <w:rFonts w:ascii="ARIAL" w:hAnsi="ARIAL"/>
                <w:sz w:val="18"/>
              </w:rPr>
            </w:pPr>
            <w:r>
              <w:rPr>
                <w:rFonts w:ascii="ARIAL" w:hAnsi="ARIAL"/>
                <w:sz w:val="18"/>
              </w:rPr>
              <w:t>Total</w:t>
            </w:r>
          </w:p>
        </w:tc>
        <w:tc>
          <w:tcPr>
            <w:tcW w:w="120" w:type="dxa"/>
            <w:tcBorders/>
            <w:shd w:fill="E5E5E5" w:val="clear"/>
            <w:vAlign w:val="center"/>
          </w:tcPr>
          <w:p>
            <w:pPr>
              <w:pStyle w:val="TableContents"/>
              <w:bidi w:val="0"/>
              <w:spacing w:before="0" w:after="283"/>
              <w:jc w:val="left"/>
              <w:rPr/>
            </w:pPr>
            <w:r>
              <w:rPr/>
              <w:t>  </w:t>
            </w:r>
          </w:p>
        </w:tc>
        <w:tc>
          <w:tcPr>
            <w:tcW w:w="98" w:type="dxa"/>
            <w:tcBorders/>
            <w:shd w:fill="E5E5E5" w:val="clear"/>
            <w:vAlign w:val="center"/>
          </w:tcPr>
          <w:p>
            <w:pPr>
              <w:pStyle w:val="TableContents"/>
              <w:bidi w:val="0"/>
              <w:spacing w:before="0" w:after="283"/>
              <w:jc w:val="left"/>
              <w:rPr/>
            </w:pPr>
            <w:r>
              <w:rPr/>
              <w:t> </w:t>
            </w:r>
          </w:p>
        </w:tc>
        <w:tc>
          <w:tcPr>
            <w:tcW w:w="1317" w:type="dxa"/>
            <w:tcBorders/>
            <w:shd w:fill="E5E5E5" w:val="clear"/>
            <w:vAlign w:val="center"/>
          </w:tcPr>
          <w:p>
            <w:pPr>
              <w:pStyle w:val="TableContents"/>
              <w:bidi w:val="0"/>
              <w:spacing w:before="0" w:after="283"/>
              <w:jc w:val="right"/>
              <w:rPr/>
            </w:pPr>
            <w:r>
              <w:rPr/>
              <w:t>18,123</w:t>
            </w:r>
          </w:p>
        </w:tc>
        <w:tc>
          <w:tcPr>
            <w:tcW w:w="170" w:type="dxa"/>
            <w:tcBorders/>
            <w:shd w:fill="E5E5E5"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r>
      <w:tr>
        <w:trPr/>
        <w:tc>
          <w:tcPr>
            <w:tcW w:w="4610" w:type="dxa"/>
            <w:tcBorders/>
            <w:vAlign w:val="center"/>
          </w:tcPr>
          <w:p>
            <w:pPr>
              <w:pStyle w:val="TableContents"/>
              <w:bidi w:val="0"/>
              <w:spacing w:before="0" w:after="0"/>
              <w:jc w:val="left"/>
              <w:rPr>
                <w:rFonts w:ascii="ARIAL" w:hAnsi="ARIAL"/>
                <w:sz w:val="18"/>
              </w:rPr>
            </w:pPr>
            <w:r>
              <w:rPr>
                <w:rFonts w:ascii="ARIAL" w:hAnsi="ARIAL"/>
                <w:sz w:val="18"/>
              </w:rPr>
              <w:t>Add/(deduct):</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10" w:type="dxa"/>
            <w:tcBorders/>
            <w:shd w:fill="E5E5E5" w:val="clear"/>
            <w:vAlign w:val="center"/>
          </w:tcPr>
          <w:p>
            <w:pPr>
              <w:pStyle w:val="TableContents"/>
              <w:bidi w:val="0"/>
              <w:spacing w:before="0" w:after="283"/>
              <w:jc w:val="left"/>
              <w:rPr>
                <w:sz w:val="4"/>
                <w:szCs w:val="4"/>
              </w:rPr>
            </w:pPr>
            <w:r>
              <w:rPr>
                <w:sz w:val="4"/>
                <w:szCs w:val="4"/>
              </w:rPr>
            </w:r>
          </w:p>
        </w:tc>
        <w:tc>
          <w:tcPr>
            <w:tcW w:w="170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4610" w:type="dxa"/>
            <w:tcBorders/>
            <w:shd w:fill="E5E5E5" w:val="clear"/>
            <w:vAlign w:val="center"/>
          </w:tcPr>
          <w:p>
            <w:pPr>
              <w:pStyle w:val="TableContents"/>
              <w:bidi w:val="0"/>
              <w:spacing w:before="0" w:after="0"/>
              <w:jc w:val="left"/>
              <w:rPr>
                <w:rFonts w:ascii="ARIAL" w:hAnsi="ARIAL"/>
                <w:sz w:val="18"/>
              </w:rPr>
            </w:pPr>
            <w:r>
              <w:rPr>
                <w:rFonts w:ascii="ARIAL" w:hAnsi="ARIAL"/>
                <w:sz w:val="18"/>
              </w:rPr>
              <w:t>Net premiums on various debt issuances</w:t>
            </w:r>
          </w:p>
        </w:tc>
        <w:tc>
          <w:tcPr>
            <w:tcW w:w="120" w:type="dxa"/>
            <w:tcBorders/>
            <w:shd w:fill="E5E5E5" w:val="clear"/>
            <w:vAlign w:val="center"/>
          </w:tcPr>
          <w:p>
            <w:pPr>
              <w:pStyle w:val="TableContents"/>
              <w:bidi w:val="0"/>
              <w:spacing w:before="0" w:after="283"/>
              <w:jc w:val="left"/>
              <w:rPr/>
            </w:pPr>
            <w:r>
              <w:rPr/>
              <w:t>  </w:t>
            </w:r>
          </w:p>
        </w:tc>
        <w:tc>
          <w:tcPr>
            <w:tcW w:w="98" w:type="dxa"/>
            <w:tcBorders/>
            <w:shd w:fill="E5E5E5" w:val="clear"/>
            <w:vAlign w:val="center"/>
          </w:tcPr>
          <w:p>
            <w:pPr>
              <w:pStyle w:val="TableContents"/>
              <w:bidi w:val="0"/>
              <w:spacing w:before="0" w:after="283"/>
              <w:jc w:val="left"/>
              <w:rPr/>
            </w:pPr>
            <w:r>
              <w:rPr/>
              <w:t> </w:t>
            </w:r>
          </w:p>
        </w:tc>
        <w:tc>
          <w:tcPr>
            <w:tcW w:w="1317" w:type="dxa"/>
            <w:tcBorders/>
            <w:shd w:fill="E5E5E5" w:val="clear"/>
            <w:vAlign w:val="center"/>
          </w:tcPr>
          <w:p>
            <w:pPr>
              <w:pStyle w:val="TableContents"/>
              <w:bidi w:val="0"/>
              <w:spacing w:before="0" w:after="283"/>
              <w:jc w:val="right"/>
              <w:rPr/>
            </w:pPr>
            <w:r>
              <w:rPr/>
              <w:t>(537</w:t>
            </w:r>
          </w:p>
        </w:tc>
        <w:tc>
          <w:tcPr>
            <w:tcW w:w="170" w:type="dxa"/>
            <w:tcBorders/>
            <w:shd w:fill="E5E5E5"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r>
      <w:tr>
        <w:trPr/>
        <w:tc>
          <w:tcPr>
            <w:tcW w:w="4610" w:type="dxa"/>
            <w:tcBorders/>
            <w:vAlign w:val="center"/>
          </w:tcPr>
          <w:p>
            <w:pPr>
              <w:pStyle w:val="TableContents"/>
              <w:bidi w:val="0"/>
              <w:spacing w:before="0" w:after="0"/>
              <w:jc w:val="left"/>
              <w:rPr>
                <w:rFonts w:ascii="ARIAL" w:hAnsi="ARIAL"/>
                <w:sz w:val="18"/>
              </w:rPr>
            </w:pPr>
            <w:r>
              <w:rPr>
                <w:rFonts w:ascii="ARIAL" w:hAnsi="ARIAL"/>
                <w:sz w:val="18"/>
              </w:rPr>
              <w:t>Deferred financing fees</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30</w:t>
            </w:r>
          </w:p>
        </w:tc>
        <w:tc>
          <w:tcPr>
            <w:tcW w:w="17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pBdr>
                <w:top w:val="single" w:sz="2" w:space="1" w:color="000000"/>
              </w:pBdr>
              <w:bidi w:val="0"/>
              <w:spacing w:before="0" w:after="0"/>
              <w:jc w:val="left"/>
              <w:rPr/>
            </w:pPr>
            <w:r>
              <w:rPr/>
              <w:t> </w:t>
            </w:r>
          </w:p>
        </w:tc>
        <w:tc>
          <w:tcPr>
            <w:tcW w:w="131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610" w:type="dxa"/>
            <w:tcBorders/>
            <w:shd w:fill="E5E5E5" w:val="clear"/>
            <w:vAlign w:val="center"/>
          </w:tcPr>
          <w:p>
            <w:pPr>
              <w:pStyle w:val="TableContents"/>
              <w:bidi w:val="0"/>
              <w:spacing w:before="0" w:after="283"/>
              <w:jc w:val="left"/>
              <w:rPr>
                <w:sz w:val="4"/>
                <w:szCs w:val="4"/>
              </w:rPr>
            </w:pPr>
            <w:r>
              <w:rPr>
                <w:sz w:val="4"/>
                <w:szCs w:val="4"/>
              </w:rPr>
            </w:r>
          </w:p>
        </w:tc>
        <w:tc>
          <w:tcPr>
            <w:tcW w:w="170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4610" w:type="dxa"/>
            <w:tcBorders/>
            <w:shd w:fill="E5E5E5" w:val="clear"/>
            <w:vAlign w:val="center"/>
          </w:tcPr>
          <w:p>
            <w:pPr>
              <w:pStyle w:val="TableContents"/>
              <w:bidi w:val="0"/>
              <w:spacing w:before="0" w:after="0"/>
              <w:jc w:val="left"/>
              <w:rPr>
                <w:rFonts w:ascii="ARIAL" w:hAnsi="ARIAL"/>
                <w:sz w:val="18"/>
              </w:rPr>
            </w:pPr>
            <w:r>
              <w:rPr>
                <w:rFonts w:ascii="ARIAL" w:hAnsi="ARIAL"/>
                <w:sz w:val="18"/>
              </w:rPr>
              <w:t>Total debt at notional amounts (as reported)</w:t>
            </w:r>
          </w:p>
        </w:tc>
        <w:tc>
          <w:tcPr>
            <w:tcW w:w="120" w:type="dxa"/>
            <w:tcBorders/>
            <w:shd w:fill="E5E5E5" w:val="clear"/>
            <w:vAlign w:val="center"/>
          </w:tcPr>
          <w:p>
            <w:pPr>
              <w:pStyle w:val="TableContents"/>
              <w:bidi w:val="0"/>
              <w:spacing w:before="0" w:after="283"/>
              <w:jc w:val="left"/>
              <w:rPr/>
            </w:pPr>
            <w:r>
              <w:rPr/>
              <w:t>  </w:t>
            </w:r>
          </w:p>
        </w:tc>
        <w:tc>
          <w:tcPr>
            <w:tcW w:w="98" w:type="dxa"/>
            <w:tcBorders/>
            <w:shd w:fill="E5E5E5" w:val="clear"/>
            <w:vAlign w:val="center"/>
          </w:tcPr>
          <w:p>
            <w:pPr>
              <w:pStyle w:val="TableContents"/>
              <w:bidi w:val="0"/>
              <w:spacing w:before="0" w:after="283"/>
              <w:jc w:val="left"/>
              <w:rPr/>
            </w:pPr>
            <w:r>
              <w:rPr/>
              <w:t> </w:t>
            </w:r>
          </w:p>
        </w:tc>
        <w:tc>
          <w:tcPr>
            <w:tcW w:w="1317" w:type="dxa"/>
            <w:tcBorders/>
            <w:shd w:fill="E5E5E5" w:val="clear"/>
            <w:vAlign w:val="center"/>
          </w:tcPr>
          <w:p>
            <w:pPr>
              <w:pStyle w:val="TableContents"/>
              <w:bidi w:val="0"/>
              <w:spacing w:before="0" w:after="283"/>
              <w:jc w:val="right"/>
              <w:rPr/>
            </w:pPr>
            <w:r>
              <w:rPr/>
              <w:t>$17,616</w:t>
            </w:r>
          </w:p>
        </w:tc>
        <w:tc>
          <w:tcPr>
            <w:tcW w:w="170" w:type="dxa"/>
            <w:tcBorders/>
            <w:shd w:fill="E5E5E5"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pBdr>
                <w:top w:val="double" w:sz="6" w:space="1" w:color="000000"/>
              </w:pBdr>
              <w:bidi w:val="0"/>
              <w:spacing w:before="0" w:after="0"/>
              <w:jc w:val="left"/>
              <w:rPr/>
            </w:pPr>
            <w:r>
              <w:rPr/>
              <w:t> </w:t>
            </w:r>
          </w:p>
        </w:tc>
        <w:tc>
          <w:tcPr>
            <w:tcW w:w="1317"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r>
      <w:tr>
        <w:trPr/>
        <w:tc>
          <w:tcPr>
            <w:tcW w:w="4610" w:type="dxa"/>
            <w:tcBorders/>
            <w:vAlign w:val="center"/>
          </w:tcPr>
          <w:p>
            <w:pPr>
              <w:pStyle w:val="TableContents"/>
              <w:bidi w:val="0"/>
              <w:spacing w:before="0" w:after="0"/>
              <w:jc w:val="left"/>
              <w:rPr>
                <w:rFonts w:ascii="ARIAL" w:hAnsi="ARIAL"/>
                <w:sz w:val="18"/>
              </w:rPr>
            </w:pPr>
            <w:r>
              <w:rPr>
                <w:rFonts w:ascii="ARIAL" w:hAnsi="ARIAL"/>
                <w:sz w:val="18"/>
              </w:rPr>
              <w:t>Add/deduct:</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10" w:type="dxa"/>
            <w:tcBorders/>
            <w:shd w:fill="E5E5E5" w:val="clear"/>
            <w:vAlign w:val="center"/>
          </w:tcPr>
          <w:p>
            <w:pPr>
              <w:pStyle w:val="TableContents"/>
              <w:bidi w:val="0"/>
              <w:spacing w:before="0" w:after="283"/>
              <w:jc w:val="left"/>
              <w:rPr>
                <w:sz w:val="4"/>
                <w:szCs w:val="4"/>
              </w:rPr>
            </w:pPr>
            <w:r>
              <w:rPr>
                <w:sz w:val="4"/>
                <w:szCs w:val="4"/>
              </w:rPr>
            </w:r>
          </w:p>
        </w:tc>
        <w:tc>
          <w:tcPr>
            <w:tcW w:w="170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4610" w:type="dxa"/>
            <w:tcBorders/>
            <w:shd w:fill="E5E5E5" w:val="clear"/>
            <w:vAlign w:val="center"/>
          </w:tcPr>
          <w:p>
            <w:pPr>
              <w:pStyle w:val="TableContents"/>
              <w:bidi w:val="0"/>
              <w:spacing w:before="0" w:after="0"/>
              <w:jc w:val="left"/>
              <w:rPr>
                <w:rFonts w:ascii="ARIAL" w:hAnsi="ARIAL"/>
                <w:sz w:val="18"/>
              </w:rPr>
            </w:pPr>
            <w:r>
              <w:rPr>
                <w:rFonts w:ascii="ARIAL" w:hAnsi="ARIAL"/>
                <w:sz w:val="18"/>
              </w:rPr>
              <w:t>Currency impact</w:t>
            </w:r>
          </w:p>
        </w:tc>
        <w:tc>
          <w:tcPr>
            <w:tcW w:w="120" w:type="dxa"/>
            <w:tcBorders/>
            <w:shd w:fill="E5E5E5" w:val="clear"/>
            <w:vAlign w:val="center"/>
          </w:tcPr>
          <w:p>
            <w:pPr>
              <w:pStyle w:val="TableContents"/>
              <w:bidi w:val="0"/>
              <w:spacing w:before="0" w:after="283"/>
              <w:jc w:val="left"/>
              <w:rPr/>
            </w:pPr>
            <w:r>
              <w:rPr/>
              <w:t>  </w:t>
            </w:r>
          </w:p>
        </w:tc>
        <w:tc>
          <w:tcPr>
            <w:tcW w:w="98" w:type="dxa"/>
            <w:tcBorders/>
            <w:shd w:fill="E5E5E5" w:val="clear"/>
            <w:vAlign w:val="center"/>
          </w:tcPr>
          <w:p>
            <w:pPr>
              <w:pStyle w:val="TableContents"/>
              <w:bidi w:val="0"/>
              <w:spacing w:before="0" w:after="283"/>
              <w:jc w:val="left"/>
              <w:rPr/>
            </w:pPr>
            <w:r>
              <w:rPr/>
              <w:t> </w:t>
            </w:r>
          </w:p>
        </w:tc>
        <w:tc>
          <w:tcPr>
            <w:tcW w:w="1317" w:type="dxa"/>
            <w:tcBorders/>
            <w:shd w:fill="E5E5E5" w:val="clear"/>
            <w:vAlign w:val="center"/>
          </w:tcPr>
          <w:p>
            <w:pPr>
              <w:pStyle w:val="TableContents"/>
              <w:bidi w:val="0"/>
              <w:spacing w:before="0" w:after="283"/>
              <w:jc w:val="right"/>
              <w:rPr/>
            </w:pPr>
            <w:r>
              <w:rPr/>
              <w:t>806</w:t>
            </w:r>
          </w:p>
        </w:tc>
        <w:tc>
          <w:tcPr>
            <w:tcW w:w="170" w:type="dxa"/>
            <w:tcBorders/>
            <w:shd w:fill="E5E5E5"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r>
      <w:tr>
        <w:trPr/>
        <w:tc>
          <w:tcPr>
            <w:tcW w:w="4610" w:type="dxa"/>
            <w:tcBorders/>
            <w:vAlign w:val="center"/>
          </w:tcPr>
          <w:p>
            <w:pPr>
              <w:pStyle w:val="TableContents"/>
              <w:bidi w:val="0"/>
              <w:spacing w:before="0" w:after="0"/>
              <w:jc w:val="left"/>
              <w:rPr>
                <w:rFonts w:ascii="ARIAL" w:hAnsi="ARIAL"/>
                <w:sz w:val="18"/>
              </w:rPr>
            </w:pPr>
            <w:r>
              <w:rPr>
                <w:rFonts w:ascii="ARIAL" w:hAnsi="ARIAL"/>
                <w:sz w:val="18"/>
              </w:rPr>
              <w:t>Cash disbursed for Oyster Point and Famy Life Sciences</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(703</w:t>
            </w:r>
          </w:p>
        </w:tc>
        <w:tc>
          <w:tcPr>
            <w:tcW w:w="170" w:type="dxa"/>
            <w:tcBorders/>
            <w:vAlign w:val="center"/>
          </w:tcPr>
          <w:p>
            <w:pPr>
              <w:pStyle w:val="TableContents"/>
              <w:bidi w:val="0"/>
              <w:spacing w:before="0" w:after="283"/>
              <w:jc w:val="left"/>
              <w:rPr/>
            </w:pPr>
            <w:r>
              <w:rPr/>
              <w:t>) </w:t>
            </w:r>
          </w:p>
        </w:tc>
      </w:tr>
      <w:tr>
        <w:trPr/>
        <w:tc>
          <w:tcPr>
            <w:tcW w:w="4610" w:type="dxa"/>
            <w:tcBorders/>
            <w:shd w:fill="E5E5E5" w:val="clear"/>
            <w:vAlign w:val="center"/>
          </w:tcPr>
          <w:p>
            <w:pPr>
              <w:pStyle w:val="TableContents"/>
              <w:bidi w:val="0"/>
              <w:spacing w:before="0" w:after="283"/>
              <w:jc w:val="left"/>
              <w:rPr>
                <w:sz w:val="4"/>
                <w:szCs w:val="4"/>
              </w:rPr>
            </w:pPr>
            <w:r>
              <w:rPr>
                <w:sz w:val="4"/>
                <w:szCs w:val="4"/>
              </w:rPr>
            </w:r>
          </w:p>
        </w:tc>
        <w:tc>
          <w:tcPr>
            <w:tcW w:w="170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4610" w:type="dxa"/>
            <w:tcBorders/>
            <w:shd w:fill="E5E5E5" w:val="clear"/>
            <w:vAlign w:val="center"/>
          </w:tcPr>
          <w:p>
            <w:pPr>
              <w:pStyle w:val="TableContents"/>
              <w:bidi w:val="0"/>
              <w:spacing w:before="0" w:after="0"/>
              <w:jc w:val="left"/>
              <w:rPr>
                <w:rFonts w:ascii="ARIAL" w:hAnsi="ARIAL"/>
                <w:sz w:val="18"/>
              </w:rPr>
            </w:pPr>
            <w:r>
              <w:rPr>
                <w:rFonts w:ascii="ARIAL" w:hAnsi="ARIAL"/>
                <w:sz w:val="18"/>
              </w:rPr>
              <w:t>Share repurchase costs in 2023</w:t>
            </w:r>
          </w:p>
        </w:tc>
        <w:tc>
          <w:tcPr>
            <w:tcW w:w="120" w:type="dxa"/>
            <w:tcBorders/>
            <w:shd w:fill="E5E5E5" w:val="clear"/>
            <w:vAlign w:val="center"/>
          </w:tcPr>
          <w:p>
            <w:pPr>
              <w:pStyle w:val="TableContents"/>
              <w:bidi w:val="0"/>
              <w:spacing w:before="0" w:after="283"/>
              <w:jc w:val="left"/>
              <w:rPr/>
            </w:pPr>
            <w:r>
              <w:rPr/>
              <w:t>  </w:t>
            </w:r>
          </w:p>
        </w:tc>
        <w:tc>
          <w:tcPr>
            <w:tcW w:w="98" w:type="dxa"/>
            <w:tcBorders/>
            <w:shd w:fill="E5E5E5" w:val="clear"/>
            <w:vAlign w:val="center"/>
          </w:tcPr>
          <w:p>
            <w:pPr>
              <w:pStyle w:val="TableContents"/>
              <w:bidi w:val="0"/>
              <w:spacing w:before="0" w:after="283"/>
              <w:jc w:val="left"/>
              <w:rPr/>
            </w:pPr>
            <w:r>
              <w:rPr/>
              <w:t> </w:t>
            </w:r>
          </w:p>
        </w:tc>
        <w:tc>
          <w:tcPr>
            <w:tcW w:w="1317" w:type="dxa"/>
            <w:tcBorders/>
            <w:shd w:fill="E5E5E5" w:val="clear"/>
            <w:vAlign w:val="center"/>
          </w:tcPr>
          <w:p>
            <w:pPr>
              <w:pStyle w:val="TableContents"/>
              <w:bidi w:val="0"/>
              <w:spacing w:before="0" w:after="283"/>
              <w:jc w:val="right"/>
              <w:rPr/>
            </w:pPr>
            <w:r>
              <w:rPr/>
              <w:t>(250</w:t>
            </w:r>
          </w:p>
        </w:tc>
        <w:tc>
          <w:tcPr>
            <w:tcW w:w="170" w:type="dxa"/>
            <w:tcBorders/>
            <w:shd w:fill="E5E5E5"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r>
      <w:tr>
        <w:trPr/>
        <w:tc>
          <w:tcPr>
            <w:tcW w:w="4610" w:type="dxa"/>
            <w:tcBorders/>
            <w:vAlign w:val="center"/>
          </w:tcPr>
          <w:p>
            <w:pPr>
              <w:pStyle w:val="TableContents"/>
              <w:bidi w:val="0"/>
              <w:spacing w:before="0" w:after="0"/>
              <w:jc w:val="left"/>
              <w:rPr>
                <w:rFonts w:ascii="ARIAL" w:hAnsi="ARIAL"/>
                <w:sz w:val="18"/>
              </w:rPr>
            </w:pPr>
            <w:r>
              <w:rPr>
                <w:rFonts w:ascii="ARIAL" w:hAnsi="ARIAL"/>
                <w:sz w:val="18"/>
              </w:rPr>
              <w:t>Acquired IPR&amp;D costs</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(207</w:t>
            </w:r>
          </w:p>
        </w:tc>
        <w:tc>
          <w:tcPr>
            <w:tcW w:w="170" w:type="dxa"/>
            <w:tcBorders/>
            <w:vAlign w:val="center"/>
          </w:tcPr>
          <w:p>
            <w:pPr>
              <w:pStyle w:val="TableContents"/>
              <w:bidi w:val="0"/>
              <w:spacing w:before="0" w:after="283"/>
              <w:jc w:val="left"/>
              <w:rPr/>
            </w:pPr>
            <w:r>
              <w:rPr/>
              <w:t>) </w:t>
            </w:r>
          </w:p>
        </w:tc>
      </w:tr>
      <w:tr>
        <w:trPr/>
        <w:tc>
          <w:tcPr>
            <w:tcW w:w="4610" w:type="dxa"/>
            <w:tcBorders/>
            <w:shd w:fill="E5E5E5" w:val="clear"/>
            <w:vAlign w:val="center"/>
          </w:tcPr>
          <w:p>
            <w:pPr>
              <w:pStyle w:val="TableContents"/>
              <w:bidi w:val="0"/>
              <w:spacing w:before="0" w:after="283"/>
              <w:jc w:val="left"/>
              <w:rPr>
                <w:sz w:val="4"/>
                <w:szCs w:val="4"/>
              </w:rPr>
            </w:pPr>
            <w:r>
              <w:rPr>
                <w:sz w:val="4"/>
                <w:szCs w:val="4"/>
              </w:rPr>
            </w:r>
          </w:p>
        </w:tc>
        <w:tc>
          <w:tcPr>
            <w:tcW w:w="170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4610" w:type="dxa"/>
            <w:tcBorders/>
            <w:shd w:fill="E5E5E5" w:val="clear"/>
            <w:vAlign w:val="center"/>
          </w:tcPr>
          <w:p>
            <w:pPr>
              <w:pStyle w:val="TableContents"/>
              <w:bidi w:val="0"/>
              <w:spacing w:before="0" w:after="0"/>
              <w:jc w:val="left"/>
              <w:rPr>
                <w:rFonts w:ascii="ARIAL" w:hAnsi="ARIAL"/>
                <w:sz w:val="18"/>
              </w:rPr>
            </w:pPr>
            <w:r>
              <w:rPr>
                <w:rFonts w:ascii="ARIAL" w:hAnsi="ARIAL"/>
                <w:sz w:val="18"/>
              </w:rPr>
              <w:t>Transaction-related one-time costs and taxes</w:t>
            </w:r>
          </w:p>
        </w:tc>
        <w:tc>
          <w:tcPr>
            <w:tcW w:w="120" w:type="dxa"/>
            <w:tcBorders/>
            <w:shd w:fill="E5E5E5" w:val="clear"/>
            <w:vAlign w:val="center"/>
          </w:tcPr>
          <w:p>
            <w:pPr>
              <w:pStyle w:val="TableContents"/>
              <w:bidi w:val="0"/>
              <w:spacing w:before="0" w:after="283"/>
              <w:jc w:val="left"/>
              <w:rPr/>
            </w:pPr>
            <w:r>
              <w:rPr/>
              <w:t>  </w:t>
            </w:r>
          </w:p>
        </w:tc>
        <w:tc>
          <w:tcPr>
            <w:tcW w:w="98" w:type="dxa"/>
            <w:tcBorders/>
            <w:shd w:fill="E5E5E5" w:val="clear"/>
            <w:vAlign w:val="center"/>
          </w:tcPr>
          <w:p>
            <w:pPr>
              <w:pStyle w:val="TableContents"/>
              <w:bidi w:val="0"/>
              <w:spacing w:before="0" w:after="283"/>
              <w:jc w:val="left"/>
              <w:rPr/>
            </w:pPr>
            <w:r>
              <w:rPr/>
              <w:t> </w:t>
            </w:r>
          </w:p>
        </w:tc>
        <w:tc>
          <w:tcPr>
            <w:tcW w:w="1317" w:type="dxa"/>
            <w:tcBorders/>
            <w:shd w:fill="E5E5E5" w:val="clear"/>
            <w:vAlign w:val="center"/>
          </w:tcPr>
          <w:p>
            <w:pPr>
              <w:pStyle w:val="TableContents"/>
              <w:bidi w:val="0"/>
              <w:spacing w:before="0" w:after="283"/>
              <w:jc w:val="right"/>
              <w:rPr/>
            </w:pPr>
            <w:r>
              <w:rPr/>
              <w:t>(204</w:t>
            </w:r>
          </w:p>
        </w:tc>
        <w:tc>
          <w:tcPr>
            <w:tcW w:w="170" w:type="dxa"/>
            <w:tcBorders/>
            <w:shd w:fill="E5E5E5"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r>
      <w:tr>
        <w:trPr/>
        <w:tc>
          <w:tcPr>
            <w:tcW w:w="4610" w:type="dxa"/>
            <w:tcBorders/>
            <w:vAlign w:val="center"/>
          </w:tcPr>
          <w:p>
            <w:pPr>
              <w:pStyle w:val="TableContents"/>
              <w:bidi w:val="0"/>
              <w:spacing w:before="0" w:after="0"/>
              <w:jc w:val="left"/>
              <w:rPr>
                <w:rFonts w:ascii="ARIAL" w:hAnsi="ARIAL"/>
                <w:sz w:val="18"/>
              </w:rPr>
            </w:pPr>
            <w:r>
              <w:rPr>
                <w:rFonts w:ascii="ARIAL" w:hAnsi="ARIAL"/>
                <w:sz w:val="18"/>
              </w:rPr>
              <w:t>Excess balance sheet cash</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(494</w:t>
            </w:r>
          </w:p>
        </w:tc>
        <w:tc>
          <w:tcPr>
            <w:tcW w:w="170" w:type="dxa"/>
            <w:tcBorders/>
            <w:vAlign w:val="center"/>
          </w:tcPr>
          <w:p>
            <w:pPr>
              <w:pStyle w:val="TableContents"/>
              <w:bidi w:val="0"/>
              <w:spacing w:before="0" w:after="283"/>
              <w:jc w:val="left"/>
              <w:rPr/>
            </w:pPr>
            <w:r>
              <w:rPr/>
              <w:t>) </w:t>
            </w:r>
          </w:p>
        </w:tc>
      </w:tr>
      <w:tr>
        <w:trPr/>
        <w:tc>
          <w:tcPr>
            <w:tcW w:w="4610" w:type="dxa"/>
            <w:tcBorders/>
            <w:shd w:fill="E5E5E5" w:val="clear"/>
            <w:vAlign w:val="center"/>
          </w:tcPr>
          <w:p>
            <w:pPr>
              <w:pStyle w:val="TableContents"/>
              <w:bidi w:val="0"/>
              <w:spacing w:before="0" w:after="283"/>
              <w:jc w:val="left"/>
              <w:rPr>
                <w:sz w:val="4"/>
                <w:szCs w:val="4"/>
              </w:rPr>
            </w:pPr>
            <w:r>
              <w:rPr>
                <w:sz w:val="4"/>
                <w:szCs w:val="4"/>
              </w:rPr>
            </w:r>
          </w:p>
        </w:tc>
        <w:tc>
          <w:tcPr>
            <w:tcW w:w="170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4610" w:type="dxa"/>
            <w:tcBorders/>
            <w:shd w:fill="E5E5E5" w:val="clear"/>
            <w:vAlign w:val="center"/>
          </w:tcPr>
          <w:p>
            <w:pPr>
              <w:pStyle w:val="TableContents"/>
              <w:bidi w:val="0"/>
              <w:spacing w:before="0" w:after="0"/>
              <w:jc w:val="left"/>
              <w:rPr>
                <w:rFonts w:ascii="ARIAL" w:hAnsi="ARIAL"/>
                <w:sz w:val="18"/>
              </w:rPr>
            </w:pPr>
            <w:r>
              <w:rPr>
                <w:rFonts w:ascii="ARIAL" w:hAnsi="ARIAL"/>
                <w:sz w:val="18"/>
              </w:rPr>
              <w:t>Oyster Point net operating cash outflows</w:t>
            </w:r>
          </w:p>
        </w:tc>
        <w:tc>
          <w:tcPr>
            <w:tcW w:w="120" w:type="dxa"/>
            <w:tcBorders/>
            <w:shd w:fill="E5E5E5" w:val="clear"/>
            <w:vAlign w:val="center"/>
          </w:tcPr>
          <w:p>
            <w:pPr>
              <w:pStyle w:val="TableContents"/>
              <w:bidi w:val="0"/>
              <w:spacing w:before="0" w:after="283"/>
              <w:jc w:val="left"/>
              <w:rPr/>
            </w:pPr>
            <w:r>
              <w:rPr/>
              <w:t>  </w:t>
            </w:r>
          </w:p>
        </w:tc>
        <w:tc>
          <w:tcPr>
            <w:tcW w:w="98" w:type="dxa"/>
            <w:tcBorders/>
            <w:shd w:fill="E5E5E5" w:val="clear"/>
            <w:vAlign w:val="center"/>
          </w:tcPr>
          <w:p>
            <w:pPr>
              <w:pStyle w:val="TableContents"/>
              <w:bidi w:val="0"/>
              <w:spacing w:before="0" w:after="283"/>
              <w:jc w:val="left"/>
              <w:rPr/>
            </w:pPr>
            <w:r>
              <w:rPr/>
              <w:t> </w:t>
            </w:r>
          </w:p>
        </w:tc>
        <w:tc>
          <w:tcPr>
            <w:tcW w:w="1317" w:type="dxa"/>
            <w:tcBorders/>
            <w:shd w:fill="E5E5E5" w:val="clear"/>
            <w:vAlign w:val="center"/>
          </w:tcPr>
          <w:p>
            <w:pPr>
              <w:pStyle w:val="TableContents"/>
              <w:bidi w:val="0"/>
              <w:spacing w:before="0" w:after="283"/>
              <w:jc w:val="right"/>
              <w:rPr/>
            </w:pPr>
            <w:r>
              <w:rPr/>
              <w:t>(111</w:t>
            </w:r>
          </w:p>
        </w:tc>
        <w:tc>
          <w:tcPr>
            <w:tcW w:w="170" w:type="dxa"/>
            <w:tcBorders/>
            <w:shd w:fill="E5E5E5"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pBdr>
                <w:top w:val="single" w:sz="2" w:space="1" w:color="000000"/>
              </w:pBdr>
              <w:bidi w:val="0"/>
              <w:spacing w:before="0" w:after="0"/>
              <w:jc w:val="left"/>
              <w:rPr/>
            </w:pPr>
            <w:r>
              <w:rPr/>
              <w:t> </w:t>
            </w:r>
          </w:p>
        </w:tc>
        <w:tc>
          <w:tcPr>
            <w:tcW w:w="131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r>
      <w:tr>
        <w:trPr/>
        <w:tc>
          <w:tcPr>
            <w:tcW w:w="4610" w:type="dxa"/>
            <w:tcBorders/>
            <w:vAlign w:val="center"/>
          </w:tcPr>
          <w:p>
            <w:pPr>
              <w:pStyle w:val="TableContents"/>
              <w:bidi w:val="0"/>
              <w:spacing w:before="0" w:after="0"/>
              <w:jc w:val="left"/>
              <w:rPr>
                <w:rFonts w:ascii="ARIAL" w:hAnsi="ARIAL"/>
                <w:sz w:val="18"/>
              </w:rPr>
            </w:pPr>
            <w:r>
              <w:rPr>
                <w:rFonts w:ascii="ARIAL" w:hAnsi="ARIAL"/>
                <w:sz w:val="18"/>
              </w:rPr>
              <w:t>Total debt at notional amounts (for 2021-2023 PRSUs)</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$16,453</w:t>
            </w:r>
          </w:p>
        </w:tc>
        <w:tc>
          <w:tcPr>
            <w:tcW w:w="17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pBdr>
                <w:top w:val="double" w:sz="6" w:space="1" w:color="000000"/>
              </w:pBdr>
              <w:bidi w:val="0"/>
              <w:spacing w:before="0" w:after="0"/>
              <w:jc w:val="left"/>
              <w:rPr/>
            </w:pPr>
            <w:r>
              <w:rPr/>
              <w:t> </w:t>
            </w:r>
          </w:p>
        </w:tc>
        <w:tc>
          <w:tcPr>
            <w:tcW w:w="1317"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61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8" w:type="dxa"/>
            <w:tcBorders/>
            <w:shd w:fill="E5E5E5" w:val="clear"/>
            <w:vAlign w:val="center"/>
          </w:tcPr>
          <w:p>
            <w:pPr>
              <w:pStyle w:val="TableContents"/>
              <w:bidi w:val="0"/>
              <w:spacing w:before="0" w:after="283"/>
              <w:jc w:val="left"/>
              <w:rPr>
                <w:sz w:val="4"/>
                <w:szCs w:val="4"/>
              </w:rPr>
            </w:pPr>
            <w:r>
              <w:rPr>
                <w:sz w:val="4"/>
                <w:szCs w:val="4"/>
              </w:rPr>
            </w:r>
          </w:p>
        </w:tc>
        <w:tc>
          <w:tcPr>
            <w:tcW w:w="1317" w:type="dxa"/>
            <w:tcBorders/>
            <w:shd w:fill="E5E5E5" w:val="clear"/>
            <w:vAlign w:val="center"/>
          </w:tcPr>
          <w:p>
            <w:pPr>
              <w:pStyle w:val="TableContents"/>
              <w:bidi w:val="0"/>
              <w:spacing w:before="0" w:after="283"/>
              <w:jc w:val="left"/>
              <w:rPr>
                <w:sz w:val="4"/>
                <w:szCs w:val="4"/>
              </w:rPr>
            </w:pPr>
            <w:r>
              <w:rPr>
                <w:sz w:val="4"/>
                <w:szCs w:val="4"/>
              </w:rPr>
            </w:r>
          </w:p>
        </w:tc>
        <w:tc>
          <w:tcPr>
            <w:tcW w:w="170" w:type="dxa"/>
            <w:tcBorders/>
            <w:shd w:fill="E5E5E5" w:val="clear"/>
            <w:vAlign w:val="center"/>
          </w:tcPr>
          <w:p>
            <w:pPr>
              <w:pStyle w:val="TableContents"/>
              <w:bidi w:val="0"/>
              <w:spacing w:before="0" w:after="283"/>
              <w:jc w:val="left"/>
              <w:rPr>
                <w:sz w:val="4"/>
                <w:szCs w:val="4"/>
              </w:rPr>
            </w:pPr>
            <w:r>
              <w:rPr>
                <w:sz w:val="4"/>
                <w:szCs w:val="4"/>
              </w:rPr>
            </w:r>
          </w:p>
        </w:tc>
      </w:tr>
      <w:tr>
        <w:trPr/>
        <w:tc>
          <w:tcPr>
            <w:tcW w:w="4610" w:type="dxa"/>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r>
      <w:tr>
        <w:trPr/>
        <w:tc>
          <w:tcPr>
            <w:tcW w:w="4610" w:type="dxa"/>
            <w:tcBorders/>
            <w:vAlign w:val="center"/>
          </w:tcPr>
          <w:p>
            <w:pPr>
              <w:pStyle w:val="TableContents"/>
              <w:bidi w:val="0"/>
              <w:spacing w:before="0" w:after="0"/>
              <w:jc w:val="left"/>
              <w:rPr>
                <w:rFonts w:ascii="ARIAL" w:hAnsi="ARIAL"/>
                <w:sz w:val="18"/>
              </w:rPr>
            </w:pPr>
            <w:r>
              <w:rPr>
                <w:rFonts w:ascii="ARIAL" w:hAnsi="ARIAL"/>
                <w:sz w:val="18"/>
              </w:rPr>
              <w:t>Gross leverage ratio (as reported)</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3.4x</w:t>
            </w:r>
          </w:p>
        </w:tc>
        <w:tc>
          <w:tcPr>
            <w:tcW w:w="170" w:type="dxa"/>
            <w:tcBorders/>
            <w:vAlign w:val="center"/>
          </w:tcPr>
          <w:p>
            <w:pPr>
              <w:pStyle w:val="TableContents"/>
              <w:bidi w:val="0"/>
              <w:spacing w:before="0" w:after="283"/>
              <w:jc w:val="left"/>
              <w:rPr/>
            </w:pPr>
            <w:r>
              <w:rPr/>
              <w:t> </w:t>
            </w:r>
          </w:p>
        </w:tc>
      </w:tr>
      <w:tr>
        <w:trPr/>
        <w:tc>
          <w:tcPr>
            <w:tcW w:w="4610" w:type="dxa"/>
            <w:tcBorders/>
            <w:shd w:fill="E5E5E5" w:val="clear"/>
            <w:vAlign w:val="center"/>
          </w:tcPr>
          <w:p>
            <w:pPr>
              <w:pStyle w:val="TableContents"/>
              <w:bidi w:val="0"/>
              <w:spacing w:before="0" w:after="283"/>
              <w:jc w:val="left"/>
              <w:rPr>
                <w:sz w:val="4"/>
                <w:szCs w:val="4"/>
              </w:rPr>
            </w:pPr>
            <w:r>
              <w:rPr>
                <w:sz w:val="4"/>
                <w:szCs w:val="4"/>
              </w:rPr>
            </w:r>
          </w:p>
        </w:tc>
        <w:tc>
          <w:tcPr>
            <w:tcW w:w="170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4610" w:type="dxa"/>
            <w:tcBorders>
              <w:bottom w:val="single" w:sz="8" w:space="0" w:color="732282"/>
            </w:tcBorders>
            <w:shd w:fill="E5E5E5" w:val="clear"/>
            <w:tcMar>
              <w:bottom w:w="80" w:type="dxa"/>
            </w:tcMar>
            <w:vAlign w:val="center"/>
          </w:tcPr>
          <w:p>
            <w:pPr>
              <w:pStyle w:val="TableContents"/>
              <w:bidi w:val="0"/>
              <w:spacing w:before="0" w:after="0"/>
              <w:jc w:val="left"/>
              <w:rPr>
                <w:rFonts w:ascii="ARIAL" w:hAnsi="ARIAL"/>
                <w:sz w:val="18"/>
              </w:rPr>
            </w:pPr>
            <w:r>
              <w:rPr>
                <w:rFonts w:ascii="ARIAL" w:hAnsi="ARIAL"/>
                <w:sz w:val="18"/>
              </w:rPr>
              <w:t>Gross leverage ratio (for 2021-2023 PRSUs)</w:t>
            </w:r>
          </w:p>
        </w:tc>
        <w:tc>
          <w:tcPr>
            <w:tcW w:w="120" w:type="dxa"/>
            <w:tcBorders>
              <w:bottom w:val="single" w:sz="8" w:space="0" w:color="732282"/>
            </w:tcBorders>
            <w:shd w:fill="E5E5E5" w:val="clear"/>
            <w:tcMar>
              <w:bottom w:w="28" w:type="dxa"/>
            </w:tcMar>
            <w:vAlign w:val="center"/>
          </w:tcPr>
          <w:p>
            <w:pPr>
              <w:pStyle w:val="TableContents"/>
              <w:bidi w:val="0"/>
              <w:spacing w:before="0" w:after="283"/>
              <w:jc w:val="left"/>
              <w:rPr/>
            </w:pPr>
            <w:r>
              <w:rPr/>
              <w:t>  </w:t>
            </w:r>
          </w:p>
        </w:tc>
        <w:tc>
          <w:tcPr>
            <w:tcW w:w="98" w:type="dxa"/>
            <w:tcBorders>
              <w:bottom w:val="single" w:sz="8" w:space="0" w:color="732282"/>
            </w:tcBorders>
            <w:shd w:fill="E5E5E5" w:val="clear"/>
            <w:tcMar>
              <w:bottom w:w="80" w:type="dxa"/>
            </w:tcMar>
            <w:vAlign w:val="center"/>
          </w:tcPr>
          <w:p>
            <w:pPr>
              <w:pStyle w:val="TableContents"/>
              <w:bidi w:val="0"/>
              <w:spacing w:before="0" w:after="283"/>
              <w:jc w:val="left"/>
              <w:rPr/>
            </w:pPr>
            <w:r>
              <w:rPr/>
              <w:t> </w:t>
            </w:r>
          </w:p>
        </w:tc>
        <w:tc>
          <w:tcPr>
            <w:tcW w:w="1317" w:type="dxa"/>
            <w:tcBorders>
              <w:bottom w:val="single" w:sz="8" w:space="0" w:color="732282"/>
            </w:tcBorders>
            <w:shd w:fill="E5E5E5" w:val="clear"/>
            <w:tcMar>
              <w:bottom w:w="80" w:type="dxa"/>
            </w:tcMar>
            <w:vAlign w:val="center"/>
          </w:tcPr>
          <w:p>
            <w:pPr>
              <w:pStyle w:val="TableContents"/>
              <w:bidi w:val="0"/>
              <w:spacing w:before="0" w:after="283"/>
              <w:jc w:val="right"/>
              <w:rPr/>
            </w:pPr>
            <w:r>
              <w:rPr/>
              <w:t>2.84x</w:t>
            </w:r>
          </w:p>
        </w:tc>
        <w:tc>
          <w:tcPr>
            <w:tcW w:w="170" w:type="dxa"/>
            <w:tcBorders>
              <w:bottom w:val="single" w:sz="8" w:space="0" w:color="732282"/>
            </w:tcBorders>
            <w:shd w:fill="E5E5E5" w:val="clear"/>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A-4 </w:t>
      </w:r>
    </w:p>
    <w:p>
      <w:pPr>
        <w:pStyle w:val="TextBody"/>
        <w:bidi w:val="0"/>
        <w:spacing w:before="0" w:after="0"/>
        <w:jc w:val="right"/>
        <w:rPr>
          <w:rFonts w:ascii="ARIAL" w:hAnsi="ARIAL"/>
          <w:b/>
          <w:sz w:val="20"/>
        </w:rPr>
      </w:pPr>
      <w:bookmarkStart w:id="10" w:name="d758146dex311.htm"/>
      <w:bookmarkStart w:id="11" w:name="ksd758146dex311"/>
      <w:bookmarkEnd w:id="10"/>
      <w:bookmarkEnd w:id="11"/>
      <w:r>
        <w:rPr>
          <w:rFonts w:ascii="ARIAL" w:hAnsi="ARIAL"/>
          <w:b/>
          <w:sz w:val="20"/>
        </w:rPr>
        <w:t xml:space="preserve">Exhibit 31.1 </w:t>
      </w:r>
      <w:r>
        <w:br w:type="page"/>
      </w:r>
    </w:p>
    <w:p>
      <w:pPr>
        <w:pStyle w:val="TextBody"/>
        <w:bidi w:val="0"/>
        <w:spacing w:before="240" w:after="0"/>
        <w:jc w:val="center"/>
        <w:rPr>
          <w:rFonts w:ascii="ARIAL" w:hAnsi="ARIAL"/>
          <w:b/>
          <w:sz w:val="20"/>
        </w:rPr>
      </w:pPr>
      <w:r>
        <w:rPr>
          <w:rFonts w:ascii="ARIAL" w:hAnsi="ARIAL"/>
          <w:b/>
          <w:sz w:val="20"/>
        </w:rPr>
        <w:t xml:space="preserve">Certification of Principal Executive Officer Pursuant to </w:t>
      </w:r>
    </w:p>
    <w:p>
      <w:pPr>
        <w:pStyle w:val="TextBody"/>
        <w:bidi w:val="0"/>
        <w:spacing w:before="0" w:after="0"/>
        <w:jc w:val="center"/>
        <w:rPr>
          <w:rFonts w:ascii="ARIAL" w:hAnsi="ARIAL"/>
          <w:b/>
          <w:sz w:val="20"/>
        </w:rPr>
      </w:pPr>
      <w:r>
        <w:rPr>
          <w:rFonts w:ascii="ARIAL" w:hAnsi="ARIAL"/>
          <w:b/>
          <w:sz w:val="20"/>
        </w:rPr>
        <w:t xml:space="preserve">Section 302 of the Sarbanes-Oxley Act of 2002 </w:t>
      </w:r>
    </w:p>
    <w:p>
      <w:pPr>
        <w:pStyle w:val="TextBody"/>
        <w:bidi w:val="0"/>
        <w:spacing w:before="240" w:after="0"/>
        <w:jc w:val="both"/>
        <w:rPr>
          <w:rFonts w:ascii="arial" w:hAnsi="arial"/>
          <w:sz w:val="18"/>
        </w:rPr>
      </w:pPr>
      <w:r>
        <w:rPr>
          <w:rFonts w:ascii="arial" w:hAnsi="arial"/>
          <w:sz w:val="18"/>
        </w:rPr>
        <w:t xml:space="preserve">I, Scott A. Smith, certify that: </w:t>
      </w:r>
    </w:p>
    <w:p>
      <w:pPr>
        <w:pStyle w:val="TextBody"/>
        <w:bidi w:val="0"/>
        <w:spacing w:before="240" w:after="0"/>
        <w:jc w:val="both"/>
        <w:rPr>
          <w:rFonts w:ascii="arial" w:hAnsi="arial"/>
          <w:sz w:val="18"/>
        </w:rPr>
      </w:pPr>
      <w:r>
        <w:rPr>
          <w:rFonts w:ascii="arial" w:hAnsi="arial"/>
          <w:sz w:val="18"/>
        </w:rPr>
        <w:t xml:space="preserve">1. I have reviewed this Form 10-K/A of Viatris Inc.; and </w:t>
      </w:r>
    </w:p>
    <w:p>
      <w:pPr>
        <w:pStyle w:val="TextBody"/>
        <w:bidi w:val="0"/>
        <w:spacing w:before="240" w:after="0"/>
        <w:jc w:val="both"/>
        <w:rPr>
          <w:rFonts w:ascii="arial" w:hAnsi="arial"/>
          <w:sz w:val="18"/>
        </w:rPr>
      </w:pPr>
      <w:r>
        <w:rPr>
          <w:rFonts w:ascii="arial" w:hAnsi="arial"/>
          <w:sz w:val="18"/>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ARIAL" w:hAnsi="ARIAL"/>
                <w:sz w:val="18"/>
              </w:rPr>
            </w:pPr>
            <w:r>
              <w:rPr>
                <w:rFonts w:ascii="ARIAL" w:hAnsi="ARIAL"/>
                <w:sz w:val="18"/>
              </w:rPr>
              <w:t>/s/ Scott A. Smith</w:t>
            </w:r>
          </w:p>
        </w:tc>
      </w:tr>
      <w:tr>
        <w:trPr/>
        <w:tc>
          <w:tcPr>
            <w:tcW w:w="4082" w:type="dxa"/>
            <w:tcBorders/>
            <w:vAlign w:val="bottom"/>
          </w:tcPr>
          <w:p>
            <w:pPr>
              <w:pStyle w:val="TableContents"/>
              <w:bidi w:val="0"/>
              <w:spacing w:before="0" w:after="283"/>
              <w:jc w:val="left"/>
              <w:rPr/>
            </w:pPr>
            <w:r>
              <w:rPr/>
              <w:t>Scott A. Smith</w:t>
            </w:r>
          </w:p>
        </w:tc>
      </w:tr>
      <w:tr>
        <w:trPr/>
        <w:tc>
          <w:tcPr>
            <w:tcW w:w="4082" w:type="dxa"/>
            <w:tcBorders/>
            <w:vAlign w:val="bottom"/>
          </w:tcPr>
          <w:p>
            <w:pPr>
              <w:pStyle w:val="TableContents"/>
              <w:bidi w:val="0"/>
              <w:spacing w:before="0" w:after="283"/>
              <w:jc w:val="left"/>
              <w:rPr/>
            </w:pPr>
            <w:r>
              <w:rPr/>
              <w:t>Chief Executive Officer</w:t>
            </w:r>
          </w:p>
        </w:tc>
      </w:tr>
      <w:tr>
        <w:trPr/>
        <w:tc>
          <w:tcPr>
            <w:tcW w:w="4082" w:type="dxa"/>
            <w:tcBorders/>
          </w:tcPr>
          <w:p>
            <w:pPr>
              <w:pStyle w:val="TableContents"/>
              <w:bidi w:val="0"/>
              <w:spacing w:before="0" w:after="283"/>
              <w:jc w:val="left"/>
              <w:rPr>
                <w:i/>
              </w:rPr>
            </w:pPr>
            <w:r>
              <w:rPr>
                <w:i/>
              </w:rPr>
              <w:t>(Principal Executive Officer)</w:t>
            </w:r>
          </w:p>
        </w:tc>
      </w:tr>
      <w:tr>
        <w:trPr/>
        <w:tc>
          <w:tcPr>
            <w:tcW w:w="4082" w:type="dxa"/>
            <w:tcBorders/>
            <w:vAlign w:val="bottom"/>
          </w:tcPr>
          <w:p>
            <w:pPr>
              <w:pStyle w:val="TableContents"/>
              <w:bidi w:val="0"/>
              <w:spacing w:before="0" w:after="283"/>
              <w:jc w:val="left"/>
              <w:rPr/>
            </w:pPr>
            <w:r>
              <w:rPr/>
              <w:t>Date: April 26, 2024</w:t>
            </w:r>
          </w:p>
        </w:tc>
      </w:tr>
    </w:tbl>
    <w:p>
      <w:pPr>
        <w:pStyle w:val="TextBody"/>
        <w:bidi w:val="0"/>
        <w:spacing w:before="0" w:after="0"/>
        <w:jc w:val="right"/>
        <w:rPr>
          <w:rFonts w:ascii="ARIAL" w:hAnsi="ARIAL"/>
          <w:b/>
          <w:sz w:val="20"/>
        </w:rPr>
      </w:pPr>
      <w:bookmarkStart w:id="12" w:name="d758146dex312.htm"/>
      <w:bookmarkStart w:id="13" w:name="ksd758146dex312"/>
      <w:bookmarkEnd w:id="12"/>
      <w:bookmarkEnd w:id="13"/>
      <w:r>
        <w:rPr>
          <w:rFonts w:ascii="ARIAL" w:hAnsi="ARIAL"/>
          <w:b/>
          <w:sz w:val="20"/>
        </w:rPr>
        <w:t xml:space="preserve">Exhibit 31.2 </w:t>
      </w:r>
      <w:r>
        <w:br w:type="page"/>
      </w:r>
    </w:p>
    <w:p>
      <w:pPr>
        <w:pStyle w:val="TextBody"/>
        <w:bidi w:val="0"/>
        <w:spacing w:before="240" w:after="0"/>
        <w:jc w:val="center"/>
        <w:rPr>
          <w:rFonts w:ascii="ARIAL" w:hAnsi="ARIAL"/>
          <w:b/>
          <w:sz w:val="20"/>
        </w:rPr>
      </w:pPr>
      <w:r>
        <w:rPr>
          <w:rFonts w:ascii="ARIAL" w:hAnsi="ARIAL"/>
          <w:b/>
          <w:sz w:val="20"/>
        </w:rPr>
        <w:t xml:space="preserve">Certification of Principal Financial Officer Pursuant to </w:t>
      </w:r>
    </w:p>
    <w:p>
      <w:pPr>
        <w:pStyle w:val="TextBody"/>
        <w:bidi w:val="0"/>
        <w:spacing w:before="0" w:after="0"/>
        <w:jc w:val="center"/>
        <w:rPr>
          <w:rFonts w:ascii="ARIAL" w:hAnsi="ARIAL"/>
          <w:b/>
          <w:sz w:val="20"/>
        </w:rPr>
      </w:pPr>
      <w:r>
        <w:rPr>
          <w:rFonts w:ascii="ARIAL" w:hAnsi="ARIAL"/>
          <w:b/>
          <w:sz w:val="20"/>
        </w:rPr>
        <w:t xml:space="preserve">Section 302 of the Sarbanes-Oxley Act of 2002 </w:t>
      </w:r>
    </w:p>
    <w:p>
      <w:pPr>
        <w:pStyle w:val="TextBody"/>
        <w:bidi w:val="0"/>
        <w:spacing w:before="240" w:after="0"/>
        <w:jc w:val="both"/>
        <w:rPr>
          <w:rFonts w:ascii="arial" w:hAnsi="arial"/>
          <w:sz w:val="18"/>
        </w:rPr>
      </w:pPr>
      <w:r>
        <w:rPr>
          <w:rFonts w:ascii="arial" w:hAnsi="arial"/>
          <w:sz w:val="18"/>
        </w:rPr>
        <w:t xml:space="preserve">I, Theodora Mistras, certify that: </w:t>
      </w:r>
    </w:p>
    <w:p>
      <w:pPr>
        <w:pStyle w:val="TextBody"/>
        <w:bidi w:val="0"/>
        <w:spacing w:before="240" w:after="0"/>
        <w:jc w:val="both"/>
        <w:rPr>
          <w:rFonts w:ascii="arial" w:hAnsi="arial"/>
          <w:sz w:val="18"/>
        </w:rPr>
      </w:pPr>
      <w:r>
        <w:rPr>
          <w:rFonts w:ascii="arial" w:hAnsi="arial"/>
          <w:sz w:val="18"/>
        </w:rPr>
        <w:t xml:space="preserve">1. I have reviewed this Form 10-K/A of Viatris Inc.; and </w:t>
      </w:r>
    </w:p>
    <w:p>
      <w:pPr>
        <w:pStyle w:val="TextBody"/>
        <w:bidi w:val="0"/>
        <w:spacing w:before="240" w:after="0"/>
        <w:jc w:val="both"/>
        <w:rPr>
          <w:rFonts w:ascii="arial" w:hAnsi="arial"/>
          <w:sz w:val="18"/>
        </w:rPr>
      </w:pPr>
      <w:r>
        <w:rPr>
          <w:rFonts w:ascii="arial" w:hAnsi="arial"/>
          <w:sz w:val="18"/>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ARIAL" w:hAnsi="ARIAL"/>
                <w:sz w:val="18"/>
              </w:rPr>
            </w:pPr>
            <w:r>
              <w:rPr>
                <w:rFonts w:ascii="ARIAL" w:hAnsi="ARIAL"/>
                <w:sz w:val="18"/>
              </w:rPr>
              <w:t>/s/ Theodora Mistras</w:t>
            </w:r>
          </w:p>
        </w:tc>
      </w:tr>
      <w:tr>
        <w:trPr/>
        <w:tc>
          <w:tcPr>
            <w:tcW w:w="4082" w:type="dxa"/>
            <w:tcBorders/>
            <w:vAlign w:val="bottom"/>
          </w:tcPr>
          <w:p>
            <w:pPr>
              <w:pStyle w:val="TableContents"/>
              <w:bidi w:val="0"/>
              <w:spacing w:before="0" w:after="283"/>
              <w:jc w:val="left"/>
              <w:rPr/>
            </w:pPr>
            <w:r>
              <w:rPr/>
              <w:t>Theodora Mistras</w:t>
            </w:r>
          </w:p>
        </w:tc>
      </w:tr>
      <w:tr>
        <w:trPr/>
        <w:tc>
          <w:tcPr>
            <w:tcW w:w="4082" w:type="dxa"/>
            <w:tcBorders/>
            <w:vAlign w:val="bottom"/>
          </w:tcPr>
          <w:p>
            <w:pPr>
              <w:pStyle w:val="TableContents"/>
              <w:bidi w:val="0"/>
              <w:spacing w:before="0" w:after="283"/>
              <w:jc w:val="left"/>
              <w:rPr/>
            </w:pPr>
            <w:r>
              <w:rPr/>
              <w:t>Chief Financial Officer</w:t>
            </w:r>
          </w:p>
        </w:tc>
      </w:tr>
      <w:tr>
        <w:trPr/>
        <w:tc>
          <w:tcPr>
            <w:tcW w:w="4082" w:type="dxa"/>
            <w:tcBorders/>
          </w:tcPr>
          <w:p>
            <w:pPr>
              <w:pStyle w:val="TableContents"/>
              <w:bidi w:val="0"/>
              <w:spacing w:before="0" w:after="283"/>
              <w:jc w:val="left"/>
              <w:rPr>
                <w:i/>
              </w:rPr>
            </w:pPr>
            <w:r>
              <w:rPr>
                <w:i/>
              </w:rPr>
              <w:t>(Principal Financial Officer)</w:t>
            </w:r>
          </w:p>
        </w:tc>
      </w:tr>
      <w:tr>
        <w:trPr/>
        <w:tc>
          <w:tcPr>
            <w:tcW w:w="4082" w:type="dxa"/>
            <w:tcBorders/>
            <w:vAlign w:val="bottom"/>
          </w:tcPr>
          <w:p>
            <w:pPr>
              <w:pStyle w:val="TableContents"/>
              <w:bidi w:val="0"/>
              <w:spacing w:before="0" w:after="283"/>
              <w:jc w:val="left"/>
              <w:rPr/>
            </w:pPr>
            <w:r>
              <w:rPr/>
              <w:t>Date: April 26, 2024</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jpeg"/><Relationship Id="rId15" Type="http://schemas.openxmlformats.org/officeDocument/2006/relationships/image" Target="media/image2.jpeg"/><Relationship Id="rId16" Type="http://schemas.openxmlformats.org/officeDocument/2006/relationships/image" Target="media/image3.jpeg"/><Relationship Id="rId17" Type="http://schemas.openxmlformats.org/officeDocument/2006/relationships/image" Target="media/image4.jpeg"/><Relationship Id="rId18" Type="http://schemas.openxmlformats.org/officeDocument/2006/relationships/image" Target="media/image5.jpeg"/><Relationship Id="rId19" Type="http://schemas.openxmlformats.org/officeDocument/2006/relationships/image" Target="media/image6.jpeg"/><Relationship Id="rId20" Type="http://schemas.openxmlformats.org/officeDocument/2006/relationships/image" Target="media/image7.jpeg"/><Relationship Id="rId21" Type="http://schemas.openxmlformats.org/officeDocument/2006/relationships/image" Target="media/image8.jpeg"/><Relationship Id="rId22" Type="http://schemas.openxmlformats.org/officeDocument/2006/relationships/image" Target="media/image9.jpeg"/><Relationship Id="rId23" Type="http://schemas.openxmlformats.org/officeDocument/2006/relationships/image" Target="media/image10.jpeg"/><Relationship Id="rId24" Type="http://schemas.openxmlformats.org/officeDocument/2006/relationships/image" Target="media/image11.jpeg"/><Relationship Id="rId25" Type="http://schemas.openxmlformats.org/officeDocument/2006/relationships/image" Target="media/image12.jpeg"/><Relationship Id="rId26" Type="http://schemas.openxmlformats.org/officeDocument/2006/relationships/image" Target="media/image13.jpeg"/><Relationship Id="rId27" Type="http://schemas.openxmlformats.org/officeDocument/2006/relationships/image" Target="media/image14.jpeg"/><Relationship Id="rId28" Type="http://schemas.openxmlformats.org/officeDocument/2006/relationships/image" Target="media/image15.jpeg"/><Relationship Id="rId29" Type="http://schemas.openxmlformats.org/officeDocument/2006/relationships/image" Target="media/image16.jpeg"/><Relationship Id="rId30" Type="http://schemas.openxmlformats.org/officeDocument/2006/relationships/image" Target="media/image17.jpeg"/><Relationship Id="rId31" Type="http://schemas.openxmlformats.org/officeDocument/2006/relationships/image" Target="media/image18.jpeg"/><Relationship Id="rId32" Type="http://schemas.openxmlformats.org/officeDocument/2006/relationships/image" Target="media/image19.jpeg"/><Relationship Id="rId33" Type="http://schemas.openxmlformats.org/officeDocument/2006/relationships/image" Target="media/image20.jpeg"/><Relationship Id="rId34" Type="http://schemas.openxmlformats.org/officeDocument/2006/relationships/image" Target="media/image21.jpeg"/><Relationship Id="rId35" Type="http://schemas.openxmlformats.org/officeDocument/2006/relationships/image" Target="media/image22.jpeg"/><Relationship Id="rId36" Type="http://schemas.openxmlformats.org/officeDocument/2006/relationships/image" Target="media/image23.jpeg"/><Relationship Id="rId37" Type="http://schemas.openxmlformats.org/officeDocument/2006/relationships/image" Target="media/image24.jpeg"/><Relationship Id="rId38" Type="http://schemas.openxmlformats.org/officeDocument/2006/relationships/image" Target="media/image25.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71</Pages>
  <Words>33520</Words>
  <Characters>192386</Characters>
  <CharactersWithSpaces>229935</CharactersWithSpaces>
  <Paragraphs>8337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EX-31.2</dc:title>
</cp:coreProperties>
</file>