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2280" w:val="left"/>
        </w:tabs>
        <w:rPr>
          <w:sz w:val="20"/>
          <w:szCs w:val="20"/>
          <w:color w:val="auto"/>
        </w:rPr>
      </w:pPr>
      <w:r>
        <w:rPr>
          <w:rFonts w:ascii="Arial" w:cs="Arial" w:eastAsia="Arial" w:hAnsi="Arial"/>
          <w:sz w:val="13"/>
          <w:szCs w:val="13"/>
          <w:color w:val="auto"/>
        </w:rPr>
        <w:t>MARTIN LIPTON</w:t>
      </w:r>
      <w:r>
        <w:rPr>
          <w:sz w:val="20"/>
          <w:szCs w:val="20"/>
          <w:color w:val="auto"/>
        </w:rPr>
        <w:tab/>
      </w:r>
      <w:r>
        <w:rPr>
          <w:rFonts w:ascii="Arial" w:cs="Arial" w:eastAsia="Arial" w:hAnsi="Arial"/>
          <w:sz w:val="12"/>
          <w:szCs w:val="12"/>
          <w:color w:val="auto"/>
        </w:rPr>
        <w:t>STEVEN A. COHEN</w:t>
      </w:r>
    </w:p>
    <w:p>
      <w:pPr>
        <w:spacing w:after="0" w:line="234" w:lineRule="auto"/>
        <w:tabs>
          <w:tab w:leader="none" w:pos="2280" w:val="left"/>
        </w:tabs>
        <w:rPr>
          <w:sz w:val="20"/>
          <w:szCs w:val="20"/>
          <w:color w:val="auto"/>
        </w:rPr>
      </w:pPr>
      <w:r>
        <w:rPr>
          <w:rFonts w:ascii="Arial" w:cs="Arial" w:eastAsia="Arial" w:hAnsi="Arial"/>
          <w:sz w:val="13"/>
          <w:szCs w:val="13"/>
          <w:color w:val="auto"/>
        </w:rPr>
        <w:t>HERBERT M. WACHTELL</w:t>
      </w:r>
      <w:r>
        <w:rPr>
          <w:sz w:val="20"/>
          <w:szCs w:val="20"/>
          <w:color w:val="auto"/>
        </w:rPr>
        <w:tab/>
      </w:r>
      <w:r>
        <w:rPr>
          <w:rFonts w:ascii="Arial" w:cs="Arial" w:eastAsia="Arial" w:hAnsi="Arial"/>
          <w:sz w:val="12"/>
          <w:szCs w:val="12"/>
          <w:color w:val="auto"/>
        </w:rPr>
        <w:t>DEBORAH L. PAUL</w:t>
      </w:r>
    </w:p>
    <w:p>
      <w:pPr>
        <w:spacing w:after="0" w:line="235" w:lineRule="auto"/>
        <w:tabs>
          <w:tab w:leader="none" w:pos="2280" w:val="left"/>
        </w:tabs>
        <w:rPr>
          <w:sz w:val="20"/>
          <w:szCs w:val="20"/>
          <w:color w:val="auto"/>
        </w:rPr>
      </w:pPr>
      <w:r>
        <w:rPr>
          <w:rFonts w:ascii="Arial" w:cs="Arial" w:eastAsia="Arial" w:hAnsi="Arial"/>
          <w:sz w:val="13"/>
          <w:szCs w:val="13"/>
          <w:color w:val="auto"/>
        </w:rPr>
        <w:t>THEODORE N. MIRVIS</w:t>
      </w:r>
      <w:r>
        <w:rPr>
          <w:sz w:val="20"/>
          <w:szCs w:val="20"/>
          <w:color w:val="auto"/>
        </w:rPr>
        <w:tab/>
      </w:r>
      <w:r>
        <w:rPr>
          <w:rFonts w:ascii="Arial" w:cs="Arial" w:eastAsia="Arial" w:hAnsi="Arial"/>
          <w:sz w:val="12"/>
          <w:szCs w:val="12"/>
          <w:color w:val="auto"/>
        </w:rPr>
        <w:t>DAVID C. KARP</w:t>
      </w:r>
    </w:p>
    <w:p>
      <w:pPr>
        <w:spacing w:after="0" w:line="235" w:lineRule="auto"/>
        <w:tabs>
          <w:tab w:leader="none" w:pos="2280" w:val="left"/>
        </w:tabs>
        <w:rPr>
          <w:sz w:val="20"/>
          <w:szCs w:val="20"/>
          <w:color w:val="auto"/>
        </w:rPr>
      </w:pPr>
      <w:r>
        <w:rPr>
          <w:rFonts w:ascii="Arial" w:cs="Arial" w:eastAsia="Arial" w:hAnsi="Arial"/>
          <w:sz w:val="13"/>
          <w:szCs w:val="13"/>
          <w:color w:val="auto"/>
        </w:rPr>
        <w:t>EDWARD D. HERLIHY</w:t>
      </w:r>
      <w:r>
        <w:rPr>
          <w:sz w:val="20"/>
          <w:szCs w:val="20"/>
          <w:color w:val="auto"/>
        </w:rPr>
        <w:tab/>
      </w:r>
      <w:r>
        <w:rPr>
          <w:rFonts w:ascii="Arial" w:cs="Arial" w:eastAsia="Arial" w:hAnsi="Arial"/>
          <w:sz w:val="12"/>
          <w:szCs w:val="12"/>
          <w:color w:val="auto"/>
        </w:rPr>
        <w:t>RICHARD K. KIM</w:t>
      </w:r>
    </w:p>
    <w:p>
      <w:pPr>
        <w:spacing w:after="0" w:line="235" w:lineRule="auto"/>
        <w:tabs>
          <w:tab w:leader="none" w:pos="2280" w:val="left"/>
        </w:tabs>
        <w:rPr>
          <w:sz w:val="20"/>
          <w:szCs w:val="20"/>
          <w:color w:val="auto"/>
        </w:rPr>
      </w:pPr>
      <w:r>
        <w:rPr>
          <w:rFonts w:ascii="Arial" w:cs="Arial" w:eastAsia="Arial" w:hAnsi="Arial"/>
          <w:sz w:val="13"/>
          <w:szCs w:val="13"/>
          <w:color w:val="auto"/>
        </w:rPr>
        <w:t>DANIEL A. NEFF</w:t>
      </w:r>
      <w:r>
        <w:rPr>
          <w:sz w:val="20"/>
          <w:szCs w:val="20"/>
          <w:color w:val="auto"/>
        </w:rPr>
        <w:tab/>
      </w:r>
      <w:r>
        <w:rPr>
          <w:rFonts w:ascii="Arial" w:cs="Arial" w:eastAsia="Arial" w:hAnsi="Arial"/>
          <w:sz w:val="12"/>
          <w:szCs w:val="12"/>
          <w:color w:val="auto"/>
        </w:rPr>
        <w:t>JOSHUA R. CAMMAKER</w:t>
      </w:r>
    </w:p>
    <w:p>
      <w:pPr>
        <w:spacing w:after="0" w:line="234" w:lineRule="auto"/>
        <w:tabs>
          <w:tab w:leader="none" w:pos="2280" w:val="left"/>
        </w:tabs>
        <w:rPr>
          <w:sz w:val="20"/>
          <w:szCs w:val="20"/>
          <w:color w:val="auto"/>
        </w:rPr>
      </w:pPr>
      <w:r>
        <w:rPr>
          <w:rFonts w:ascii="Arial" w:cs="Arial" w:eastAsia="Arial" w:hAnsi="Arial"/>
          <w:sz w:val="13"/>
          <w:szCs w:val="13"/>
          <w:color w:val="auto"/>
        </w:rPr>
        <w:t>ANDREW R. BROWNSTEIN</w:t>
      </w:r>
      <w:r>
        <w:rPr>
          <w:sz w:val="20"/>
          <w:szCs w:val="20"/>
          <w:color w:val="auto"/>
        </w:rPr>
        <w:tab/>
      </w:r>
      <w:r>
        <w:rPr>
          <w:rFonts w:ascii="Arial" w:cs="Arial" w:eastAsia="Arial" w:hAnsi="Arial"/>
          <w:sz w:val="12"/>
          <w:szCs w:val="12"/>
          <w:color w:val="auto"/>
        </w:rPr>
        <w:t>MARK GORDON</w:t>
      </w:r>
    </w:p>
    <w:p>
      <w:pPr>
        <w:spacing w:after="0"/>
        <w:tabs>
          <w:tab w:leader="none" w:pos="2280" w:val="left"/>
        </w:tabs>
        <w:rPr>
          <w:sz w:val="20"/>
          <w:szCs w:val="20"/>
          <w:color w:val="auto"/>
        </w:rPr>
      </w:pPr>
      <w:r>
        <w:rPr>
          <w:rFonts w:ascii="Arial" w:cs="Arial" w:eastAsia="Arial" w:hAnsi="Arial"/>
          <w:sz w:val="13"/>
          <w:szCs w:val="13"/>
          <w:color w:val="auto"/>
        </w:rPr>
        <w:t>MARC WOLINSKY</w:t>
      </w:r>
      <w:r>
        <w:rPr>
          <w:sz w:val="20"/>
          <w:szCs w:val="20"/>
          <w:color w:val="auto"/>
        </w:rPr>
        <w:tab/>
      </w:r>
      <w:r>
        <w:rPr>
          <w:rFonts w:ascii="Arial" w:cs="Arial" w:eastAsia="Arial" w:hAnsi="Arial"/>
          <w:sz w:val="10"/>
          <w:szCs w:val="10"/>
          <w:color w:val="auto"/>
        </w:rPr>
        <w:t>JOSEPH D. LARSON</w:t>
      </w:r>
    </w:p>
    <w:p>
      <w:pPr>
        <w:spacing w:after="0" w:line="235" w:lineRule="auto"/>
        <w:tabs>
          <w:tab w:leader="none" w:pos="2280" w:val="left"/>
        </w:tabs>
        <w:rPr>
          <w:sz w:val="20"/>
          <w:szCs w:val="20"/>
          <w:color w:val="auto"/>
        </w:rPr>
      </w:pPr>
      <w:r>
        <w:rPr>
          <w:rFonts w:ascii="Arial" w:cs="Arial" w:eastAsia="Arial" w:hAnsi="Arial"/>
          <w:sz w:val="13"/>
          <w:szCs w:val="13"/>
          <w:color w:val="auto"/>
        </w:rPr>
        <w:t>STEVEN A. ROSENBLUM</w:t>
      </w:r>
      <w:r>
        <w:rPr>
          <w:sz w:val="20"/>
          <w:szCs w:val="20"/>
          <w:color w:val="auto"/>
        </w:rPr>
        <w:tab/>
      </w:r>
      <w:r>
        <w:rPr>
          <w:rFonts w:ascii="Arial" w:cs="Arial" w:eastAsia="Arial" w:hAnsi="Arial"/>
          <w:sz w:val="12"/>
          <w:szCs w:val="12"/>
          <w:color w:val="auto"/>
        </w:rPr>
        <w:t>JEANNEMARIE O’BRIEN</w:t>
      </w:r>
    </w:p>
    <w:p>
      <w:pPr>
        <w:spacing w:after="0" w:line="235" w:lineRule="auto"/>
        <w:tabs>
          <w:tab w:leader="none" w:pos="2280" w:val="left"/>
        </w:tabs>
        <w:rPr>
          <w:sz w:val="20"/>
          <w:szCs w:val="20"/>
          <w:color w:val="auto"/>
        </w:rPr>
      </w:pPr>
      <w:r>
        <w:rPr>
          <w:rFonts w:ascii="Arial" w:cs="Arial" w:eastAsia="Arial" w:hAnsi="Arial"/>
          <w:sz w:val="13"/>
          <w:szCs w:val="13"/>
          <w:color w:val="auto"/>
        </w:rPr>
        <w:t>JOHN F. SAVARESE</w:t>
      </w:r>
      <w:r>
        <w:rPr>
          <w:sz w:val="20"/>
          <w:szCs w:val="20"/>
          <w:color w:val="auto"/>
        </w:rPr>
        <w:tab/>
      </w:r>
      <w:r>
        <w:rPr>
          <w:rFonts w:ascii="Arial" w:cs="Arial" w:eastAsia="Arial" w:hAnsi="Arial"/>
          <w:sz w:val="12"/>
          <w:szCs w:val="12"/>
          <w:color w:val="auto"/>
        </w:rPr>
        <w:t>WAYNE M. CARLIN</w:t>
      </w:r>
    </w:p>
    <w:p>
      <w:pPr>
        <w:spacing w:after="0" w:line="234" w:lineRule="auto"/>
        <w:tabs>
          <w:tab w:leader="none" w:pos="2280" w:val="left"/>
        </w:tabs>
        <w:rPr>
          <w:sz w:val="20"/>
          <w:szCs w:val="20"/>
          <w:color w:val="auto"/>
        </w:rPr>
      </w:pPr>
      <w:r>
        <w:rPr>
          <w:rFonts w:ascii="Arial" w:cs="Arial" w:eastAsia="Arial" w:hAnsi="Arial"/>
          <w:sz w:val="13"/>
          <w:szCs w:val="13"/>
          <w:color w:val="auto"/>
        </w:rPr>
        <w:t>SCOTT K. CHARLES</w:t>
      </w:r>
      <w:r>
        <w:rPr>
          <w:sz w:val="20"/>
          <w:szCs w:val="20"/>
          <w:color w:val="auto"/>
        </w:rPr>
        <w:tab/>
      </w:r>
      <w:r>
        <w:rPr>
          <w:rFonts w:ascii="Arial" w:cs="Arial" w:eastAsia="Arial" w:hAnsi="Arial"/>
          <w:sz w:val="12"/>
          <w:szCs w:val="12"/>
          <w:color w:val="auto"/>
        </w:rPr>
        <w:t>STEPHEN R. DiPRIMA</w:t>
      </w:r>
    </w:p>
    <w:p>
      <w:pPr>
        <w:spacing w:after="0" w:line="235" w:lineRule="auto"/>
        <w:tabs>
          <w:tab w:leader="none" w:pos="2280" w:val="left"/>
        </w:tabs>
        <w:rPr>
          <w:sz w:val="20"/>
          <w:szCs w:val="20"/>
          <w:color w:val="auto"/>
        </w:rPr>
      </w:pPr>
      <w:r>
        <w:rPr>
          <w:rFonts w:ascii="Arial" w:cs="Arial" w:eastAsia="Arial" w:hAnsi="Arial"/>
          <w:sz w:val="13"/>
          <w:szCs w:val="13"/>
          <w:color w:val="auto"/>
        </w:rPr>
        <w:t>JODI J. SCHWARTZ</w:t>
      </w:r>
      <w:r>
        <w:rPr>
          <w:sz w:val="20"/>
          <w:szCs w:val="20"/>
          <w:color w:val="auto"/>
        </w:rPr>
        <w:tab/>
      </w:r>
      <w:r>
        <w:rPr>
          <w:rFonts w:ascii="Arial" w:cs="Arial" w:eastAsia="Arial" w:hAnsi="Arial"/>
          <w:sz w:val="12"/>
          <w:szCs w:val="12"/>
          <w:color w:val="auto"/>
        </w:rPr>
        <w:t>NICHOLAS G. DEMMO</w:t>
      </w:r>
    </w:p>
    <w:p>
      <w:pPr>
        <w:spacing w:after="0" w:line="235" w:lineRule="auto"/>
        <w:tabs>
          <w:tab w:leader="none" w:pos="2280" w:val="left"/>
        </w:tabs>
        <w:rPr>
          <w:sz w:val="20"/>
          <w:szCs w:val="20"/>
          <w:color w:val="auto"/>
        </w:rPr>
      </w:pPr>
      <w:r>
        <w:rPr>
          <w:rFonts w:ascii="Arial" w:cs="Arial" w:eastAsia="Arial" w:hAnsi="Arial"/>
          <w:sz w:val="13"/>
          <w:szCs w:val="13"/>
          <w:color w:val="auto"/>
        </w:rPr>
        <w:t>ADAM O. EMMERICH</w:t>
      </w:r>
      <w:r>
        <w:rPr>
          <w:sz w:val="20"/>
          <w:szCs w:val="20"/>
          <w:color w:val="auto"/>
        </w:rPr>
        <w:tab/>
      </w:r>
      <w:r>
        <w:rPr>
          <w:rFonts w:ascii="Arial" w:cs="Arial" w:eastAsia="Arial" w:hAnsi="Arial"/>
          <w:sz w:val="12"/>
          <w:szCs w:val="12"/>
          <w:color w:val="auto"/>
        </w:rPr>
        <w:t>IGOR KIRMAN</w:t>
      </w:r>
    </w:p>
    <w:p>
      <w:pPr>
        <w:spacing w:after="0"/>
        <w:tabs>
          <w:tab w:leader="none" w:pos="2280" w:val="left"/>
        </w:tabs>
        <w:rPr>
          <w:sz w:val="20"/>
          <w:szCs w:val="20"/>
          <w:color w:val="auto"/>
        </w:rPr>
      </w:pPr>
      <w:r>
        <w:rPr>
          <w:rFonts w:ascii="Arial" w:cs="Arial" w:eastAsia="Arial" w:hAnsi="Arial"/>
          <w:sz w:val="13"/>
          <w:szCs w:val="13"/>
          <w:color w:val="auto"/>
        </w:rPr>
        <w:t>RALPH M. LEVENE</w:t>
      </w:r>
      <w:r>
        <w:rPr>
          <w:sz w:val="20"/>
          <w:szCs w:val="20"/>
          <w:color w:val="auto"/>
        </w:rPr>
        <w:tab/>
      </w:r>
      <w:r>
        <w:rPr>
          <w:rFonts w:ascii="Arial" w:cs="Arial" w:eastAsia="Arial" w:hAnsi="Arial"/>
          <w:sz w:val="10"/>
          <w:szCs w:val="10"/>
          <w:color w:val="auto"/>
        </w:rPr>
        <w:t>JONATHAN M. MOSES</w:t>
      </w:r>
    </w:p>
    <w:p>
      <w:pPr>
        <w:spacing w:after="0" w:line="235" w:lineRule="auto"/>
        <w:tabs>
          <w:tab w:leader="none" w:pos="2280" w:val="left"/>
        </w:tabs>
        <w:rPr>
          <w:sz w:val="20"/>
          <w:szCs w:val="20"/>
          <w:color w:val="auto"/>
        </w:rPr>
      </w:pPr>
      <w:r>
        <w:rPr>
          <w:rFonts w:ascii="Arial" w:cs="Arial" w:eastAsia="Arial" w:hAnsi="Arial"/>
          <w:sz w:val="13"/>
          <w:szCs w:val="13"/>
          <w:color w:val="auto"/>
        </w:rPr>
        <w:t>RICHARD G. MASON</w:t>
      </w:r>
      <w:r>
        <w:rPr>
          <w:sz w:val="20"/>
          <w:szCs w:val="20"/>
          <w:color w:val="auto"/>
        </w:rPr>
        <w:tab/>
      </w:r>
      <w:r>
        <w:rPr>
          <w:rFonts w:ascii="Arial" w:cs="Arial" w:eastAsia="Arial" w:hAnsi="Arial"/>
          <w:sz w:val="12"/>
          <w:szCs w:val="12"/>
          <w:color w:val="auto"/>
        </w:rPr>
        <w:t>T. EIKO STANGE</w:t>
      </w:r>
    </w:p>
    <w:p>
      <w:pPr>
        <w:spacing w:after="0"/>
        <w:tabs>
          <w:tab w:leader="none" w:pos="2280" w:val="left"/>
        </w:tabs>
        <w:rPr>
          <w:sz w:val="20"/>
          <w:szCs w:val="20"/>
          <w:color w:val="auto"/>
        </w:rPr>
      </w:pPr>
      <w:r>
        <w:rPr>
          <w:rFonts w:ascii="Arial" w:cs="Arial" w:eastAsia="Arial" w:hAnsi="Arial"/>
          <w:sz w:val="13"/>
          <w:szCs w:val="13"/>
          <w:color w:val="auto"/>
        </w:rPr>
        <w:t>DAVID M. SILK</w:t>
      </w:r>
      <w:r>
        <w:rPr>
          <w:sz w:val="20"/>
          <w:szCs w:val="20"/>
          <w:color w:val="auto"/>
        </w:rPr>
        <w:tab/>
      </w:r>
      <w:r>
        <w:rPr>
          <w:rFonts w:ascii="Arial" w:cs="Arial" w:eastAsia="Arial" w:hAnsi="Arial"/>
          <w:sz w:val="10"/>
          <w:szCs w:val="10"/>
          <w:color w:val="auto"/>
        </w:rPr>
        <w:t>JOHN F. LYNCH</w:t>
      </w:r>
    </w:p>
    <w:p>
      <w:pPr>
        <w:spacing w:after="0" w:line="235" w:lineRule="auto"/>
        <w:tabs>
          <w:tab w:leader="none" w:pos="2280" w:val="left"/>
        </w:tabs>
        <w:rPr>
          <w:sz w:val="20"/>
          <w:szCs w:val="20"/>
          <w:color w:val="auto"/>
        </w:rPr>
      </w:pPr>
      <w:r>
        <w:rPr>
          <w:rFonts w:ascii="Arial" w:cs="Arial" w:eastAsia="Arial" w:hAnsi="Arial"/>
          <w:sz w:val="13"/>
          <w:szCs w:val="13"/>
          <w:color w:val="auto"/>
        </w:rPr>
        <w:t>ROBIN PANOVKA</w:t>
      </w:r>
      <w:r>
        <w:rPr>
          <w:sz w:val="20"/>
          <w:szCs w:val="20"/>
          <w:color w:val="auto"/>
        </w:rPr>
        <w:tab/>
      </w:r>
      <w:r>
        <w:rPr>
          <w:rFonts w:ascii="Arial" w:cs="Arial" w:eastAsia="Arial" w:hAnsi="Arial"/>
          <w:sz w:val="12"/>
          <w:szCs w:val="12"/>
          <w:color w:val="auto"/>
        </w:rPr>
        <w:t>WILLIAM SAVITT</w:t>
      </w:r>
    </w:p>
    <w:p>
      <w:pPr>
        <w:spacing w:after="0"/>
        <w:tabs>
          <w:tab w:leader="none" w:pos="2280" w:val="left"/>
        </w:tabs>
        <w:rPr>
          <w:sz w:val="20"/>
          <w:szCs w:val="20"/>
          <w:color w:val="auto"/>
        </w:rPr>
      </w:pPr>
      <w:r>
        <w:rPr>
          <w:rFonts w:ascii="Arial" w:cs="Arial" w:eastAsia="Arial" w:hAnsi="Arial"/>
          <w:sz w:val="13"/>
          <w:szCs w:val="13"/>
          <w:color w:val="auto"/>
        </w:rPr>
        <w:t>DAVID A. KATZ</w:t>
      </w:r>
      <w:r>
        <w:rPr>
          <w:sz w:val="20"/>
          <w:szCs w:val="20"/>
          <w:color w:val="auto"/>
        </w:rPr>
        <w:tab/>
      </w:r>
      <w:r>
        <w:rPr>
          <w:rFonts w:ascii="Arial" w:cs="Arial" w:eastAsia="Arial" w:hAnsi="Arial"/>
          <w:sz w:val="10"/>
          <w:szCs w:val="10"/>
          <w:color w:val="auto"/>
        </w:rPr>
        <w:t>ERIC M. ROSOF</w:t>
      </w:r>
    </w:p>
    <w:p>
      <w:pPr>
        <w:spacing w:after="0"/>
        <w:tabs>
          <w:tab w:leader="none" w:pos="2280" w:val="left"/>
        </w:tabs>
        <w:rPr>
          <w:sz w:val="20"/>
          <w:szCs w:val="20"/>
          <w:color w:val="auto"/>
        </w:rPr>
      </w:pPr>
      <w:r>
        <w:rPr>
          <w:rFonts w:ascii="Arial" w:cs="Arial" w:eastAsia="Arial" w:hAnsi="Arial"/>
          <w:sz w:val="13"/>
          <w:szCs w:val="13"/>
          <w:color w:val="auto"/>
        </w:rPr>
        <w:t>ILENE KNABLE GOTTS</w:t>
      </w:r>
      <w:r>
        <w:rPr>
          <w:sz w:val="20"/>
          <w:szCs w:val="20"/>
          <w:color w:val="auto"/>
        </w:rPr>
        <w:tab/>
      </w:r>
      <w:r>
        <w:rPr>
          <w:rFonts w:ascii="Arial" w:cs="Arial" w:eastAsia="Arial" w:hAnsi="Arial"/>
          <w:sz w:val="10"/>
          <w:szCs w:val="10"/>
          <w:color w:val="auto"/>
        </w:rPr>
        <w:t>GREGORY E. OSTLING</w:t>
      </w:r>
    </w:p>
    <w:p>
      <w:pPr>
        <w:spacing w:after="0" w:line="235" w:lineRule="auto"/>
        <w:tabs>
          <w:tab w:leader="none" w:pos="2280" w:val="left"/>
        </w:tabs>
        <w:rPr>
          <w:sz w:val="20"/>
          <w:szCs w:val="20"/>
          <w:color w:val="auto"/>
        </w:rPr>
      </w:pPr>
      <w:r>
        <w:rPr>
          <w:rFonts w:ascii="Arial" w:cs="Arial" w:eastAsia="Arial" w:hAnsi="Arial"/>
          <w:sz w:val="13"/>
          <w:szCs w:val="13"/>
          <w:color w:val="auto"/>
        </w:rPr>
        <w:t>JEFFREY M. WINTNER</w:t>
      </w:r>
      <w:r>
        <w:rPr>
          <w:sz w:val="20"/>
          <w:szCs w:val="20"/>
          <w:color w:val="auto"/>
        </w:rPr>
        <w:tab/>
      </w:r>
      <w:r>
        <w:rPr>
          <w:rFonts w:ascii="Arial" w:cs="Arial" w:eastAsia="Arial" w:hAnsi="Arial"/>
          <w:sz w:val="12"/>
          <w:szCs w:val="12"/>
          <w:color w:val="auto"/>
        </w:rPr>
        <w:t>DAVID B. ANDERS</w:t>
      </w:r>
    </w:p>
    <w:p>
      <w:pPr>
        <w:spacing w:after="0" w:line="235" w:lineRule="auto"/>
        <w:tabs>
          <w:tab w:leader="none" w:pos="2280" w:val="left"/>
        </w:tabs>
        <w:rPr>
          <w:sz w:val="20"/>
          <w:szCs w:val="20"/>
          <w:color w:val="auto"/>
        </w:rPr>
      </w:pPr>
      <w:r>
        <w:rPr>
          <w:rFonts w:ascii="Arial" w:cs="Arial" w:eastAsia="Arial" w:hAnsi="Arial"/>
          <w:sz w:val="13"/>
          <w:szCs w:val="13"/>
          <w:color w:val="auto"/>
        </w:rPr>
        <w:t>TREVOR S. NORWITZ</w:t>
      </w:r>
      <w:r>
        <w:rPr>
          <w:sz w:val="20"/>
          <w:szCs w:val="20"/>
          <w:color w:val="auto"/>
        </w:rPr>
        <w:tab/>
      </w:r>
      <w:r>
        <w:rPr>
          <w:rFonts w:ascii="Arial" w:cs="Arial" w:eastAsia="Arial" w:hAnsi="Arial"/>
          <w:sz w:val="12"/>
          <w:szCs w:val="12"/>
          <w:color w:val="auto"/>
        </w:rPr>
        <w:t>ANDREA K. WAHLQUIST</w:t>
      </w:r>
    </w:p>
    <w:p>
      <w:pPr>
        <w:spacing w:after="0" w:line="234" w:lineRule="auto"/>
        <w:tabs>
          <w:tab w:leader="none" w:pos="2280" w:val="left"/>
        </w:tabs>
        <w:rPr>
          <w:sz w:val="20"/>
          <w:szCs w:val="20"/>
          <w:color w:val="auto"/>
        </w:rPr>
      </w:pPr>
      <w:r>
        <w:rPr>
          <w:rFonts w:ascii="Arial" w:cs="Arial" w:eastAsia="Arial" w:hAnsi="Arial"/>
          <w:sz w:val="13"/>
          <w:szCs w:val="13"/>
          <w:color w:val="auto"/>
        </w:rPr>
        <w:t>BEN M. GERMANA</w:t>
      </w:r>
      <w:r>
        <w:rPr>
          <w:sz w:val="20"/>
          <w:szCs w:val="20"/>
          <w:color w:val="auto"/>
        </w:rPr>
        <w:tab/>
      </w:r>
      <w:r>
        <w:rPr>
          <w:rFonts w:ascii="Arial" w:cs="Arial" w:eastAsia="Arial" w:hAnsi="Arial"/>
          <w:sz w:val="12"/>
          <w:szCs w:val="12"/>
          <w:color w:val="auto"/>
        </w:rPr>
        <w:t>ADAM J. SHAPIRO</w:t>
      </w:r>
    </w:p>
    <w:p>
      <w:pPr>
        <w:spacing w:after="0"/>
        <w:tabs>
          <w:tab w:leader="none" w:pos="2280" w:val="left"/>
        </w:tabs>
        <w:rPr>
          <w:sz w:val="20"/>
          <w:szCs w:val="20"/>
          <w:color w:val="auto"/>
        </w:rPr>
      </w:pPr>
      <w:r>
        <w:rPr>
          <w:rFonts w:ascii="Arial" w:cs="Arial" w:eastAsia="Arial" w:hAnsi="Arial"/>
          <w:sz w:val="13"/>
          <w:szCs w:val="13"/>
          <w:color w:val="auto"/>
        </w:rPr>
        <w:t>ANDREW J. NUSSBAUM</w:t>
      </w:r>
      <w:r>
        <w:rPr>
          <w:sz w:val="20"/>
          <w:szCs w:val="20"/>
          <w:color w:val="auto"/>
        </w:rPr>
        <w:tab/>
      </w:r>
      <w:r>
        <w:rPr>
          <w:rFonts w:ascii="Arial" w:cs="Arial" w:eastAsia="Arial" w:hAnsi="Arial"/>
          <w:sz w:val="10"/>
          <w:szCs w:val="10"/>
          <w:color w:val="auto"/>
        </w:rPr>
        <w:t>NELSON O. FITTS</w:t>
      </w:r>
    </w:p>
    <w:p>
      <w:pPr>
        <w:spacing w:after="0"/>
        <w:tabs>
          <w:tab w:leader="none" w:pos="2280" w:val="left"/>
        </w:tabs>
        <w:rPr>
          <w:sz w:val="20"/>
          <w:szCs w:val="20"/>
          <w:color w:val="auto"/>
        </w:rPr>
      </w:pPr>
      <w:r>
        <w:rPr>
          <w:rFonts w:ascii="Arial" w:cs="Arial" w:eastAsia="Arial" w:hAnsi="Arial"/>
          <w:sz w:val="13"/>
          <w:szCs w:val="13"/>
          <w:color w:val="auto"/>
        </w:rPr>
        <w:t>RACHELLE SILVERBERG</w:t>
      </w:r>
      <w:r>
        <w:rPr>
          <w:sz w:val="20"/>
          <w:szCs w:val="20"/>
          <w:color w:val="auto"/>
        </w:rPr>
        <w:tab/>
      </w:r>
      <w:r>
        <w:rPr>
          <w:rFonts w:ascii="Arial" w:cs="Arial" w:eastAsia="Arial" w:hAnsi="Arial"/>
          <w:sz w:val="12"/>
          <w:szCs w:val="12"/>
          <w:color w:val="auto"/>
        </w:rPr>
        <w:t>JOSHUA M. HOLMES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HAND DELIVERY AND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br w:type="column"/>
      </w:r>
    </w:p>
    <w:p>
      <w:pPr>
        <w:jc w:val="center"/>
        <w:ind w:left="-59"/>
        <w:spacing w:after="0"/>
        <w:rPr>
          <w:sz w:val="20"/>
          <w:szCs w:val="20"/>
          <w:color w:val="auto"/>
        </w:rPr>
      </w:pPr>
      <w:r>
        <w:rPr>
          <w:rFonts w:ascii="Arial" w:cs="Arial" w:eastAsia="Arial" w:hAnsi="Arial"/>
          <w:sz w:val="13"/>
          <w:szCs w:val="13"/>
          <w:b w:val="1"/>
          <w:bCs w:val="1"/>
          <w:color w:val="auto"/>
        </w:rPr>
        <w:t>51 WEST 52ND STREET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wp:posOffset>
            </wp:positionH>
            <wp:positionV relativeFrom="paragraph">
              <wp:posOffset>-339725</wp:posOffset>
            </wp:positionV>
            <wp:extent cx="1954530"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4530" cy="120015"/>
                    </a:xfrm>
                    <a:prstGeom prst="rect">
                      <a:avLst/>
                    </a:prstGeom>
                    <a:noFill/>
                  </pic:spPr>
                </pic:pic>
              </a:graphicData>
            </a:graphic>
          </wp:anchor>
        </w:drawing>
      </w:r>
    </w:p>
    <w:p>
      <w:pPr>
        <w:ind w:left="1060"/>
        <w:spacing w:after="0" w:line="216" w:lineRule="auto"/>
        <w:rPr>
          <w:sz w:val="20"/>
          <w:szCs w:val="20"/>
          <w:color w:val="auto"/>
        </w:rPr>
      </w:pPr>
      <w:r>
        <w:rPr>
          <w:rFonts w:ascii="Arial" w:cs="Arial" w:eastAsia="Arial" w:hAnsi="Arial"/>
          <w:sz w:val="13"/>
          <w:szCs w:val="13"/>
          <w:b w:val="1"/>
          <w:bCs w:val="1"/>
          <w:color w:val="auto"/>
        </w:rPr>
        <w:t>NEW YORK, N.Y. 10019-6150</w:t>
      </w:r>
    </w:p>
    <w:p>
      <w:pPr>
        <w:ind w:left="1040"/>
        <w:spacing w:after="0" w:line="217" w:lineRule="auto"/>
        <w:rPr>
          <w:sz w:val="20"/>
          <w:szCs w:val="20"/>
          <w:color w:val="auto"/>
        </w:rPr>
      </w:pPr>
      <w:r>
        <w:rPr>
          <w:rFonts w:ascii="Arial" w:cs="Arial" w:eastAsia="Arial" w:hAnsi="Arial"/>
          <w:sz w:val="13"/>
          <w:szCs w:val="13"/>
          <w:b w:val="1"/>
          <w:bCs w:val="1"/>
          <w:color w:val="auto"/>
        </w:rPr>
        <w:t>TELEPHONE: (212) 403 -1000</w:t>
      </w:r>
    </w:p>
    <w:p>
      <w:pPr>
        <w:ind w:left="1080"/>
        <w:spacing w:after="0"/>
        <w:rPr>
          <w:sz w:val="20"/>
          <w:szCs w:val="20"/>
          <w:color w:val="auto"/>
        </w:rPr>
      </w:pPr>
      <w:r>
        <w:rPr>
          <w:rFonts w:ascii="Arial" w:cs="Arial" w:eastAsia="Arial" w:hAnsi="Arial"/>
          <w:sz w:val="13"/>
          <w:szCs w:val="13"/>
          <w:b w:val="1"/>
          <w:bCs w:val="1"/>
          <w:color w:val="auto"/>
        </w:rPr>
        <w:t>FACSIMILE: (212) 403 -2000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861060</wp:posOffset>
            </wp:positionH>
            <wp:positionV relativeFrom="paragraph">
              <wp:posOffset>70485</wp:posOffset>
            </wp:positionV>
            <wp:extent cx="659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9765" cy="8890"/>
                    </a:xfrm>
                    <a:prstGeom prst="rect">
                      <a:avLst/>
                    </a:prstGeom>
                    <a:noFill/>
                  </pic:spPr>
                </pic:pic>
              </a:graphicData>
            </a:graphic>
          </wp:anchor>
        </w:drawing>
      </w:r>
    </w:p>
    <w:p>
      <w:pPr>
        <w:spacing w:after="0" w:line="221" w:lineRule="exact"/>
        <w:rPr>
          <w:sz w:val="24"/>
          <w:szCs w:val="24"/>
          <w:color w:val="auto"/>
        </w:rPr>
      </w:pPr>
    </w:p>
    <w:p>
      <w:pPr>
        <w:jc w:val="center"/>
        <w:ind w:left="-59"/>
        <w:spacing w:after="0"/>
        <w:rPr>
          <w:sz w:val="20"/>
          <w:szCs w:val="20"/>
          <w:color w:val="auto"/>
        </w:rPr>
      </w:pPr>
      <w:r>
        <w:rPr>
          <w:rFonts w:ascii="Arial" w:cs="Arial" w:eastAsia="Arial" w:hAnsi="Arial"/>
          <w:sz w:val="13"/>
          <w:szCs w:val="13"/>
          <w:color w:val="auto"/>
        </w:rPr>
        <w:t>GEORGE A. KATZ (1965-1989)</w:t>
      </w:r>
    </w:p>
    <w:p>
      <w:pPr>
        <w:jc w:val="center"/>
        <w:ind w:left="-59"/>
        <w:spacing w:after="0" w:line="216" w:lineRule="auto"/>
        <w:rPr>
          <w:sz w:val="20"/>
          <w:szCs w:val="20"/>
          <w:color w:val="auto"/>
        </w:rPr>
      </w:pPr>
      <w:r>
        <w:rPr>
          <w:rFonts w:ascii="Arial" w:cs="Arial" w:eastAsia="Arial" w:hAnsi="Arial"/>
          <w:sz w:val="13"/>
          <w:szCs w:val="13"/>
          <w:color w:val="auto"/>
        </w:rPr>
        <w:t>JAMES H. FOGELSON (1967-1991)</w:t>
      </w:r>
    </w:p>
    <w:p>
      <w:pPr>
        <w:jc w:val="center"/>
        <w:ind w:left="-59"/>
        <w:spacing w:after="0"/>
        <w:rPr>
          <w:sz w:val="20"/>
          <w:szCs w:val="20"/>
          <w:color w:val="auto"/>
        </w:rPr>
      </w:pPr>
      <w:r>
        <w:rPr>
          <w:rFonts w:ascii="Arial" w:cs="Arial" w:eastAsia="Arial" w:hAnsi="Arial"/>
          <w:sz w:val="13"/>
          <w:szCs w:val="13"/>
          <w:color w:val="auto"/>
        </w:rPr>
        <w:t>LEONARD M. ROSEN (1965-2014)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861060</wp:posOffset>
            </wp:positionH>
            <wp:positionV relativeFrom="paragraph">
              <wp:posOffset>70485</wp:posOffset>
            </wp:positionV>
            <wp:extent cx="659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160"/>
        </w:trPr>
        <w:tc>
          <w:tcPr>
            <w:tcW w:w="1360" w:type="dxa"/>
            <w:vAlign w:val="bottom"/>
          </w:tcPr>
          <w:p>
            <w:pPr>
              <w:spacing w:after="0"/>
              <w:rPr>
                <w:sz w:val="13"/>
                <w:szCs w:val="13"/>
                <w:color w:val="auto"/>
              </w:rPr>
            </w:pPr>
          </w:p>
        </w:tc>
        <w:tc>
          <w:tcPr>
            <w:tcW w:w="2340" w:type="dxa"/>
            <w:vAlign w:val="bottom"/>
            <w:gridSpan w:val="3"/>
          </w:tcPr>
          <w:p>
            <w:pPr>
              <w:jc w:val="center"/>
              <w:ind w:right="1320"/>
              <w:spacing w:after="0"/>
              <w:rPr>
                <w:sz w:val="20"/>
                <w:szCs w:val="20"/>
                <w:color w:val="auto"/>
              </w:rPr>
            </w:pPr>
            <w:r>
              <w:rPr>
                <w:rFonts w:ascii="Arial" w:cs="Arial" w:eastAsia="Arial" w:hAnsi="Arial"/>
                <w:sz w:val="13"/>
                <w:szCs w:val="13"/>
                <w:color w:val="auto"/>
                <w:w w:val="92"/>
              </w:rPr>
              <w:t>OF COUNSEL</w:t>
            </w:r>
          </w:p>
        </w:tc>
      </w:tr>
      <w:tr>
        <w:trPr>
          <w:trHeight w:val="245"/>
        </w:trPr>
        <w:tc>
          <w:tcPr>
            <w:tcW w:w="1580" w:type="dxa"/>
            <w:vAlign w:val="bottom"/>
            <w:gridSpan w:val="2"/>
          </w:tcPr>
          <w:p>
            <w:pPr>
              <w:spacing w:after="0"/>
              <w:rPr>
                <w:sz w:val="20"/>
                <w:szCs w:val="20"/>
                <w:color w:val="auto"/>
              </w:rPr>
            </w:pPr>
            <w:r>
              <w:rPr>
                <w:rFonts w:ascii="Arial" w:cs="Arial" w:eastAsia="Arial" w:hAnsi="Arial"/>
                <w:sz w:val="13"/>
                <w:szCs w:val="13"/>
                <w:color w:val="auto"/>
              </w:rPr>
              <w:t>MARTIN J.E. ARMS</w:t>
            </w:r>
          </w:p>
        </w:tc>
        <w:tc>
          <w:tcPr>
            <w:tcW w:w="2120" w:type="dxa"/>
            <w:vAlign w:val="bottom"/>
            <w:gridSpan w:val="2"/>
          </w:tcPr>
          <w:p>
            <w:pPr>
              <w:ind w:left="640"/>
              <w:spacing w:after="0"/>
              <w:rPr>
                <w:sz w:val="20"/>
                <w:szCs w:val="20"/>
                <w:color w:val="auto"/>
              </w:rPr>
            </w:pPr>
            <w:r>
              <w:rPr>
                <w:rFonts w:ascii="Arial" w:cs="Arial" w:eastAsia="Arial" w:hAnsi="Arial"/>
                <w:sz w:val="13"/>
                <w:szCs w:val="13"/>
                <w:color w:val="auto"/>
              </w:rPr>
              <w:t>ERIC S. ROBINSON</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MICHAEL H. BYOWITZ</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w w:val="94"/>
              </w:rPr>
              <w:t>PATRICIA A. ROBINSON*</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KENNETH B. FORREST</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ERIC M. ROTH</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SELWYN B. GOLDBERG</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PAUL K. ROWE</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PETER C. HEIN</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DAVID A. SCHWARTZ</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MEYER G. KOPLOW</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MICHAEL J. SEGAL</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LAWRENCE S. MAKOW</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ELLIOTT V. STEIN</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DOUGLAS K. MAYER</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WARREN R. STERN</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PHILIP MINDLIN</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w w:val="91"/>
              </w:rPr>
              <w:t>PAUL VIZCARRONDO, JR.</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DAVID S. NEILL</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PATRICIA A. VLAHAKIS</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HAROLD S. NOVIKOFF</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AMY R. WOLF</w:t>
            </w:r>
          </w:p>
        </w:tc>
      </w:tr>
      <w:tr>
        <w:trPr>
          <w:trHeight w:val="160"/>
        </w:trPr>
        <w:tc>
          <w:tcPr>
            <w:tcW w:w="1580" w:type="dxa"/>
            <w:vAlign w:val="bottom"/>
            <w:gridSpan w:val="2"/>
          </w:tcPr>
          <w:p>
            <w:pPr>
              <w:spacing w:after="0"/>
              <w:rPr>
                <w:sz w:val="20"/>
                <w:szCs w:val="20"/>
                <w:color w:val="auto"/>
              </w:rPr>
            </w:pPr>
            <w:r>
              <w:rPr>
                <w:rFonts w:ascii="Arial" w:cs="Arial" w:eastAsia="Arial" w:hAnsi="Arial"/>
                <w:sz w:val="13"/>
                <w:szCs w:val="13"/>
                <w:color w:val="auto"/>
                <w:w w:val="96"/>
              </w:rPr>
              <w:t>LAWRENCE B. PEDOWITZ</w:t>
            </w:r>
          </w:p>
        </w:tc>
        <w:tc>
          <w:tcPr>
            <w:tcW w:w="8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70"/>
        </w:trPr>
        <w:tc>
          <w:tcPr>
            <w:tcW w:w="3700" w:type="dxa"/>
            <w:vAlign w:val="bottom"/>
            <w:gridSpan w:val="4"/>
          </w:tcPr>
          <w:p>
            <w:pPr>
              <w:jc w:val="center"/>
              <w:spacing w:after="0"/>
              <w:rPr>
                <w:sz w:val="20"/>
                <w:szCs w:val="20"/>
                <w:color w:val="auto"/>
              </w:rPr>
            </w:pPr>
            <w:r>
              <w:rPr>
                <w:rFonts w:ascii="Arial" w:cs="Arial" w:eastAsia="Arial" w:hAnsi="Arial"/>
                <w:sz w:val="13"/>
                <w:szCs w:val="13"/>
                <w:color w:val="auto"/>
                <w:w w:val="97"/>
              </w:rPr>
              <w:t>* ADMITTED IN THE DISTRICT OF COLUMBIA</w:t>
            </w:r>
          </w:p>
        </w:tc>
      </w:tr>
      <w:tr>
        <w:trPr>
          <w:trHeight w:val="110"/>
        </w:trPr>
        <w:tc>
          <w:tcPr>
            <w:tcW w:w="13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300" w:type="dxa"/>
            <w:vAlign w:val="bottom"/>
          </w:tcPr>
          <w:p>
            <w:pPr>
              <w:spacing w:after="0"/>
              <w:rPr>
                <w:sz w:val="9"/>
                <w:szCs w:val="9"/>
                <w:color w:val="auto"/>
              </w:rPr>
            </w:pPr>
          </w:p>
        </w:tc>
      </w:tr>
      <w:tr>
        <w:trPr>
          <w:trHeight w:val="249"/>
        </w:trPr>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20" w:type="dxa"/>
            <w:vAlign w:val="bottom"/>
            <w:gridSpan w:val="2"/>
          </w:tcPr>
          <w:p>
            <w:pPr>
              <w:jc w:val="center"/>
              <w:ind w:right="1540"/>
              <w:spacing w:after="0"/>
              <w:rPr>
                <w:sz w:val="20"/>
                <w:szCs w:val="20"/>
                <w:color w:val="auto"/>
              </w:rPr>
            </w:pPr>
            <w:r>
              <w:rPr>
                <w:rFonts w:ascii="Arial" w:cs="Arial" w:eastAsia="Arial" w:hAnsi="Arial"/>
                <w:sz w:val="13"/>
                <w:szCs w:val="13"/>
                <w:color w:val="auto"/>
                <w:w w:val="92"/>
              </w:rPr>
              <w:t>COUNSEL</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DAVID M. ADLERSTEIN</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w w:val="98"/>
              </w:rPr>
              <w:t>NANCY B. GREENBAUM</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SUMITA AHUJA</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MARK A. KOENIG</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AMANDA K. ALLEXON</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J. AUSTIN LYONS</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LOUIS J. BARASH</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ALICIA C. McCARTHY</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FRANCO CASTELLI</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PAULA N. RAMOS</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ANDREW J.H. CHEUNG</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NEIL M. SNYDER</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PAMELA EHRENKRANZ</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S. CHRISTOPHER</w:t>
            </w:r>
          </w:p>
        </w:tc>
      </w:tr>
      <w:tr>
        <w:trPr>
          <w:trHeight w:val="135"/>
        </w:trPr>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w w:val="93"/>
              </w:rPr>
              <w:t>KATHRYN GETTLES-ATWA</w:t>
            </w:r>
          </w:p>
        </w:tc>
        <w:tc>
          <w:tcPr>
            <w:tcW w:w="2120" w:type="dxa"/>
            <w:vAlign w:val="bottom"/>
            <w:gridSpan w:val="2"/>
          </w:tcPr>
          <w:p>
            <w:pPr>
              <w:ind w:left="640"/>
              <w:spacing w:after="0" w:line="135" w:lineRule="exact"/>
              <w:rPr>
                <w:sz w:val="20"/>
                <w:szCs w:val="20"/>
                <w:color w:val="auto"/>
              </w:rPr>
            </w:pPr>
            <w:r>
              <w:rPr>
                <w:rFonts w:ascii="Arial" w:cs="Arial" w:eastAsia="Arial" w:hAnsi="Arial"/>
                <w:sz w:val="13"/>
                <w:szCs w:val="13"/>
                <w:color w:val="auto"/>
              </w:rPr>
              <w:t>SZCZERBAN</w:t>
            </w:r>
          </w:p>
        </w:tc>
      </w:tr>
      <w:tr>
        <w:trPr>
          <w:trHeight w:val="160"/>
        </w:trPr>
        <w:tc>
          <w:tcPr>
            <w:tcW w:w="1580" w:type="dxa"/>
            <w:vAlign w:val="bottom"/>
            <w:gridSpan w:val="2"/>
          </w:tcPr>
          <w:p>
            <w:pPr>
              <w:spacing w:after="0"/>
              <w:rPr>
                <w:sz w:val="20"/>
                <w:szCs w:val="20"/>
                <w:color w:val="auto"/>
              </w:rPr>
            </w:pPr>
            <w:r>
              <w:rPr>
                <w:rFonts w:ascii="Arial" w:cs="Arial" w:eastAsia="Arial" w:hAnsi="Arial"/>
                <w:sz w:val="13"/>
                <w:szCs w:val="13"/>
                <w:color w:val="auto"/>
              </w:rPr>
              <w:t>ADAM M. GOGOLAK</w:t>
            </w:r>
          </w:p>
        </w:tc>
        <w:tc>
          <w:tcPr>
            <w:tcW w:w="2120" w:type="dxa"/>
            <w:vAlign w:val="bottom"/>
            <w:gridSpan w:val="2"/>
          </w:tcPr>
          <w:p>
            <w:pPr>
              <w:ind w:left="640"/>
              <w:spacing w:after="0"/>
              <w:rPr>
                <w:sz w:val="20"/>
                <w:szCs w:val="20"/>
                <w:color w:val="auto"/>
              </w:rPr>
            </w:pPr>
            <w:r>
              <w:rPr>
                <w:rFonts w:ascii="Arial" w:cs="Arial" w:eastAsia="Arial" w:hAnsi="Arial"/>
                <w:sz w:val="13"/>
                <w:szCs w:val="13"/>
                <w:color w:val="auto"/>
              </w:rPr>
              <w:t>JEFFREY A. WATIKER</w:t>
            </w:r>
          </w:p>
        </w:tc>
      </w:tr>
    </w:tbl>
    <w:p>
      <w:pPr>
        <w:spacing w:after="0" w:line="204" w:lineRule="exact"/>
        <w:rPr>
          <w:sz w:val="24"/>
          <w:szCs w:val="24"/>
          <w:color w:val="auto"/>
        </w:rPr>
      </w:pPr>
    </w:p>
    <w:p>
      <w:pPr>
        <w:ind w:left="820"/>
        <w:spacing w:after="0"/>
        <w:rPr>
          <w:sz w:val="20"/>
          <w:szCs w:val="20"/>
          <w:color w:val="auto"/>
        </w:rPr>
      </w:pPr>
      <w:r>
        <w:rPr>
          <w:rFonts w:ascii="Arial" w:cs="Arial" w:eastAsia="Arial" w:hAnsi="Arial"/>
          <w:sz w:val="18"/>
          <w:szCs w:val="18"/>
          <w:color w:val="auto"/>
        </w:rPr>
        <w:t>February 6, 2020</w:t>
      </w:r>
    </w:p>
    <w:p>
      <w:pPr>
        <w:spacing w:after="0" w:line="20" w:lineRule="exact"/>
        <w:rPr>
          <w:sz w:val="24"/>
          <w:szCs w:val="24"/>
          <w:color w:val="auto"/>
        </w:rPr>
      </w:pPr>
      <w:r>
        <w:rPr>
          <w:sz w:val="24"/>
          <w:szCs w:val="24"/>
          <w:color w:val="auto"/>
        </w:rPr>
        <w:br w:type="column"/>
      </w:r>
    </w:p>
    <w:p>
      <w:pPr>
        <w:spacing w:after="0"/>
        <w:tabs>
          <w:tab w:leader="none" w:pos="1620" w:val="left"/>
        </w:tabs>
        <w:rPr>
          <w:sz w:val="20"/>
          <w:szCs w:val="20"/>
          <w:color w:val="auto"/>
        </w:rPr>
      </w:pPr>
      <w:r>
        <w:rPr>
          <w:rFonts w:ascii="Arial" w:cs="Arial" w:eastAsia="Arial" w:hAnsi="Arial"/>
          <w:sz w:val="13"/>
          <w:szCs w:val="13"/>
          <w:color w:val="auto"/>
        </w:rPr>
        <w:t>DAVID E. SHAPIRO</w:t>
      </w:r>
      <w:r>
        <w:rPr>
          <w:sz w:val="20"/>
          <w:szCs w:val="20"/>
          <w:color w:val="auto"/>
        </w:rPr>
        <w:tab/>
      </w:r>
      <w:r>
        <w:rPr>
          <w:rFonts w:ascii="Arial" w:cs="Arial" w:eastAsia="Arial" w:hAnsi="Arial"/>
          <w:sz w:val="12"/>
          <w:szCs w:val="12"/>
          <w:color w:val="auto"/>
        </w:rPr>
        <w:t>MICHAEL S. BENN</w:t>
      </w:r>
    </w:p>
    <w:p>
      <w:pPr>
        <w:spacing w:after="0" w:line="234" w:lineRule="auto"/>
        <w:tabs>
          <w:tab w:leader="none" w:pos="1620" w:val="left"/>
        </w:tabs>
        <w:rPr>
          <w:sz w:val="20"/>
          <w:szCs w:val="20"/>
          <w:color w:val="auto"/>
        </w:rPr>
      </w:pPr>
      <w:r>
        <w:rPr>
          <w:rFonts w:ascii="Arial" w:cs="Arial" w:eastAsia="Arial" w:hAnsi="Arial"/>
          <w:sz w:val="13"/>
          <w:szCs w:val="13"/>
          <w:color w:val="auto"/>
        </w:rPr>
        <w:t>DAMIAN G. DIDDEN</w:t>
      </w:r>
      <w:r>
        <w:rPr>
          <w:sz w:val="20"/>
          <w:szCs w:val="20"/>
          <w:color w:val="auto"/>
        </w:rPr>
        <w:tab/>
      </w:r>
      <w:r>
        <w:rPr>
          <w:rFonts w:ascii="Arial" w:cs="Arial" w:eastAsia="Arial" w:hAnsi="Arial"/>
          <w:sz w:val="12"/>
          <w:szCs w:val="12"/>
          <w:color w:val="auto"/>
        </w:rPr>
        <w:t>SABASTIAN V. NILES</w:t>
      </w:r>
    </w:p>
    <w:p>
      <w:pPr>
        <w:spacing w:after="0" w:line="235" w:lineRule="auto"/>
        <w:tabs>
          <w:tab w:leader="none" w:pos="1620" w:val="left"/>
        </w:tabs>
        <w:rPr>
          <w:sz w:val="20"/>
          <w:szCs w:val="20"/>
          <w:color w:val="auto"/>
        </w:rPr>
      </w:pPr>
      <w:r>
        <w:rPr>
          <w:rFonts w:ascii="Arial" w:cs="Arial" w:eastAsia="Arial" w:hAnsi="Arial"/>
          <w:sz w:val="13"/>
          <w:szCs w:val="13"/>
          <w:color w:val="auto"/>
        </w:rPr>
        <w:t>IAN BOCZKO</w:t>
      </w:r>
      <w:r>
        <w:rPr>
          <w:sz w:val="20"/>
          <w:szCs w:val="20"/>
          <w:color w:val="auto"/>
        </w:rPr>
        <w:tab/>
      </w:r>
      <w:r>
        <w:rPr>
          <w:rFonts w:ascii="Arial" w:cs="Arial" w:eastAsia="Arial" w:hAnsi="Arial"/>
          <w:sz w:val="12"/>
          <w:szCs w:val="12"/>
          <w:color w:val="auto"/>
        </w:rPr>
        <w:t>ALISON ZIESKE PREISS</w:t>
      </w:r>
    </w:p>
    <w:p>
      <w:pPr>
        <w:spacing w:after="0" w:line="235" w:lineRule="auto"/>
        <w:tabs>
          <w:tab w:leader="none" w:pos="1620" w:val="left"/>
        </w:tabs>
        <w:rPr>
          <w:sz w:val="20"/>
          <w:szCs w:val="20"/>
          <w:color w:val="auto"/>
        </w:rPr>
      </w:pPr>
      <w:r>
        <w:rPr>
          <w:rFonts w:ascii="Arial" w:cs="Arial" w:eastAsia="Arial" w:hAnsi="Arial"/>
          <w:sz w:val="13"/>
          <w:szCs w:val="13"/>
          <w:color w:val="auto"/>
        </w:rPr>
        <w:t>MATTHEW M. GUEST</w:t>
      </w:r>
      <w:r>
        <w:rPr>
          <w:sz w:val="20"/>
          <w:szCs w:val="20"/>
          <w:color w:val="auto"/>
        </w:rPr>
        <w:tab/>
      </w:r>
      <w:r>
        <w:rPr>
          <w:rFonts w:ascii="Arial" w:cs="Arial" w:eastAsia="Arial" w:hAnsi="Arial"/>
          <w:sz w:val="12"/>
          <w:szCs w:val="12"/>
          <w:color w:val="auto"/>
        </w:rPr>
        <w:t>TIJANA J. DVORNIC</w:t>
      </w:r>
    </w:p>
    <w:p>
      <w:pPr>
        <w:spacing w:after="0" w:line="235" w:lineRule="auto"/>
        <w:tabs>
          <w:tab w:leader="none" w:pos="1620" w:val="left"/>
        </w:tabs>
        <w:rPr>
          <w:sz w:val="20"/>
          <w:szCs w:val="20"/>
          <w:color w:val="auto"/>
        </w:rPr>
      </w:pPr>
      <w:r>
        <w:rPr>
          <w:rFonts w:ascii="Arial" w:cs="Arial" w:eastAsia="Arial" w:hAnsi="Arial"/>
          <w:sz w:val="13"/>
          <w:szCs w:val="13"/>
          <w:color w:val="auto"/>
        </w:rPr>
        <w:t>DAVID E. KAHAN</w:t>
      </w:r>
      <w:r>
        <w:rPr>
          <w:sz w:val="20"/>
          <w:szCs w:val="20"/>
          <w:color w:val="auto"/>
        </w:rPr>
        <w:tab/>
      </w:r>
      <w:r>
        <w:rPr>
          <w:rFonts w:ascii="Arial" w:cs="Arial" w:eastAsia="Arial" w:hAnsi="Arial"/>
          <w:sz w:val="12"/>
          <w:szCs w:val="12"/>
          <w:color w:val="auto"/>
        </w:rPr>
        <w:t>JENNA E. LEVINE</w:t>
      </w:r>
    </w:p>
    <w:p>
      <w:pPr>
        <w:spacing w:after="0" w:line="234" w:lineRule="auto"/>
        <w:tabs>
          <w:tab w:leader="none" w:pos="1620" w:val="left"/>
        </w:tabs>
        <w:rPr>
          <w:sz w:val="20"/>
          <w:szCs w:val="20"/>
          <w:color w:val="auto"/>
        </w:rPr>
      </w:pPr>
      <w:r>
        <w:rPr>
          <w:rFonts w:ascii="Arial" w:cs="Arial" w:eastAsia="Arial" w:hAnsi="Arial"/>
          <w:sz w:val="13"/>
          <w:szCs w:val="13"/>
          <w:color w:val="auto"/>
        </w:rPr>
        <w:t>DAVID K. LAM</w:t>
      </w:r>
      <w:r>
        <w:rPr>
          <w:sz w:val="20"/>
          <w:szCs w:val="20"/>
          <w:color w:val="auto"/>
        </w:rPr>
        <w:tab/>
      </w:r>
      <w:r>
        <w:rPr>
          <w:rFonts w:ascii="Arial" w:cs="Arial" w:eastAsia="Arial" w:hAnsi="Arial"/>
          <w:sz w:val="12"/>
          <w:szCs w:val="12"/>
          <w:color w:val="auto"/>
        </w:rPr>
        <w:t>RYAN A. McLEOD</w:t>
      </w:r>
    </w:p>
    <w:p>
      <w:pPr>
        <w:spacing w:after="0" w:line="235" w:lineRule="auto"/>
        <w:tabs>
          <w:tab w:leader="none" w:pos="1620" w:val="left"/>
        </w:tabs>
        <w:rPr>
          <w:sz w:val="20"/>
          <w:szCs w:val="20"/>
          <w:color w:val="auto"/>
        </w:rPr>
      </w:pPr>
      <w:r>
        <w:rPr>
          <w:rFonts w:ascii="Arial" w:cs="Arial" w:eastAsia="Arial" w:hAnsi="Arial"/>
          <w:sz w:val="13"/>
          <w:szCs w:val="13"/>
          <w:color w:val="auto"/>
        </w:rPr>
        <w:t>BENJAMIN M. ROTH</w:t>
      </w:r>
      <w:r>
        <w:rPr>
          <w:sz w:val="20"/>
          <w:szCs w:val="20"/>
          <w:color w:val="auto"/>
        </w:rPr>
        <w:tab/>
      </w:r>
      <w:r>
        <w:rPr>
          <w:rFonts w:ascii="Arial" w:cs="Arial" w:eastAsia="Arial" w:hAnsi="Arial"/>
          <w:sz w:val="12"/>
          <w:szCs w:val="12"/>
          <w:color w:val="auto"/>
        </w:rPr>
        <w:t>ANITHA REDDY</w:t>
      </w:r>
    </w:p>
    <w:p>
      <w:pPr>
        <w:spacing w:after="0" w:line="235" w:lineRule="auto"/>
        <w:tabs>
          <w:tab w:leader="none" w:pos="1620" w:val="left"/>
        </w:tabs>
        <w:rPr>
          <w:sz w:val="20"/>
          <w:szCs w:val="20"/>
          <w:color w:val="auto"/>
        </w:rPr>
      </w:pPr>
      <w:r>
        <w:rPr>
          <w:rFonts w:ascii="Arial" w:cs="Arial" w:eastAsia="Arial" w:hAnsi="Arial"/>
          <w:sz w:val="13"/>
          <w:szCs w:val="13"/>
          <w:color w:val="auto"/>
        </w:rPr>
        <w:t>JOSHUA A. FELTMAN</w:t>
      </w:r>
      <w:r>
        <w:rPr>
          <w:sz w:val="20"/>
          <w:szCs w:val="20"/>
          <w:color w:val="auto"/>
        </w:rPr>
        <w:tab/>
      </w:r>
      <w:r>
        <w:rPr>
          <w:rFonts w:ascii="Arial" w:cs="Arial" w:eastAsia="Arial" w:hAnsi="Arial"/>
          <w:sz w:val="12"/>
          <w:szCs w:val="12"/>
          <w:color w:val="auto"/>
        </w:rPr>
        <w:t>JOHN L. ROBINSON</w:t>
      </w:r>
    </w:p>
    <w:p>
      <w:pPr>
        <w:spacing w:after="0" w:line="235" w:lineRule="auto"/>
        <w:tabs>
          <w:tab w:leader="none" w:pos="1620" w:val="left"/>
        </w:tabs>
        <w:rPr>
          <w:sz w:val="20"/>
          <w:szCs w:val="20"/>
          <w:color w:val="auto"/>
        </w:rPr>
      </w:pPr>
      <w:r>
        <w:rPr>
          <w:rFonts w:ascii="Arial" w:cs="Arial" w:eastAsia="Arial" w:hAnsi="Arial"/>
          <w:sz w:val="13"/>
          <w:szCs w:val="13"/>
          <w:color w:val="auto"/>
        </w:rPr>
        <w:t>ELAINE P. GOLIN</w:t>
      </w:r>
      <w:r>
        <w:rPr>
          <w:sz w:val="20"/>
          <w:szCs w:val="20"/>
          <w:color w:val="auto"/>
        </w:rPr>
        <w:tab/>
      </w:r>
      <w:r>
        <w:rPr>
          <w:rFonts w:ascii="Arial" w:cs="Arial" w:eastAsia="Arial" w:hAnsi="Arial"/>
          <w:sz w:val="12"/>
          <w:szCs w:val="12"/>
          <w:color w:val="auto"/>
        </w:rPr>
        <w:t>JOHN R. SOBOLEWSKI</w:t>
      </w:r>
    </w:p>
    <w:p>
      <w:pPr>
        <w:spacing w:after="0" w:line="234" w:lineRule="auto"/>
        <w:tabs>
          <w:tab w:leader="none" w:pos="1620" w:val="left"/>
        </w:tabs>
        <w:rPr>
          <w:sz w:val="20"/>
          <w:szCs w:val="20"/>
          <w:color w:val="auto"/>
        </w:rPr>
      </w:pPr>
      <w:r>
        <w:rPr>
          <w:rFonts w:ascii="Arial" w:cs="Arial" w:eastAsia="Arial" w:hAnsi="Arial"/>
          <w:sz w:val="13"/>
          <w:szCs w:val="13"/>
          <w:color w:val="auto"/>
        </w:rPr>
        <w:t>EMIL A. KLEINHAUS</w:t>
      </w:r>
      <w:r>
        <w:rPr>
          <w:sz w:val="20"/>
          <w:szCs w:val="20"/>
          <w:color w:val="auto"/>
        </w:rPr>
        <w:tab/>
      </w:r>
      <w:r>
        <w:rPr>
          <w:rFonts w:ascii="Arial" w:cs="Arial" w:eastAsia="Arial" w:hAnsi="Arial"/>
          <w:sz w:val="12"/>
          <w:szCs w:val="12"/>
          <w:color w:val="auto"/>
        </w:rPr>
        <w:t>STEVEN WINTER</w:t>
      </w:r>
    </w:p>
    <w:p>
      <w:pPr>
        <w:spacing w:after="0" w:line="235" w:lineRule="auto"/>
        <w:tabs>
          <w:tab w:leader="none" w:pos="1620" w:val="left"/>
        </w:tabs>
        <w:rPr>
          <w:sz w:val="20"/>
          <w:szCs w:val="20"/>
          <w:color w:val="auto"/>
        </w:rPr>
      </w:pPr>
      <w:r>
        <w:rPr>
          <w:rFonts w:ascii="Arial" w:cs="Arial" w:eastAsia="Arial" w:hAnsi="Arial"/>
          <w:sz w:val="13"/>
          <w:szCs w:val="13"/>
          <w:color w:val="auto"/>
        </w:rPr>
        <w:t>KARESSA L. CAIN</w:t>
      </w:r>
      <w:r>
        <w:rPr>
          <w:sz w:val="20"/>
          <w:szCs w:val="20"/>
          <w:color w:val="auto"/>
        </w:rPr>
        <w:tab/>
      </w:r>
      <w:r>
        <w:rPr>
          <w:rFonts w:ascii="Arial" w:cs="Arial" w:eastAsia="Arial" w:hAnsi="Arial"/>
          <w:sz w:val="12"/>
          <w:szCs w:val="12"/>
          <w:color w:val="auto"/>
        </w:rPr>
        <w:t>EMILY D. JOHNSON</w:t>
      </w:r>
    </w:p>
    <w:p>
      <w:pPr>
        <w:spacing w:after="0" w:line="235" w:lineRule="auto"/>
        <w:tabs>
          <w:tab w:leader="none" w:pos="1620" w:val="left"/>
        </w:tabs>
        <w:rPr>
          <w:sz w:val="20"/>
          <w:szCs w:val="20"/>
          <w:color w:val="auto"/>
        </w:rPr>
      </w:pPr>
      <w:r>
        <w:rPr>
          <w:rFonts w:ascii="Arial" w:cs="Arial" w:eastAsia="Arial" w:hAnsi="Arial"/>
          <w:sz w:val="13"/>
          <w:szCs w:val="13"/>
          <w:color w:val="auto"/>
        </w:rPr>
        <w:t>RONALD C. CHEN</w:t>
      </w:r>
      <w:r>
        <w:rPr>
          <w:sz w:val="20"/>
          <w:szCs w:val="20"/>
          <w:color w:val="auto"/>
        </w:rPr>
        <w:tab/>
      </w:r>
      <w:r>
        <w:rPr>
          <w:rFonts w:ascii="Arial" w:cs="Arial" w:eastAsia="Arial" w:hAnsi="Arial"/>
          <w:sz w:val="12"/>
          <w:szCs w:val="12"/>
          <w:color w:val="auto"/>
        </w:rPr>
        <w:t>JACOB A. KLING</w:t>
      </w:r>
    </w:p>
    <w:p>
      <w:pPr>
        <w:spacing w:after="0" w:line="235" w:lineRule="auto"/>
        <w:tabs>
          <w:tab w:leader="none" w:pos="1620" w:val="left"/>
        </w:tabs>
        <w:rPr>
          <w:sz w:val="20"/>
          <w:szCs w:val="20"/>
          <w:color w:val="auto"/>
        </w:rPr>
      </w:pPr>
      <w:r>
        <w:rPr>
          <w:rFonts w:ascii="Arial" w:cs="Arial" w:eastAsia="Arial" w:hAnsi="Arial"/>
          <w:sz w:val="13"/>
          <w:szCs w:val="13"/>
          <w:color w:val="auto"/>
        </w:rPr>
        <w:t>GORDON S. MOODIE</w:t>
      </w:r>
      <w:r>
        <w:rPr>
          <w:sz w:val="20"/>
          <w:szCs w:val="20"/>
          <w:color w:val="auto"/>
        </w:rPr>
        <w:tab/>
      </w:r>
      <w:r>
        <w:rPr>
          <w:rFonts w:ascii="Arial" w:cs="Arial" w:eastAsia="Arial" w:hAnsi="Arial"/>
          <w:sz w:val="12"/>
          <w:szCs w:val="12"/>
          <w:color w:val="auto"/>
        </w:rPr>
        <w:t>RAAJ S. NARAYAN</w:t>
      </w:r>
    </w:p>
    <w:p>
      <w:pPr>
        <w:spacing w:after="0" w:line="234" w:lineRule="auto"/>
        <w:tabs>
          <w:tab w:leader="none" w:pos="1620" w:val="left"/>
        </w:tabs>
        <w:rPr>
          <w:sz w:val="20"/>
          <w:szCs w:val="20"/>
          <w:color w:val="auto"/>
        </w:rPr>
      </w:pPr>
      <w:r>
        <w:rPr>
          <w:rFonts w:ascii="Arial" w:cs="Arial" w:eastAsia="Arial" w:hAnsi="Arial"/>
          <w:sz w:val="13"/>
          <w:szCs w:val="13"/>
          <w:color w:val="auto"/>
        </w:rPr>
        <w:t>DONGJU SONG</w:t>
      </w:r>
      <w:r>
        <w:rPr>
          <w:sz w:val="20"/>
          <w:szCs w:val="20"/>
          <w:color w:val="auto"/>
        </w:rPr>
        <w:tab/>
      </w:r>
      <w:r>
        <w:rPr>
          <w:rFonts w:ascii="Arial" w:cs="Arial" w:eastAsia="Arial" w:hAnsi="Arial"/>
          <w:sz w:val="12"/>
          <w:szCs w:val="12"/>
          <w:color w:val="auto"/>
        </w:rPr>
        <w:t>VIKTOR SAPEZHNIKOV</w:t>
      </w:r>
    </w:p>
    <w:p>
      <w:pPr>
        <w:spacing w:after="0" w:line="235" w:lineRule="auto"/>
        <w:tabs>
          <w:tab w:leader="none" w:pos="1620" w:val="left"/>
        </w:tabs>
        <w:rPr>
          <w:sz w:val="20"/>
          <w:szCs w:val="20"/>
          <w:color w:val="auto"/>
        </w:rPr>
      </w:pPr>
      <w:r>
        <w:rPr>
          <w:rFonts w:ascii="Arial" w:cs="Arial" w:eastAsia="Arial" w:hAnsi="Arial"/>
          <w:sz w:val="13"/>
          <w:szCs w:val="13"/>
          <w:color w:val="auto"/>
        </w:rPr>
        <w:t>BRADLEY R. WILSON</w:t>
      </w:r>
      <w:r>
        <w:rPr>
          <w:sz w:val="20"/>
          <w:szCs w:val="20"/>
          <w:color w:val="auto"/>
        </w:rPr>
        <w:tab/>
      </w:r>
      <w:r>
        <w:rPr>
          <w:rFonts w:ascii="Arial" w:cs="Arial" w:eastAsia="Arial" w:hAnsi="Arial"/>
          <w:sz w:val="12"/>
          <w:szCs w:val="12"/>
          <w:color w:val="auto"/>
        </w:rPr>
        <w:t>MICHAEL J. SCHOBEL</w:t>
      </w:r>
    </w:p>
    <w:p>
      <w:pPr>
        <w:spacing w:after="0" w:line="235" w:lineRule="auto"/>
        <w:tabs>
          <w:tab w:leader="none" w:pos="1620" w:val="left"/>
        </w:tabs>
        <w:rPr>
          <w:sz w:val="20"/>
          <w:szCs w:val="20"/>
          <w:color w:val="auto"/>
        </w:rPr>
      </w:pPr>
      <w:r>
        <w:rPr>
          <w:rFonts w:ascii="Arial" w:cs="Arial" w:eastAsia="Arial" w:hAnsi="Arial"/>
          <w:sz w:val="13"/>
          <w:szCs w:val="13"/>
          <w:color w:val="auto"/>
        </w:rPr>
        <w:t>GRAHAM W. MELI</w:t>
      </w:r>
      <w:r>
        <w:rPr>
          <w:sz w:val="20"/>
          <w:szCs w:val="20"/>
          <w:color w:val="auto"/>
        </w:rPr>
        <w:tab/>
      </w:r>
      <w:r>
        <w:rPr>
          <w:rFonts w:ascii="Arial" w:cs="Arial" w:eastAsia="Arial" w:hAnsi="Arial"/>
          <w:sz w:val="12"/>
          <w:szCs w:val="12"/>
          <w:color w:val="auto"/>
        </w:rPr>
        <w:t>ELINA TETELBAUM</w:t>
      </w:r>
    </w:p>
    <w:p>
      <w:pPr>
        <w:spacing w:after="0" w:line="235" w:lineRule="auto"/>
        <w:tabs>
          <w:tab w:leader="none" w:pos="1620" w:val="left"/>
        </w:tabs>
        <w:rPr>
          <w:sz w:val="20"/>
          <w:szCs w:val="20"/>
          <w:color w:val="auto"/>
        </w:rPr>
      </w:pPr>
      <w:r>
        <w:rPr>
          <w:rFonts w:ascii="Arial" w:cs="Arial" w:eastAsia="Arial" w:hAnsi="Arial"/>
          <w:sz w:val="13"/>
          <w:szCs w:val="13"/>
          <w:color w:val="auto"/>
        </w:rPr>
        <w:t>GREGORY E. PESSIN</w:t>
      </w:r>
      <w:r>
        <w:rPr>
          <w:sz w:val="20"/>
          <w:szCs w:val="20"/>
          <w:color w:val="auto"/>
        </w:rPr>
        <w:tab/>
      </w:r>
      <w:r>
        <w:rPr>
          <w:rFonts w:ascii="Arial" w:cs="Arial" w:eastAsia="Arial" w:hAnsi="Arial"/>
          <w:sz w:val="12"/>
          <w:szCs w:val="12"/>
          <w:color w:val="auto"/>
        </w:rPr>
        <w:t>ERICA E. BONNETT</w:t>
      </w:r>
    </w:p>
    <w:p>
      <w:pPr>
        <w:spacing w:after="0" w:line="234" w:lineRule="auto"/>
        <w:tabs>
          <w:tab w:leader="none" w:pos="1620" w:val="left"/>
        </w:tabs>
        <w:rPr>
          <w:sz w:val="20"/>
          <w:szCs w:val="20"/>
          <w:color w:val="auto"/>
        </w:rPr>
      </w:pPr>
      <w:r>
        <w:rPr>
          <w:rFonts w:ascii="Arial" w:cs="Arial" w:eastAsia="Arial" w:hAnsi="Arial"/>
          <w:sz w:val="13"/>
          <w:szCs w:val="13"/>
          <w:color w:val="auto"/>
        </w:rPr>
        <w:t>CARRIE M. REILLY</w:t>
      </w:r>
      <w:r>
        <w:rPr>
          <w:sz w:val="20"/>
          <w:szCs w:val="20"/>
          <w:color w:val="auto"/>
        </w:rPr>
        <w:tab/>
      </w:r>
      <w:r>
        <w:rPr>
          <w:rFonts w:ascii="Arial" w:cs="Arial" w:eastAsia="Arial" w:hAnsi="Arial"/>
          <w:sz w:val="12"/>
          <w:szCs w:val="12"/>
          <w:color w:val="auto"/>
        </w:rPr>
        <w:t>LAUREN M. KOFKE</w:t>
      </w:r>
    </w:p>
    <w:p>
      <w:pPr>
        <w:spacing w:after="0" w:line="235" w:lineRule="auto"/>
        <w:tabs>
          <w:tab w:leader="none" w:pos="1620" w:val="left"/>
        </w:tabs>
        <w:rPr>
          <w:sz w:val="20"/>
          <w:szCs w:val="20"/>
          <w:color w:val="auto"/>
        </w:rPr>
      </w:pPr>
      <w:r>
        <w:rPr>
          <w:rFonts w:ascii="Arial" w:cs="Arial" w:eastAsia="Arial" w:hAnsi="Arial"/>
          <w:sz w:val="13"/>
          <w:szCs w:val="13"/>
          <w:color w:val="auto"/>
        </w:rPr>
        <w:t>MARK F. VEBLEN</w:t>
      </w:r>
      <w:r>
        <w:rPr>
          <w:sz w:val="20"/>
          <w:szCs w:val="20"/>
          <w:color w:val="auto"/>
        </w:rPr>
        <w:tab/>
      </w:r>
      <w:r>
        <w:rPr>
          <w:rFonts w:ascii="Arial" w:cs="Arial" w:eastAsia="Arial" w:hAnsi="Arial"/>
          <w:sz w:val="12"/>
          <w:szCs w:val="12"/>
          <w:color w:val="auto"/>
        </w:rPr>
        <w:t>ZACHARY S. PODOLSKY</w:t>
      </w:r>
    </w:p>
    <w:p>
      <w:pPr>
        <w:spacing w:after="0" w:line="235" w:lineRule="auto"/>
        <w:tabs>
          <w:tab w:leader="none" w:pos="1620" w:val="left"/>
        </w:tabs>
        <w:rPr>
          <w:sz w:val="20"/>
          <w:szCs w:val="20"/>
          <w:color w:val="auto"/>
        </w:rPr>
      </w:pPr>
      <w:r>
        <w:rPr>
          <w:rFonts w:ascii="Arial" w:cs="Arial" w:eastAsia="Arial" w:hAnsi="Arial"/>
          <w:sz w:val="13"/>
          <w:szCs w:val="13"/>
          <w:color w:val="auto"/>
        </w:rPr>
        <w:t>VICTOR GOLDFELD</w:t>
      </w:r>
      <w:r>
        <w:rPr>
          <w:sz w:val="20"/>
          <w:szCs w:val="20"/>
          <w:color w:val="auto"/>
        </w:rPr>
        <w:tab/>
      </w:r>
      <w:r>
        <w:rPr>
          <w:rFonts w:ascii="Arial" w:cs="Arial" w:eastAsia="Arial" w:hAnsi="Arial"/>
          <w:sz w:val="12"/>
          <w:szCs w:val="12"/>
          <w:color w:val="auto"/>
        </w:rPr>
        <w:t>RACHEL B. REISBERG</w:t>
      </w:r>
    </w:p>
    <w:p>
      <w:pPr>
        <w:spacing w:after="0" w:line="235" w:lineRule="auto"/>
        <w:tabs>
          <w:tab w:leader="none" w:pos="1620" w:val="left"/>
        </w:tabs>
        <w:rPr>
          <w:sz w:val="20"/>
          <w:szCs w:val="20"/>
          <w:color w:val="auto"/>
        </w:rPr>
      </w:pPr>
      <w:r>
        <w:rPr>
          <w:rFonts w:ascii="Arial" w:cs="Arial" w:eastAsia="Arial" w:hAnsi="Arial"/>
          <w:sz w:val="13"/>
          <w:szCs w:val="13"/>
          <w:color w:val="auto"/>
        </w:rPr>
        <w:t>EDWARD J. LEE</w:t>
      </w:r>
      <w:r>
        <w:rPr>
          <w:sz w:val="20"/>
          <w:szCs w:val="20"/>
          <w:color w:val="auto"/>
        </w:rPr>
        <w:tab/>
      </w:r>
      <w:r>
        <w:rPr>
          <w:rFonts w:ascii="Arial" w:cs="Arial" w:eastAsia="Arial" w:hAnsi="Arial"/>
          <w:sz w:val="12"/>
          <w:szCs w:val="12"/>
          <w:color w:val="auto"/>
        </w:rPr>
        <w:t>MARK A. STAGLIANO</w:t>
      </w:r>
    </w:p>
    <w:p>
      <w:pPr>
        <w:spacing w:after="0" w:line="216" w:lineRule="auto"/>
        <w:rPr>
          <w:sz w:val="20"/>
          <w:szCs w:val="20"/>
          <w:color w:val="auto"/>
        </w:rPr>
      </w:pPr>
      <w:r>
        <w:rPr>
          <w:rFonts w:ascii="Arial" w:cs="Arial" w:eastAsia="Arial" w:hAnsi="Arial"/>
          <w:sz w:val="13"/>
          <w:szCs w:val="13"/>
          <w:color w:val="auto"/>
        </w:rPr>
        <w:t>BRANDON C. PRICE</w:t>
      </w:r>
    </w:p>
    <w:p>
      <w:pPr>
        <w:spacing w:after="0"/>
        <w:rPr>
          <w:sz w:val="20"/>
          <w:szCs w:val="20"/>
          <w:color w:val="auto"/>
        </w:rPr>
      </w:pPr>
      <w:r>
        <w:rPr>
          <w:rFonts w:ascii="Arial" w:cs="Arial" w:eastAsia="Arial" w:hAnsi="Arial"/>
          <w:sz w:val="13"/>
          <w:szCs w:val="13"/>
          <w:color w:val="auto"/>
        </w:rPr>
        <w:t>KEVIN S. SCHWARTZ</w:t>
      </w:r>
    </w:p>
    <w:p>
      <w:pPr>
        <w:spacing w:after="0" w:line="4500" w:lineRule="exact"/>
        <w:rPr>
          <w:sz w:val="24"/>
          <w:szCs w:val="24"/>
          <w:color w:val="auto"/>
        </w:rPr>
      </w:pPr>
    </w:p>
    <w:p>
      <w:pPr>
        <w:sectPr>
          <w:pgSz w:w="11900" w:h="16838" w:orient="portrait"/>
          <w:cols w:equalWidth="0" w:num="3">
            <w:col w:w="3740" w:space="320"/>
            <w:col w:w="3700" w:space="160"/>
            <w:col w:w="3080"/>
          </w:cols>
          <w:pgMar w:left="440" w:top="634" w:right="459" w:bottom="1440" w:gutter="0" w:footer="0" w:header="0"/>
        </w:sectPr>
      </w:pPr>
    </w:p>
    <w:p>
      <w:pPr>
        <w:spacing w:after="0" w:line="38" w:lineRule="exact"/>
        <w:rPr>
          <w:sz w:val="24"/>
          <w:szCs w:val="24"/>
          <w:color w:val="auto"/>
        </w:rPr>
      </w:pPr>
    </w:p>
    <w:p>
      <w:pPr>
        <w:ind w:left="420"/>
        <w:spacing w:after="0"/>
        <w:tabs>
          <w:tab w:leader="none" w:pos="14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Franklin Wyman</w:t>
      </w:r>
    </w:p>
    <w:p>
      <w:pPr>
        <w:spacing w:after="0" w:line="23" w:lineRule="exact"/>
        <w:rPr>
          <w:sz w:val="24"/>
          <w:szCs w:val="24"/>
          <w:color w:val="auto"/>
        </w:rPr>
      </w:pPr>
    </w:p>
    <w:p>
      <w:pPr>
        <w:ind w:left="1480"/>
        <w:spacing w:after="0"/>
        <w:rPr>
          <w:sz w:val="20"/>
          <w:szCs w:val="20"/>
          <w:color w:val="auto"/>
        </w:rPr>
      </w:pPr>
      <w:r>
        <w:rPr>
          <w:rFonts w:ascii="Arial" w:cs="Arial" w:eastAsia="Arial" w:hAnsi="Arial"/>
          <w:sz w:val="18"/>
          <w:szCs w:val="18"/>
          <w:color w:val="auto"/>
        </w:rPr>
        <w:t>Kevin W. Vaughn</w:t>
      </w:r>
    </w:p>
    <w:p>
      <w:pPr>
        <w:spacing w:after="0" w:line="9" w:lineRule="exact"/>
        <w:rPr>
          <w:sz w:val="24"/>
          <w:szCs w:val="24"/>
          <w:color w:val="auto"/>
        </w:rPr>
      </w:pPr>
    </w:p>
    <w:p>
      <w:pPr>
        <w:ind w:left="1480"/>
        <w:spacing w:after="0"/>
        <w:rPr>
          <w:sz w:val="20"/>
          <w:szCs w:val="20"/>
          <w:color w:val="auto"/>
        </w:rPr>
      </w:pPr>
      <w:r>
        <w:rPr>
          <w:rFonts w:ascii="Arial" w:cs="Arial" w:eastAsia="Arial" w:hAnsi="Arial"/>
          <w:sz w:val="18"/>
          <w:szCs w:val="18"/>
          <w:color w:val="auto"/>
        </w:rPr>
        <w:t>Joseph McCann</w:t>
      </w:r>
    </w:p>
    <w:p>
      <w:pPr>
        <w:spacing w:after="0" w:line="9" w:lineRule="exact"/>
        <w:rPr>
          <w:sz w:val="24"/>
          <w:szCs w:val="24"/>
          <w:color w:val="auto"/>
        </w:rPr>
      </w:pPr>
    </w:p>
    <w:p>
      <w:pPr>
        <w:ind w:left="1480"/>
        <w:spacing w:after="0"/>
        <w:rPr>
          <w:sz w:val="20"/>
          <w:szCs w:val="20"/>
          <w:color w:val="auto"/>
        </w:rPr>
      </w:pPr>
      <w:r>
        <w:rPr>
          <w:rFonts w:ascii="Arial" w:cs="Arial" w:eastAsia="Arial" w:hAnsi="Arial"/>
          <w:sz w:val="18"/>
          <w:szCs w:val="18"/>
          <w:color w:val="auto"/>
        </w:rPr>
        <w:t>Celeste Murphy</w:t>
      </w:r>
    </w:p>
    <w:p>
      <w:pPr>
        <w:spacing w:after="0" w:line="234" w:lineRule="exact"/>
        <w:rPr>
          <w:sz w:val="24"/>
          <w:szCs w:val="24"/>
          <w:color w:val="auto"/>
        </w:rPr>
      </w:pPr>
    </w:p>
    <w:p>
      <w:pPr>
        <w:ind w:left="420"/>
        <w:spacing w:after="0"/>
        <w:tabs>
          <w:tab w:leader="none" w:pos="1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Upjohn Inc.</w:t>
      </w:r>
    </w:p>
    <w:p>
      <w:pPr>
        <w:spacing w:after="0" w:line="27" w:lineRule="exact"/>
        <w:rPr>
          <w:sz w:val="24"/>
          <w:szCs w:val="24"/>
          <w:color w:val="auto"/>
        </w:rPr>
      </w:pPr>
    </w:p>
    <w:p>
      <w:pPr>
        <w:ind w:left="1460"/>
        <w:spacing w:after="0"/>
        <w:rPr>
          <w:sz w:val="20"/>
          <w:szCs w:val="20"/>
          <w:color w:val="auto"/>
        </w:rPr>
      </w:pPr>
      <w:r>
        <w:rPr>
          <w:rFonts w:ascii="Arial" w:cs="Arial" w:eastAsia="Arial" w:hAnsi="Arial"/>
          <w:sz w:val="18"/>
          <w:szCs w:val="18"/>
          <w:b w:val="1"/>
          <w:bCs w:val="1"/>
          <w:color w:val="auto"/>
        </w:rPr>
        <w:t>Amendment No. 2 to Registration Statement on Form S-4</w:t>
      </w:r>
    </w:p>
    <w:p>
      <w:pPr>
        <w:spacing w:after="0" w:line="9"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Filed January 17, 2020</w:t>
      </w:r>
    </w:p>
    <w:p>
      <w:pPr>
        <w:spacing w:after="0" w:line="9"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File No. 333-234337</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4"/>
          <w:szCs w:val="24"/>
          <w:color w:val="auto"/>
        </w:rPr>
      </w:pPr>
    </w:p>
    <w:p>
      <w:pPr>
        <w:ind w:right="220" w:firstLine="440"/>
        <w:spacing w:after="0" w:line="275" w:lineRule="auto"/>
        <w:rPr>
          <w:sz w:val="20"/>
          <w:szCs w:val="20"/>
          <w:color w:val="auto"/>
        </w:rPr>
      </w:pPr>
      <w:r>
        <w:rPr>
          <w:rFonts w:ascii="Arial" w:cs="Arial" w:eastAsia="Arial" w:hAnsi="Arial"/>
          <w:sz w:val="17"/>
          <w:szCs w:val="17"/>
          <w:color w:val="auto"/>
        </w:rPr>
        <w:t>On behalf of Upjohn Inc. (the “</w:t>
      </w:r>
      <w:r>
        <w:rPr>
          <w:rFonts w:ascii="Arial" w:cs="Arial" w:eastAsia="Arial" w:hAnsi="Arial"/>
          <w:sz w:val="17"/>
          <w:szCs w:val="17"/>
          <w:u w:val="single" w:color="auto"/>
          <w:color w:val="auto"/>
        </w:rPr>
        <w:t>Company</w:t>
      </w:r>
      <w:r>
        <w:rPr>
          <w:rFonts w:ascii="Arial" w:cs="Arial" w:eastAsia="Arial" w:hAnsi="Arial"/>
          <w:sz w:val="17"/>
          <w:szCs w:val="17"/>
          <w:color w:val="auto"/>
        </w:rPr>
        <w:t>”), we are providing the Company’s responses to the comments of the Staff of the Division of Corporation Finance (the “</w:t>
      </w:r>
      <w:r>
        <w:rPr>
          <w:rFonts w:ascii="Arial" w:cs="Arial" w:eastAsia="Arial" w:hAnsi="Arial"/>
          <w:sz w:val="17"/>
          <w:szCs w:val="17"/>
          <w:u w:val="single" w:color="auto"/>
          <w:color w:val="auto"/>
        </w:rPr>
        <w:t>Staff</w:t>
      </w:r>
      <w:r>
        <w:rPr>
          <w:rFonts w:ascii="Arial" w:cs="Arial" w:eastAsia="Arial" w:hAnsi="Arial"/>
          <w:sz w:val="17"/>
          <w:szCs w:val="17"/>
          <w:color w:val="auto"/>
        </w:rPr>
        <w:t>”) of the U.S.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set forth in its letter, dated February 3, 2020, with respect to the above-referenced Amendment No. 2 to the Registration Statement on Form S-4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The Company is concurrently submitting Amendment No. 3 to the Registration Statement (“</w:t>
      </w:r>
      <w:r>
        <w:rPr>
          <w:rFonts w:ascii="Arial" w:cs="Arial" w:eastAsia="Arial" w:hAnsi="Arial"/>
          <w:sz w:val="17"/>
          <w:szCs w:val="17"/>
          <w:u w:val="single" w:color="auto"/>
          <w:color w:val="auto"/>
        </w:rPr>
        <w:t>Amendment No. 3</w:t>
      </w:r>
      <w:r>
        <w:rPr>
          <w:rFonts w:ascii="Arial" w:cs="Arial" w:eastAsia="Arial" w:hAnsi="Arial"/>
          <w:sz w:val="17"/>
          <w:szCs w:val="17"/>
          <w:color w:val="auto"/>
        </w:rPr>
        <w:t>”) via EDGAR, and five courtesy copies of Amendment No. 3 marked to show changes to the Registration Statement are being sent to the Staff under separate cover.</w:t>
      </w:r>
    </w:p>
    <w:p>
      <w:pPr>
        <w:sectPr>
          <w:pgSz w:w="11900" w:h="16838" w:orient="portrait"/>
          <w:cols w:equalWidth="0" w:num="1">
            <w:col w:w="11000"/>
          </w:cols>
          <w:pgMar w:left="440" w:top="634" w:right="459" w:bottom="1440" w:gutter="0" w:footer="0" w:header="0"/>
          <w:type w:val="continuous"/>
        </w:sectPr>
      </w:pPr>
    </w:p>
    <w:bookmarkStart w:id="1" w:name="page2"/>
    <w:bookmarkEnd w:id="1"/>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February 6,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jc w:val="both"/>
        <w:ind w:left="4" w:right="140" w:firstLine="440"/>
        <w:spacing w:after="0" w:line="263" w:lineRule="auto"/>
        <w:rPr>
          <w:sz w:val="20"/>
          <w:szCs w:val="20"/>
          <w:color w:val="auto"/>
        </w:rPr>
      </w:pPr>
      <w:r>
        <w:rPr>
          <w:rFonts w:ascii="Arial" w:cs="Arial" w:eastAsia="Arial" w:hAnsi="Arial"/>
          <w:sz w:val="18"/>
          <w:szCs w:val="18"/>
          <w:color w:val="auto"/>
        </w:rPr>
        <w:t>For the Staff’s convenience, the text of the Staff’s comments is set forth below in bold, followed in each case by the Company’s response. Terms not otherwise defined in this letter shall have the meanings set forth in Amendment No. 3. All references to page numbers in these responses are to the pages of Amendment No. 3.</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Amendment No. 2 to Registration Statement on Form S-4</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Background of the Combination, page 95</w:t>
      </w:r>
    </w:p>
    <w:p>
      <w:pPr>
        <w:spacing w:after="0" w:line="131" w:lineRule="exact"/>
        <w:rPr>
          <w:sz w:val="20"/>
          <w:szCs w:val="20"/>
          <w:color w:val="auto"/>
        </w:rPr>
      </w:pPr>
    </w:p>
    <w:p>
      <w:pPr>
        <w:ind w:left="424" w:right="100" w:hanging="424"/>
        <w:spacing w:after="0" w:line="282" w:lineRule="auto"/>
        <w:tabs>
          <w:tab w:leader="none" w:pos="424"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revised disclosure on page 100 in response to prior comment 2. Please further revise the disclosure on page 100 to present a numerical value.</w:t>
      </w:r>
    </w:p>
    <w:p>
      <w:pPr>
        <w:spacing w:after="0" w:line="165" w:lineRule="exact"/>
        <w:rPr>
          <w:rFonts w:ascii="Arial" w:cs="Arial" w:eastAsia="Arial" w:hAnsi="Arial"/>
          <w:sz w:val="18"/>
          <w:szCs w:val="18"/>
          <w:b w:val="1"/>
          <w:bCs w:val="1"/>
          <w:color w:val="auto"/>
        </w:rPr>
      </w:pPr>
    </w:p>
    <w:p>
      <w:pPr>
        <w:ind w:left="444"/>
        <w:spacing w:after="0" w:line="259" w:lineRule="auto"/>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Response</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 response to the Staff’s comment, the Company has revised the disclosures on pages 100 and 101 in Amendment No. 3. As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on page 101 of Amendment No. 3, the Pre-Distribution Upjohn Liabilities as of September 29, 2019 reflected on the Upjohn Business’s financial statements were $3,978 million, excluding the total Pre-Distribution Tax Liabilities of $5,090 million as of such date, which Pfizer agreed to retain at the outset of the negotiations.</w:t>
      </w:r>
    </w:p>
    <w:p>
      <w:pPr>
        <w:spacing w:after="0" w:line="209" w:lineRule="exact"/>
        <w:rPr>
          <w:rFonts w:ascii="Arial" w:cs="Arial" w:eastAsia="Arial" w:hAnsi="Arial"/>
          <w:sz w:val="18"/>
          <w:szCs w:val="18"/>
          <w:b w:val="1"/>
          <w:bCs w:val="1"/>
          <w:color w:val="auto"/>
        </w:rPr>
      </w:pPr>
    </w:p>
    <w:p>
      <w:pPr>
        <w:ind w:left="424" w:right="60" w:hanging="424"/>
        <w:spacing w:after="0" w:line="271" w:lineRule="auto"/>
        <w:tabs>
          <w:tab w:leader="none" w:pos="424" w:val="left"/>
        </w:tabs>
        <w:numPr>
          <w:ilvl w:val="0"/>
          <w:numId w:val="1"/>
        </w:numPr>
        <w:rPr>
          <w:rFonts w:ascii="Arial" w:cs="Arial" w:eastAsia="Arial" w:hAnsi="Arial"/>
          <w:sz w:val="17"/>
          <w:szCs w:val="17"/>
          <w:b w:val="1"/>
          <w:bCs w:val="1"/>
          <w:color w:val="auto"/>
        </w:rPr>
      </w:pPr>
      <w:r>
        <w:rPr>
          <w:rFonts w:ascii="Arial" w:cs="Arial" w:eastAsia="Arial" w:hAnsi="Arial"/>
          <w:sz w:val="17"/>
          <w:szCs w:val="17"/>
          <w:b w:val="1"/>
          <w:bCs w:val="1"/>
          <w:color w:val="auto"/>
        </w:rPr>
        <w:t>With reference to prior comment 5, please revise the disclosure on page 104 and elsewhere in the Background section, as applicable, to clarify when the parties agreed that Pfizer would retain the pre-Distribution taxes attributable to the Upjohn business. In this regard, the disclosure on page 104 suggests that Newco would assume the $4.9 billion in tax payments attributable to Upjohn (as reflected in the pro forma presentation on page 270). To the extent that the parties agreed prior to July 26-28 that Pfizer would retain these tax obligations, please revise the July 26-28 entry to quantify the magnitude of the pre-Distribution liabilities related to the Upjohn Business that were at issue during the final three days of negotiation. Also, revise the disclosure on page 103 to clarify whether Mylan’s financial advisors in rendering the joint opinion assumed that Pfizer would retain the pre-Distribution taxes attributable to the Upjohn business and Newco would assume the other pre-Distribution liabilities related to the Upjohn Business (exclusive of the contingent liabilities referenced on page 103).</w:t>
      </w:r>
    </w:p>
    <w:p>
      <w:pPr>
        <w:spacing w:after="0" w:line="177" w:lineRule="exact"/>
        <w:rPr>
          <w:rFonts w:ascii="Arial" w:cs="Arial" w:eastAsia="Arial" w:hAnsi="Arial"/>
          <w:sz w:val="17"/>
          <w:szCs w:val="17"/>
          <w:b w:val="1"/>
          <w:bCs w:val="1"/>
          <w:color w:val="auto"/>
        </w:rPr>
      </w:pPr>
    </w:p>
    <w:p>
      <w:pPr>
        <w:ind w:left="444" w:right="140"/>
        <w:spacing w:after="0" w:line="301" w:lineRule="auto"/>
        <w:rPr>
          <w:rFonts w:ascii="Arial" w:cs="Arial" w:eastAsia="Arial" w:hAnsi="Arial"/>
          <w:sz w:val="17"/>
          <w:szCs w:val="17"/>
          <w:b w:val="1"/>
          <w:bCs w:val="1"/>
          <w:color w:val="auto"/>
        </w:rPr>
      </w:pPr>
      <w:r>
        <w:rPr>
          <w:rFonts w:ascii="Arial" w:cs="Arial" w:eastAsia="Arial" w:hAnsi="Arial"/>
          <w:sz w:val="16"/>
          <w:szCs w:val="16"/>
          <w:i w:val="1"/>
          <w:iCs w:val="1"/>
          <w:u w:val="single" w:color="auto"/>
          <w:color w:val="auto"/>
        </w:rPr>
        <w:t>Response</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response to the Staff’s comment, the Company has revised the disclosures on pages 100, 101, 102, 103 and 105 of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No. 3. As set forth on pages 100 and 101, the initial draft of the Tax Matters Agreement set forth the parties’ agreement in principle that Pfizer would generally be responsible for tax liabilities attributable to periods on or prior to the date of the Distribution, and that Pfizer would generally retain the tax benefits attributable to the Upjohn Business attributable to periods on or prior to the date of the Distribution.</w:t>
      </w:r>
    </w:p>
    <w:p>
      <w:pPr>
        <w:spacing w:after="0" w:line="157" w:lineRule="exact"/>
        <w:rPr>
          <w:rFonts w:ascii="Arial" w:cs="Arial" w:eastAsia="Arial" w:hAnsi="Arial"/>
          <w:sz w:val="17"/>
          <w:szCs w:val="17"/>
          <w:b w:val="1"/>
          <w:bCs w:val="1"/>
          <w:color w:val="auto"/>
        </w:rPr>
      </w:pPr>
    </w:p>
    <w:p>
      <w:pPr>
        <w:ind w:left="444" w:right="80"/>
        <w:spacing w:after="0" w:line="308" w:lineRule="auto"/>
        <w:rPr>
          <w:rFonts w:ascii="Arial" w:cs="Arial" w:eastAsia="Arial" w:hAnsi="Arial"/>
          <w:sz w:val="17"/>
          <w:szCs w:val="17"/>
          <w:b w:val="1"/>
          <w:bCs w:val="1"/>
          <w:color w:val="auto"/>
        </w:rPr>
      </w:pPr>
      <w:r>
        <w:rPr>
          <w:rFonts w:ascii="Arial" w:cs="Arial" w:eastAsia="Arial" w:hAnsi="Arial"/>
          <w:sz w:val="17"/>
          <w:szCs w:val="17"/>
          <w:color w:val="auto"/>
        </w:rPr>
        <w:t>As set forth on page 102 and 103, on July 15, 2019, the parties discussed an approach whereby Newco would assume all Pre-Distribution Upjohn Liabilities, other than the Pre-Distribution Tax Liabilities and certain specified antitrust matters related to the Upjohn products.</w:t>
      </w:r>
    </w:p>
    <w:p>
      <w:pPr>
        <w:spacing w:after="0" w:line="146" w:lineRule="exact"/>
        <w:rPr>
          <w:rFonts w:ascii="Arial" w:cs="Arial" w:eastAsia="Arial" w:hAnsi="Arial"/>
          <w:sz w:val="17"/>
          <w:szCs w:val="17"/>
          <w:b w:val="1"/>
          <w:bCs w:val="1"/>
          <w:color w:val="auto"/>
        </w:rPr>
      </w:pPr>
    </w:p>
    <w:p>
      <w:pPr>
        <w:ind w:left="444" w:right="80"/>
        <w:spacing w:after="0" w:line="255" w:lineRule="auto"/>
        <w:rPr>
          <w:rFonts w:ascii="Arial" w:cs="Arial" w:eastAsia="Arial" w:hAnsi="Arial"/>
          <w:sz w:val="17"/>
          <w:szCs w:val="17"/>
          <w:b w:val="1"/>
          <w:bCs w:val="1"/>
          <w:color w:val="auto"/>
        </w:rPr>
      </w:pPr>
      <w:r>
        <w:rPr>
          <w:rFonts w:ascii="Arial" w:cs="Arial" w:eastAsia="Arial" w:hAnsi="Arial"/>
          <w:sz w:val="18"/>
          <w:szCs w:val="18"/>
          <w:color w:val="auto"/>
        </w:rPr>
        <w:t>Accordingly, as set forth on page 103 and 105, the focus of the parties’ discussion regarding Pre-Distribution Upjohn Liabilities was the scope of the antitrust litigations and investigations related to the Upjohn Business that would be retained by Pfizer. As set forth on page 105, the parties resolved that Pfizer would retain antitrust litigations or investigations relating to the Greenstone generics business to the extent arising from conduct during the period prior to the Distribution and certain specified antitrust litigations or investigations relating to the Upjohn Business set forth on a schedule, and that, as of September 29, 2019, Pfizer had accrued approximately $66 million in connection with these antitrust litigation or investigation matters.</w:t>
      </w:r>
    </w:p>
    <w:p>
      <w:pPr>
        <w:spacing w:after="0" w:line="296" w:lineRule="exact"/>
        <w:rPr>
          <w:rFonts w:ascii="Arial" w:cs="Arial" w:eastAsia="Arial" w:hAnsi="Arial"/>
          <w:sz w:val="17"/>
          <w:szCs w:val="17"/>
          <w:b w:val="1"/>
          <w:bCs w:val="1"/>
          <w:color w:val="auto"/>
        </w:rPr>
      </w:pPr>
    </w:p>
    <w:p>
      <w:pPr>
        <w:ind w:left="444"/>
        <w:spacing w:after="0"/>
        <w:rPr>
          <w:rFonts w:ascii="Arial" w:cs="Arial" w:eastAsia="Arial" w:hAnsi="Arial"/>
          <w:sz w:val="17"/>
          <w:szCs w:val="17"/>
          <w:b w:val="1"/>
          <w:bCs w:val="1"/>
          <w:color w:val="auto"/>
        </w:rPr>
      </w:pPr>
      <w:r>
        <w:rPr>
          <w:rFonts w:ascii="Arial" w:cs="Arial" w:eastAsia="Arial" w:hAnsi="Arial"/>
          <w:sz w:val="18"/>
          <w:szCs w:val="18"/>
          <w:b w:val="1"/>
          <w:bCs w:val="1"/>
          <w:u w:val="single" w:color="auto"/>
          <w:color w:val="auto"/>
        </w:rPr>
        <w:t>Golden Parachute Compensation, page 128</w:t>
      </w:r>
    </w:p>
    <w:p>
      <w:pPr>
        <w:sectPr>
          <w:pgSz w:w="11900" w:h="16838" w:orient="portrait"/>
          <w:cols w:equalWidth="0" w:num="1">
            <w:col w:w="11004"/>
          </w:cols>
          <w:pgMar w:left="436" w:top="274" w:right="45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February 6,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3</w:t>
      </w:r>
    </w:p>
    <w:p>
      <w:pPr>
        <w:spacing w:after="0" w:line="139" w:lineRule="exact"/>
        <w:rPr>
          <w:sz w:val="20"/>
          <w:szCs w:val="20"/>
          <w:color w:val="auto"/>
        </w:rPr>
      </w:pPr>
    </w:p>
    <w:p>
      <w:pPr>
        <w:ind w:left="424" w:right="80" w:hanging="424"/>
        <w:spacing w:after="0" w:line="289" w:lineRule="auto"/>
        <w:tabs>
          <w:tab w:leader="none" w:pos="424"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With reference to your disclosures on pages 126 and 127, please provide us an analysis explaining why the $10 million award is not presented as Golden Parachute Compensation pursuant to Regulation S-K, Item 402(t). Also, revise the Background of the Combination section to include the discussions/negotiations concerning Mr. Coury’s future compensation with Newco.</w:t>
      </w:r>
    </w:p>
    <w:p>
      <w:pPr>
        <w:spacing w:after="0" w:line="161" w:lineRule="exact"/>
        <w:rPr>
          <w:rFonts w:ascii="Arial" w:cs="Arial" w:eastAsia="Arial" w:hAnsi="Arial"/>
          <w:sz w:val="17"/>
          <w:szCs w:val="17"/>
          <w:b w:val="1"/>
          <w:bCs w:val="1"/>
          <w:color w:val="auto"/>
        </w:rPr>
      </w:pPr>
    </w:p>
    <w:p>
      <w:pPr>
        <w:ind w:left="444"/>
        <w:spacing w:after="0"/>
        <w:rPr>
          <w:rFonts w:ascii="Arial" w:cs="Arial" w:eastAsia="Arial" w:hAnsi="Arial"/>
          <w:sz w:val="17"/>
          <w:szCs w:val="17"/>
          <w:b w:val="1"/>
          <w:bCs w:val="1"/>
          <w:color w:val="auto"/>
        </w:rPr>
      </w:pPr>
      <w:r>
        <w:rPr>
          <w:rFonts w:ascii="Arial" w:cs="Arial" w:eastAsia="Arial" w:hAnsi="Arial"/>
          <w:sz w:val="16"/>
          <w:szCs w:val="16"/>
          <w:i w:val="1"/>
          <w:iCs w:val="1"/>
          <w:u w:val="single" w:color="auto"/>
          <w:color w:val="auto"/>
        </w:rPr>
        <w:t>Response</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In response to the Staff’s comment, the Company has revised the disclosures on pages 96, 100, 103 and 104 of Amendment No. 3.</w:t>
      </w:r>
    </w:p>
    <w:p>
      <w:pPr>
        <w:spacing w:after="0" w:line="248" w:lineRule="exact"/>
        <w:rPr>
          <w:rFonts w:ascii="Arial" w:cs="Arial" w:eastAsia="Arial" w:hAnsi="Arial"/>
          <w:sz w:val="17"/>
          <w:szCs w:val="17"/>
          <w:b w:val="1"/>
          <w:bCs w:val="1"/>
          <w:color w:val="auto"/>
        </w:rPr>
      </w:pPr>
    </w:p>
    <w:p>
      <w:pPr>
        <w:ind w:left="444"/>
        <w:spacing w:after="0" w:line="273" w:lineRule="auto"/>
        <w:rPr>
          <w:rFonts w:ascii="Arial" w:cs="Arial" w:eastAsia="Arial" w:hAnsi="Arial"/>
          <w:sz w:val="17"/>
          <w:szCs w:val="17"/>
          <w:b w:val="1"/>
          <w:bCs w:val="1"/>
          <w:color w:val="auto"/>
        </w:rPr>
      </w:pPr>
      <w:r>
        <w:rPr>
          <w:rFonts w:ascii="Arial" w:cs="Arial" w:eastAsia="Arial" w:hAnsi="Arial"/>
          <w:sz w:val="17"/>
          <w:szCs w:val="17"/>
          <w:color w:val="auto"/>
        </w:rPr>
        <w:t>With respect to the Staff’s comment regarding an analysis of the Golden Parachute Compensation pursuant to Item 402(t) of Regulation S-K, the Company and Mylan respectfully advise the Staff that Item 402(t) of Regulation S-K requires disclosure and quantification of compensation that is based on or otherwise relates to an applicable transaction with any “named executive officer” of the target or acquiring company. Pursuant to Instruction 1 of Item 402(t) of Regulation S-K, the relevant group of named executive officers for this purpose are those individuals that appeared as named executive officers in the issuer’s last filing that contained information required by Item 402(c) of Regulation S-K. The last filing of Mylan that included this information was the 2019 Proxy Statement for the 2019 Annual General Meeting.</w:t>
      </w:r>
    </w:p>
    <w:p>
      <w:pPr>
        <w:spacing w:after="0" w:line="177" w:lineRule="exact"/>
        <w:rPr>
          <w:rFonts w:ascii="Arial" w:cs="Arial" w:eastAsia="Arial" w:hAnsi="Arial"/>
          <w:sz w:val="17"/>
          <w:szCs w:val="17"/>
          <w:b w:val="1"/>
          <w:bCs w:val="1"/>
          <w:color w:val="auto"/>
        </w:rPr>
      </w:pPr>
    </w:p>
    <w:p>
      <w:pPr>
        <w:ind w:left="444"/>
        <w:spacing w:after="0" w:line="253" w:lineRule="auto"/>
        <w:rPr>
          <w:rFonts w:ascii="Arial" w:cs="Arial" w:eastAsia="Arial" w:hAnsi="Arial"/>
          <w:sz w:val="17"/>
          <w:szCs w:val="17"/>
          <w:b w:val="1"/>
          <w:bCs w:val="1"/>
          <w:color w:val="auto"/>
        </w:rPr>
      </w:pPr>
      <w:r>
        <w:rPr>
          <w:rFonts w:ascii="Arial" w:cs="Arial" w:eastAsia="Arial" w:hAnsi="Arial"/>
          <w:sz w:val="18"/>
          <w:szCs w:val="18"/>
          <w:color w:val="auto"/>
        </w:rPr>
        <w:t>Mr. Coury ceased serving as an executive officer and employee of Mylan on June 24, 2016. Since that time, he has served as non-executive Chairman of the Mylan Board and remains non-executive Chairman today. As a result, Mr. Coury did not qualify as a named executive officer for fiscal year 2017 (as reported in the 2018 Proxy Statement for the 2018 Annual General Meeting) or fiscal year 2018 (as reported in the 2019 Proxy Statement for the 2019 Annual Meeting). Mr. Coury will also not qualify as a named executive officer for any Item 402(c) disclosures in any filings for fiscal year 2019 (such as a 2020 Form 10-K or 2020 Proxy Statement for a 2020 Annual General Meeting, if applicable). As a result of not being a named executive officer, Mr. Coury is not an individual covered by the requirements of Item 402(t) of Regulation S-K. The Golden Parachute Compensation disclosure has been provided with respect to Mylan’s five named executive officers included in the 2019 Proxy Statement for the 2019 Annual General Meeting (Ms. Bresch and Messrs. Parks, Malik, Mauro and Gallagher), as required by Item 402(t) of Regulation S-K.</w:t>
      </w:r>
    </w:p>
    <w:p>
      <w:pPr>
        <w:spacing w:after="0" w:line="196" w:lineRule="exact"/>
        <w:rPr>
          <w:rFonts w:ascii="Arial" w:cs="Arial" w:eastAsia="Arial" w:hAnsi="Arial"/>
          <w:sz w:val="17"/>
          <w:szCs w:val="17"/>
          <w:b w:val="1"/>
          <w:bCs w:val="1"/>
          <w:color w:val="auto"/>
        </w:rPr>
      </w:pPr>
    </w:p>
    <w:p>
      <w:pPr>
        <w:ind w:left="444" w:right="160"/>
        <w:spacing w:after="0" w:line="287" w:lineRule="auto"/>
        <w:rPr>
          <w:rFonts w:ascii="Arial" w:cs="Arial" w:eastAsia="Arial" w:hAnsi="Arial"/>
          <w:sz w:val="17"/>
          <w:szCs w:val="17"/>
          <w:b w:val="1"/>
          <w:bCs w:val="1"/>
          <w:color w:val="auto"/>
        </w:rPr>
      </w:pPr>
      <w:r>
        <w:rPr>
          <w:rFonts w:ascii="Arial" w:cs="Arial" w:eastAsia="Arial" w:hAnsi="Arial"/>
          <w:sz w:val="16"/>
          <w:szCs w:val="16"/>
          <w:color w:val="auto"/>
        </w:rPr>
        <w:t>In addition, as noted in the disclosures on pages 126 and 127 of Amendment No. 2 to the Registration Statement, the potential arrangements for Mr. Coury were not adopted and are not currently in effect, as the Mylan Board determined to defer further consideration of the employment agreement to the Compensation Committee and independent directors of the Newco Board. Therefore, any final compensation terms for</w:t>
      </w:r>
    </w:p>
    <w:p>
      <w:pPr>
        <w:spacing w:after="0" w:line="2" w:lineRule="exact"/>
        <w:rPr>
          <w:rFonts w:ascii="Arial" w:cs="Arial" w:eastAsia="Arial" w:hAnsi="Arial"/>
          <w:sz w:val="17"/>
          <w:szCs w:val="17"/>
          <w:b w:val="1"/>
          <w:bCs w:val="1"/>
          <w:color w:val="auto"/>
        </w:rPr>
      </w:pPr>
    </w:p>
    <w:p>
      <w:pPr>
        <w:ind w:left="444" w:right="160"/>
        <w:spacing w:after="0" w:line="260" w:lineRule="auto"/>
        <w:rPr>
          <w:rFonts w:ascii="Arial" w:cs="Arial" w:eastAsia="Arial" w:hAnsi="Arial"/>
          <w:sz w:val="17"/>
          <w:szCs w:val="17"/>
          <w:b w:val="1"/>
          <w:bCs w:val="1"/>
          <w:color w:val="auto"/>
        </w:rPr>
      </w:pPr>
      <w:r>
        <w:rPr>
          <w:rFonts w:ascii="Arial" w:cs="Arial" w:eastAsia="Arial" w:hAnsi="Arial"/>
          <w:sz w:val="18"/>
          <w:szCs w:val="18"/>
          <w:color w:val="auto"/>
        </w:rPr>
        <w:t>Mr. Coury’s service as Executive Chairman will be determined by the Compensation Committee and independent directors of the Newco Board following the closing.</w:t>
      </w:r>
    </w:p>
    <w:p>
      <w:pPr>
        <w:sectPr>
          <w:pgSz w:w="11900" w:h="16838" w:orient="portrait"/>
          <w:cols w:equalWidth="0" w:num="1">
            <w:col w:w="10944"/>
          </w:cols>
          <w:pgMar w:left="436" w:top="274" w:right="5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6,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4320"/>
        <w:spacing w:after="0"/>
        <w:tabs>
          <w:tab w:leader="none" w:pos="4740" w:val="left"/>
          <w:tab w:leader="none" w:pos="5200" w:val="left"/>
          <w:tab w:leader="none" w:pos="5680" w:val="left"/>
          <w:tab w:leader="none" w:pos="6140" w:val="left"/>
          <w:tab w:leader="none" w:pos="6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If you have any questions, please do not hesitate to contact David K. Lam at (212) 403-1394 or dklam@wlrk.com or Gordon S. Moodie at (212) 403-1180 or gsmoodie@wlrk.com.</w:t>
      </w:r>
    </w:p>
    <w:p>
      <w:pPr>
        <w:sectPr>
          <w:pgSz w:w="11900" w:h="16838" w:orient="portrait"/>
          <w:cols w:equalWidth="0" w:num="1">
            <w:col w:w="10820"/>
          </w:cols>
          <w:pgMar w:left="440" w:top="274" w:right="63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Securities and Exchange Commission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February 6, 2020</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left="5964"/>
        <w:spacing w:after="0"/>
        <w:rPr>
          <w:sz w:val="20"/>
          <w:szCs w:val="20"/>
          <w:color w:val="auto"/>
        </w:rPr>
      </w:pPr>
      <w:r>
        <w:rPr>
          <w:rFonts w:ascii="Arial" w:cs="Arial" w:eastAsia="Arial" w:hAnsi="Arial"/>
          <w:sz w:val="17"/>
          <w:szCs w:val="17"/>
          <w:color w:val="auto"/>
        </w:rPr>
        <w:t>Very truly yours,</w:t>
      </w:r>
    </w:p>
    <w:p>
      <w:pPr>
        <w:spacing w:after="0" w:line="237" w:lineRule="exact"/>
        <w:rPr>
          <w:sz w:val="20"/>
          <w:szCs w:val="20"/>
          <w:color w:val="auto"/>
        </w:rPr>
      </w:pPr>
    </w:p>
    <w:p>
      <w:pPr>
        <w:jc w:val="right"/>
        <w:ind w:right="2819"/>
        <w:spacing w:after="0"/>
        <w:rPr>
          <w:sz w:val="20"/>
          <w:szCs w:val="20"/>
          <w:color w:val="auto"/>
        </w:rPr>
      </w:pPr>
      <w:r>
        <w:rPr>
          <w:rFonts w:ascii="Arial" w:cs="Arial" w:eastAsia="Arial" w:hAnsi="Arial"/>
          <w:sz w:val="18"/>
          <w:szCs w:val="18"/>
          <w:color w:val="auto"/>
        </w:rPr>
        <w:t>/s/ David K. 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-10160</wp:posOffset>
            </wp:positionV>
            <wp:extent cx="1593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93215" cy="8255"/>
                    </a:xfrm>
                    <a:prstGeom prst="rect">
                      <a:avLst/>
                    </a:prstGeom>
                    <a:noFill/>
                  </pic:spPr>
                </pic:pic>
              </a:graphicData>
            </a:graphic>
          </wp:anchor>
        </w:drawing>
      </w:r>
    </w:p>
    <w:p>
      <w:pPr>
        <w:spacing w:after="0" w:line="232" w:lineRule="exact"/>
        <w:rPr>
          <w:sz w:val="20"/>
          <w:szCs w:val="20"/>
          <w:color w:val="auto"/>
        </w:rPr>
      </w:pPr>
    </w:p>
    <w:p>
      <w:pPr>
        <w:jc w:val="both"/>
        <w:ind w:left="444" w:right="7679" w:hanging="444"/>
        <w:spacing w:after="0" w:line="342" w:lineRule="auto"/>
        <w:tabs>
          <w:tab w:leader="none" w:pos="436" w:val="left"/>
        </w:tabs>
        <w:numPr>
          <w:ilvl w:val="0"/>
          <w:numId w:val="3"/>
        </w:numPr>
        <w:rPr>
          <w:rFonts w:ascii="Arial" w:cs="Arial" w:eastAsia="Arial" w:hAnsi="Arial"/>
          <w:sz w:val="16"/>
          <w:szCs w:val="16"/>
          <w:color w:val="auto"/>
        </w:rPr>
      </w:pPr>
      <w:r>
        <w:rPr>
          <w:rFonts w:ascii="Arial" w:cs="Arial" w:eastAsia="Arial" w:hAnsi="Arial"/>
          <w:sz w:val="16"/>
          <w:szCs w:val="16"/>
          <w:color w:val="auto"/>
        </w:rPr>
        <w:t>Doug Lankler (Pfizer Inc.) Bryan Supran (Pfizer Inc.)</w:t>
      </w:r>
    </w:p>
    <w:p>
      <w:pPr>
        <w:spacing w:after="0" w:line="123"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Brian Roman (Mylan N.V.)</w:t>
      </w:r>
    </w:p>
    <w:p>
      <w:pPr>
        <w:spacing w:after="0" w:line="23" w:lineRule="exact"/>
        <w:rPr>
          <w:rFonts w:ascii="Arial" w:cs="Arial" w:eastAsia="Arial" w:hAnsi="Arial"/>
          <w:sz w:val="16"/>
          <w:szCs w:val="16"/>
          <w:color w:val="auto"/>
        </w:rPr>
      </w:pPr>
    </w:p>
    <w:p>
      <w:pPr>
        <w:ind w:left="444" w:right="5899"/>
        <w:spacing w:after="0" w:line="302" w:lineRule="auto"/>
        <w:rPr>
          <w:rFonts w:ascii="Arial" w:cs="Arial" w:eastAsia="Arial" w:hAnsi="Arial"/>
          <w:sz w:val="16"/>
          <w:szCs w:val="16"/>
          <w:color w:val="auto"/>
        </w:rPr>
      </w:pPr>
      <w:r>
        <w:rPr>
          <w:rFonts w:ascii="Arial" w:cs="Arial" w:eastAsia="Arial" w:hAnsi="Arial"/>
          <w:sz w:val="16"/>
          <w:szCs w:val="16"/>
          <w:color w:val="auto"/>
        </w:rPr>
        <w:t>Mark I. Greene (Cravath, Swaine &amp; Moore LLP) Thomas E. Dunn (Cravath, Swaine &amp; Moore LLP) Aaron M. Gruber (Cravath, Swaine &amp; Moore LLP)</w:t>
      </w:r>
    </w:p>
    <w:sectPr>
      <w:pgSz w:w="11900" w:h="16838" w:orient="portrait"/>
      <w:cols w:equalWidth="0" w:num="1">
        <w:col w:w="10023"/>
      </w:cols>
      <w:pgMar w:left="436"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2021-08-15T20:13:35Z</dcterms:created>
  <dcterms:modified xsi:type="dcterms:W3CDTF">2021-08-15T20:13:35Z</dcterms:modified>
</cp:coreProperties>
</file>