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-601345</wp:posOffset>
            </wp:positionV>
            <wp:extent cx="5651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3907790</wp:posOffset>
            </wp:positionH>
            <wp:positionV relativeFrom="paragraph">
              <wp:posOffset>-601345</wp:posOffset>
            </wp:positionV>
            <wp:extent cx="5651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897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PARRISH MARK W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 PA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13,996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81,749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82,084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13,996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13,996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8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334.4826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334.4826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83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19,608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03/04/2022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19,608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19,608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-2211070</wp:posOffset>
            </wp:positionV>
            <wp:extent cx="28575" cy="2216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1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40" w:hanging="4"/>
        <w:spacing w:after="0" w:line="268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Fractional shares have been rounded up in connection with the settlement described in footnote 3 pursuant to the terms of the restricted stock unit (RSU) award agreement under the Viatris Inc. 2020 Stock Incentive Plan.</w:t>
      </w:r>
    </w:p>
    <w:p>
      <w:pPr>
        <w:spacing w:after="0" w:line="1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 Inc. (Viatris). These RSUs vested in full on March 2, 2022.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that accrued with respect to the RSUs previously granted on March 2, 2021 and vested on the same schedule as the underlying RSUs.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Viatris. These RSUs will vest on March 4, 2023.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-1270</wp:posOffset>
            </wp:positionV>
            <wp:extent cx="133540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-13335</wp:posOffset>
            </wp:positionV>
            <wp:extent cx="44513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648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900" w:hanging="4"/>
        <w:spacing w:after="0" w:line="320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6452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2022-03-04T19:15:05Z</dcterms:created>
  <dcterms:modified xsi:type="dcterms:W3CDTF">2022-03-04T19:15:05Z</dcterms:modified>
</cp:coreProperties>
</file>