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Lyons Dillon JoEllen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442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44272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11/16/2020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15,609</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15,609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vMerge w:val="restart"/>
          </w:tcPr>
          <w:p>
            <w:pPr>
              <w:jc w:val="center"/>
              <w:ind w:right="379"/>
              <w:spacing w:after="0"/>
              <w:rPr>
                <w:sz w:val="20"/>
                <w:szCs w:val="20"/>
                <w:color w:val="auto"/>
              </w:rPr>
            </w:pPr>
            <w:r>
              <w:rPr>
                <w:rFonts w:ascii="Times New Roman" w:cs="Times New Roman" w:eastAsia="Times New Roman" w:hAnsi="Times New Roman"/>
                <w:sz w:val="33"/>
                <w:szCs w:val="33"/>
                <w:color w:val="0000FF"/>
                <w:vertAlign w:val="subscript"/>
              </w:rPr>
              <w:t>18</w:t>
            </w:r>
            <w:r>
              <w:rPr>
                <w:rFonts w:ascii="Times New Roman" w:cs="Times New Roman" w:eastAsia="Times New Roman" w:hAnsi="Times New Roman"/>
                <w:sz w:val="11"/>
                <w:szCs w:val="11"/>
                <w:color w:val="008000"/>
              </w:rPr>
              <w:t>(3)</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ind w:right="2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2,974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45.72</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2,974</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04/11/2024</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2,974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2,603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50.66</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2,603</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(6)</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11/17/2025</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2,603</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2,788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46.27</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2,788</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(7)</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2,788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2,928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45.18</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2,928</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03/03/2027</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2,928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2,984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40.97</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2,984</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(9)</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03/02/2028</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2,984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4,352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27.45</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4,352</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03/01/2029</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4,352</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-5903595</wp:posOffset>
            </wp:positionV>
            <wp:extent cx="7033260" cy="6307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6307455"/>
                    </a:xfrm>
                    <a:prstGeom prst="rect">
                      <a:avLst/>
                    </a:prstGeom>
                    <a:noFill/>
                  </pic:spPr>
                </pic:pic>
              </a:graphicData>
            </a:graphic>
          </wp:anchor>
        </w:drawing>
      </w:r>
    </w:p>
    <w:p>
      <w:pPr>
        <w:ind w:left="80"/>
        <w:spacing w:after="0" w:line="218"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7033260" cy="284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3260" cy="284480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6,151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17.48</w:t>
            </w:r>
          </w:p>
        </w:tc>
        <w:tc>
          <w:tcPr>
            <w:tcW w:w="1080" w:type="dxa"/>
            <w:vAlign w:val="bottom"/>
            <w:vMerge w:val="restart"/>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28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vMerge w:val="restart"/>
          </w:tcPr>
          <w:p>
            <w:pPr>
              <w:jc w:val="right"/>
              <w:ind w:right="1"/>
              <w:spacing w:after="0" w:line="143" w:lineRule="exact"/>
              <w:rPr>
                <w:sz w:val="20"/>
                <w:szCs w:val="20"/>
                <w:color w:val="auto"/>
              </w:rPr>
            </w:pPr>
            <w:r>
              <w:rPr>
                <w:rFonts w:ascii="Times New Roman" w:cs="Times New Roman" w:eastAsia="Times New Roman" w:hAnsi="Times New Roman"/>
                <w:sz w:val="13"/>
                <w:szCs w:val="13"/>
                <w:color w:val="0000FF"/>
              </w:rPr>
              <w:t>03/02/2030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(4)</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9,440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28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(13)</w:t>
            </w:r>
          </w:p>
        </w:tc>
        <w:tc>
          <w:tcPr>
            <w:tcW w:w="740" w:type="dxa"/>
            <w:vAlign w:val="bottom"/>
            <w:vMerge w:val="restart"/>
          </w:tcPr>
          <w:p>
            <w:pPr>
              <w:jc w:val="right"/>
              <w:ind w:right="221"/>
              <w:spacing w:after="0"/>
              <w:rPr>
                <w:sz w:val="20"/>
                <w:szCs w:val="20"/>
                <w:color w:val="auto"/>
              </w:rPr>
            </w:pPr>
            <w:r>
              <w:rPr>
                <w:rFonts w:ascii="Times New Roman" w:cs="Times New Roman" w:eastAsia="Times New Roman" w:hAnsi="Times New Roman"/>
                <w:sz w:val="11"/>
                <w:szCs w:val="11"/>
                <w:color w:val="008000"/>
              </w:rPr>
              <w:t>(13)</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color w:val="008000"/>
              </w:rPr>
              <w:t>(12)</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20" w:right="180" w:firstLine="3"/>
        <w:spacing w:after="0" w:line="265" w:lineRule="auto"/>
        <w:tabs>
          <w:tab w:leader="none" w:pos="15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13" w:lineRule="exact"/>
        <w:rPr>
          <w:rFonts w:ascii="Times New Roman" w:cs="Times New Roman" w:eastAsia="Times New Roman" w:hAnsi="Times New Roman"/>
          <w:sz w:val="12"/>
          <w:szCs w:val="12"/>
          <w:color w:val="008000"/>
        </w:rPr>
      </w:pPr>
    </w:p>
    <w:p>
      <w:pPr>
        <w:ind w:left="20" w:right="480" w:firstLine="3"/>
        <w:spacing w:after="0" w:line="258"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16" w:lineRule="exact"/>
        <w:rPr>
          <w:rFonts w:ascii="Times New Roman" w:cs="Times New Roman" w:eastAsia="Times New Roman" w:hAnsi="Times New Roman"/>
          <w:sz w:val="13"/>
          <w:szCs w:val="13"/>
          <w:color w:val="008000"/>
        </w:rPr>
      </w:pPr>
    </w:p>
    <w:p>
      <w:pPr>
        <w:ind w:left="20" w:right="360" w:firstLine="3"/>
        <w:spacing w:after="0" w:line="258"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 shares of common stock acquired in the distribution on November 16, 2020 by Pfizer to its stockholders of all of the issued and outstanding shares of Upjohn common stock held by Pfizer by way of pro rata dividend.</w:t>
      </w:r>
    </w:p>
    <w:p>
      <w:pPr>
        <w:spacing w:after="0" w:line="16"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stock options to acquire Mylan ordinary shares in connection with the Combination.</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April 11, 2015.</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May 1, 2016.</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February 17, 2017.</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3, 2018.</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2019.</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2020.</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will vest on March 2, 2021.</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restricted stock units ("RSUs") of Mylan in connection with the Combination.</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2021.</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11/18/2020</w:t>
            </w: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7"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01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2020-11-18T18:53:17Z</dcterms:created>
  <dcterms:modified xsi:type="dcterms:W3CDTF">2020-11-18T18:53:17Z</dcterms:modified>
</cp:coreProperties>
</file>